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1999</w:t>
      </w:r>
      <w:r>
        <w:rPr>
          <w:rFonts w:hint="eastAsia"/>
        </w:rPr>
        <w:t>年实质性会议</w:t>
      </w:r>
    </w:p>
    <w:p w:rsidR="00000000" w:rsidRDefault="00000000"/>
    <w:p w:rsidR="00000000" w:rsidRDefault="00000000">
      <w:pPr>
        <w:pStyle w:val="Heading2"/>
        <w:spacing w:before="320"/>
      </w:pPr>
      <w:r>
        <w:rPr>
          <w:rFonts w:hint="eastAsia"/>
        </w:rPr>
        <w:t>《经济、社会、文化权利国际公约》执行情况</w:t>
      </w:r>
    </w:p>
    <w:p w:rsidR="00000000" w:rsidRDefault="00000000">
      <w:pPr>
        <w:pStyle w:val="Heading3"/>
      </w:pPr>
      <w:r>
        <w:rPr>
          <w:rFonts w:hint="eastAsia"/>
        </w:rPr>
        <w:t>缔约国根据《公约》第</w:t>
      </w:r>
      <w:r>
        <w:t>16</w:t>
      </w:r>
      <w:r>
        <w:rPr>
          <w:rFonts w:hint="eastAsia"/>
        </w:rPr>
        <w:t>和</w:t>
      </w:r>
      <w:r>
        <w:t>17</w:t>
      </w:r>
      <w:r>
        <w:rPr>
          <w:rFonts w:hint="eastAsia"/>
        </w:rPr>
        <w:t>条提交的初步报告</w:t>
      </w:r>
    </w:p>
    <w:p w:rsidR="00000000" w:rsidRDefault="00000000">
      <w:pPr>
        <w:pStyle w:val="Heading3"/>
      </w:pPr>
      <w:r>
        <w:rPr>
          <w:rFonts w:hint="eastAsia"/>
        </w:rPr>
        <w:t>增</w:t>
      </w:r>
      <w:r>
        <w:t xml:space="preserve">  </w:t>
      </w:r>
      <w:r>
        <w:rPr>
          <w:rFonts w:hint="eastAsia"/>
        </w:rPr>
        <w:t>编</w:t>
      </w:r>
    </w:p>
    <w:p w:rsidR="00000000" w:rsidRDefault="00000000">
      <w:pPr>
        <w:pStyle w:val="Heading3"/>
        <w:rPr>
          <w:u w:val="none"/>
        </w:rPr>
      </w:pPr>
      <w:r>
        <w:rPr>
          <w:rFonts w:hint="eastAsia"/>
          <w:u w:val="none"/>
        </w:rPr>
        <w:t>中国、中华人民共和国</w:t>
      </w:r>
      <w:r>
        <w:rPr>
          <w:rStyle w:val="FootnoteReference"/>
          <w:u w:val="none"/>
        </w:rPr>
        <w:footnoteReference w:customMarkFollows="1" w:id="1"/>
        <w:t>*</w:t>
      </w:r>
      <w:r>
        <w:rPr>
          <w:u w:val="none"/>
        </w:rPr>
        <w:t xml:space="preserve"> </w:t>
      </w:r>
      <w:r>
        <w:rPr>
          <w:rFonts w:hint="eastAsia"/>
          <w:u w:val="none"/>
        </w:rPr>
        <w:t>香港特别行政区的报告</w:t>
      </w:r>
    </w:p>
    <w:p w:rsidR="00000000" w:rsidRDefault="00000000">
      <w:pPr>
        <w:jc w:val="right"/>
      </w:pPr>
      <w:r>
        <w:rPr>
          <w:rFonts w:hint="eastAsia"/>
        </w:rPr>
        <w:t>［</w:t>
      </w:r>
      <w:r>
        <w:t>1999</w:t>
      </w:r>
      <w:r>
        <w:rPr>
          <w:rFonts w:hint="eastAsia"/>
        </w:rPr>
        <w:t>年</w:t>
      </w:r>
      <w:r>
        <w:t>6</w:t>
      </w:r>
      <w:r>
        <w:rPr>
          <w:rFonts w:hint="eastAsia"/>
        </w:rPr>
        <w:t>月</w:t>
      </w:r>
      <w:r>
        <w:t>4</w:t>
      </w:r>
      <w:r>
        <w:rPr>
          <w:rFonts w:hint="eastAsia"/>
        </w:rPr>
        <w:t>日］</w:t>
      </w:r>
    </w:p>
    <w:p w:rsidR="00000000" w:rsidRDefault="00000000"/>
    <w:p w:rsidR="00000000" w:rsidRDefault="00000000">
      <w:pPr>
        <w:pStyle w:val="ac"/>
        <w:spacing w:before="320" w:line="288"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000000">
      <w:pPr>
        <w:pStyle w:val="ac"/>
        <w:tabs>
          <w:tab w:val="clear" w:pos="7201"/>
          <w:tab w:val="clear" w:pos="8618"/>
          <w:tab w:val="left" w:pos="7144"/>
          <w:tab w:val="left" w:pos="8080"/>
          <w:tab w:val="left" w:pos="8562"/>
        </w:tabs>
        <w:spacing w:after="240" w:line="240"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p>
    <w:p w:rsidR="00000000" w:rsidRDefault="00000000">
      <w:pPr>
        <w:pStyle w:val="a7"/>
        <w:ind w:left="510" w:right="2515" w:hanging="510"/>
      </w:pPr>
      <w:r>
        <w:rPr>
          <w:rFonts w:hint="eastAsia"/>
        </w:rPr>
        <w:t>前</w:t>
      </w:r>
      <w:r>
        <w:t xml:space="preserve">  </w:t>
      </w:r>
      <w:r>
        <w:rPr>
          <w:rFonts w:hint="eastAsia"/>
        </w:rPr>
        <w:t>言</w:t>
      </w:r>
    </w:p>
    <w:p w:rsidR="00000000" w:rsidRDefault="00000000">
      <w:pPr>
        <w:pStyle w:val="a7"/>
        <w:ind w:left="510" w:right="2515" w:hanging="510"/>
      </w:pPr>
      <w:r>
        <w:rPr>
          <w:rFonts w:hint="eastAsia"/>
        </w:rPr>
        <w:t>第一条</w:t>
      </w:r>
      <w:r>
        <w:tab/>
      </w:r>
      <w:r>
        <w:tab/>
      </w:r>
      <w:r>
        <w:rPr>
          <w:rFonts w:hint="eastAsia"/>
        </w:rPr>
        <w:t>民主发展进程</w:t>
      </w:r>
      <w:r>
        <w:tab/>
      </w:r>
      <w:r>
        <w:tab/>
      </w:r>
      <w:r>
        <w:tab/>
        <w:t>1</w:t>
      </w:r>
    </w:p>
    <w:p w:rsidR="00000000" w:rsidRDefault="00000000">
      <w:pPr>
        <w:pStyle w:val="a7"/>
        <w:ind w:left="1531" w:right="2515" w:hanging="1531"/>
      </w:pPr>
      <w:r>
        <w:rPr>
          <w:rFonts w:hint="eastAsia"/>
        </w:rPr>
        <w:t>第二条</w:t>
      </w:r>
      <w:r>
        <w:tab/>
      </w:r>
      <w:r>
        <w:tab/>
      </w:r>
      <w:r>
        <w:rPr>
          <w:rFonts w:hint="eastAsia"/>
        </w:rPr>
        <w:t>缔约国须采取种种步骤逐渐使公约所承认的权利得到充分实现</w:t>
      </w:r>
      <w:r>
        <w:tab/>
      </w:r>
      <w:r>
        <w:tab/>
        <w:t>2</w:t>
      </w:r>
      <w:r>
        <w:tab/>
        <w:t>-</w:t>
      </w:r>
      <w:r>
        <w:tab/>
        <w:t>34</w:t>
      </w:r>
    </w:p>
    <w:p w:rsidR="00000000" w:rsidRDefault="00000000">
      <w:pPr>
        <w:pStyle w:val="a7"/>
        <w:ind w:left="1531" w:right="2515" w:hanging="1531"/>
      </w:pPr>
      <w:r>
        <w:rPr>
          <w:rFonts w:hint="eastAsia"/>
        </w:rPr>
        <w:t>第三条</w:t>
      </w:r>
      <w:r>
        <w:tab/>
      </w:r>
      <w:r>
        <w:tab/>
      </w:r>
      <w:r>
        <w:rPr>
          <w:rFonts w:hint="eastAsia"/>
        </w:rPr>
        <w:t>男女享有平等权利</w:t>
      </w:r>
      <w:r>
        <w:tab/>
      </w:r>
      <w:r>
        <w:tab/>
        <w:t>35</w:t>
      </w:r>
      <w:r>
        <w:tab/>
        <w:t>-</w:t>
      </w:r>
      <w:r>
        <w:tab/>
        <w:t>38</w:t>
      </w:r>
    </w:p>
    <w:p w:rsidR="00000000" w:rsidRDefault="00000000">
      <w:pPr>
        <w:pStyle w:val="a7"/>
        <w:ind w:left="1531" w:right="2515" w:hanging="1531"/>
      </w:pPr>
      <w:r>
        <w:rPr>
          <w:rFonts w:hint="eastAsia"/>
        </w:rPr>
        <w:t>第四条</w:t>
      </w:r>
      <w:r>
        <w:tab/>
      </w:r>
      <w:r>
        <w:tab/>
      </w:r>
      <w:r>
        <w:rPr>
          <w:rFonts w:hint="eastAsia"/>
        </w:rPr>
        <w:t>可对本公约所载权利施加的限制</w:t>
      </w:r>
      <w:r>
        <w:tab/>
      </w:r>
      <w:r>
        <w:tab/>
      </w:r>
      <w:r>
        <w:tab/>
        <w:t>39</w:t>
      </w:r>
    </w:p>
    <w:p w:rsidR="00000000" w:rsidRDefault="00000000">
      <w:pPr>
        <w:pStyle w:val="a7"/>
        <w:ind w:left="1531" w:right="2515" w:hanging="1531"/>
      </w:pPr>
      <w:r>
        <w:rPr>
          <w:rFonts w:hint="eastAsia"/>
        </w:rPr>
        <w:t>第五条</w:t>
      </w:r>
      <w:r>
        <w:tab/>
      </w:r>
      <w:r>
        <w:tab/>
      </w:r>
      <w:r>
        <w:rPr>
          <w:rFonts w:hint="eastAsia"/>
        </w:rPr>
        <w:t>禁止破坏公约确认的任何权利和自由</w:t>
      </w:r>
      <w:r>
        <w:tab/>
      </w:r>
      <w:r>
        <w:tab/>
      </w:r>
      <w:r>
        <w:tab/>
        <w:t>40</w:t>
      </w:r>
    </w:p>
    <w:p w:rsidR="00000000" w:rsidRDefault="00000000">
      <w:pPr>
        <w:pStyle w:val="a7"/>
        <w:ind w:left="1531" w:right="2515" w:hanging="1531"/>
      </w:pPr>
      <w:r>
        <w:rPr>
          <w:rFonts w:hint="eastAsia"/>
        </w:rPr>
        <w:t>第六条</w:t>
      </w:r>
      <w:r>
        <w:tab/>
      </w:r>
      <w:r>
        <w:tab/>
      </w:r>
      <w:r>
        <w:rPr>
          <w:rFonts w:hint="eastAsia"/>
        </w:rPr>
        <w:t>选择职业和劳工权利</w:t>
      </w:r>
      <w:r>
        <w:tab/>
      </w:r>
      <w:r>
        <w:tab/>
        <w:t>41</w:t>
      </w:r>
      <w:r>
        <w:tab/>
        <w:t>-</w:t>
      </w:r>
      <w:r>
        <w:tab/>
        <w:t>77</w:t>
      </w:r>
    </w:p>
    <w:p w:rsidR="00000000" w:rsidRDefault="00000000">
      <w:pPr>
        <w:pStyle w:val="a7"/>
        <w:ind w:left="1531" w:right="2515" w:hanging="1531"/>
      </w:pPr>
      <w:r>
        <w:rPr>
          <w:rFonts w:hint="eastAsia"/>
        </w:rPr>
        <w:t>第七条</w:t>
      </w:r>
      <w:r>
        <w:tab/>
      </w:r>
      <w:r>
        <w:tab/>
      </w:r>
      <w:r>
        <w:rPr>
          <w:rFonts w:hint="eastAsia"/>
        </w:rPr>
        <w:t>享受公平与良好工作条件的权利</w:t>
      </w:r>
      <w:r>
        <w:tab/>
      </w:r>
      <w:r>
        <w:tab/>
        <w:t>78</w:t>
      </w:r>
      <w:r>
        <w:tab/>
        <w:t>-</w:t>
      </w:r>
      <w:r>
        <w:tab/>
        <w:t>117</w:t>
      </w:r>
    </w:p>
    <w:p w:rsidR="00000000" w:rsidRDefault="00000000">
      <w:pPr>
        <w:pStyle w:val="a7"/>
        <w:ind w:left="1531" w:right="2515" w:hanging="1531"/>
      </w:pPr>
      <w:r>
        <w:rPr>
          <w:rFonts w:hint="eastAsia"/>
        </w:rPr>
        <w:t>第八条</w:t>
      </w:r>
      <w:r>
        <w:tab/>
      </w:r>
      <w:r>
        <w:tab/>
      </w:r>
      <w:r>
        <w:rPr>
          <w:rFonts w:hint="eastAsia"/>
        </w:rPr>
        <w:t>成为职工会会员的权利</w:t>
      </w:r>
      <w:r>
        <w:tab/>
      </w:r>
      <w:r>
        <w:tab/>
        <w:t>118</w:t>
      </w:r>
      <w:r>
        <w:tab/>
        <w:t>-</w:t>
      </w:r>
      <w:r>
        <w:tab/>
        <w:t>132</w:t>
      </w:r>
    </w:p>
    <w:p w:rsidR="00000000" w:rsidRDefault="00000000">
      <w:pPr>
        <w:pStyle w:val="a7"/>
        <w:ind w:left="1531" w:right="2515" w:hanging="1531"/>
      </w:pPr>
      <w:r>
        <w:rPr>
          <w:rFonts w:hint="eastAsia"/>
        </w:rPr>
        <w:t>第九条</w:t>
      </w:r>
      <w:r>
        <w:tab/>
      </w:r>
      <w:r>
        <w:tab/>
      </w:r>
      <w:r>
        <w:rPr>
          <w:rFonts w:hint="eastAsia"/>
        </w:rPr>
        <w:t>享有社会保障的权利</w:t>
      </w:r>
      <w:r>
        <w:tab/>
      </w:r>
      <w:r>
        <w:tab/>
        <w:t>133</w:t>
      </w:r>
      <w:r>
        <w:tab/>
        <w:t>-</w:t>
      </w:r>
      <w:r>
        <w:tab/>
        <w:t>196</w:t>
      </w:r>
    </w:p>
    <w:p w:rsidR="00000000" w:rsidRDefault="00000000">
      <w:pPr>
        <w:pStyle w:val="a7"/>
        <w:ind w:left="1531" w:right="2515" w:hanging="1531"/>
      </w:pPr>
      <w:r>
        <w:rPr>
          <w:rFonts w:hint="eastAsia"/>
        </w:rPr>
        <w:t>第十条</w:t>
      </w:r>
      <w:r>
        <w:tab/>
      </w:r>
      <w:r>
        <w:tab/>
      </w:r>
      <w:r>
        <w:rPr>
          <w:rFonts w:hint="eastAsia"/>
        </w:rPr>
        <w:t>对家庭的保障</w:t>
      </w:r>
      <w:r>
        <w:tab/>
      </w:r>
      <w:r>
        <w:tab/>
        <w:t>197</w:t>
      </w:r>
      <w:r>
        <w:tab/>
        <w:t>-</w:t>
      </w:r>
      <w:r>
        <w:tab/>
        <w:t>322</w:t>
      </w:r>
    </w:p>
    <w:p w:rsidR="00000000" w:rsidRDefault="00000000">
      <w:pPr>
        <w:pStyle w:val="a7"/>
        <w:ind w:left="1531" w:right="2515" w:hanging="1531"/>
      </w:pPr>
      <w:r>
        <w:rPr>
          <w:rFonts w:hint="eastAsia"/>
        </w:rPr>
        <w:t>第十一条</w:t>
      </w:r>
      <w:r>
        <w:tab/>
      </w:r>
      <w:r>
        <w:rPr>
          <w:rFonts w:hint="eastAsia"/>
        </w:rPr>
        <w:t>享受适当生活水平的权利</w:t>
      </w:r>
      <w:r>
        <w:tab/>
      </w:r>
      <w:r>
        <w:tab/>
        <w:t>323</w:t>
      </w:r>
      <w:r>
        <w:tab/>
        <w:t>-</w:t>
      </w:r>
      <w:r>
        <w:tab/>
        <w:t>411</w:t>
      </w:r>
    </w:p>
    <w:p w:rsidR="00000000" w:rsidRDefault="00000000">
      <w:pPr>
        <w:pStyle w:val="a7"/>
        <w:ind w:left="1531" w:right="2515" w:hanging="1531"/>
      </w:pPr>
      <w:r>
        <w:rPr>
          <w:rFonts w:hint="eastAsia"/>
        </w:rPr>
        <w:t>第十二条</w:t>
      </w:r>
      <w:r>
        <w:tab/>
      </w:r>
      <w:r>
        <w:rPr>
          <w:rFonts w:hint="eastAsia"/>
        </w:rPr>
        <w:t>享有健康的权利</w:t>
      </w:r>
      <w:r>
        <w:tab/>
      </w:r>
      <w:r>
        <w:tab/>
        <w:t>412</w:t>
      </w:r>
      <w:r>
        <w:tab/>
        <w:t>-</w:t>
      </w:r>
      <w:r>
        <w:tab/>
        <w:t>496</w:t>
      </w:r>
    </w:p>
    <w:p w:rsidR="00000000" w:rsidRDefault="00000000">
      <w:pPr>
        <w:pStyle w:val="a7"/>
        <w:ind w:left="1531" w:right="2515" w:hanging="1531"/>
      </w:pPr>
      <w:r>
        <w:rPr>
          <w:rFonts w:hint="eastAsia"/>
        </w:rPr>
        <w:t>第十三条</w:t>
      </w:r>
      <w:r>
        <w:tab/>
      </w:r>
      <w:r>
        <w:rPr>
          <w:rFonts w:hint="eastAsia"/>
        </w:rPr>
        <w:t>接受教育的权利</w:t>
      </w:r>
      <w:r>
        <w:tab/>
      </w:r>
      <w:r>
        <w:tab/>
        <w:t>498</w:t>
      </w:r>
      <w:r>
        <w:tab/>
        <w:t>-</w:t>
      </w:r>
      <w:r>
        <w:tab/>
        <w:t>579</w:t>
      </w:r>
    </w:p>
    <w:p w:rsidR="00000000" w:rsidRDefault="00000000">
      <w:pPr>
        <w:pStyle w:val="a7"/>
        <w:ind w:left="1531" w:right="2515" w:hanging="1531"/>
      </w:pPr>
      <w:r>
        <w:rPr>
          <w:rFonts w:hint="eastAsia"/>
        </w:rPr>
        <w:t>第十四条</w:t>
      </w:r>
      <w:r>
        <w:tab/>
      </w:r>
      <w:r>
        <w:rPr>
          <w:rFonts w:hint="eastAsia"/>
        </w:rPr>
        <w:t>免费及强迫小学教育</w:t>
      </w:r>
      <w:r>
        <w:tab/>
      </w:r>
      <w:r>
        <w:tab/>
      </w:r>
      <w:r>
        <w:tab/>
        <w:t>580</w:t>
      </w:r>
    </w:p>
    <w:p w:rsidR="00000000" w:rsidRDefault="00000000">
      <w:pPr>
        <w:pStyle w:val="a7"/>
        <w:ind w:left="1531" w:right="2515" w:hanging="1531"/>
      </w:pPr>
      <w:r>
        <w:rPr>
          <w:rFonts w:hint="eastAsia"/>
        </w:rPr>
        <w:t>第十五条</w:t>
      </w:r>
      <w:r>
        <w:tab/>
      </w:r>
      <w:r>
        <w:rPr>
          <w:rFonts w:hint="eastAsia"/>
        </w:rPr>
        <w:t>参与文化生活、享受科学进步及其应用之惠的权利</w:t>
      </w:r>
      <w:r>
        <w:tab/>
      </w:r>
      <w:r>
        <w:tab/>
        <w:t>581</w:t>
      </w:r>
      <w:r>
        <w:tab/>
        <w:t>-</w:t>
      </w:r>
      <w:r>
        <w:tab/>
        <w:t>619</w:t>
      </w:r>
    </w:p>
    <w:p w:rsidR="00000000" w:rsidRDefault="00000000">
      <w:pPr>
        <w:pStyle w:val="a7"/>
        <w:ind w:left="1531" w:right="2515" w:hanging="1531"/>
      </w:pPr>
      <w:r>
        <w:rPr>
          <w:rFonts w:hint="eastAsia"/>
        </w:rPr>
        <w:t>第十六条</w:t>
      </w:r>
      <w:r>
        <w:tab/>
      </w:r>
      <w:r>
        <w:rPr>
          <w:rFonts w:hint="eastAsia"/>
        </w:rPr>
        <w:t>递交报告的安排</w:t>
      </w:r>
      <w:r>
        <w:tab/>
      </w:r>
      <w:r>
        <w:tab/>
        <w:t>620</w:t>
      </w:r>
      <w:r>
        <w:tab/>
        <w:t>-</w:t>
      </w:r>
      <w:r>
        <w:tab/>
        <w:t>623</w:t>
      </w:r>
    </w:p>
    <w:p w:rsidR="00000000" w:rsidRDefault="00000000"/>
    <w:p w:rsidR="00000000" w:rsidRDefault="00000000">
      <w:pPr>
        <w:pStyle w:val="Heading2"/>
        <w:spacing w:line="312" w:lineRule="auto"/>
      </w:pPr>
      <w:r>
        <w:br w:type="page"/>
      </w:r>
      <w:r>
        <w:rPr>
          <w:rFonts w:hint="eastAsia"/>
        </w:rPr>
        <w:t>前</w:t>
      </w:r>
      <w:r>
        <w:t xml:space="preserve">  </w:t>
      </w:r>
      <w:r>
        <w:rPr>
          <w:rFonts w:hint="eastAsia"/>
        </w:rPr>
        <w:t>言</w:t>
      </w:r>
    </w:p>
    <w:p w:rsidR="00000000" w:rsidRDefault="00000000">
      <w:r>
        <w:tab/>
      </w:r>
      <w:r>
        <w:rPr>
          <w:rFonts w:hint="eastAsia"/>
        </w:rPr>
        <w:t>一九九七年七月一日，中华人民共和国政府恢复对香港行使主权，并成立了香港特别行政区</w:t>
      </w:r>
      <w:r>
        <w:t>(</w:t>
      </w:r>
      <w:r>
        <w:rPr>
          <w:rFonts w:hint="eastAsia"/>
        </w:rPr>
        <w:t>香港特区</w:t>
      </w:r>
      <w:r>
        <w:t>)</w:t>
      </w:r>
      <w:r>
        <w:rPr>
          <w:rFonts w:hint="eastAsia"/>
        </w:rPr>
        <w:t>。香港的宪制文件《中华人民共和国香港特别行政区基本法》</w:t>
      </w:r>
      <w:r>
        <w:t>(</w:t>
      </w:r>
      <w:r>
        <w:rPr>
          <w:rFonts w:hint="eastAsia"/>
        </w:rPr>
        <w:t>《基本法》</w:t>
      </w:r>
      <w:r>
        <w:t>)</w:t>
      </w:r>
      <w:r>
        <w:rPr>
          <w:rFonts w:hint="eastAsia"/>
        </w:rPr>
        <w:t>第十二条订明，“香港特别行政区是中华人民共和国的一个享有高度自治权的地方行政区域，直辖于中央人民政府”。在“一国两制”的原则下，社会主义制度和政策均不会在香港实行，而香港原有的资本主义制度和生活方式则将维持五十年不变。</w:t>
      </w:r>
    </w:p>
    <w:p w:rsidR="00000000" w:rsidRDefault="00000000">
      <w:r>
        <w:tab/>
      </w:r>
      <w:r>
        <w:rPr>
          <w:rFonts w:hint="eastAsia"/>
        </w:rPr>
        <w:t>根据《关于香港问题的中英联合声明》和《基本法》的规定，并考虑到中华人民共和国尚不是《经济、社会、文化权利国际公约》和《公民权利和政治权利国际公约》的缔约国，中国政府于一九九七年十二月四日，把有关香港特区参照该两条公约的有关规定向联合国提交报告的安排，通知联合国秘书长。</w:t>
      </w:r>
    </w:p>
    <w:p w:rsidR="00000000" w:rsidRDefault="00000000">
      <w:r>
        <w:tab/>
      </w:r>
      <w:r>
        <w:rPr>
          <w:rFonts w:hint="eastAsia"/>
        </w:rPr>
        <w:t>一九九八年年初，中国政府通知联合国，香港特区准备在一九九八年参照《经济、社会、文化权利国际公约》和《公民权利和政治权利国际公约》的有关规定提交其第一次报告。</w:t>
      </w:r>
    </w:p>
    <w:p w:rsidR="00000000" w:rsidRDefault="00000000">
      <w:r>
        <w:tab/>
      </w:r>
      <w:r>
        <w:rPr>
          <w:rFonts w:hint="eastAsia"/>
        </w:rPr>
        <w:t>这是香港特区参照《经济、社会、文化权利国际公约》第十六条就公约在香港的实施情况而提交的第一次报告；报告所涵盖的时间为一九九七年七月一日至一九九八年六月三十日。</w:t>
      </w:r>
    </w:p>
    <w:p w:rsidR="00000000" w:rsidRDefault="00000000">
      <w:r>
        <w:tab/>
      </w:r>
      <w:r>
        <w:rPr>
          <w:rFonts w:hint="eastAsia"/>
        </w:rPr>
        <w:t>本报告根据《缔约国编写报告第一部分的综合一般准则》</w:t>
      </w:r>
      <w:r>
        <w:t xml:space="preserve">( </w:t>
      </w:r>
      <w:r>
        <w:rPr>
          <w:rFonts w:hint="eastAsia"/>
        </w:rPr>
        <w:t>联合国文件</w:t>
      </w:r>
      <w:r>
        <w:t xml:space="preserve">HRI/ 1991/1 ) </w:t>
      </w:r>
      <w:r>
        <w:rPr>
          <w:rFonts w:hint="eastAsia"/>
        </w:rPr>
        <w:t>和《关于缔约国提交的初次报告的形式和内容的一般准则》</w:t>
      </w:r>
      <w:r>
        <w:t xml:space="preserve">( </w:t>
      </w:r>
      <w:r>
        <w:rPr>
          <w:rFonts w:hint="eastAsia"/>
        </w:rPr>
        <w:t>联合国文件</w:t>
      </w:r>
      <w:r>
        <w:t xml:space="preserve">CCPR/C/5/Rev.2 ) </w:t>
      </w:r>
      <w:r>
        <w:rPr>
          <w:rFonts w:hint="eastAsia"/>
        </w:rPr>
        <w:t>编订。</w:t>
      </w:r>
    </w:p>
    <w:p w:rsidR="00000000" w:rsidRDefault="00000000">
      <w:pPr>
        <w:pStyle w:val="Heading2"/>
        <w:spacing w:line="336" w:lineRule="auto"/>
        <w:rPr>
          <w:u w:val="single"/>
        </w:rPr>
      </w:pPr>
      <w:r>
        <w:br w:type="page"/>
      </w:r>
      <w:r>
        <w:rPr>
          <w:rFonts w:hint="eastAsia"/>
          <w:u w:val="single"/>
        </w:rPr>
        <w:t>第一条</w:t>
      </w:r>
      <w:r>
        <w:rPr>
          <w:u w:val="single"/>
        </w:rPr>
        <w:t xml:space="preserve">.  </w:t>
      </w:r>
      <w:r>
        <w:rPr>
          <w:rFonts w:hint="eastAsia"/>
          <w:u w:val="single"/>
        </w:rPr>
        <w:t>民主发展进程</w:t>
      </w:r>
    </w:p>
    <w:p w:rsidR="00000000" w:rsidRDefault="00000000">
      <w:pPr>
        <w:spacing w:line="312" w:lineRule="auto"/>
      </w:pPr>
      <w:r>
        <w:tab/>
        <w:t xml:space="preserve">1.  </w:t>
      </w:r>
      <w:r>
        <w:rPr>
          <w:rFonts w:hint="eastAsia"/>
        </w:rPr>
        <w:t>该事项在香港特别行政区就实施《公民权利和政治权利国际公约》提交的报告</w:t>
      </w:r>
      <w:r>
        <w:t>(</w:t>
      </w:r>
      <w:r>
        <w:rPr>
          <w:rFonts w:hint="eastAsia"/>
        </w:rPr>
        <w:t>《公民和政治权利公约报告一》</w:t>
      </w:r>
      <w:r>
        <w:t>)</w:t>
      </w:r>
      <w:r>
        <w:rPr>
          <w:rFonts w:hint="eastAsia"/>
        </w:rPr>
        <w:t>第</w:t>
      </w:r>
      <w:r>
        <w:t>1</w:t>
      </w:r>
      <w:r>
        <w:rPr>
          <w:rFonts w:hint="eastAsia"/>
        </w:rPr>
        <w:t>至</w:t>
      </w:r>
      <w:r>
        <w:t>5</w:t>
      </w:r>
      <w:r>
        <w:rPr>
          <w:rFonts w:hint="eastAsia"/>
        </w:rPr>
        <w:t>段论述。</w:t>
      </w:r>
    </w:p>
    <w:p w:rsidR="00000000" w:rsidRDefault="00000000">
      <w:pPr>
        <w:pStyle w:val="Heading3"/>
        <w:spacing w:before="320" w:line="312" w:lineRule="auto"/>
      </w:pPr>
      <w:r>
        <w:rPr>
          <w:rFonts w:hint="eastAsia"/>
        </w:rPr>
        <w:t>第二条</w:t>
      </w:r>
      <w:r>
        <w:t xml:space="preserve">.  </w:t>
      </w:r>
      <w:r>
        <w:rPr>
          <w:rFonts w:hint="eastAsia"/>
        </w:rPr>
        <w:t>缔约国须采取种种步骤逐渐使公约所承认的</w:t>
      </w:r>
      <w:r>
        <w:br/>
      </w:r>
      <w:r>
        <w:rPr>
          <w:rFonts w:hint="eastAsia"/>
        </w:rPr>
        <w:t>权利得到充分实现</w:t>
      </w:r>
    </w:p>
    <w:p w:rsidR="00000000" w:rsidRDefault="00000000">
      <w:pPr>
        <w:pStyle w:val="Heading4"/>
        <w:spacing w:line="312" w:lineRule="auto"/>
      </w:pPr>
      <w:r>
        <w:rPr>
          <w:rFonts w:hint="eastAsia"/>
          <w:u w:val="none"/>
        </w:rPr>
        <w:t>《</w:t>
      </w:r>
      <w:r>
        <w:rPr>
          <w:rFonts w:hint="eastAsia"/>
        </w:rPr>
        <w:t>基本法》和《香港人权法案条例》内有关人权的条文</w:t>
      </w:r>
    </w:p>
    <w:p w:rsidR="00000000" w:rsidRDefault="00000000">
      <w:pPr>
        <w:spacing w:line="312" w:lineRule="auto"/>
      </w:pPr>
      <w:r>
        <w:tab/>
        <w:t xml:space="preserve">2.  </w:t>
      </w:r>
      <w:r>
        <w:rPr>
          <w:rFonts w:hint="eastAsia"/>
        </w:rPr>
        <w:t>保障人权的法律架构，载于本报告第</w:t>
      </w:r>
      <w:r>
        <w:t>1</w:t>
      </w:r>
      <w:r>
        <w:rPr>
          <w:rFonts w:hint="eastAsia"/>
        </w:rPr>
        <w:t>部分</w:t>
      </w:r>
      <w:r>
        <w:t>(</w:t>
      </w:r>
      <w:r>
        <w:rPr>
          <w:rFonts w:hint="eastAsia"/>
        </w:rPr>
        <w:t>第</w:t>
      </w:r>
      <w:r>
        <w:t>29</w:t>
      </w:r>
      <w:r>
        <w:rPr>
          <w:rFonts w:hint="eastAsia"/>
        </w:rPr>
        <w:t>至</w:t>
      </w:r>
      <w:r>
        <w:t>47</w:t>
      </w:r>
      <w:r>
        <w:rPr>
          <w:rFonts w:hint="eastAsia"/>
        </w:rPr>
        <w:t>段</w:t>
      </w:r>
      <w:r>
        <w:t>)</w:t>
      </w:r>
      <w:r>
        <w:rPr>
          <w:rFonts w:hint="eastAsia"/>
        </w:rPr>
        <w:t>。下文各段阐述回归所带来的人权发展，以及回归后人权发展的情况。</w:t>
      </w:r>
    </w:p>
    <w:p w:rsidR="00000000" w:rsidRDefault="00000000">
      <w:pPr>
        <w:pStyle w:val="Heading4"/>
        <w:spacing w:before="320" w:line="312" w:lineRule="auto"/>
        <w:ind w:left="518"/>
      </w:pPr>
      <w:r>
        <w:rPr>
          <w:rFonts w:hint="eastAsia"/>
        </w:rPr>
        <w:t>把公约所载的权利纳入本地法律内</w:t>
      </w:r>
    </w:p>
    <w:p w:rsidR="00000000" w:rsidRDefault="00000000">
      <w:pPr>
        <w:spacing w:line="312" w:lineRule="auto"/>
      </w:pPr>
      <w:r>
        <w:tab/>
        <w:t xml:space="preserve">3.  </w:t>
      </w:r>
      <w:r>
        <w:rPr>
          <w:rFonts w:hint="eastAsia"/>
        </w:rPr>
        <w:t>在上次报告</w:t>
      </w:r>
      <w:r>
        <w:rPr>
          <w:rStyle w:val="FootnoteReference"/>
        </w:rPr>
        <w:footnoteReference w:id="2"/>
      </w:r>
      <w:r>
        <w:t xml:space="preserve"> </w:t>
      </w:r>
      <w:r>
        <w:rPr>
          <w:rFonts w:hint="eastAsia"/>
        </w:rPr>
        <w:t>的审议结论第</w:t>
      </w:r>
      <w:r>
        <w:t>14(a)</w:t>
      </w:r>
      <w:r>
        <w:rPr>
          <w:rFonts w:hint="eastAsia"/>
        </w:rPr>
        <w:t>段，委员会关注到，本公约的条文仍没有纳入香港法律之内。政府的立场跟上次报告第</w:t>
      </w:r>
      <w:r>
        <w:t>2</w:t>
      </w:r>
      <w:r>
        <w:rPr>
          <w:rFonts w:hint="eastAsia"/>
        </w:rPr>
        <w:t>段所述的一样，即我们知道，本条第一款规定每个缔约国有义务“尽最大能力采取步骤，以便用一切适当方法，尤其包括用立法方法，逐渐达到本公约中所承认的权利的充分实现”。该款措辞说明可通过种种方法，循序渐进地达致目标。这些方法可包括立法或行政措施。事实上，香港仍是通过行政措施和立法措施，实现公约所载列的权利。这些措施载列于本报告的附件</w:t>
      </w:r>
      <w:r>
        <w:t>3</w:t>
      </w:r>
      <w:r>
        <w:rPr>
          <w:rFonts w:hint="eastAsia"/>
        </w:rPr>
        <w:t>。</w:t>
      </w:r>
    </w:p>
    <w:p w:rsidR="00000000" w:rsidRDefault="00000000">
      <w:pPr>
        <w:pStyle w:val="Heading4"/>
        <w:spacing w:before="320" w:line="312" w:lineRule="auto"/>
      </w:pPr>
      <w:r>
        <w:rPr>
          <w:rFonts w:hint="eastAsia"/>
        </w:rPr>
        <w:t>平等机会委员会</w:t>
      </w:r>
    </w:p>
    <w:p w:rsidR="00000000" w:rsidRDefault="00000000">
      <w:pPr>
        <w:spacing w:line="312" w:lineRule="auto"/>
      </w:pPr>
      <w:r>
        <w:tab/>
        <w:t xml:space="preserve">4.  </w:t>
      </w:r>
      <w:r>
        <w:rPr>
          <w:rFonts w:hint="eastAsia"/>
        </w:rPr>
        <w:t>一如上次报告第</w:t>
      </w:r>
      <w:r>
        <w:t>8</w:t>
      </w:r>
      <w:r>
        <w:rPr>
          <w:rFonts w:hint="eastAsia"/>
        </w:rPr>
        <w:t>段所述，平等机会委员会</w:t>
      </w:r>
      <w:r>
        <w:t>(</w:t>
      </w:r>
      <w:r>
        <w:rPr>
          <w:rFonts w:hint="eastAsia"/>
        </w:rPr>
        <w:t>平机会</w:t>
      </w:r>
      <w:r>
        <w:t>)</w:t>
      </w:r>
      <w:r>
        <w:rPr>
          <w:rFonts w:hint="eastAsia"/>
        </w:rPr>
        <w:t>是根据《性别歧视条例》</w:t>
      </w:r>
      <w:r>
        <w:t>(</w:t>
      </w:r>
      <w:r>
        <w:rPr>
          <w:rFonts w:hint="eastAsia"/>
        </w:rPr>
        <w:t>第</w:t>
      </w:r>
      <w:r>
        <w:t>480</w:t>
      </w:r>
      <w:r>
        <w:rPr>
          <w:rFonts w:hint="eastAsia"/>
        </w:rPr>
        <w:t>章：见下文第</w:t>
      </w:r>
      <w:r>
        <w:t>5</w:t>
      </w:r>
      <w:r>
        <w:rPr>
          <w:rFonts w:hint="eastAsia"/>
        </w:rPr>
        <w:t>段</w:t>
      </w:r>
      <w:r>
        <w:t>)</w:t>
      </w:r>
      <w:r>
        <w:rPr>
          <w:rFonts w:hint="eastAsia"/>
        </w:rPr>
        <w:t>而成立的，并于一九九六年九月二十日开始全面运作。平机会负责根据《性别歧视条例》、《残疾歧视条例》</w:t>
      </w:r>
      <w:r>
        <w:t>(</w:t>
      </w:r>
      <w:r>
        <w:rPr>
          <w:rFonts w:hint="eastAsia"/>
        </w:rPr>
        <w:t>第</w:t>
      </w:r>
      <w:r>
        <w:t>487</w:t>
      </w:r>
      <w:r>
        <w:rPr>
          <w:rFonts w:hint="eastAsia"/>
        </w:rPr>
        <w:t>章：见下文第</w:t>
      </w:r>
      <w:r>
        <w:t>8</w:t>
      </w:r>
      <w:r>
        <w:rPr>
          <w:rFonts w:hint="eastAsia"/>
        </w:rPr>
        <w:t>段</w:t>
      </w:r>
      <w:r>
        <w:t>)</w:t>
      </w:r>
      <w:r>
        <w:rPr>
          <w:rFonts w:hint="eastAsia"/>
        </w:rPr>
        <w:t>和《家庭地位歧视条例》第</w:t>
      </w:r>
      <w:r>
        <w:t>527</w:t>
      </w:r>
      <w:r>
        <w:rPr>
          <w:rFonts w:hint="eastAsia"/>
        </w:rPr>
        <w:t>章：见下文第</w:t>
      </w:r>
      <w:r>
        <w:t>12</w:t>
      </w:r>
      <w:r>
        <w:rPr>
          <w:rFonts w:hint="eastAsia"/>
        </w:rPr>
        <w:t>段</w:t>
      </w:r>
      <w:r>
        <w:t>)</w:t>
      </w:r>
      <w:r>
        <w:rPr>
          <w:rFonts w:hint="eastAsia"/>
        </w:rPr>
        <w:t>的规定，进行正式的调查、处理投诉、鼓励争议双方和解，以及向受屈人士提供援助。此外，平机会还从事各种研究计划和公众教育，以促进社会上人人享有平等机会。</w:t>
      </w:r>
    </w:p>
    <w:p w:rsidR="00000000" w:rsidRDefault="00000000">
      <w:pPr>
        <w:pStyle w:val="Heading4"/>
        <w:spacing w:before="320"/>
      </w:pPr>
      <w:r>
        <w:rPr>
          <w:rFonts w:hint="eastAsia"/>
          <w:u w:val="none"/>
        </w:rPr>
        <w:t>《</w:t>
      </w:r>
      <w:r>
        <w:rPr>
          <w:rFonts w:hint="eastAsia"/>
        </w:rPr>
        <w:t>性别歧视条例</w:t>
      </w:r>
      <w:r>
        <w:rPr>
          <w:rFonts w:hint="eastAsia"/>
          <w:u w:val="none"/>
        </w:rPr>
        <w:t>》</w:t>
      </w:r>
    </w:p>
    <w:p w:rsidR="00000000" w:rsidRDefault="00000000">
      <w:r>
        <w:tab/>
        <w:t xml:space="preserve">5.  </w:t>
      </w:r>
      <w:r>
        <w:rPr>
          <w:rFonts w:hint="eastAsia"/>
        </w:rPr>
        <w:t>一如上次报告第</w:t>
      </w:r>
      <w:r>
        <w:t>6</w:t>
      </w:r>
      <w:r>
        <w:rPr>
          <w:rFonts w:hint="eastAsia"/>
        </w:rPr>
        <w:t>至</w:t>
      </w:r>
      <w:r>
        <w:t>10</w:t>
      </w:r>
      <w:r>
        <w:rPr>
          <w:rFonts w:hint="eastAsia"/>
        </w:rPr>
        <w:t>段所述，《性别歧视条例》于一九九五年七月制定，一九九六年全面实施。该条例在指定活动范畴内把基于性别、婚姻状况或怀孕而作出的歧视行为定为违法。有关活动范畴包括：雇佣；教育；货品、设施或服务的提供；处所的处置或管理；咨询团体的投票资格及获选或委任进入该等团体的资格；会社活动；以及政府的活动。同时，该条例亦把性骚扰定为违法。如上文所述，平机会负责实施《性别歧视条例》。截至一九九八年六月三十日为止，平机会共接到</w:t>
      </w:r>
      <w:r>
        <w:t>355</w:t>
      </w:r>
      <w:r>
        <w:rPr>
          <w:rFonts w:hint="eastAsia"/>
        </w:rPr>
        <w:t>宗根据条例而提出的投诉。</w:t>
      </w:r>
    </w:p>
    <w:p w:rsidR="00000000" w:rsidRDefault="00000000">
      <w:r>
        <w:tab/>
        <w:t xml:space="preserve">6.  </w:t>
      </w:r>
      <w:r>
        <w:rPr>
          <w:rFonts w:hint="eastAsia"/>
        </w:rPr>
        <w:t>《性别歧视条例》的规定对政府具有约束力。在该条例生效后，政府曾覆检有关法例，以找出一些对不同性别有不同处理方法的法例条文，并按需要作出修订，消除当中的差异。有关修订的例子载于附件</w:t>
      </w:r>
      <w:r>
        <w:t>4</w:t>
      </w:r>
      <w:r>
        <w:rPr>
          <w:rFonts w:hint="eastAsia"/>
        </w:rPr>
        <w:t>。</w:t>
      </w:r>
    </w:p>
    <w:p w:rsidR="00000000" w:rsidRDefault="00000000">
      <w:r>
        <w:tab/>
        <w:t xml:space="preserve">7.  </w:t>
      </w:r>
      <w:r>
        <w:rPr>
          <w:rFonts w:hint="eastAsia"/>
        </w:rPr>
        <w:t>在上次报告审议结论第</w:t>
      </w:r>
      <w:r>
        <w:t>19</w:t>
      </w:r>
      <w:r>
        <w:rPr>
          <w:rFonts w:hint="eastAsia"/>
        </w:rPr>
        <w:t>段，委员会关注到在雇佣范畴上，《性别歧视条例》“没有就复职和可全数追讨补偿方面作出规定，以致能提供的补救措施相对不足；而《残疾歧视条例》则有包括这两方面的补救措施”。在第</w:t>
      </w:r>
      <w:r>
        <w:t>36</w:t>
      </w:r>
      <w:r>
        <w:rPr>
          <w:rFonts w:hint="eastAsia"/>
        </w:rPr>
        <w:t>段，委员会敦促政府“修订《性别歧视条例》，纳入复职条文，并废除现行有关追讨补偿上限的规定”。《</w:t>
      </w:r>
      <w:r>
        <w:t>1997</w:t>
      </w:r>
      <w:r>
        <w:rPr>
          <w:rFonts w:hint="eastAsia"/>
        </w:rPr>
        <w:t>年性别及残疾歧视</w:t>
      </w:r>
      <w:r>
        <w:t>(</w:t>
      </w:r>
      <w:r>
        <w:rPr>
          <w:rFonts w:hint="eastAsia"/>
        </w:rPr>
        <w:t>杂项规定</w:t>
      </w:r>
      <w:r>
        <w:t>)</w:t>
      </w:r>
      <w:r>
        <w:rPr>
          <w:rFonts w:hint="eastAsia"/>
        </w:rPr>
        <w:t>条例》于一九九七年六月制定后，政府已废除《性别歧视条例》第</w:t>
      </w:r>
      <w:r>
        <w:t>76(7)</w:t>
      </w:r>
      <w:r>
        <w:rPr>
          <w:rFonts w:hint="eastAsia"/>
        </w:rPr>
        <w:t>。这即是说，法例对补偿金上限的规定已予取消；而区域法院则获授权颁令申索人复职。</w:t>
      </w:r>
    </w:p>
    <w:p w:rsidR="00000000" w:rsidRDefault="00000000">
      <w:pPr>
        <w:pStyle w:val="Heading4"/>
        <w:spacing w:before="320"/>
        <w:rPr>
          <w:u w:val="none"/>
        </w:rPr>
      </w:pPr>
      <w:r>
        <w:rPr>
          <w:rFonts w:hint="eastAsia"/>
          <w:u w:val="none"/>
        </w:rPr>
        <w:t>《</w:t>
      </w:r>
      <w:r>
        <w:rPr>
          <w:rFonts w:hint="eastAsia"/>
        </w:rPr>
        <w:t>残疾歧视条例</w:t>
      </w:r>
      <w:r>
        <w:rPr>
          <w:rFonts w:hint="eastAsia"/>
          <w:u w:val="none"/>
        </w:rPr>
        <w:t>》</w:t>
      </w:r>
    </w:p>
    <w:p w:rsidR="00000000" w:rsidRDefault="00000000">
      <w:r>
        <w:tab/>
        <w:t xml:space="preserve">8.  </w:t>
      </w:r>
      <w:r>
        <w:rPr>
          <w:rFonts w:hint="eastAsia"/>
        </w:rPr>
        <w:t>一如上次报告第</w:t>
      </w:r>
      <w:r>
        <w:t>15</w:t>
      </w:r>
      <w:r>
        <w:rPr>
          <w:rFonts w:hint="eastAsia"/>
        </w:rPr>
        <w:t>至</w:t>
      </w:r>
      <w:r>
        <w:t>16</w:t>
      </w:r>
      <w:r>
        <w:rPr>
          <w:rFonts w:hint="eastAsia"/>
        </w:rPr>
        <w:t>段所述，《残疾歧视条例》于一九九五年八月制定，由一九九六年十二月起全面实施。该条例提供了法律保障，确保残疾人士享有平等机会，以便他们尽量融入社会。残疾人士和与他们有联系的人士，可借该条例争取平等机会，并对抗歧视、骚扰和中伤。该条例订明，如在下列各方面歧视或骚扰残疾人士和与他们有联系的人士，概属违法：</w:t>
      </w:r>
    </w:p>
    <w:p w:rsidR="00000000" w:rsidRDefault="00000000">
      <w:pPr>
        <w:ind w:left="1036"/>
      </w:pPr>
      <w:r>
        <w:rPr>
          <w:rFonts w:hint="eastAsia"/>
        </w:rPr>
        <w:t>雇佣；</w:t>
      </w:r>
    </w:p>
    <w:p w:rsidR="00000000" w:rsidRDefault="00000000">
      <w:pPr>
        <w:ind w:left="1036"/>
      </w:pPr>
      <w:r>
        <w:rPr>
          <w:rFonts w:hint="eastAsia"/>
        </w:rPr>
        <w:t>成为职工会、授予资格的团体、会社的成员，或成为合伙人；</w:t>
      </w:r>
    </w:p>
    <w:p w:rsidR="00000000" w:rsidRDefault="00000000">
      <w:pPr>
        <w:ind w:left="1036"/>
      </w:pPr>
      <w:r>
        <w:rPr>
          <w:rFonts w:hint="eastAsia"/>
        </w:rPr>
        <w:t>教育；</w:t>
      </w:r>
    </w:p>
    <w:p w:rsidR="00000000" w:rsidRDefault="00000000">
      <w:pPr>
        <w:ind w:left="1036"/>
      </w:pPr>
      <w:r>
        <w:rPr>
          <w:rFonts w:hint="eastAsia"/>
        </w:rPr>
        <w:t>进入处所；</w:t>
      </w:r>
    </w:p>
    <w:p w:rsidR="00000000" w:rsidRDefault="00000000">
      <w:pPr>
        <w:ind w:left="1036"/>
      </w:pPr>
      <w:r>
        <w:rPr>
          <w:rFonts w:hint="eastAsia"/>
        </w:rPr>
        <w:t>提供货品、服务和设施；</w:t>
      </w:r>
    </w:p>
    <w:p w:rsidR="00000000" w:rsidRDefault="00000000">
      <w:pPr>
        <w:ind w:left="1036"/>
      </w:pPr>
      <w:r>
        <w:rPr>
          <w:rFonts w:hint="eastAsia"/>
        </w:rPr>
        <w:t>住宿；</w:t>
      </w:r>
    </w:p>
    <w:p w:rsidR="00000000" w:rsidRDefault="00000000">
      <w:pPr>
        <w:ind w:left="1036"/>
      </w:pPr>
      <w:r>
        <w:rPr>
          <w:rFonts w:hint="eastAsia"/>
        </w:rPr>
        <w:t>体育活动；及</w:t>
      </w:r>
    </w:p>
    <w:p w:rsidR="00000000" w:rsidRDefault="00000000">
      <w:pPr>
        <w:ind w:left="1036"/>
      </w:pPr>
      <w:r>
        <w:rPr>
          <w:rFonts w:hint="eastAsia"/>
        </w:rPr>
        <w:t>行使政府的权力和执行其职能。</w:t>
      </w:r>
    </w:p>
    <w:p w:rsidR="00000000" w:rsidRDefault="00000000">
      <w:r>
        <w:tab/>
        <w:t xml:space="preserve">9.  </w:t>
      </w:r>
      <w:r>
        <w:rPr>
          <w:rFonts w:hint="eastAsia"/>
        </w:rPr>
        <w:t>该条例并规定，凡中伤残疾人士和与他们有联系的人士，即属违法。</w:t>
      </w:r>
    </w:p>
    <w:p w:rsidR="00000000" w:rsidRDefault="00000000">
      <w:r>
        <w:tab/>
        <w:t xml:space="preserve">10.  </w:t>
      </w:r>
      <w:r>
        <w:rPr>
          <w:rFonts w:hint="eastAsia"/>
        </w:rPr>
        <w:t>如上文第</w:t>
      </w:r>
      <w:r>
        <w:t>4</w:t>
      </w:r>
      <w:r>
        <w:rPr>
          <w:rFonts w:hint="eastAsia"/>
        </w:rPr>
        <w:t>段所述，平机会负责执行上述条例的规定，并积极从事公众教育和研究，以促进残疾人士享有平等机会。一九九六年十二月，平机会发出《雇佣实务守则》，就防止残疾人士在工作方面受到歧视、骚扰和受害的程序和制度，订立指引。在雇佣或其他方面受到上述对待的人士，可向平机会投诉。平机会于接到投诉后便会展开调查，并设法使发生纠纷的各方和解。如果无法调解纠纷，而受屈者又决定诉诸法院裁决，平机会会给予其他形式的协助，包括在法律程序中提供法律意见或法律援助。</w:t>
      </w:r>
    </w:p>
    <w:p w:rsidR="00000000" w:rsidRDefault="00000000">
      <w:r>
        <w:tab/>
        <w:t xml:space="preserve">11.  </w:t>
      </w:r>
      <w:r>
        <w:rPr>
          <w:rFonts w:hint="eastAsia"/>
        </w:rPr>
        <w:t>截至一九九八年六月三十日为止，平机会已接获</w:t>
      </w:r>
      <w:r>
        <w:t>374</w:t>
      </w:r>
      <w:r>
        <w:rPr>
          <w:rFonts w:hint="eastAsia"/>
        </w:rPr>
        <w:t>宗根据该条例而提出的投诉。</w:t>
      </w:r>
    </w:p>
    <w:p w:rsidR="00000000" w:rsidRDefault="00000000">
      <w:pPr>
        <w:pStyle w:val="Heading4"/>
        <w:spacing w:before="320"/>
        <w:rPr>
          <w:u w:val="none"/>
        </w:rPr>
      </w:pPr>
      <w:r>
        <w:rPr>
          <w:rFonts w:hint="eastAsia"/>
          <w:u w:val="none"/>
        </w:rPr>
        <w:t>《</w:t>
      </w:r>
      <w:r>
        <w:rPr>
          <w:rFonts w:hint="eastAsia"/>
        </w:rPr>
        <w:t>家庭地位歧视条例</w:t>
      </w:r>
      <w:r>
        <w:rPr>
          <w:rFonts w:hint="eastAsia"/>
          <w:u w:val="none"/>
        </w:rPr>
        <w:t>》</w:t>
      </w:r>
    </w:p>
    <w:p w:rsidR="00000000" w:rsidRDefault="00000000">
      <w:r>
        <w:tab/>
        <w:t xml:space="preserve">12.  </w:t>
      </w:r>
      <w:r>
        <w:rPr>
          <w:rFonts w:hint="eastAsia"/>
        </w:rPr>
        <w:t>《家庭地位歧视条例》于一九九七年六月制定，并于同年十一月正式实施。该条例规定，在某些与《性别歧视条例》所涵盖的范畴相同的事宜上</w:t>
      </w:r>
      <w:r>
        <w:t>(</w:t>
      </w:r>
      <w:r>
        <w:rPr>
          <w:rFonts w:hint="eastAsia"/>
        </w:rPr>
        <w:t>如雇佣、服务的提供等</w:t>
      </w:r>
      <w:r>
        <w:t>)</w:t>
      </w:r>
      <w:r>
        <w:rPr>
          <w:rFonts w:hint="eastAsia"/>
        </w:rPr>
        <w:t>，凡歧视负有照顾直系家庭成员的责任的人士，均属违法。如上文第</w:t>
      </w:r>
      <w:r>
        <w:t>4</w:t>
      </w:r>
      <w:r>
        <w:rPr>
          <w:rFonts w:hint="eastAsia"/>
        </w:rPr>
        <w:t>段所述，平机会负责实施《家庭地位歧视条例》。截至一九九八年六月三十日为止，平机会已接获四宗根据该条例而提出的投诉。</w:t>
      </w:r>
    </w:p>
    <w:p w:rsidR="00000000" w:rsidRDefault="00000000">
      <w:pPr>
        <w:pStyle w:val="Heading4"/>
        <w:spacing w:before="320"/>
      </w:pPr>
      <w:r>
        <w:rPr>
          <w:rFonts w:hint="eastAsia"/>
        </w:rPr>
        <w:t>性倾向歧视和种族歧视</w:t>
      </w:r>
    </w:p>
    <w:p w:rsidR="00000000" w:rsidRDefault="00000000">
      <w:r>
        <w:tab/>
        <w:t xml:space="preserve">13.  </w:t>
      </w:r>
      <w:r>
        <w:rPr>
          <w:rFonts w:hint="eastAsia"/>
        </w:rPr>
        <w:t>一九九六年六月至一九九七年六月期间，我们曾分别就性倾向歧视和种族歧视的问题进行研究和咨询，以确定香港是否存在该两种形式的歧视，以及在确定其存在时，一并研究其性质和广泛程度。据研究和咨询结果显示，超过</w:t>
      </w:r>
      <w:r>
        <w:t>80%</w:t>
      </w:r>
      <w:r>
        <w:rPr>
          <w:rFonts w:hint="eastAsia"/>
        </w:rPr>
        <w:t>受访者反对立法禁止这两种歧视，但却一致支持采用教育的方式去处理歧视问题。</w:t>
      </w:r>
    </w:p>
    <w:p w:rsidR="00000000" w:rsidRDefault="00000000">
      <w:r>
        <w:tab/>
        <w:t xml:space="preserve">14.  </w:t>
      </w:r>
      <w:r>
        <w:rPr>
          <w:rFonts w:hint="eastAsia"/>
        </w:rPr>
        <w:t>为此，我们于一九九七至九九两个年度期间动用约</w:t>
      </w:r>
      <w:r>
        <w:t>700</w:t>
      </w:r>
      <w:r>
        <w:rPr>
          <w:rFonts w:hint="eastAsia"/>
        </w:rPr>
        <w:t>万元，以开展各项推广平等机会的措施，特别是在性倾向及种族两个范畴。有关措施包括举办大型宣传活动和社区参与计划，以及分别为雇主和雇员编制实务守则等</w:t>
      </w:r>
      <w:r>
        <w:rPr>
          <w:rStyle w:val="FootnoteReference"/>
        </w:rPr>
        <w:footnoteReference w:id="3"/>
      </w:r>
      <w:r>
        <w:t xml:space="preserve"> </w:t>
      </w:r>
      <w:r>
        <w:rPr>
          <w:rFonts w:hint="eastAsia"/>
        </w:rPr>
        <w:t>至于有关工作权利方面的歧视问题，则会在下文第六条项下第</w:t>
      </w:r>
      <w:r>
        <w:t>68</w:t>
      </w:r>
      <w:r>
        <w:rPr>
          <w:rFonts w:hint="eastAsia"/>
        </w:rPr>
        <w:t>至</w:t>
      </w:r>
      <w:r>
        <w:t>77</w:t>
      </w:r>
      <w:r>
        <w:rPr>
          <w:rFonts w:hint="eastAsia"/>
        </w:rPr>
        <w:t>段讨论。</w:t>
      </w:r>
    </w:p>
    <w:p w:rsidR="00000000" w:rsidRDefault="00000000">
      <w:r>
        <w:tab/>
        <w:t xml:space="preserve">15.  </w:t>
      </w:r>
      <w:r>
        <w:rPr>
          <w:rFonts w:hint="eastAsia"/>
        </w:rPr>
        <w:t>在上次报告的审议结论第</w:t>
      </w:r>
      <w:r>
        <w:t>16</w:t>
      </w:r>
      <w:r>
        <w:rPr>
          <w:rFonts w:hint="eastAsia"/>
        </w:rPr>
        <w:t>段中，委员会对“港府主要是根据民意调查结果</w:t>
      </w:r>
      <w:r>
        <w:t>(</w:t>
      </w:r>
      <w:r>
        <w:rPr>
          <w:rFonts w:hint="eastAsia"/>
        </w:rPr>
        <w:t>即多数人士的意见</w:t>
      </w:r>
      <w:r>
        <w:t>)</w:t>
      </w:r>
      <w:r>
        <w:rPr>
          <w:rFonts w:hint="eastAsia"/>
        </w:rPr>
        <w:t>，按循序渐进方式进行立法去保障易受歧视的少数人士表示遗憾”。本地论者也对此表示关注，认为上述处理方式忽略了保障少数人免受大多数人歧视的需要。事实上，论者认为我们所进行的咨询工作，弊端在于只迎合“多数人士”的意见。此外，论者又表示，如不立法禁止性倾向和种族歧视，我们便没有履行《公民权利和政治权利国际公约》第二十六条和《消除一切形式种族歧视国际公约》第</w:t>
      </w:r>
      <w:r>
        <w:t>2</w:t>
      </w:r>
      <w:r>
        <w:rPr>
          <w:rFonts w:hint="eastAsia"/>
        </w:rPr>
        <w:t>和第</w:t>
      </w:r>
      <w:r>
        <w:t>5</w:t>
      </w:r>
      <w:r>
        <w:rPr>
          <w:rFonts w:hint="eastAsia"/>
        </w:rPr>
        <w:t>条所订明的义务。</w:t>
      </w:r>
    </w:p>
    <w:p w:rsidR="00000000" w:rsidRDefault="00000000">
      <w:r>
        <w:tab/>
        <w:t xml:space="preserve">16.  </w:t>
      </w:r>
      <w:r>
        <w:rPr>
          <w:rFonts w:hint="eastAsia"/>
        </w:rPr>
        <w:t>如《公民和政治权利报告一》中第</w:t>
      </w:r>
      <w:r>
        <w:t>501</w:t>
      </w:r>
      <w:r>
        <w:rPr>
          <w:rFonts w:hint="eastAsia"/>
        </w:rPr>
        <w:t>至</w:t>
      </w:r>
      <w:r>
        <w:t xml:space="preserve">505 </w:t>
      </w:r>
      <w:r>
        <w:rPr>
          <w:rFonts w:hint="eastAsia"/>
        </w:rPr>
        <w:t>段针对《公约》第二十六条所述，我们同意政府应保障少数人士免受歧视。这是《人权法案》的基本原则。《人权法案》对政府、所有公共主管当局及其代理人均具约束力。政府有时确实须走在群众之前，引领他们达成共识；不过，我们认为政府也必须细察舆论的情绪。对于某时某地应采取甚么做法才最为适当的问题，政府必须在互有冲突的各方压力中，力求取得平衡，作出适当的决定。凡会对社会造成广泛影响的法例，必须得到市民大众的支持，否则便不能奏效。反歧视法例密切影响到一般市民的日常生活，所以尤须取得公众的支持。</w:t>
      </w:r>
    </w:p>
    <w:p w:rsidR="00000000" w:rsidRDefault="00000000">
      <w:r>
        <w:tab/>
        <w:t xml:space="preserve">17.  </w:t>
      </w:r>
      <w:r>
        <w:rPr>
          <w:rFonts w:hint="eastAsia"/>
        </w:rPr>
        <w:t>有关种族和性倾向歧视的民意咨询结果显示，至少在现阶段来说，政府在就这些范畴立法方面，仍未能取得足够的公众支持。不过，我们会抱开放的态度，密切留意情况的发展。在情况未有任何重大转变之前，我们会继续致力唤起市民关注这些问题。</w:t>
      </w:r>
    </w:p>
    <w:p w:rsidR="00000000" w:rsidRDefault="00000000">
      <w:pPr>
        <w:pStyle w:val="Heading4"/>
        <w:spacing w:before="320"/>
      </w:pPr>
      <w:r>
        <w:rPr>
          <w:rFonts w:hint="eastAsia"/>
        </w:rPr>
        <w:t>保护残疾人士</w:t>
      </w:r>
    </w:p>
    <w:p w:rsidR="00000000" w:rsidRDefault="00000000">
      <w:pPr>
        <w:pStyle w:val="Heading4"/>
        <w:ind w:left="518"/>
      </w:pPr>
      <w:r>
        <w:rPr>
          <w:rFonts w:hint="eastAsia"/>
          <w:u w:val="none"/>
        </w:rPr>
        <w:t>《</w:t>
      </w:r>
      <w:r>
        <w:rPr>
          <w:rFonts w:hint="eastAsia"/>
        </w:rPr>
        <w:t>残疾歧视条例</w:t>
      </w:r>
      <w:r>
        <w:rPr>
          <w:rFonts w:hint="eastAsia"/>
          <w:u w:val="none"/>
        </w:rPr>
        <w:t>》</w:t>
      </w:r>
    </w:p>
    <w:p w:rsidR="00000000" w:rsidRDefault="00000000">
      <w:r>
        <w:tab/>
        <w:t xml:space="preserve">18.  </w:t>
      </w:r>
      <w:r>
        <w:rPr>
          <w:rFonts w:hint="eastAsia"/>
        </w:rPr>
        <w:t>保障残疾人士权利的法律架构，已于上文第</w:t>
      </w:r>
      <w:r>
        <w:t>8</w:t>
      </w:r>
      <w:r>
        <w:rPr>
          <w:rFonts w:hint="eastAsia"/>
        </w:rPr>
        <w:t>段论述。</w:t>
      </w:r>
    </w:p>
    <w:p w:rsidR="00000000" w:rsidRDefault="00000000">
      <w:pPr>
        <w:pStyle w:val="Heading4"/>
        <w:spacing w:before="320"/>
        <w:ind w:left="518"/>
      </w:pPr>
      <w:r>
        <w:rPr>
          <w:rFonts w:hint="eastAsia"/>
        </w:rPr>
        <w:t>教</w:t>
      </w:r>
      <w:r>
        <w:t xml:space="preserve">  </w:t>
      </w:r>
      <w:r>
        <w:rPr>
          <w:rFonts w:hint="eastAsia"/>
        </w:rPr>
        <w:t>育</w:t>
      </w:r>
    </w:p>
    <w:p w:rsidR="00000000" w:rsidRDefault="00000000">
      <w:r>
        <w:tab/>
        <w:t xml:space="preserve">19.  </w:t>
      </w:r>
      <w:r>
        <w:rPr>
          <w:rFonts w:hint="eastAsia"/>
        </w:rPr>
        <w:t>香港所有儿童均须接受九年免费强迫教育</w:t>
      </w:r>
      <w:r>
        <w:rPr>
          <w:rStyle w:val="FootnoteReference"/>
        </w:rPr>
        <w:footnoteReference w:id="4"/>
      </w:r>
      <w:r>
        <w:t xml:space="preserve"> </w:t>
      </w:r>
      <w:r>
        <w:rPr>
          <w:rFonts w:hint="eastAsia"/>
        </w:rPr>
        <w:t>而无残疾程度之分</w:t>
      </w:r>
      <w:r>
        <w:rPr>
          <w:rStyle w:val="FootnoteReference"/>
        </w:rPr>
        <w:footnoteReference w:id="5"/>
      </w:r>
      <w:r>
        <w:t xml:space="preserve"> </w:t>
      </w:r>
      <w:r>
        <w:rPr>
          <w:rFonts w:hint="eastAsia"/>
        </w:rPr>
        <w:t>。而且，当局鼓励残疾儿童尽可能在普通学校接受教育。教育署为协助残疾儿童融入普通学校，特别安排了辅导教学、巡回辅导服务，以及辅导服务等措施，为残疾儿童提供所需的支援。在一九九七至九八学年，有</w:t>
      </w:r>
      <w:r>
        <w:t>1,236</w:t>
      </w:r>
      <w:r>
        <w:rPr>
          <w:rFonts w:hint="eastAsia"/>
        </w:rPr>
        <w:t>名残疾儿童在普通学校就读。然而，有些儿童碍于残疾程度及</w:t>
      </w:r>
      <w:r>
        <w:t>/</w:t>
      </w:r>
      <w:r>
        <w:rPr>
          <w:rFonts w:hint="eastAsia"/>
        </w:rPr>
        <w:t>或性质，即使有特别的支援服务，也不能从主流教育中得益。全港有</w:t>
      </w:r>
      <w:r>
        <w:t>62</w:t>
      </w:r>
      <w:r>
        <w:rPr>
          <w:rFonts w:hint="eastAsia"/>
        </w:rPr>
        <w:t>所特殊学校，专为残疾儿童提供特殊教育服务。在一九九七至九八学年，共有</w:t>
      </w:r>
      <w:r>
        <w:t>7,518</w:t>
      </w:r>
      <w:r>
        <w:rPr>
          <w:rFonts w:hint="eastAsia"/>
        </w:rPr>
        <w:t>名残疾儿童在这些学校就读。</w:t>
      </w:r>
    </w:p>
    <w:p w:rsidR="00000000" w:rsidRDefault="00000000">
      <w:pPr>
        <w:pStyle w:val="Heading4"/>
        <w:spacing w:before="320"/>
        <w:ind w:left="518"/>
      </w:pPr>
      <w:r>
        <w:rPr>
          <w:rFonts w:hint="eastAsia"/>
        </w:rPr>
        <w:t>就</w:t>
      </w:r>
      <w:r>
        <w:t xml:space="preserve">  </w:t>
      </w:r>
      <w:r>
        <w:rPr>
          <w:rFonts w:hint="eastAsia"/>
        </w:rPr>
        <w:t>业</w:t>
      </w:r>
    </w:p>
    <w:p w:rsidR="00000000" w:rsidRDefault="00000000">
      <w:r>
        <w:tab/>
        <w:t xml:space="preserve">20.  </w:t>
      </w:r>
      <w:r>
        <w:rPr>
          <w:rFonts w:hint="eastAsia"/>
        </w:rPr>
        <w:t>残疾人士享有与其他社会人士一样的工作权利。有关雇用条件、雇员补偿、安全及健康，以及工资保障的法例</w:t>
      </w:r>
      <w:r>
        <w:t>(</w:t>
      </w:r>
      <w:r>
        <w:rPr>
          <w:rFonts w:hint="eastAsia"/>
        </w:rPr>
        <w:t>见下文第七条项下第</w:t>
      </w:r>
      <w:r>
        <w:t>82</w:t>
      </w:r>
      <w:r>
        <w:rPr>
          <w:rFonts w:hint="eastAsia"/>
        </w:rPr>
        <w:t>及</w:t>
      </w:r>
      <w:r>
        <w:t>83</w:t>
      </w:r>
      <w:r>
        <w:rPr>
          <w:rFonts w:hint="eastAsia"/>
        </w:rPr>
        <w:t>段</w:t>
      </w:r>
      <w:r>
        <w:t>)</w:t>
      </w:r>
      <w:r>
        <w:rPr>
          <w:rFonts w:hint="eastAsia"/>
        </w:rPr>
        <w:t>，适用于所有雇员，无分残健，也不论残疾程度。如上文第</w:t>
      </w:r>
      <w:r>
        <w:t>8</w:t>
      </w:r>
      <w:r>
        <w:rPr>
          <w:rFonts w:hint="eastAsia"/>
        </w:rPr>
        <w:t>段所述，《残疾歧视条例》规定，凡在雇佣方面基于某人本身或与该人有联系的人的残疾而歧视该人，即属违法。</w:t>
      </w:r>
    </w:p>
    <w:p w:rsidR="00000000" w:rsidRDefault="00000000">
      <w:r>
        <w:tab/>
        <w:t xml:space="preserve">21.  </w:t>
      </w:r>
      <w:r>
        <w:rPr>
          <w:rFonts w:hint="eastAsia"/>
        </w:rPr>
        <w:t>政府决心消除残疾歧视，致力确保残疾人士在求职时和在所工作的机构内享有平等机会。申请政府职位的残疾人士，只要符合基本入职条件，便会自动获选接受面试。假如他们适合担任该职位，会获得优先考虑聘用。此外，劳工处为在公开市场寻求就业的残疾人士提供免费就业辅导服务；庇护工场则为那些未能应付公开就业市场需要的人士，提供一个受保护和控制的工作环境。辅助就业服务提供了一个介乎两者之间的选择，让残疾人士可在管理人员的辅助和指导下，与健全人士一起在开放式的环境下工作。截至一九九八年六月三十日为止，全港有</w:t>
      </w:r>
      <w:r>
        <w:t>6,215</w:t>
      </w:r>
      <w:r>
        <w:rPr>
          <w:rFonts w:hint="eastAsia"/>
        </w:rPr>
        <w:t>个庇护工场名额和</w:t>
      </w:r>
      <w:r>
        <w:t>1,010</w:t>
      </w:r>
      <w:r>
        <w:rPr>
          <w:rFonts w:hint="eastAsia"/>
        </w:rPr>
        <w:t>个辅助就业名额。</w:t>
      </w:r>
    </w:p>
    <w:p w:rsidR="00000000" w:rsidRDefault="00000000">
      <w:pPr>
        <w:pStyle w:val="Heading4"/>
        <w:spacing w:before="320"/>
        <w:ind w:left="518"/>
      </w:pPr>
      <w:r>
        <w:rPr>
          <w:rFonts w:hint="eastAsia"/>
        </w:rPr>
        <w:t>进入处所</w:t>
      </w:r>
    </w:p>
    <w:p w:rsidR="00000000" w:rsidRDefault="00000000">
      <w:r>
        <w:tab/>
        <w:t xml:space="preserve">22.  </w:t>
      </w:r>
      <w:r>
        <w:rPr>
          <w:rFonts w:hint="eastAsia"/>
        </w:rPr>
        <w:t>一九九七年，政府在咨询过代表残疾人士的非政府机构后，制定了新的《设计手册：畅通无阻的通道</w:t>
      </w:r>
      <w:r>
        <w:t>1997</w:t>
      </w:r>
      <w:r>
        <w:rPr>
          <w:rFonts w:hint="eastAsia"/>
        </w:rPr>
        <w:t>》，以取代旧有的《一九八四年伤残人士通道设计手册》。经修订的设计手册载列多项强制性或建议的设计规定，以确保各楼宇设有适当的进出通道及设施，供残疾人士和其他社会人士使用。当局已把这些强制性规定纳入《建筑物条例》</w:t>
      </w:r>
      <w:r>
        <w:t>(</w:t>
      </w:r>
      <w:r>
        <w:rPr>
          <w:rFonts w:hint="eastAsia"/>
        </w:rPr>
        <w:t>第</w:t>
      </w:r>
      <w:r>
        <w:t>123</w:t>
      </w:r>
      <w:r>
        <w:rPr>
          <w:rFonts w:hint="eastAsia"/>
        </w:rPr>
        <w:t>章</w:t>
      </w:r>
      <w:r>
        <w:t>)</w:t>
      </w:r>
      <w:r>
        <w:rPr>
          <w:rFonts w:hint="eastAsia"/>
        </w:rPr>
        <w:t>下的规例</w:t>
      </w:r>
      <w:r>
        <w:rPr>
          <w:rStyle w:val="FootnoteReference"/>
        </w:rPr>
        <w:footnoteReference w:id="6"/>
      </w:r>
      <w:r>
        <w:t xml:space="preserve"> </w:t>
      </w:r>
      <w:r>
        <w:rPr>
          <w:rFonts w:hint="eastAsia"/>
        </w:rPr>
        <w:t>和消防处发出的实务守则内。建筑事务监督在审批新建私人楼宇的图则时，均是依循这些规定办理。至于现有建筑物的改建或加建工程，除非有关建筑物的业主能证明上述规定会对他们造成不合情理的困难，否则建筑事务监督在审批时，也是以这些规定作为根据。</w:t>
      </w:r>
    </w:p>
    <w:p w:rsidR="00000000" w:rsidRDefault="00000000">
      <w:r>
        <w:tab/>
        <w:t xml:space="preserve">23.  </w:t>
      </w:r>
      <w:r>
        <w:rPr>
          <w:rFonts w:hint="eastAsia"/>
        </w:rPr>
        <w:t>大部分政府建筑物均有为残疾人士提供通道设施，只有少数政府建筑物因场地及</w:t>
      </w:r>
      <w:r>
        <w:t>/</w:t>
      </w:r>
      <w:r>
        <w:rPr>
          <w:rFonts w:hint="eastAsia"/>
        </w:rPr>
        <w:t>或技术的限制而未能提供这些设施。</w:t>
      </w:r>
    </w:p>
    <w:p w:rsidR="00000000" w:rsidRDefault="00000000">
      <w:r>
        <w:tab/>
        <w:t xml:space="preserve">24.  </w:t>
      </w:r>
      <w:r>
        <w:rPr>
          <w:rFonts w:hint="eastAsia"/>
        </w:rPr>
        <w:t>康复咨询委员会属下的通道、康乐及交通小组委员会</w:t>
      </w:r>
      <w:r>
        <w:rPr>
          <w:rStyle w:val="FootnoteReference"/>
        </w:rPr>
        <w:footnoteReference w:id="7"/>
      </w:r>
      <w:r>
        <w:t xml:space="preserve"> </w:t>
      </w:r>
      <w:r>
        <w:rPr>
          <w:rFonts w:hint="eastAsia"/>
        </w:rPr>
        <w:t>是一个重要的咨询渠道，让残疾人士的代表可提出有关现有政府建筑物进行更改工程的建议，并编订这些工程的先后次序。小组委员会会逐年制订这些建议；如经研究证明建议是可行的，便会交由政府建筑署进行工程。一九八七年至一九九五年期间进行的改善工程，是根据一九八四年制订的设计手册的标准。至于那些在一九九八年九月后进行的改善工程，则是根据于一九九七年制定的新准则进行</w:t>
      </w:r>
      <w:r>
        <w:t>(</w:t>
      </w:r>
      <w:r>
        <w:rPr>
          <w:rFonts w:hint="eastAsia"/>
        </w:rPr>
        <w:t>见上文第</w:t>
      </w:r>
      <w:r>
        <w:t>22</w:t>
      </w:r>
      <w:r>
        <w:rPr>
          <w:rFonts w:hint="eastAsia"/>
        </w:rPr>
        <w:t>段</w:t>
      </w:r>
      <w:r>
        <w:t>)</w:t>
      </w:r>
      <w:r>
        <w:rPr>
          <w:rFonts w:hint="eastAsia"/>
        </w:rPr>
        <w:t>。政府租用私人楼宇的办公室时，会采取所需措施，以确保楼宇符合现行的准则。</w:t>
      </w:r>
    </w:p>
    <w:p w:rsidR="00000000" w:rsidRDefault="00000000">
      <w:pPr>
        <w:pStyle w:val="Heading4"/>
        <w:spacing w:before="320"/>
        <w:ind w:left="518"/>
      </w:pPr>
      <w:r>
        <w:rPr>
          <w:rFonts w:hint="eastAsia"/>
        </w:rPr>
        <w:t>其他措施</w:t>
      </w:r>
    </w:p>
    <w:p w:rsidR="00000000" w:rsidRDefault="00000000">
      <w:r>
        <w:tab/>
        <w:t xml:space="preserve">25.  </w:t>
      </w:r>
      <w:r>
        <w:rPr>
          <w:rFonts w:hint="eastAsia"/>
        </w:rPr>
        <w:t>其他确保残疾人士得以充分享有公约所载权利的措施，已于《公民和政治权利报告一》第</w:t>
      </w:r>
      <w:r>
        <w:t>487</w:t>
      </w:r>
      <w:r>
        <w:rPr>
          <w:rFonts w:hint="eastAsia"/>
        </w:rPr>
        <w:t>至</w:t>
      </w:r>
      <w:r>
        <w:t>495</w:t>
      </w:r>
      <w:r>
        <w:rPr>
          <w:rFonts w:hint="eastAsia"/>
        </w:rPr>
        <w:t>段针对公约第二十六条论述。这些措施所涉及的事项，包括接受教育以及使用交通工具、通讯和社会保障服务的机会。</w:t>
      </w:r>
    </w:p>
    <w:p w:rsidR="00000000" w:rsidRDefault="00000000">
      <w:pPr>
        <w:pStyle w:val="Heading4"/>
        <w:spacing w:before="320"/>
        <w:ind w:left="518"/>
      </w:pPr>
      <w:r>
        <w:rPr>
          <w:rFonts w:hint="eastAsia"/>
        </w:rPr>
        <w:t>法律代表及保护</w:t>
      </w:r>
    </w:p>
    <w:p w:rsidR="00000000" w:rsidRDefault="00000000">
      <w:r>
        <w:tab/>
        <w:t xml:space="preserve">26.  </w:t>
      </w:r>
      <w:r>
        <w:rPr>
          <w:rFonts w:hint="eastAsia"/>
        </w:rPr>
        <w:t>残疾人士享有与社会其他人一样的法律权利。《刑事罪行条例》</w:t>
      </w:r>
      <w:r>
        <w:t>(</w:t>
      </w:r>
      <w:r>
        <w:rPr>
          <w:rFonts w:hint="eastAsia"/>
        </w:rPr>
        <w:t>第</w:t>
      </w:r>
      <w:r>
        <w:t>200</w:t>
      </w:r>
      <w:r>
        <w:rPr>
          <w:rFonts w:hint="eastAsia"/>
        </w:rPr>
        <w:t>章</w:t>
      </w:r>
      <w:r>
        <w:t>)</w:t>
      </w:r>
      <w:r>
        <w:rPr>
          <w:rFonts w:hint="eastAsia"/>
        </w:rPr>
        <w:t>和《精神健康条例》</w:t>
      </w:r>
      <w:r>
        <w:t>(</w:t>
      </w:r>
      <w:r>
        <w:rPr>
          <w:rFonts w:hint="eastAsia"/>
        </w:rPr>
        <w:t>第</w:t>
      </w:r>
      <w:r>
        <w:t>136</w:t>
      </w:r>
      <w:r>
        <w:rPr>
          <w:rFonts w:hint="eastAsia"/>
        </w:rPr>
        <w:t>章</w:t>
      </w:r>
      <w:r>
        <w:t>)</w:t>
      </w:r>
      <w:r>
        <w:rPr>
          <w:rFonts w:hint="eastAsia"/>
        </w:rPr>
        <w:t>规定，精神上无行为能力的人和患有精神紊乱的人特别受到保护，以免他们受到性侵犯。《高等法院规则》订明，在民事诉讼中，他们可由法定代表律师或其他辩护监护人代表出庭。</w:t>
      </w:r>
    </w:p>
    <w:p w:rsidR="00000000" w:rsidRDefault="00000000">
      <w:r>
        <w:tab/>
        <w:t xml:space="preserve">27.  </w:t>
      </w:r>
      <w:r>
        <w:rPr>
          <w:rFonts w:hint="eastAsia"/>
        </w:rPr>
        <w:t>如上次报告第</w:t>
      </w:r>
      <w:r>
        <w:t>20</w:t>
      </w:r>
      <w:r>
        <w:rPr>
          <w:rFonts w:hint="eastAsia"/>
        </w:rPr>
        <w:t>段所述，一九九三年十月，司法机构的一个工作小组希望能够找出短期内即可实施以及切实可行的办法，减少弱智人士在刑事诉讼中作供时可能受到的创伤。工作小组提出的</w:t>
      </w:r>
      <w:r>
        <w:t>17</w:t>
      </w:r>
      <w:r>
        <w:rPr>
          <w:rFonts w:hint="eastAsia"/>
        </w:rPr>
        <w:t>项建议，已在上次报告中概述，并正全面实施，详情载于附件</w:t>
      </w:r>
      <w:r>
        <w:t>5</w:t>
      </w:r>
      <w:r>
        <w:rPr>
          <w:rFonts w:hint="eastAsia"/>
        </w:rPr>
        <w:t>。</w:t>
      </w:r>
    </w:p>
    <w:p w:rsidR="00000000" w:rsidRDefault="00000000">
      <w:pPr>
        <w:pStyle w:val="Heading4"/>
        <w:spacing w:before="320"/>
      </w:pPr>
      <w:r>
        <w:rPr>
          <w:rFonts w:hint="eastAsia"/>
        </w:rPr>
        <w:t>对精神病患者的歧视</w:t>
      </w:r>
    </w:p>
    <w:p w:rsidR="00000000" w:rsidRDefault="00000000">
      <w:r>
        <w:tab/>
        <w:t xml:space="preserve">28.  </w:t>
      </w:r>
      <w:r>
        <w:rPr>
          <w:rFonts w:hint="eastAsia"/>
        </w:rPr>
        <w:t>在上次报告的审议结论第</w:t>
      </w:r>
      <w:r>
        <w:t>30</w:t>
      </w:r>
      <w:r>
        <w:rPr>
          <w:rFonts w:hint="eastAsia"/>
        </w:rPr>
        <w:t>段，委员会关注到，“港府显然没有积极推动公众教育，以消除社会对弱智人士的歧视。”</w:t>
      </w:r>
    </w:p>
    <w:p w:rsidR="00000000" w:rsidRDefault="00000000">
      <w:r>
        <w:tab/>
        <w:t xml:space="preserve">29.  </w:t>
      </w:r>
      <w:r>
        <w:rPr>
          <w:rFonts w:hint="eastAsia"/>
        </w:rPr>
        <w:t>我们十分尊重委员会的意见，不过，我们不大明白委员会为何会有这种看法。政府和平机会均已采取积极措施去消除对精神病患者的歧视。自一九九三年以来，政府动用约</w:t>
      </w:r>
      <w:r>
        <w:t>4,000</w:t>
      </w:r>
      <w:r>
        <w:rPr>
          <w:rFonts w:hint="eastAsia"/>
        </w:rPr>
        <w:t>万港元去推行各项公众教育活动和宣传运动，以促进残疾人士融入社会，并鼓励社会人士接纳他们。超过三分之二的拨款是用于举办有助促进精神病康复者和弱智人士的就业机会，并鼓励社会人士接纳他们的活动上。</w:t>
      </w:r>
    </w:p>
    <w:p w:rsidR="00000000" w:rsidRDefault="00000000">
      <w:r>
        <w:tab/>
        <w:t xml:space="preserve">30.  </w:t>
      </w:r>
      <w:r>
        <w:rPr>
          <w:rFonts w:hint="eastAsia"/>
        </w:rPr>
        <w:t>当局每年所举办的公众教育活动包括：电视和电台宣传运动</w:t>
      </w:r>
      <w:r>
        <w:rPr>
          <w:rStyle w:val="FootnoteReference"/>
        </w:rPr>
        <w:footnoteReference w:id="8"/>
      </w:r>
      <w:r>
        <w:t xml:space="preserve"> (</w:t>
      </w:r>
      <w:r>
        <w:rPr>
          <w:rFonts w:hint="eastAsia"/>
        </w:rPr>
        <w:t>并印制海报配合宣传</w:t>
      </w:r>
      <w:r>
        <w:t>)</w:t>
      </w:r>
      <w:r>
        <w:rPr>
          <w:rFonts w:hint="eastAsia"/>
        </w:rPr>
        <w:t>、电视剧、电台访谈节目、研讨会和残疾人士雇主奖励计划等。每年十月，政府均会举办“精神健康月”，旨在加深市民对精神健康的认识，并协助精神病康复者融入社会。此外，每年十二月，政府均会赞助地区举办庆祝“残疾人士独立日”的活动。这些活动所宣传的主要信息为：精神病跟任何其他疾病一样，精神病患者需要时间去康复，而在康复期间，他们需要其他人的支持，特别是家人的支持。政府也拨款资助团体组织举办类似的宣传运动，以协助弱智人士、唐氏综合症病人和长期病患者融入社会，并提高他们的就业机会。</w:t>
      </w:r>
    </w:p>
    <w:p w:rsidR="00000000" w:rsidRDefault="00000000">
      <w:r>
        <w:tab/>
        <w:t xml:space="preserve">31.  </w:t>
      </w:r>
      <w:r>
        <w:rPr>
          <w:rFonts w:hint="eastAsia"/>
        </w:rPr>
        <w:t>我们察觉到部分社会人士对上述两类人士存有根深蒂固的偏见，而且，正如其他国家的政府处理这方面和其他形式的歧视的经验所得，这些偏见实在难以立即消除。公众教育所能做到的毕竟有限，所以很遗憾，我们有时在面对市民的反对下，也不得不采取果断行动。</w:t>
      </w:r>
      <w:r>
        <w:t xml:space="preserve"> </w:t>
      </w:r>
      <w:r>
        <w:rPr>
          <w:rFonts w:hint="eastAsia"/>
        </w:rPr>
        <w:t>只要目标正确，我们绝不退缩。</w:t>
      </w:r>
      <w:r>
        <w:t xml:space="preserve"> </w:t>
      </w:r>
      <w:r>
        <w:rPr>
          <w:rFonts w:hint="eastAsia"/>
        </w:rPr>
        <w:t>我们于一九九八至二○○○年这三年期间所举办的公众教育活动，旨在协助市民一改以往纯粹出于容忍和恩赐的态度，转而培养出一种自然平常的心态去接纳残疾人士，特别是精神病患者。</w:t>
      </w:r>
    </w:p>
    <w:p w:rsidR="00000000" w:rsidRDefault="00000000">
      <w:r>
        <w:tab/>
        <w:t xml:space="preserve">32.  </w:t>
      </w:r>
      <w:r>
        <w:rPr>
          <w:rFonts w:hint="eastAsia"/>
        </w:rPr>
        <w:t>接受精神病治疗的人士，特别是在精神病院接受这类治疗的病人所得到的法律保障，也大大获得改善。这些法律保障的详情，已在《公民和政治权利报告一》中针对公约第九条论述。</w:t>
      </w:r>
    </w:p>
    <w:p w:rsidR="00000000" w:rsidRDefault="00000000">
      <w:pPr>
        <w:pStyle w:val="Heading4"/>
        <w:spacing w:before="320"/>
      </w:pPr>
      <w:r>
        <w:rPr>
          <w:rFonts w:hint="eastAsia"/>
        </w:rPr>
        <w:t>人权委员会</w:t>
      </w:r>
    </w:p>
    <w:p w:rsidR="00000000" w:rsidRDefault="00000000">
      <w:r>
        <w:tab/>
        <w:t xml:space="preserve">33.  </w:t>
      </w:r>
      <w:r>
        <w:rPr>
          <w:rFonts w:hint="eastAsia"/>
        </w:rPr>
        <w:t>在上次报告的审议结论第</w:t>
      </w:r>
      <w:r>
        <w:t>14(c)</w:t>
      </w:r>
      <w:r>
        <w:rPr>
          <w:rFonts w:hint="eastAsia"/>
        </w:rPr>
        <w:t>段，委员会“重申对港府仍反对设立人权委员会一事深表关注”。政府在重新审慎考虑过这个问题后，最终认为上次报告所作的评估</w:t>
      </w:r>
      <w:r>
        <w:t>(</w:t>
      </w:r>
      <w:r>
        <w:rPr>
          <w:rFonts w:hint="eastAsia"/>
        </w:rPr>
        <w:t>在上次报告第</w:t>
      </w:r>
      <w:r>
        <w:t>22</w:t>
      </w:r>
      <w:r>
        <w:rPr>
          <w:rFonts w:hint="eastAsia"/>
        </w:rPr>
        <w:t>段已有解释</w:t>
      </w:r>
      <w:r>
        <w:t>)</w:t>
      </w:r>
      <w:r>
        <w:rPr>
          <w:rFonts w:hint="eastAsia"/>
        </w:rPr>
        <w:t>是正确的。香港的人权是建基于法治精神、独立的司法机关、一套在人权受侵犯时可由法院审理并作出补救的人权法案，以及一套确保市民能向法院提出诉讼的完善法律援助制度。由于本公约和《公民权利和政治权利国际公约》的地位已在《基本法》第三十九条内确立，上述保障人权的基础因而变得更为巩固。此外，申诉专员公署、平等机会委员会、个人资料私隐专员公署和立法机关也提供了全面的保障。政府的运作，继续受到自由活跃的新闻界，以及本地和国际非政府机构的全面监察。</w:t>
      </w:r>
    </w:p>
    <w:p w:rsidR="00000000" w:rsidRDefault="00000000">
      <w:r>
        <w:tab/>
        <w:t xml:space="preserve">34.  </w:t>
      </w:r>
      <w:r>
        <w:rPr>
          <w:rFonts w:hint="eastAsia"/>
        </w:rPr>
        <w:t>这个制度在香港一直行之有效，为保障和促进香港的人权工作提供一个完善的架构。政府认为成立一个全新的人权委员会并无任何明显的好处</w:t>
      </w:r>
      <w:r>
        <w:rPr>
          <w:rStyle w:val="FootnoteReference"/>
        </w:rPr>
        <w:footnoteReference w:id="9"/>
      </w:r>
      <w:r>
        <w:t xml:space="preserve"> </w:t>
      </w:r>
      <w:r>
        <w:rPr>
          <w:rFonts w:hint="eastAsia"/>
        </w:rPr>
        <w:t>。</w:t>
      </w:r>
    </w:p>
    <w:p w:rsidR="00000000" w:rsidRDefault="00000000">
      <w:pPr>
        <w:pStyle w:val="Heading3"/>
        <w:spacing w:before="320"/>
      </w:pPr>
      <w:r>
        <w:rPr>
          <w:rFonts w:hint="eastAsia"/>
        </w:rPr>
        <w:t>第三条</w:t>
      </w:r>
      <w:r>
        <w:t xml:space="preserve">.  </w:t>
      </w:r>
      <w:r>
        <w:rPr>
          <w:rFonts w:hint="eastAsia"/>
        </w:rPr>
        <w:t>男女享有平等权利</w:t>
      </w:r>
    </w:p>
    <w:p w:rsidR="00000000" w:rsidRDefault="00000000">
      <w:pPr>
        <w:pStyle w:val="Heading4"/>
      </w:pPr>
      <w:r>
        <w:rPr>
          <w:rFonts w:hint="eastAsia"/>
          <w:u w:val="none"/>
        </w:rPr>
        <w:t>《</w:t>
      </w:r>
      <w:r>
        <w:rPr>
          <w:rFonts w:hint="eastAsia"/>
        </w:rPr>
        <w:t>消除对妇女一切形式歧视公约</w:t>
      </w:r>
      <w:r>
        <w:rPr>
          <w:rFonts w:hint="eastAsia"/>
          <w:u w:val="none"/>
        </w:rPr>
        <w:t>》</w:t>
      </w:r>
    </w:p>
    <w:p w:rsidR="00000000" w:rsidRDefault="00000000">
      <w:r>
        <w:tab/>
        <w:t xml:space="preserve">35.  </w:t>
      </w:r>
      <w:r>
        <w:rPr>
          <w:rFonts w:hint="eastAsia"/>
        </w:rPr>
        <w:t>《消除对妇女一切形式歧视公约》于一九九六年十月引入香港。根据该公约，香港特区必须尊重和促进妇女权利，并确保消除基于性别的一切形式歧视。如上文第二条下第</w:t>
      </w:r>
      <w:r>
        <w:t>5</w:t>
      </w:r>
      <w:r>
        <w:rPr>
          <w:rFonts w:hint="eastAsia"/>
        </w:rPr>
        <w:t>段所述，《性别歧视条例》将基于性别、婚姻状况或怀孕而作出的歧视定为违法作为。</w:t>
      </w:r>
    </w:p>
    <w:p w:rsidR="00000000" w:rsidRDefault="00000000">
      <w:r>
        <w:tab/>
        <w:t xml:space="preserve">36.  </w:t>
      </w:r>
      <w:r>
        <w:rPr>
          <w:rFonts w:hint="eastAsia"/>
        </w:rPr>
        <w:t>政府至今已印制了</w:t>
      </w:r>
      <w:r>
        <w:t>22,000</w:t>
      </w:r>
      <w:r>
        <w:rPr>
          <w:rFonts w:hint="eastAsia"/>
        </w:rPr>
        <w:t>册公约文本，分发给市民大众参阅，同时又把公约登载互联网，以供网上浏览。此外，政府亦制备了各款宣传小册子，广为分派给市民，借以加深市民对该公约的认识。部分小册子更专为特定类别的读者</w:t>
      </w:r>
      <w:r>
        <w:t>(</w:t>
      </w:r>
      <w:r>
        <w:rPr>
          <w:rFonts w:hint="eastAsia"/>
        </w:rPr>
        <w:t>例如青年人等</w:t>
      </w:r>
      <w:r>
        <w:t>)</w:t>
      </w:r>
      <w:r>
        <w:rPr>
          <w:rFonts w:hint="eastAsia"/>
        </w:rPr>
        <w:t>而编写，以便向他们阐释公约内容。</w:t>
      </w:r>
    </w:p>
    <w:p w:rsidR="00000000" w:rsidRDefault="00000000">
      <w:r>
        <w:tab/>
        <w:t xml:space="preserve">37.  </w:t>
      </w:r>
      <w:r>
        <w:rPr>
          <w:rFonts w:hint="eastAsia"/>
        </w:rPr>
        <w:t>为遵行《消除对妇女一切形式歧视公约》第十八条，我们现正就香港特区实施该公约的情况拟备特区的第一次报告。这份报告将于一九九八年八月提交联合国审议。</w:t>
      </w:r>
    </w:p>
    <w:p w:rsidR="00000000" w:rsidRDefault="00000000">
      <w:r>
        <w:tab/>
        <w:t xml:space="preserve">38.  </w:t>
      </w:r>
      <w:r>
        <w:rPr>
          <w:rFonts w:hint="eastAsia"/>
        </w:rPr>
        <w:t>至于与男女平等权利有关的其他事宜，在《公民和政治权利报告一》中第</w:t>
      </w:r>
      <w:r>
        <w:t>58</w:t>
      </w:r>
      <w:r>
        <w:rPr>
          <w:rFonts w:hint="eastAsia"/>
        </w:rPr>
        <w:t>至</w:t>
      </w:r>
      <w:r>
        <w:t>87</w:t>
      </w:r>
      <w:r>
        <w:rPr>
          <w:rFonts w:hint="eastAsia"/>
        </w:rPr>
        <w:t>段针对公约第三条有所论述。</w:t>
      </w:r>
    </w:p>
    <w:p w:rsidR="00000000" w:rsidRDefault="00000000">
      <w:pPr>
        <w:pStyle w:val="Heading3"/>
        <w:spacing w:before="320"/>
      </w:pPr>
      <w:r>
        <w:rPr>
          <w:rFonts w:hint="eastAsia"/>
        </w:rPr>
        <w:t>第四条</w:t>
      </w:r>
      <w:r>
        <w:t xml:space="preserve">.  </w:t>
      </w:r>
      <w:r>
        <w:rPr>
          <w:rFonts w:hint="eastAsia"/>
        </w:rPr>
        <w:t>可对本公约所载权利施加的限制</w:t>
      </w:r>
    </w:p>
    <w:p w:rsidR="00000000" w:rsidRDefault="00000000">
      <w:r>
        <w:tab/>
        <w:t xml:space="preserve">39.  </w:t>
      </w:r>
      <w:r>
        <w:rPr>
          <w:rFonts w:hint="eastAsia"/>
        </w:rPr>
        <w:t>如上次报告第</w:t>
      </w:r>
      <w:r>
        <w:t>24</w:t>
      </w:r>
      <w:r>
        <w:rPr>
          <w:rFonts w:hint="eastAsia"/>
        </w:rPr>
        <w:t>段所述，除了法律所订明的限制外，政府并没有对本公约所载的权利加以规限。而且，凡法例所订明的限制，概与本公约所载权利的性质并无抵触，其作用纯粹在于促进自由社会的大众福利。</w:t>
      </w:r>
    </w:p>
    <w:p w:rsidR="00000000" w:rsidRDefault="00000000">
      <w:pPr>
        <w:pStyle w:val="Heading3"/>
        <w:spacing w:before="320"/>
      </w:pPr>
      <w:r>
        <w:rPr>
          <w:rFonts w:hint="eastAsia"/>
        </w:rPr>
        <w:t>第五条</w:t>
      </w:r>
      <w:r>
        <w:t xml:space="preserve">.  </w:t>
      </w:r>
      <w:r>
        <w:rPr>
          <w:rFonts w:hint="eastAsia"/>
        </w:rPr>
        <w:t>禁止破坏公约确认的任何权利和自由</w:t>
      </w:r>
    </w:p>
    <w:p w:rsidR="00000000" w:rsidRDefault="00000000">
      <w:r>
        <w:tab/>
        <w:t xml:space="preserve">40.  </w:t>
      </w:r>
      <w:r>
        <w:rPr>
          <w:rFonts w:hint="eastAsia"/>
        </w:rPr>
        <w:t>如上次报告第</w:t>
      </w:r>
      <w:r>
        <w:t>25</w:t>
      </w:r>
      <w:r>
        <w:rPr>
          <w:rFonts w:hint="eastAsia"/>
        </w:rPr>
        <w:t>段所述，政府没有对任何基本人权施加限制，也没有以该等权利未获公约确认或只是部分获确认为借口，而减免履行有关该等权利的义务。</w:t>
      </w:r>
    </w:p>
    <w:p w:rsidR="00000000" w:rsidRDefault="00000000">
      <w:pPr>
        <w:pStyle w:val="Heading3"/>
      </w:pPr>
      <w:r>
        <w:rPr>
          <w:rFonts w:hint="eastAsia"/>
        </w:rPr>
        <w:t>第六条</w:t>
      </w:r>
      <w:r>
        <w:t xml:space="preserve">. </w:t>
      </w:r>
      <w:r>
        <w:rPr>
          <w:rFonts w:hint="eastAsia"/>
        </w:rPr>
        <w:t>选择职业和劳工权利</w:t>
      </w:r>
    </w:p>
    <w:p w:rsidR="00000000" w:rsidRDefault="00000000">
      <w:pPr>
        <w:tabs>
          <w:tab w:val="clear" w:pos="510"/>
          <w:tab w:val="left" w:pos="480"/>
          <w:tab w:val="left" w:pos="1021"/>
          <w:tab w:val="left" w:pos="1531"/>
          <w:tab w:val="left" w:pos="2041"/>
        </w:tabs>
        <w:textAlignment w:val="center"/>
      </w:pPr>
      <w:r>
        <w:tab/>
        <w:t xml:space="preserve">41.  </w:t>
      </w:r>
      <w:r>
        <w:rPr>
          <w:rFonts w:hint="eastAsia"/>
        </w:rPr>
        <w:t>《基本法》第三十三条订明了香港居民有选择职业的自由。为了确保这项自由，政府为香港居民提供免费的就业辅导服务。劳工处设有本港就业辅导组，致力协肋求职人士寻找最适合其兴趣、才能和潜质的工作：该处的展能就业科，则为残疾人士提供就业服务。</w:t>
      </w:r>
    </w:p>
    <w:p w:rsidR="00000000" w:rsidRDefault="00000000">
      <w:pPr>
        <w:tabs>
          <w:tab w:val="left" w:pos="510"/>
          <w:tab w:val="left" w:pos="1021"/>
          <w:tab w:val="left" w:pos="1531"/>
          <w:tab w:val="left" w:pos="2041"/>
        </w:tabs>
        <w:spacing w:after="320"/>
        <w:textAlignment w:val="center"/>
      </w:pPr>
      <w:r>
        <w:tab/>
        <w:t xml:space="preserve">42.  </w:t>
      </w:r>
      <w:r>
        <w:rPr>
          <w:rFonts w:hint="eastAsia"/>
        </w:rPr>
        <w:t>《基本法》第一百四十七条订明，香港特区自行制定有关劳工的法律和政策。为此，政府密切监察着本地和国际劳工事务的发展，以期改善雇员权益、培养和谐的劳资关系，并保障雇员的职业安全和健康。凡与劳工范畴有关的政策，尤其是涉及法例修订方面，主要基于劳工顾问委员会的意见而制定；该委员会由雇员、雇主和政府三方面的代表组成。</w:t>
      </w:r>
    </w:p>
    <w:p w:rsidR="00000000" w:rsidRDefault="00000000">
      <w:pPr>
        <w:pStyle w:val="Heading4"/>
      </w:pPr>
      <w:r>
        <w:rPr>
          <w:rFonts w:hint="eastAsia"/>
        </w:rPr>
        <w:t>国际劳工公约</w:t>
      </w:r>
      <w:r>
        <w:t xml:space="preserve">. </w:t>
      </w:r>
      <w:r>
        <w:rPr>
          <w:rFonts w:hint="eastAsia"/>
        </w:rPr>
        <w:t>《基本法》第三十九条</w:t>
      </w:r>
    </w:p>
    <w:p w:rsidR="00000000" w:rsidRDefault="00000000">
      <w:r>
        <w:tab/>
        <w:t xml:space="preserve">43.  </w:t>
      </w:r>
      <w:r>
        <w:rPr>
          <w:rFonts w:hint="eastAsia"/>
        </w:rPr>
        <w:t>《基本法》第三十九条保证，国际劳工公约</w:t>
      </w:r>
      <w:r>
        <w:t>(</w:t>
      </w:r>
      <w:r>
        <w:rPr>
          <w:rFonts w:hint="eastAsia"/>
        </w:rPr>
        <w:t>以及《经济、社会与文化权利的国际公约》和《公民权利和政治权利国际公约》</w:t>
      </w:r>
      <w:r>
        <w:t>)</w:t>
      </w:r>
      <w:r>
        <w:rPr>
          <w:rFonts w:hint="eastAsia"/>
        </w:rPr>
        <w:t>适用于香港的有关规定继续有效，并通过香港特区的法律予以实施。</w:t>
      </w:r>
    </w:p>
    <w:p w:rsidR="00000000" w:rsidRDefault="00000000">
      <w:pPr>
        <w:ind w:left="1036" w:hanging="1036"/>
      </w:pPr>
      <w:r>
        <w:tab/>
        <w:t xml:space="preserve">44.  </w:t>
      </w:r>
      <w:r>
        <w:rPr>
          <w:rFonts w:hint="eastAsia"/>
        </w:rPr>
        <w:t>下列报告已分别把与公约第六条有关的资料提供给了国际劳工组织：</w:t>
      </w:r>
    </w:p>
    <w:p w:rsidR="00000000" w:rsidRDefault="00000000">
      <w:pPr>
        <w:pStyle w:val="a0"/>
        <w:numPr>
          <w:ilvl w:val="0"/>
          <w:numId w:val="1"/>
        </w:numPr>
        <w:ind w:left="1531" w:hanging="510"/>
      </w:pPr>
      <w:r>
        <w:rPr>
          <w:rFonts w:hint="eastAsia"/>
        </w:rPr>
        <w:t>就《人力资源开发公约》</w:t>
      </w:r>
      <w:r>
        <w:t>(</w:t>
      </w:r>
      <w:r>
        <w:rPr>
          <w:rFonts w:hint="eastAsia"/>
        </w:rPr>
        <w:t>第</w:t>
      </w:r>
      <w:r>
        <w:t>142</w:t>
      </w:r>
      <w:r>
        <w:rPr>
          <w:rFonts w:hint="eastAsia"/>
        </w:rPr>
        <w:t>号公约</w:t>
      </w:r>
      <w:r>
        <w:t>)</w:t>
      </w:r>
      <w:r>
        <w:rPr>
          <w:rFonts w:hint="eastAsia"/>
        </w:rPr>
        <w:t>提交有关一九九一年七月一日至一九九八年五月三十一日期间的第</w:t>
      </w:r>
      <w:r>
        <w:t>22</w:t>
      </w:r>
      <w:r>
        <w:rPr>
          <w:rFonts w:hint="eastAsia"/>
        </w:rPr>
        <w:t>条报告</w:t>
      </w:r>
      <w:r>
        <w:t xml:space="preserve"> </w:t>
      </w:r>
      <w:r>
        <w:rPr>
          <w:rStyle w:val="FootnoteReference"/>
        </w:rPr>
        <w:footnoteReference w:id="10"/>
      </w:r>
      <w:r>
        <w:rPr>
          <w:rFonts w:hint="eastAsia"/>
        </w:rPr>
        <w:t>；</w:t>
      </w:r>
    </w:p>
    <w:p w:rsidR="00000000" w:rsidRDefault="00000000">
      <w:pPr>
        <w:pStyle w:val="a0"/>
        <w:numPr>
          <w:ilvl w:val="0"/>
          <w:numId w:val="1"/>
        </w:numPr>
        <w:ind w:left="1531" w:hanging="510"/>
      </w:pPr>
      <w:r>
        <w:rPr>
          <w:rFonts w:hint="eastAsia"/>
        </w:rPr>
        <w:t>就《失业公约》</w:t>
      </w:r>
      <w:r>
        <w:t>(</w:t>
      </w:r>
      <w:r>
        <w:rPr>
          <w:rFonts w:hint="eastAsia"/>
        </w:rPr>
        <w:t>第</w:t>
      </w:r>
      <w:r>
        <w:t>2</w:t>
      </w:r>
      <w:r>
        <w:rPr>
          <w:rFonts w:hint="eastAsia"/>
        </w:rPr>
        <w:t>号公约</w:t>
      </w:r>
      <w:r>
        <w:t>)</w:t>
      </w:r>
      <w:r>
        <w:rPr>
          <w:rFonts w:hint="eastAsia"/>
        </w:rPr>
        <w:t>提交有关一九九三年七月一日至一九九八年五月三十一日期间的第</w:t>
      </w:r>
      <w:r>
        <w:t>22</w:t>
      </w:r>
      <w:r>
        <w:rPr>
          <w:rFonts w:hint="eastAsia"/>
        </w:rPr>
        <w:t>条报告；</w:t>
      </w:r>
    </w:p>
    <w:p w:rsidR="00000000" w:rsidRDefault="00000000">
      <w:pPr>
        <w:pStyle w:val="a0"/>
        <w:numPr>
          <w:ilvl w:val="0"/>
          <w:numId w:val="1"/>
        </w:numPr>
        <w:ind w:left="1531" w:hanging="510"/>
      </w:pPr>
      <w:r>
        <w:rPr>
          <w:rFonts w:hint="eastAsia"/>
        </w:rPr>
        <w:t>就《强迫劳动公约》</w:t>
      </w:r>
      <w:r>
        <w:t>(</w:t>
      </w:r>
      <w:r>
        <w:rPr>
          <w:rFonts w:hint="eastAsia"/>
        </w:rPr>
        <w:t>第</w:t>
      </w:r>
      <w:r>
        <w:t>29</w:t>
      </w:r>
      <w:r>
        <w:rPr>
          <w:rFonts w:hint="eastAsia"/>
        </w:rPr>
        <w:t>号公约</w:t>
      </w:r>
      <w:r>
        <w:t>)</w:t>
      </w:r>
      <w:r>
        <w:rPr>
          <w:rFonts w:hint="eastAsia"/>
        </w:rPr>
        <w:t>提交有关一九九六年一月一日至一九九八年五月三十一日期间的第</w:t>
      </w:r>
      <w:r>
        <w:t>22</w:t>
      </w:r>
      <w:r>
        <w:rPr>
          <w:rFonts w:hint="eastAsia"/>
        </w:rPr>
        <w:t>条报告；</w:t>
      </w:r>
    </w:p>
    <w:p w:rsidR="00000000" w:rsidRDefault="00000000">
      <w:pPr>
        <w:pStyle w:val="a0"/>
        <w:numPr>
          <w:ilvl w:val="0"/>
          <w:numId w:val="1"/>
        </w:numPr>
        <w:ind w:left="1531" w:hanging="510"/>
      </w:pPr>
      <w:r>
        <w:rPr>
          <w:rFonts w:hint="eastAsia"/>
        </w:rPr>
        <w:t>就《就业政策公约》</w:t>
      </w:r>
      <w:r>
        <w:t>(</w:t>
      </w:r>
      <w:r>
        <w:rPr>
          <w:rFonts w:hint="eastAsia"/>
        </w:rPr>
        <w:t>第</w:t>
      </w:r>
      <w:r>
        <w:t>122</w:t>
      </w:r>
      <w:r>
        <w:rPr>
          <w:rFonts w:hint="eastAsia"/>
        </w:rPr>
        <w:t>号公约</w:t>
      </w:r>
      <w:r>
        <w:t>)</w:t>
      </w:r>
      <w:r>
        <w:rPr>
          <w:rFonts w:hint="eastAsia"/>
        </w:rPr>
        <w:t>提交有关一九九六年一月一日至一九九八年五月三十一日的第</w:t>
      </w:r>
      <w:r>
        <w:t>22</w:t>
      </w:r>
      <w:r>
        <w:rPr>
          <w:rFonts w:hint="eastAsia"/>
        </w:rPr>
        <w:t>条报告；</w:t>
      </w:r>
    </w:p>
    <w:p w:rsidR="00000000" w:rsidRDefault="00000000">
      <w:pPr>
        <w:pStyle w:val="a0"/>
        <w:numPr>
          <w:ilvl w:val="0"/>
          <w:numId w:val="0"/>
        </w:numPr>
        <w:ind w:left="1021"/>
      </w:pPr>
    </w:p>
    <w:p w:rsidR="00000000" w:rsidRDefault="00000000">
      <w:pPr>
        <w:pStyle w:val="a0"/>
        <w:numPr>
          <w:ilvl w:val="0"/>
          <w:numId w:val="1"/>
        </w:numPr>
        <w:ind w:left="1531" w:hanging="510"/>
      </w:pPr>
      <w:r>
        <w:rPr>
          <w:rFonts w:hint="eastAsia"/>
        </w:rPr>
        <w:t>就《废除强迫劳动公约》</w:t>
      </w:r>
      <w:r>
        <w:t>(</w:t>
      </w:r>
      <w:r>
        <w:rPr>
          <w:rFonts w:hint="eastAsia"/>
        </w:rPr>
        <w:t>第</w:t>
      </w:r>
      <w:r>
        <w:t>105</w:t>
      </w:r>
      <w:r>
        <w:rPr>
          <w:rFonts w:hint="eastAsia"/>
        </w:rPr>
        <w:t>号公约</w:t>
      </w:r>
      <w:r>
        <w:t>)</w:t>
      </w:r>
      <w:r>
        <w:rPr>
          <w:rFonts w:hint="eastAsia"/>
        </w:rPr>
        <w:t>提交有关一九九五年一月一日至一九九六年十二月三十一日的第</w:t>
      </w:r>
      <w:r>
        <w:t>22</w:t>
      </w:r>
      <w:r>
        <w:rPr>
          <w:rFonts w:hint="eastAsia"/>
        </w:rPr>
        <w:t>条报告；及</w:t>
      </w:r>
    </w:p>
    <w:p w:rsidR="00000000" w:rsidRDefault="00000000">
      <w:pPr>
        <w:pStyle w:val="a0"/>
        <w:numPr>
          <w:ilvl w:val="0"/>
          <w:numId w:val="1"/>
        </w:numPr>
        <w:spacing w:after="320"/>
        <w:ind w:left="1531" w:hanging="510"/>
        <w:textAlignment w:val="center"/>
      </w:pPr>
      <w:r>
        <w:rPr>
          <w:rFonts w:hint="eastAsia"/>
        </w:rPr>
        <w:t>就《</w:t>
      </w:r>
      <w:r>
        <w:t>(</w:t>
      </w:r>
      <w:r>
        <w:rPr>
          <w:rFonts w:hint="eastAsia"/>
        </w:rPr>
        <w:t>就业和职业</w:t>
      </w:r>
      <w:r>
        <w:t>)</w:t>
      </w:r>
      <w:r>
        <w:rPr>
          <w:rFonts w:hint="eastAsia"/>
        </w:rPr>
        <w:t>歧视公约》</w:t>
      </w:r>
      <w:r>
        <w:t>(</w:t>
      </w:r>
      <w:r>
        <w:rPr>
          <w:rFonts w:hint="eastAsia"/>
        </w:rPr>
        <w:t>第</w:t>
      </w:r>
      <w:r>
        <w:t>111</w:t>
      </w:r>
      <w:r>
        <w:rPr>
          <w:rFonts w:hint="eastAsia"/>
        </w:rPr>
        <w:t>号公约</w:t>
      </w:r>
      <w:r>
        <w:t>)</w:t>
      </w:r>
      <w:r>
        <w:rPr>
          <w:rFonts w:hint="eastAsia"/>
        </w:rPr>
        <w:t>提交的第</w:t>
      </w:r>
      <w:r>
        <w:t>19</w:t>
      </w:r>
      <w:r>
        <w:rPr>
          <w:rFonts w:hint="eastAsia"/>
        </w:rPr>
        <w:t>条报告</w:t>
      </w:r>
      <w:r>
        <w:t>(</w:t>
      </w:r>
      <w:r>
        <w:rPr>
          <w:rFonts w:hint="eastAsia"/>
        </w:rPr>
        <w:t>截至一九九五年六月三十日为止</w:t>
      </w:r>
      <w:r>
        <w:t>)</w:t>
      </w:r>
      <w:r>
        <w:rPr>
          <w:rFonts w:hint="eastAsia"/>
        </w:rPr>
        <w:t>。</w:t>
      </w:r>
    </w:p>
    <w:p w:rsidR="00000000" w:rsidRDefault="00000000">
      <w:pPr>
        <w:pStyle w:val="Heading4"/>
      </w:pPr>
      <w:r>
        <w:rPr>
          <w:rFonts w:hint="eastAsia"/>
        </w:rPr>
        <w:t>就业统计数字</w:t>
      </w:r>
    </w:p>
    <w:p w:rsidR="00000000" w:rsidRDefault="00000000">
      <w:r>
        <w:tab/>
        <w:t xml:space="preserve">45.  </w:t>
      </w:r>
      <w:r>
        <w:rPr>
          <w:rFonts w:hint="eastAsia"/>
        </w:rPr>
        <w:t>附件</w:t>
      </w:r>
      <w:r>
        <w:t>6</w:t>
      </w:r>
      <w:r>
        <w:rPr>
          <w:rFonts w:hint="eastAsia"/>
        </w:rPr>
        <w:t>载录了一九八七年、一九九二年、一九九七年和一九九八年</w:t>
      </w:r>
      <w:r>
        <w:t>(</w:t>
      </w:r>
      <w:r>
        <w:rPr>
          <w:rFonts w:hint="eastAsia"/>
        </w:rPr>
        <w:t>截至六月三十日为止</w:t>
      </w:r>
      <w:r>
        <w:t>)</w:t>
      </w:r>
      <w:r>
        <w:rPr>
          <w:rFonts w:hint="eastAsia"/>
        </w:rPr>
        <w:t>的就业、失业和就业不足统计数字。数据显示，自一九九七年秋季开始，在亚洲金融危机影响下，香港特区的失业和就业不足率逐步上升。在一九九八年四月至六月一季内，该两项数字分别为</w:t>
      </w:r>
      <w:r>
        <w:t>4.4%(</w:t>
      </w:r>
      <w:r>
        <w:rPr>
          <w:rFonts w:hint="eastAsia"/>
        </w:rPr>
        <w:t>经季节性调整</w:t>
      </w:r>
      <w:r>
        <w:t>)</w:t>
      </w:r>
      <w:r>
        <w:rPr>
          <w:rFonts w:hint="eastAsia"/>
        </w:rPr>
        <w:t>和</w:t>
      </w:r>
      <w:r>
        <w:t>2.6%</w:t>
      </w:r>
      <w:r>
        <w:rPr>
          <w:rFonts w:hint="eastAsia"/>
        </w:rPr>
        <w:t>。预计失业率在一段时间内仍会较以往几年高。政府已推出一系列新措施，协助失业人士重返劳工市场，并为他们提供更多培训和再培训机会，俾能谋取新职，或保留现有的工作。</w:t>
      </w:r>
    </w:p>
    <w:p w:rsidR="00000000" w:rsidRDefault="00000000">
      <w:r>
        <w:tab/>
        <w:t xml:space="preserve">46.  </w:t>
      </w:r>
      <w:r>
        <w:rPr>
          <w:rFonts w:hint="eastAsia"/>
        </w:rPr>
        <w:t>有论者表示，他们关注到政府评估香港失业和就业不足情况的方法，并指我们忽视职工会和非政府机构所作的调查结果。</w:t>
      </w:r>
    </w:p>
    <w:p w:rsidR="00000000" w:rsidRDefault="00000000">
      <w:r>
        <w:tab/>
        <w:t xml:space="preserve">47.  </w:t>
      </w:r>
      <w:r>
        <w:rPr>
          <w:rFonts w:hint="eastAsia"/>
        </w:rPr>
        <w:t>我们相信我们的调查方法是严谨的，所得出的数据，在统计学上也准确可靠。调查采用的定义，已严谨地遵照国际劳工组织所定的标准，因此符合国际准则，可与其他经济体的数据作有意义的比较。</w:t>
      </w:r>
    </w:p>
    <w:p w:rsidR="00000000" w:rsidRDefault="00000000">
      <w:r>
        <w:tab/>
        <w:t xml:space="preserve">48.  </w:t>
      </w:r>
      <w:r>
        <w:rPr>
          <w:rFonts w:hint="eastAsia"/>
        </w:rPr>
        <w:t>有关数据均来自政府的季度住户统计调查。政府统计处每季会抽样调查</w:t>
      </w:r>
      <w:r>
        <w:t>27,000</w:t>
      </w:r>
      <w:r>
        <w:rPr>
          <w:rFonts w:hint="eastAsia"/>
        </w:rPr>
        <w:t>个具代表性的住户，访问当中所有</w:t>
      </w:r>
      <w:r>
        <w:t>15</w:t>
      </w:r>
      <w:r>
        <w:rPr>
          <w:rFonts w:hint="eastAsia"/>
        </w:rPr>
        <w:t>岁或以上的家庭成员。这是一种“循环式复样本设计”的方法，每季均有一半受访住户在下一季度接受“重访”。政府用以计算劳动人口及就业</w:t>
      </w:r>
      <w:r>
        <w:t>/</w:t>
      </w:r>
      <w:r>
        <w:rPr>
          <w:rFonts w:hint="eastAsia"/>
        </w:rPr>
        <w:t>失业率的准则，均严谨地遵照国际劳工组织的建议而订定。</w:t>
      </w:r>
    </w:p>
    <w:p w:rsidR="00000000" w:rsidRDefault="00000000">
      <w:pPr>
        <w:spacing w:after="320"/>
        <w:textAlignment w:val="center"/>
      </w:pPr>
      <w:r>
        <w:tab/>
        <w:t xml:space="preserve">49.  </w:t>
      </w:r>
      <w:r>
        <w:rPr>
          <w:rFonts w:hint="eastAsia"/>
        </w:rPr>
        <w:t>此外，我们也没有忽视其他机构的数据。事实上，政府统计处密切留意各学术机构、非政府机构和职工会的调查结果。如情况许可，政府会根据既定的专业标准，评审调查机构所采用的方法，并向它们反映评审结果。一般来说，那些机构所进行的调查，大部分都未经周密策划，抽样数目有限，而受访对象也未经精细挑选。此外，当中亦只有少数调查会长期进行，或受访者数目可媲美政府的定期调查。因此，我们相信政府的调查及其结果与其他机构互相比较，是经得起考验的。</w:t>
      </w:r>
    </w:p>
    <w:p w:rsidR="00000000" w:rsidRDefault="00000000">
      <w:pPr>
        <w:pStyle w:val="Heading4"/>
      </w:pPr>
      <w:r>
        <w:rPr>
          <w:rFonts w:hint="eastAsia"/>
        </w:rPr>
        <w:t>就业辅导服务</w:t>
      </w:r>
    </w:p>
    <w:p w:rsidR="00000000" w:rsidRDefault="00000000">
      <w:r>
        <w:tab/>
        <w:t xml:space="preserve">50.  </w:t>
      </w:r>
      <w:r>
        <w:rPr>
          <w:rFonts w:hint="eastAsia"/>
        </w:rPr>
        <w:t>劳工处的本港就业辅导组免费协助香港居民找寻工作，有关服务包括：</w:t>
      </w:r>
    </w:p>
    <w:p w:rsidR="00000000" w:rsidRDefault="00000000">
      <w:pPr>
        <w:pStyle w:val="a0"/>
        <w:numPr>
          <w:ilvl w:val="0"/>
          <w:numId w:val="2"/>
        </w:numPr>
        <w:ind w:left="1531" w:hanging="510"/>
      </w:pPr>
      <w:r>
        <w:rPr>
          <w:rFonts w:hint="eastAsia"/>
        </w:rPr>
        <w:t>“</w:t>
      </w:r>
      <w:r>
        <w:rPr>
          <w:rFonts w:hint="eastAsia"/>
          <w:u w:val="single"/>
        </w:rPr>
        <w:t>半自助服务</w:t>
      </w:r>
      <w:r>
        <w:rPr>
          <w:rFonts w:hint="eastAsia"/>
        </w:rPr>
        <w:t>”：求职人士可参阅各办事处展示的资料，或透过自助式触幕电脑拣选合适的职位空缺，然后向柜位人员寻求协助，以便转介接受工作面试。由社会福利署或非政府机构转介的求职人士，包括较年长人士、接受综合社会保障援助人士、单身父母等，会获得优先提供服务；</w:t>
      </w:r>
    </w:p>
    <w:p w:rsidR="00000000" w:rsidRDefault="00000000">
      <w:pPr>
        <w:pStyle w:val="a0"/>
        <w:numPr>
          <w:ilvl w:val="0"/>
          <w:numId w:val="2"/>
        </w:numPr>
        <w:ind w:left="1531" w:hanging="510"/>
      </w:pPr>
      <w:r>
        <w:rPr>
          <w:rFonts w:hint="eastAsia"/>
        </w:rPr>
        <w:t>“</w:t>
      </w:r>
      <w:r>
        <w:rPr>
          <w:rFonts w:hint="eastAsia"/>
          <w:u w:val="single"/>
        </w:rPr>
        <w:t>就业选配计划</w:t>
      </w:r>
      <w:r>
        <w:rPr>
          <w:rFonts w:hint="eastAsia"/>
        </w:rPr>
        <w:t>”：这是一项能较深入地因应个人需要而作出的就业安排服务，包括安排深入面谈、辅导和就业选配等。有需要时，求职人士更会获得转介、以参加雇员再培训计划为他们专门订造的再培训课程</w:t>
      </w:r>
      <w:r>
        <w:t>(</w:t>
      </w:r>
      <w:r>
        <w:rPr>
          <w:rFonts w:hint="eastAsia"/>
        </w:rPr>
        <w:t>见下文第</w:t>
      </w:r>
      <w:r>
        <w:t>58</w:t>
      </w:r>
      <w:r>
        <w:rPr>
          <w:rFonts w:hint="eastAsia"/>
        </w:rPr>
        <w:t>段</w:t>
      </w:r>
      <w:r>
        <w:t>)</w:t>
      </w:r>
      <w:r>
        <w:rPr>
          <w:rFonts w:hint="eastAsia"/>
        </w:rPr>
        <w:t>；及</w:t>
      </w:r>
    </w:p>
    <w:p w:rsidR="00000000" w:rsidRDefault="00000000">
      <w:pPr>
        <w:pStyle w:val="a0"/>
        <w:numPr>
          <w:ilvl w:val="0"/>
          <w:numId w:val="2"/>
        </w:numPr>
        <w:ind w:left="1531" w:hanging="510"/>
      </w:pPr>
      <w:r>
        <w:rPr>
          <w:rFonts w:hint="eastAsia"/>
        </w:rPr>
        <w:t>“</w:t>
      </w:r>
      <w:r>
        <w:rPr>
          <w:rFonts w:hint="eastAsia"/>
          <w:u w:val="single"/>
        </w:rPr>
        <w:t>就业外展组</w:t>
      </w:r>
      <w:r>
        <w:rPr>
          <w:rFonts w:hint="eastAsia"/>
        </w:rPr>
        <w:t>”：出现大规模裁员时，该组会派员到有关工作地点提供“现场”登记服务，协助受影响工人寻找新职。</w:t>
      </w:r>
    </w:p>
    <w:p w:rsidR="00000000" w:rsidRDefault="00000000">
      <w:r>
        <w:tab/>
        <w:t xml:space="preserve">51.  </w:t>
      </w:r>
      <w:r>
        <w:rPr>
          <w:rFonts w:hint="eastAsia"/>
        </w:rPr>
        <w:t>本港就业辅导组对所有收到的职位空缺招聘表格都会加以审核，确保雇主没有作出含有歧视成分的规定，例如施加性别和年龄限制等。一九九八年头六个月内，本港就业辅导组所登记的求职人士有</w:t>
      </w:r>
      <w:r>
        <w:t>96,627</w:t>
      </w:r>
      <w:r>
        <w:rPr>
          <w:rFonts w:hint="eastAsia"/>
        </w:rPr>
        <w:t>人，其中</w:t>
      </w:r>
      <w:r>
        <w:t>22,510</w:t>
      </w:r>
      <w:r>
        <w:rPr>
          <w:rFonts w:hint="eastAsia"/>
        </w:rPr>
        <w:t>人是三十岁或以上的妇女。这批妇女当中，有</w:t>
      </w:r>
      <w:r>
        <w:t>3,845</w:t>
      </w:r>
      <w:r>
        <w:rPr>
          <w:rFonts w:hint="eastAsia"/>
        </w:rPr>
        <w:t>人</w:t>
      </w:r>
      <w:r>
        <w:t>(17,1%)</w:t>
      </w:r>
      <w:r>
        <w:rPr>
          <w:rFonts w:hint="eastAsia"/>
        </w:rPr>
        <w:t>获得聘用。</w:t>
      </w:r>
    </w:p>
    <w:p w:rsidR="00000000" w:rsidRDefault="00000000">
      <w:pPr>
        <w:spacing w:after="320"/>
        <w:textAlignment w:val="center"/>
      </w:pPr>
      <w:r>
        <w:tab/>
        <w:t xml:space="preserve">52.  </w:t>
      </w:r>
      <w:r>
        <w:rPr>
          <w:rFonts w:hint="eastAsia"/>
        </w:rPr>
        <w:t>此外，劳工处的展能就业科也为肢体伤残人士、弱智人士或精神病康复者提供免费的就业辅导和安排就业服务。</w:t>
      </w:r>
    </w:p>
    <w:p w:rsidR="00000000" w:rsidRDefault="00000000">
      <w:pPr>
        <w:pStyle w:val="Heading4"/>
      </w:pPr>
      <w:r>
        <w:rPr>
          <w:rFonts w:hint="eastAsia"/>
        </w:rPr>
        <w:t>保障雇员免受无理解雇</w:t>
      </w:r>
    </w:p>
    <w:p w:rsidR="00000000" w:rsidRDefault="00000000">
      <w:r>
        <w:tab/>
        <w:t xml:space="preserve">53.  </w:t>
      </w:r>
      <w:r>
        <w:rPr>
          <w:rFonts w:hint="eastAsia"/>
        </w:rPr>
        <w:t>在上次报告的审议结论第</w:t>
      </w:r>
      <w:r>
        <w:t>21</w:t>
      </w:r>
      <w:r>
        <w:rPr>
          <w:rFonts w:hint="eastAsia"/>
        </w:rPr>
        <w:t>段，委员会对香港劳工法例并没有保障雇员免受无理解雇表示关注；本地的论者也曾表达同样的意见。一九九七年六月，我们在《雇佣条例》加入条文，规定凡：</w:t>
      </w:r>
    </w:p>
    <w:p w:rsidR="00000000" w:rsidRDefault="00000000">
      <w:pPr>
        <w:pStyle w:val="a0"/>
        <w:numPr>
          <w:ilvl w:val="0"/>
          <w:numId w:val="3"/>
        </w:numPr>
        <w:ind w:left="1531" w:hanging="510"/>
      </w:pPr>
      <w:r>
        <w:rPr>
          <w:rFonts w:hint="eastAsia"/>
        </w:rPr>
        <w:t>雇员根据连续性合约受雇不少于</w:t>
      </w:r>
      <w:r>
        <w:t>24</w:t>
      </w:r>
      <w:r>
        <w:rPr>
          <w:rFonts w:hint="eastAsia"/>
        </w:rPr>
        <w:t>个月；及</w:t>
      </w:r>
    </w:p>
    <w:p w:rsidR="00000000" w:rsidRDefault="00000000">
      <w:pPr>
        <w:pStyle w:val="a0"/>
        <w:numPr>
          <w:ilvl w:val="0"/>
          <w:numId w:val="3"/>
        </w:numPr>
        <w:ind w:left="1531" w:hanging="510"/>
      </w:pPr>
      <w:r>
        <w:rPr>
          <w:rFonts w:hint="eastAsia"/>
        </w:rPr>
        <w:t>雇员并无适当理由而遭解雇；</w:t>
      </w:r>
    </w:p>
    <w:p w:rsidR="00000000" w:rsidRDefault="00000000">
      <w:r>
        <w:rPr>
          <w:rFonts w:hint="eastAsia"/>
        </w:rPr>
        <w:t>他们便可就雇主的无理解雇而提出补救申索。</w:t>
      </w:r>
    </w:p>
    <w:p w:rsidR="00000000" w:rsidRDefault="00000000">
      <w:r>
        <w:tab/>
        <w:t xml:space="preserve">54.  </w:t>
      </w:r>
      <w:r>
        <w:rPr>
          <w:rFonts w:hint="eastAsia"/>
        </w:rPr>
        <w:t>如裁定个案属无理解雇，劳资审裁处可在劳资双方同意下，判令雇员复职或再次获得聘用</w:t>
      </w:r>
      <w:r>
        <w:t xml:space="preserve"> </w:t>
      </w:r>
      <w:r>
        <w:rPr>
          <w:rStyle w:val="FootnoteReference"/>
        </w:rPr>
        <w:footnoteReference w:id="11"/>
      </w:r>
      <w:r>
        <w:t xml:space="preserve"> </w:t>
      </w:r>
      <w:r>
        <w:rPr>
          <w:rFonts w:hint="eastAsia"/>
        </w:rPr>
        <w:t>。如劳资审裁处并无作出该项命令，则可判给雇员其认为属公平和恰当的终止雇佣金</w:t>
      </w:r>
      <w:r>
        <w:t>(</w:t>
      </w:r>
      <w:r>
        <w:rPr>
          <w:rFonts w:hint="eastAsia"/>
        </w:rPr>
        <w:t>由雇主支付</w:t>
      </w:r>
      <w:r>
        <w:t>)</w:t>
      </w:r>
      <w:r>
        <w:rPr>
          <w:rFonts w:hint="eastAsia"/>
        </w:rPr>
        <w:t>。</w:t>
      </w:r>
    </w:p>
    <w:p w:rsidR="00000000" w:rsidRDefault="00000000">
      <w:pPr>
        <w:spacing w:after="320"/>
        <w:textAlignment w:val="center"/>
      </w:pPr>
      <w:r>
        <w:tab/>
        <w:t xml:space="preserve">55.  </w:t>
      </w:r>
      <w:r>
        <w:rPr>
          <w:rFonts w:hint="eastAsia"/>
        </w:rPr>
        <w:t>凡裁定个案属无理及不合法解雇</w:t>
      </w:r>
      <w:r>
        <w:t xml:space="preserve"> </w:t>
      </w:r>
      <w:r>
        <w:rPr>
          <w:rStyle w:val="FootnoteReference"/>
        </w:rPr>
        <w:footnoteReference w:id="12"/>
      </w:r>
      <w:r>
        <w:t xml:space="preserve"> </w:t>
      </w:r>
      <w:r>
        <w:rPr>
          <w:rFonts w:hint="eastAsia"/>
        </w:rPr>
        <w:t>而劳资审裁处亦无作出复职或再次获得聘用的命令，则不论雇主有否支付终止雇佣金，雇员均最高可获判给</w:t>
      </w:r>
      <w:r>
        <w:t>150,000</w:t>
      </w:r>
      <w:r>
        <w:rPr>
          <w:rFonts w:hint="eastAsia"/>
        </w:rPr>
        <w:t>港元的补偿金。</w:t>
      </w:r>
    </w:p>
    <w:p w:rsidR="00000000" w:rsidRDefault="00000000">
      <w:pPr>
        <w:pStyle w:val="Heading4"/>
      </w:pPr>
      <w:r>
        <w:rPr>
          <w:rFonts w:hint="eastAsia"/>
        </w:rPr>
        <w:t>中国内地新来港定居人士</w:t>
      </w:r>
    </w:p>
    <w:p w:rsidR="00000000" w:rsidRDefault="00000000">
      <w:r>
        <w:tab/>
        <w:t xml:space="preserve">56.  </w:t>
      </w:r>
      <w:r>
        <w:rPr>
          <w:rFonts w:hint="eastAsia"/>
        </w:rPr>
        <w:t>在上次报告第</w:t>
      </w:r>
      <w:r>
        <w:t>89</w:t>
      </w:r>
      <w:r>
        <w:rPr>
          <w:rFonts w:hint="eastAsia"/>
        </w:rPr>
        <w:t>及</w:t>
      </w:r>
      <w:r>
        <w:t>90</w:t>
      </w:r>
      <w:r>
        <w:rPr>
          <w:rFonts w:hint="eastAsia"/>
        </w:rPr>
        <w:t>段，我们已交代过</w:t>
      </w:r>
      <w:r>
        <w:t>(</w:t>
      </w:r>
      <w:r>
        <w:rPr>
          <w:rFonts w:hint="eastAsia"/>
        </w:rPr>
        <w:t>当时</w:t>
      </w:r>
      <w:r>
        <w:t>)</w:t>
      </w:r>
      <w:r>
        <w:rPr>
          <w:rFonts w:hint="eastAsia"/>
        </w:rPr>
        <w:t>每年有</w:t>
      </w:r>
      <w:r>
        <w:t>40,000</w:t>
      </w:r>
      <w:r>
        <w:rPr>
          <w:rFonts w:hint="eastAsia"/>
        </w:rPr>
        <w:t>人从中国内地来港定居的情况。现时，每年从中国内地来港定居的人数已增加至</w:t>
      </w:r>
      <w:r>
        <w:t>55,000</w:t>
      </w:r>
      <w:r>
        <w:rPr>
          <w:rFonts w:hint="eastAsia"/>
        </w:rPr>
        <w:t>人，其中约有</w:t>
      </w:r>
      <w:r>
        <w:t>20%</w:t>
      </w:r>
      <w:r>
        <w:rPr>
          <w:rFonts w:hint="eastAsia"/>
        </w:rPr>
        <w:t>不会说广东话。因此，他们需要特别的协助，以适应本地生活。政府所提供的援助包括数方面。其中之一是协助他们就业。在一九九七年七月一日至一九九八年六月三十日期间，有</w:t>
      </w:r>
      <w:r>
        <w:t>7,695</w:t>
      </w:r>
      <w:r>
        <w:rPr>
          <w:rFonts w:hint="eastAsia"/>
        </w:rPr>
        <w:t>名新来港定居人士登记要求就业辅助，其中</w:t>
      </w:r>
      <w:r>
        <w:t>1,154</w:t>
      </w:r>
      <w:r>
        <w:rPr>
          <w:rFonts w:hint="eastAsia"/>
        </w:rPr>
        <w:t>人获安排就业。</w:t>
      </w:r>
    </w:p>
    <w:p w:rsidR="00000000" w:rsidRDefault="00000000">
      <w:pPr>
        <w:spacing w:after="320"/>
        <w:textAlignment w:val="center"/>
      </w:pPr>
      <w:r>
        <w:br w:type="page"/>
      </w:r>
      <w:r>
        <w:tab/>
        <w:t xml:space="preserve">57.  </w:t>
      </w:r>
      <w:r>
        <w:rPr>
          <w:rFonts w:hint="eastAsia"/>
        </w:rPr>
        <w:t>一九九七年九月，劳工处成立了新来港定居人士</w:t>
      </w:r>
      <w:r>
        <w:t xml:space="preserve"> </w:t>
      </w:r>
      <w:r>
        <w:rPr>
          <w:rStyle w:val="FootnoteReference"/>
        </w:rPr>
        <w:footnoteReference w:id="13"/>
      </w:r>
      <w:r>
        <w:t xml:space="preserve"> </w:t>
      </w:r>
      <w:r>
        <w:rPr>
          <w:rFonts w:hint="eastAsia"/>
        </w:rPr>
        <w:t>的就业辅导中心，为他们提供全套专门订造的服务，包括加强就业选配及转介服务、提供劳工市场资讯、安排就业辅导和简介就业条件等。</w:t>
      </w:r>
    </w:p>
    <w:p w:rsidR="00000000" w:rsidRDefault="00000000">
      <w:pPr>
        <w:pStyle w:val="Heading4"/>
      </w:pPr>
      <w:r>
        <w:rPr>
          <w:rFonts w:hint="eastAsia"/>
        </w:rPr>
        <w:t>雇员再培训</w:t>
      </w:r>
    </w:p>
    <w:p w:rsidR="00000000" w:rsidRDefault="00000000">
      <w:pPr>
        <w:spacing w:after="320"/>
        <w:textAlignment w:val="center"/>
      </w:pPr>
      <w:r>
        <w:tab/>
        <w:t xml:space="preserve">58.  </w:t>
      </w:r>
      <w:r>
        <w:rPr>
          <w:rFonts w:hint="eastAsia"/>
          <w:spacing w:val="0"/>
        </w:rPr>
        <w:t>在上次报告第</w:t>
      </w:r>
      <w:r>
        <w:rPr>
          <w:spacing w:val="0"/>
        </w:rPr>
        <w:t>31</w:t>
      </w:r>
      <w:r>
        <w:rPr>
          <w:rFonts w:hint="eastAsia"/>
          <w:spacing w:val="0"/>
        </w:rPr>
        <w:t>段，我们曾提及由雇员再培训局管理的雇员再培训基金</w:t>
      </w:r>
      <w:r>
        <w:rPr>
          <w:spacing w:val="0"/>
        </w:rPr>
        <w:t xml:space="preserve"> </w:t>
      </w:r>
      <w:r>
        <w:rPr>
          <w:rStyle w:val="FootnoteReference"/>
        </w:rPr>
        <w:footnoteReference w:id="14"/>
      </w:r>
      <w:r>
        <w:t xml:space="preserve"> </w:t>
      </w:r>
      <w:r>
        <w:rPr>
          <w:rFonts w:hint="eastAsia"/>
        </w:rPr>
        <w:t>，并说明该基金的法律依据及其功能。基本上，该基金用以提供资助，为那些因经济结构转型而失业的工人安排再培训计划。在再培训计划之下，失业工人可学习新技能，以便更有效地谋取新职。学员于完成再培训后，会获得协助安排就业，并接受跟进辅导服务。自雇员再培训局于一九九二年年底成立以来，至一九九八年六月三十日为止，该局已为</w:t>
      </w:r>
      <w:r>
        <w:t>236,927</w:t>
      </w:r>
      <w:r>
        <w:rPr>
          <w:rFonts w:hint="eastAsia"/>
        </w:rPr>
        <w:t>人提供再培训，平均就业率约</w:t>
      </w:r>
      <w:r>
        <w:t>70%</w:t>
      </w:r>
      <w:r>
        <w:rPr>
          <w:rFonts w:hint="eastAsia"/>
        </w:rPr>
        <w:t>。</w:t>
      </w:r>
    </w:p>
    <w:p w:rsidR="00000000" w:rsidRDefault="00000000">
      <w:pPr>
        <w:pStyle w:val="Heading4"/>
      </w:pPr>
      <w:r>
        <w:rPr>
          <w:u w:val="none"/>
        </w:rPr>
        <w:tab/>
      </w:r>
      <w:r>
        <w:rPr>
          <w:rFonts w:hint="eastAsia"/>
        </w:rPr>
        <w:t>新来港定居人士的培训</w:t>
      </w:r>
    </w:p>
    <w:p w:rsidR="00000000" w:rsidRDefault="00000000">
      <w:pPr>
        <w:spacing w:after="320"/>
        <w:textAlignment w:val="center"/>
      </w:pPr>
      <w:r>
        <w:tab/>
        <w:t xml:space="preserve">59.  </w:t>
      </w:r>
      <w:r>
        <w:rPr>
          <w:rFonts w:hint="eastAsia"/>
        </w:rPr>
        <w:t>一九九七年一月，政府修订了《雇员再培训条例》，让新来港定居人士也可与其他香港居民一样，受惠于再培训计划。“求职锦囊”是一个专门设计的全日制课程，为期一星期，学员的平均就业率约</w:t>
      </w:r>
      <w:r>
        <w:t>84%</w:t>
      </w:r>
      <w:r>
        <w:rPr>
          <w:rFonts w:hint="eastAsia"/>
        </w:rPr>
        <w:t>。截至一九九八年六月三十日为止，已完成各项再培训课程的新来港定居人士约有</w:t>
      </w:r>
      <w:r>
        <w:t>4,744</w:t>
      </w:r>
      <w:r>
        <w:rPr>
          <w:rFonts w:hint="eastAsia"/>
        </w:rPr>
        <w:t>人。</w:t>
      </w:r>
    </w:p>
    <w:p w:rsidR="00000000" w:rsidRDefault="00000000">
      <w:pPr>
        <w:pStyle w:val="Heading4"/>
      </w:pPr>
      <w:r>
        <w:rPr>
          <w:rFonts w:hint="eastAsia"/>
          <w:u w:val="none"/>
        </w:rPr>
        <w:tab/>
      </w:r>
      <w:r>
        <w:rPr>
          <w:rFonts w:hint="eastAsia"/>
        </w:rPr>
        <w:t>长远战略</w:t>
      </w:r>
    </w:p>
    <w:p w:rsidR="00000000" w:rsidRDefault="00000000">
      <w:pPr>
        <w:spacing w:after="320"/>
        <w:textAlignment w:val="center"/>
      </w:pPr>
      <w:r>
        <w:tab/>
        <w:t xml:space="preserve">60.  </w:t>
      </w:r>
      <w:r>
        <w:rPr>
          <w:rFonts w:hint="eastAsia"/>
        </w:rPr>
        <w:t>随着经济环境的急速转变，香港对本地劳动力的需求也起了变化。因应这个情况，雇员再培训局现正按照市场导向设计各有关再培训课程，以适应雇主</w:t>
      </w:r>
      <w:r>
        <w:t>(</w:t>
      </w:r>
      <w:r>
        <w:rPr>
          <w:rFonts w:hint="eastAsia"/>
        </w:rPr>
        <w:t>特别是中小型企业</w:t>
      </w:r>
      <w:r>
        <w:t>)</w:t>
      </w:r>
      <w:r>
        <w:rPr>
          <w:rFonts w:hint="eastAsia"/>
        </w:rPr>
        <w:t>的需要。</w:t>
      </w:r>
    </w:p>
    <w:p w:rsidR="00000000" w:rsidRDefault="00000000">
      <w:pPr>
        <w:pStyle w:val="Heading4"/>
      </w:pPr>
      <w:r>
        <w:rPr>
          <w:rFonts w:hint="eastAsia"/>
        </w:rPr>
        <w:t>取缔非法劳工</w:t>
      </w:r>
    </w:p>
    <w:p w:rsidR="00000000" w:rsidRDefault="00000000">
      <w:r>
        <w:tab/>
        <w:t xml:space="preserve">61.  </w:t>
      </w:r>
      <w:r>
        <w:rPr>
          <w:rFonts w:hint="eastAsia"/>
        </w:rPr>
        <w:t>非法劳工仍是社会所关注的问题，特别是他们威胁到香港工人的生计。劳工处经常派员到工作场所视察，根据《入境条例》</w:t>
      </w:r>
      <w:r>
        <w:rPr>
          <w:rStyle w:val="FootnoteReference"/>
        </w:rPr>
        <w:footnoteReference w:id="15"/>
      </w:r>
      <w:r>
        <w:t xml:space="preserve"> </w:t>
      </w:r>
      <w:r>
        <w:rPr>
          <w:rFonts w:hint="eastAsia"/>
        </w:rPr>
        <w:t>的规定，查核雇员纪录及身份证明。一九九八年上半年，劳工督察进行了超过</w:t>
      </w:r>
      <w:r>
        <w:t>77,500</w:t>
      </w:r>
      <w:r>
        <w:rPr>
          <w:rFonts w:hint="eastAsia"/>
        </w:rPr>
        <w:t>次视察，查核</w:t>
      </w:r>
      <w:r>
        <w:t>166,000</w:t>
      </w:r>
      <w:r>
        <w:rPr>
          <w:rFonts w:hint="eastAsia"/>
        </w:rPr>
        <w:t>多名雇员的纪录，并将</w:t>
      </w:r>
      <w:r>
        <w:t>377</w:t>
      </w:r>
      <w:r>
        <w:rPr>
          <w:rFonts w:hint="eastAsia"/>
        </w:rPr>
        <w:t>名怀疑非法劳工送交入境事务处作进一步调查。</w:t>
      </w:r>
    </w:p>
    <w:p w:rsidR="00000000" w:rsidRDefault="00000000">
      <w:r>
        <w:tab/>
        <w:t xml:space="preserve">62.  </w:t>
      </w:r>
      <w:r>
        <w:rPr>
          <w:rFonts w:hint="eastAsia"/>
        </w:rPr>
        <w:t>打击雇用非法劳工的工作，主要由入境事务处进行。该处于一九九四年成立了一支特遣队，定期到非法劳工的热门工作场所，例如街市、快餐店、食肆、商铺、建筑工地和工厂等，进行反非法劳工行动。有关的统计数字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1716"/>
        <w:gridCol w:w="1716"/>
        <w:gridCol w:w="1716"/>
        <w:gridCol w:w="1716"/>
      </w:tblGrid>
      <w:tr w:rsidR="00000000">
        <w:tblPrEx>
          <w:tblCellMar>
            <w:top w:w="0" w:type="dxa"/>
            <w:bottom w:w="0" w:type="dxa"/>
          </w:tblCellMar>
        </w:tblPrEx>
        <w:tc>
          <w:tcPr>
            <w:tcW w:w="2548" w:type="dxa"/>
          </w:tcPr>
          <w:p w:rsidR="00000000" w:rsidRDefault="00000000">
            <w:pPr>
              <w:jc w:val="center"/>
            </w:pPr>
          </w:p>
        </w:tc>
        <w:tc>
          <w:tcPr>
            <w:tcW w:w="1716" w:type="dxa"/>
          </w:tcPr>
          <w:p w:rsidR="00000000" w:rsidRDefault="00000000">
            <w:pPr>
              <w:jc w:val="center"/>
            </w:pPr>
            <w:r>
              <w:t>1994</w:t>
            </w:r>
          </w:p>
        </w:tc>
        <w:tc>
          <w:tcPr>
            <w:tcW w:w="1716" w:type="dxa"/>
          </w:tcPr>
          <w:p w:rsidR="00000000" w:rsidRDefault="00000000">
            <w:pPr>
              <w:jc w:val="center"/>
            </w:pPr>
            <w:r>
              <w:t>1995</w:t>
            </w:r>
          </w:p>
        </w:tc>
        <w:tc>
          <w:tcPr>
            <w:tcW w:w="1716" w:type="dxa"/>
          </w:tcPr>
          <w:p w:rsidR="00000000" w:rsidRDefault="00000000">
            <w:pPr>
              <w:jc w:val="center"/>
            </w:pPr>
            <w:r>
              <w:t>1996</w:t>
            </w:r>
          </w:p>
        </w:tc>
        <w:tc>
          <w:tcPr>
            <w:tcW w:w="1716" w:type="dxa"/>
          </w:tcPr>
          <w:p w:rsidR="00000000" w:rsidRDefault="00000000">
            <w:pPr>
              <w:jc w:val="center"/>
            </w:pPr>
            <w:r>
              <w:t>1997</w:t>
            </w:r>
          </w:p>
        </w:tc>
      </w:tr>
      <w:tr w:rsidR="00000000">
        <w:tblPrEx>
          <w:tblCellMar>
            <w:top w:w="0" w:type="dxa"/>
            <w:bottom w:w="0" w:type="dxa"/>
          </w:tblCellMar>
        </w:tblPrEx>
        <w:tc>
          <w:tcPr>
            <w:tcW w:w="2548" w:type="dxa"/>
          </w:tcPr>
          <w:p w:rsidR="00000000" w:rsidRDefault="00000000">
            <w:pPr>
              <w:ind w:left="113"/>
            </w:pPr>
            <w:r>
              <w:rPr>
                <w:rFonts w:hint="eastAsia"/>
              </w:rPr>
              <w:t>行动次数</w:t>
            </w:r>
          </w:p>
        </w:tc>
        <w:tc>
          <w:tcPr>
            <w:tcW w:w="1716" w:type="dxa"/>
          </w:tcPr>
          <w:p w:rsidR="00000000" w:rsidRDefault="00000000">
            <w:pPr>
              <w:tabs>
                <w:tab w:val="clear" w:pos="510"/>
                <w:tab w:val="clear" w:pos="1021"/>
                <w:tab w:val="clear" w:pos="1531"/>
                <w:tab w:val="clear" w:pos="2041"/>
                <w:tab w:val="decimal" w:pos="1052"/>
              </w:tabs>
            </w:pPr>
            <w:r>
              <w:t>1,074</w:t>
            </w:r>
          </w:p>
        </w:tc>
        <w:tc>
          <w:tcPr>
            <w:tcW w:w="1716" w:type="dxa"/>
          </w:tcPr>
          <w:p w:rsidR="00000000" w:rsidRDefault="00000000">
            <w:pPr>
              <w:tabs>
                <w:tab w:val="clear" w:pos="510"/>
                <w:tab w:val="clear" w:pos="1021"/>
                <w:tab w:val="clear" w:pos="1531"/>
                <w:tab w:val="clear" w:pos="2041"/>
                <w:tab w:val="decimal" w:pos="1052"/>
              </w:tabs>
            </w:pPr>
            <w:r>
              <w:t>2,160</w:t>
            </w:r>
          </w:p>
        </w:tc>
        <w:tc>
          <w:tcPr>
            <w:tcW w:w="1716" w:type="dxa"/>
          </w:tcPr>
          <w:p w:rsidR="00000000" w:rsidRDefault="00000000">
            <w:pPr>
              <w:tabs>
                <w:tab w:val="clear" w:pos="510"/>
                <w:tab w:val="clear" w:pos="1021"/>
                <w:tab w:val="clear" w:pos="1531"/>
                <w:tab w:val="clear" w:pos="2041"/>
                <w:tab w:val="decimal" w:pos="1052"/>
              </w:tabs>
            </w:pPr>
            <w:r>
              <w:t>1,618</w:t>
            </w:r>
          </w:p>
        </w:tc>
        <w:tc>
          <w:tcPr>
            <w:tcW w:w="1716" w:type="dxa"/>
          </w:tcPr>
          <w:p w:rsidR="00000000" w:rsidRDefault="00000000">
            <w:pPr>
              <w:tabs>
                <w:tab w:val="clear" w:pos="510"/>
                <w:tab w:val="clear" w:pos="1021"/>
                <w:tab w:val="clear" w:pos="1531"/>
                <w:tab w:val="clear" w:pos="2041"/>
                <w:tab w:val="decimal" w:pos="1052"/>
              </w:tabs>
            </w:pPr>
            <w:r>
              <w:t>1,897</w:t>
            </w:r>
          </w:p>
        </w:tc>
      </w:tr>
      <w:tr w:rsidR="00000000">
        <w:tblPrEx>
          <w:tblCellMar>
            <w:top w:w="0" w:type="dxa"/>
            <w:bottom w:w="0" w:type="dxa"/>
          </w:tblCellMar>
        </w:tblPrEx>
        <w:tc>
          <w:tcPr>
            <w:tcW w:w="2548" w:type="dxa"/>
          </w:tcPr>
          <w:p w:rsidR="00000000" w:rsidRDefault="00000000">
            <w:pPr>
              <w:ind w:left="113"/>
            </w:pPr>
            <w:r>
              <w:rPr>
                <w:rFonts w:hint="eastAsia"/>
              </w:rPr>
              <w:t>被捕非法劳工人数</w:t>
            </w:r>
          </w:p>
        </w:tc>
        <w:tc>
          <w:tcPr>
            <w:tcW w:w="1716" w:type="dxa"/>
          </w:tcPr>
          <w:p w:rsidR="00000000" w:rsidRDefault="00000000">
            <w:pPr>
              <w:tabs>
                <w:tab w:val="clear" w:pos="510"/>
                <w:tab w:val="clear" w:pos="1021"/>
                <w:tab w:val="clear" w:pos="1531"/>
                <w:tab w:val="clear" w:pos="2041"/>
                <w:tab w:val="decimal" w:pos="1052"/>
              </w:tabs>
            </w:pPr>
            <w:r>
              <w:t>5,403</w:t>
            </w:r>
          </w:p>
        </w:tc>
        <w:tc>
          <w:tcPr>
            <w:tcW w:w="1716" w:type="dxa"/>
          </w:tcPr>
          <w:p w:rsidR="00000000" w:rsidRDefault="00000000">
            <w:pPr>
              <w:tabs>
                <w:tab w:val="clear" w:pos="510"/>
                <w:tab w:val="clear" w:pos="1021"/>
                <w:tab w:val="clear" w:pos="1531"/>
                <w:tab w:val="clear" w:pos="2041"/>
                <w:tab w:val="decimal" w:pos="1052"/>
              </w:tabs>
            </w:pPr>
            <w:r>
              <w:t>5,833</w:t>
            </w:r>
          </w:p>
        </w:tc>
        <w:tc>
          <w:tcPr>
            <w:tcW w:w="1716" w:type="dxa"/>
          </w:tcPr>
          <w:p w:rsidR="00000000" w:rsidRDefault="00000000">
            <w:pPr>
              <w:tabs>
                <w:tab w:val="clear" w:pos="510"/>
                <w:tab w:val="clear" w:pos="1021"/>
                <w:tab w:val="clear" w:pos="1531"/>
                <w:tab w:val="clear" w:pos="2041"/>
                <w:tab w:val="decimal" w:pos="1052"/>
              </w:tabs>
            </w:pPr>
            <w:r>
              <w:t>4,560</w:t>
            </w:r>
          </w:p>
        </w:tc>
        <w:tc>
          <w:tcPr>
            <w:tcW w:w="1716" w:type="dxa"/>
          </w:tcPr>
          <w:p w:rsidR="00000000" w:rsidRDefault="00000000">
            <w:pPr>
              <w:tabs>
                <w:tab w:val="clear" w:pos="510"/>
                <w:tab w:val="clear" w:pos="1021"/>
                <w:tab w:val="clear" w:pos="1531"/>
                <w:tab w:val="clear" w:pos="2041"/>
                <w:tab w:val="decimal" w:pos="1052"/>
              </w:tabs>
            </w:pPr>
            <w:r>
              <w:t>3,992</w:t>
            </w:r>
          </w:p>
        </w:tc>
      </w:tr>
      <w:tr w:rsidR="00000000">
        <w:tblPrEx>
          <w:tblCellMar>
            <w:top w:w="0" w:type="dxa"/>
            <w:bottom w:w="0" w:type="dxa"/>
          </w:tblCellMar>
        </w:tblPrEx>
        <w:tc>
          <w:tcPr>
            <w:tcW w:w="2548" w:type="dxa"/>
          </w:tcPr>
          <w:p w:rsidR="00000000" w:rsidRDefault="00000000">
            <w:pPr>
              <w:ind w:left="113"/>
            </w:pPr>
            <w:r>
              <w:rPr>
                <w:rFonts w:hint="eastAsia"/>
              </w:rPr>
              <w:t>被捕雇主人数</w:t>
            </w:r>
          </w:p>
        </w:tc>
        <w:tc>
          <w:tcPr>
            <w:tcW w:w="1716" w:type="dxa"/>
          </w:tcPr>
          <w:p w:rsidR="00000000" w:rsidRDefault="00000000">
            <w:pPr>
              <w:tabs>
                <w:tab w:val="clear" w:pos="510"/>
                <w:tab w:val="clear" w:pos="1021"/>
                <w:tab w:val="clear" w:pos="1531"/>
                <w:tab w:val="clear" w:pos="2041"/>
                <w:tab w:val="decimal" w:pos="1052"/>
              </w:tabs>
            </w:pPr>
            <w:r>
              <w:t>1,416</w:t>
            </w:r>
          </w:p>
        </w:tc>
        <w:tc>
          <w:tcPr>
            <w:tcW w:w="1716" w:type="dxa"/>
          </w:tcPr>
          <w:p w:rsidR="00000000" w:rsidRDefault="00000000">
            <w:pPr>
              <w:tabs>
                <w:tab w:val="clear" w:pos="510"/>
                <w:tab w:val="clear" w:pos="1021"/>
                <w:tab w:val="clear" w:pos="1531"/>
                <w:tab w:val="clear" w:pos="2041"/>
                <w:tab w:val="decimal" w:pos="1052"/>
              </w:tabs>
            </w:pPr>
            <w:r>
              <w:t>2,302</w:t>
            </w:r>
          </w:p>
        </w:tc>
        <w:tc>
          <w:tcPr>
            <w:tcW w:w="1716" w:type="dxa"/>
          </w:tcPr>
          <w:p w:rsidR="00000000" w:rsidRDefault="00000000">
            <w:pPr>
              <w:tabs>
                <w:tab w:val="clear" w:pos="510"/>
                <w:tab w:val="clear" w:pos="1021"/>
                <w:tab w:val="clear" w:pos="1531"/>
                <w:tab w:val="clear" w:pos="2041"/>
                <w:tab w:val="decimal" w:pos="1052"/>
              </w:tabs>
            </w:pPr>
            <w:r>
              <w:t>1,705</w:t>
            </w:r>
          </w:p>
        </w:tc>
        <w:tc>
          <w:tcPr>
            <w:tcW w:w="1716" w:type="dxa"/>
          </w:tcPr>
          <w:p w:rsidR="00000000" w:rsidRDefault="00000000">
            <w:pPr>
              <w:tabs>
                <w:tab w:val="clear" w:pos="510"/>
                <w:tab w:val="clear" w:pos="1021"/>
                <w:tab w:val="clear" w:pos="1531"/>
                <w:tab w:val="clear" w:pos="2041"/>
                <w:tab w:val="decimal" w:pos="1052"/>
              </w:tabs>
            </w:pPr>
            <w:r>
              <w:t>1,303</w:t>
            </w:r>
          </w:p>
        </w:tc>
      </w:tr>
    </w:tbl>
    <w:p w:rsidR="00000000" w:rsidRDefault="00000000">
      <w:pPr>
        <w:spacing w:before="240" w:after="320"/>
        <w:textAlignment w:val="center"/>
      </w:pPr>
      <w:r>
        <w:tab/>
        <w:t xml:space="preserve">63.  </w:t>
      </w:r>
      <w:r>
        <w:rPr>
          <w:rFonts w:hint="eastAsia"/>
        </w:rPr>
        <w:t>自一九九五年起，被捕人士的数目逐年减少，显示出执法行动已见成效，对聘用非法劳工起了阻吓的作用。此外，政府还展开了多项宣传活动，让市民对问题有更深入了解。政府更鼓励市民举报涉嫌雇用非法劳工的个案，并特别为此设立了电话及传真热线。</w:t>
      </w:r>
    </w:p>
    <w:p w:rsidR="00000000" w:rsidRDefault="00000000">
      <w:pPr>
        <w:pStyle w:val="Heading4"/>
      </w:pPr>
      <w:r>
        <w:rPr>
          <w:rFonts w:hint="eastAsia"/>
        </w:rPr>
        <w:t>禁止雇用儿童</w:t>
      </w:r>
    </w:p>
    <w:p w:rsidR="00000000" w:rsidRDefault="00000000">
      <w:pPr>
        <w:spacing w:after="320"/>
        <w:textAlignment w:val="center"/>
      </w:pPr>
      <w:r>
        <w:tab/>
        <w:t xml:space="preserve">64.  </w:t>
      </w:r>
      <w:r>
        <w:rPr>
          <w:rFonts w:hint="eastAsia"/>
        </w:rPr>
        <w:t>根据《雇用儿童规例》</w:t>
      </w:r>
      <w:r>
        <w:t xml:space="preserve"> </w:t>
      </w:r>
      <w:r>
        <w:rPr>
          <w:rStyle w:val="FootnoteReference"/>
        </w:rPr>
        <w:footnoteReference w:id="16"/>
      </w:r>
      <w:r>
        <w:t xml:space="preserve"> </w:t>
      </w:r>
      <w:r>
        <w:rPr>
          <w:rFonts w:hint="eastAsia"/>
        </w:rPr>
        <w:t>，雇主若雇用</w:t>
      </w:r>
      <w:r>
        <w:t>15</w:t>
      </w:r>
      <w:r>
        <w:rPr>
          <w:rFonts w:hint="eastAsia"/>
        </w:rPr>
        <w:t>岁以下的儿童在工业部门工作</w:t>
      </w:r>
      <w:r>
        <w:t>(</w:t>
      </w:r>
      <w:r>
        <w:rPr>
          <w:rFonts w:hint="eastAsia"/>
        </w:rPr>
        <w:t>食肆或其他类似行业除外</w:t>
      </w:r>
      <w:r>
        <w:t>)</w:t>
      </w:r>
      <w:r>
        <w:rPr>
          <w:rFonts w:hint="eastAsia"/>
        </w:rPr>
        <w:t>，即属违法。年龄介乎</w:t>
      </w:r>
      <w:r>
        <w:t>13</w:t>
      </w:r>
      <w:r>
        <w:rPr>
          <w:rFonts w:hint="eastAsia"/>
        </w:rPr>
        <w:t>至</w:t>
      </w:r>
      <w:r>
        <w:t>15</w:t>
      </w:r>
      <w:r>
        <w:rPr>
          <w:rFonts w:hint="eastAsia"/>
        </w:rPr>
        <w:t>岁的儿童，若已完成三年中学教育</w:t>
      </w:r>
      <w:r>
        <w:t>(</w:t>
      </w:r>
      <w:r>
        <w:rPr>
          <w:rFonts w:hint="eastAsia"/>
        </w:rPr>
        <w:t>即已接受九年全日制教育</w:t>
      </w:r>
      <w:r>
        <w:t>)</w:t>
      </w:r>
      <w:r>
        <w:rPr>
          <w:rFonts w:hint="eastAsia"/>
        </w:rPr>
        <w:t>，在父母同意下，可受聘在非工业部门担任全职工作，但他们的工作时数受到若干限制。若儿童尚未完成三年中学教育，他们只可在学期内受聘担任兼职工作。不过，</w:t>
      </w:r>
      <w:r>
        <w:t>13</w:t>
      </w:r>
      <w:r>
        <w:rPr>
          <w:rFonts w:hint="eastAsia"/>
        </w:rPr>
        <w:t>至</w:t>
      </w:r>
      <w:r>
        <w:t>15</w:t>
      </w:r>
      <w:r>
        <w:rPr>
          <w:rFonts w:hint="eastAsia"/>
        </w:rPr>
        <w:t>岁儿童若未完成三年中学教育，无论如何均不得受聘担任《雇用儿童规例》所禁止从事的职业。这些规定的目的，是要防止儿童因为工作而影响学业，或危害他们的德育发展和健康。违例人士最高可被罚款</w:t>
      </w:r>
      <w:r>
        <w:t>50,000</w:t>
      </w:r>
      <w:r>
        <w:rPr>
          <w:rFonts w:hint="eastAsia"/>
        </w:rPr>
        <w:t>港元。有关《雇用儿童规例》的各项罚款及检控统计数字载于附件</w:t>
      </w:r>
      <w:r>
        <w:t>7</w:t>
      </w:r>
      <w:r>
        <w:rPr>
          <w:rFonts w:hint="eastAsia"/>
        </w:rPr>
        <w:t>。</w:t>
      </w:r>
    </w:p>
    <w:p w:rsidR="00000000" w:rsidRDefault="00000000">
      <w:pPr>
        <w:pStyle w:val="Heading4"/>
      </w:pPr>
      <w:r>
        <w:rPr>
          <w:rFonts w:hint="eastAsia"/>
        </w:rPr>
        <w:t>输入劳工</w:t>
      </w:r>
    </w:p>
    <w:p w:rsidR="00000000" w:rsidRDefault="00000000">
      <w:r>
        <w:tab/>
        <w:t xml:space="preserve">65.  </w:t>
      </w:r>
      <w:r>
        <w:rPr>
          <w:rFonts w:hint="eastAsia"/>
        </w:rPr>
        <w:t>在上次报告第</w:t>
      </w:r>
      <w:r>
        <w:t>28</w:t>
      </w:r>
      <w:r>
        <w:rPr>
          <w:rFonts w:hint="eastAsia"/>
        </w:rPr>
        <w:t>及第</w:t>
      </w:r>
      <w:r>
        <w:t>29</w:t>
      </w:r>
      <w:r>
        <w:rPr>
          <w:rFonts w:hint="eastAsia"/>
        </w:rPr>
        <w:t>段，我们指出香港近年经济持续增长，导致某些行业出现劳工短缺或求过于供的情况。如不尽快解决这个问题，经济增长速度便可能会受影响而放缓，长远来说更会影响社会繁荣。因此，政府容许雇主在严格管制下限量输入外地劳工。为此，政府推行了两项计划：</w:t>
      </w:r>
    </w:p>
    <w:p w:rsidR="00000000" w:rsidRDefault="00000000">
      <w:pPr>
        <w:pStyle w:val="a0"/>
        <w:numPr>
          <w:ilvl w:val="0"/>
          <w:numId w:val="5"/>
        </w:numPr>
        <w:ind w:left="1531" w:hanging="510"/>
      </w:pPr>
      <w:r>
        <w:rPr>
          <w:rFonts w:hint="eastAsia"/>
          <w:u w:val="single"/>
        </w:rPr>
        <w:t>补充劳工计划</w:t>
      </w:r>
      <w:r>
        <w:rPr>
          <w:rFonts w:hint="eastAsia"/>
        </w:rPr>
        <w:t>：原则上，不同行业的雇主若能证明确有输入劳工的真正需要，并已尽一切办法优先聘用本地劳工，便可获准输入外地劳工。政府并没有为各行业设下特定的配额，每宗申请均会按个别情况审批。截至一九九八年六月三十日为止，根据此计划聘用的外地劳工约有</w:t>
      </w:r>
      <w:r>
        <w:t>3,600</w:t>
      </w:r>
      <w:r>
        <w:rPr>
          <w:rFonts w:hint="eastAsia"/>
        </w:rPr>
        <w:t>人；</w:t>
      </w:r>
      <w:r>
        <w:rPr>
          <w:rFonts w:hint="eastAsia"/>
        </w:rPr>
        <w:t xml:space="preserve"> </w:t>
      </w:r>
    </w:p>
    <w:p w:rsidR="00000000" w:rsidRDefault="00000000">
      <w:pPr>
        <w:pStyle w:val="a0"/>
        <w:numPr>
          <w:ilvl w:val="0"/>
          <w:numId w:val="5"/>
        </w:numPr>
        <w:ind w:left="1531" w:hanging="510"/>
      </w:pPr>
      <w:r>
        <w:rPr>
          <w:rFonts w:hint="eastAsia"/>
          <w:u w:val="single"/>
        </w:rPr>
        <w:t>为新机场及有关工程而设的特别输入劳工计划</w:t>
      </w:r>
      <w:r>
        <w:rPr>
          <w:rFonts w:hint="eastAsia"/>
        </w:rPr>
        <w:t>：这项计划容许输入特定限额的建筑工人。由于新机场已经落成，其他有关工程亦已接近竣工，故这项计划即将结束。</w:t>
      </w:r>
    </w:p>
    <w:p w:rsidR="00000000" w:rsidRDefault="00000000">
      <w:pPr>
        <w:spacing w:after="320"/>
        <w:textAlignment w:val="center"/>
        <w:rPr>
          <w:sz w:val="26"/>
        </w:rPr>
      </w:pPr>
      <w:r>
        <w:tab/>
        <w:t xml:space="preserve">66.  </w:t>
      </w:r>
      <w:r>
        <w:rPr>
          <w:rFonts w:hint="eastAsia"/>
        </w:rPr>
        <w:t>有论者质疑应否继续推行这些计划，特别是香港正步入经济不景，很多本地工人已相继失去工作。事实上，通过补充劳工计划输入的劳工人数极少。截至一九九八年六月三十日为止，输入劳工只占本地</w:t>
      </w:r>
      <w:r>
        <w:t>320</w:t>
      </w:r>
      <w:r>
        <w:rPr>
          <w:rFonts w:hint="eastAsia"/>
        </w:rPr>
        <w:t>万就业人口的</w:t>
      </w:r>
      <w:r>
        <w:t>0.1%</w:t>
      </w:r>
      <w:r>
        <w:rPr>
          <w:rFonts w:hint="eastAsia"/>
        </w:rPr>
        <w:t>，而他们从事的工作，均是本地工人不能够或不愿意担任的，因为本地工人对有关性质的工作不感兴趣，或因为他们缺乏所需的技术。若没有输入劳工，聘用他们的机构便可能须停业，导致本地工人也会同时失去工作。从推行计划所得的经验显示，输入劳工有助增加本地劳工的职位。并可促使将技术转移给本地工人。</w:t>
      </w:r>
    </w:p>
    <w:p w:rsidR="00000000" w:rsidRDefault="00000000">
      <w:pPr>
        <w:pStyle w:val="Heading4"/>
      </w:pPr>
      <w:r>
        <w:rPr>
          <w:rFonts w:hint="eastAsia"/>
        </w:rPr>
        <w:t>就业专责小组</w:t>
      </w:r>
    </w:p>
    <w:p w:rsidR="00000000" w:rsidRDefault="00000000">
      <w:pPr>
        <w:spacing w:after="320"/>
        <w:textAlignment w:val="center"/>
      </w:pPr>
      <w:r>
        <w:tab/>
        <w:t xml:space="preserve">67.  </w:t>
      </w:r>
      <w:r>
        <w:rPr>
          <w:rFonts w:hint="eastAsia"/>
        </w:rPr>
        <w:t>一九九八年五月，政府成立“就业专责小组”，谋求解决失业率上升的问题。小组成员包括劳资双方代表、学者、培训机构代表及政府高级官员，他们负责研究协助私营机构创造职位的方法。同时，政府亦正进行多项工作，包括：加快进行公共工程，以创造职位；加强并改善劳工处的就业辅导及就业选配服务</w:t>
      </w:r>
      <w:r>
        <w:t>(</w:t>
      </w:r>
      <w:r>
        <w:rPr>
          <w:rFonts w:hint="eastAsia"/>
        </w:rPr>
        <w:t>见上文第</w:t>
      </w:r>
      <w:r>
        <w:t>50</w:t>
      </w:r>
      <w:r>
        <w:rPr>
          <w:rFonts w:hint="eastAsia"/>
        </w:rPr>
        <w:t>段</w:t>
      </w:r>
      <w:r>
        <w:t>)</w:t>
      </w:r>
      <w:r>
        <w:rPr>
          <w:rFonts w:hint="eastAsia"/>
        </w:rPr>
        <w:t>；加强为失业人士提供职业训练及再培训课程；加强教育和收紧措施，以打击雇用非法劳工。</w:t>
      </w:r>
    </w:p>
    <w:p w:rsidR="00000000" w:rsidRDefault="00000000">
      <w:pPr>
        <w:pStyle w:val="Heading4"/>
      </w:pPr>
      <w:r>
        <w:rPr>
          <w:rFonts w:hint="eastAsia"/>
        </w:rPr>
        <w:t>工作权利：</w:t>
      </w:r>
      <w:r>
        <w:t xml:space="preserve"> </w:t>
      </w:r>
      <w:r>
        <w:rPr>
          <w:rFonts w:hint="eastAsia"/>
        </w:rPr>
        <w:t>有关歧视的问题</w:t>
      </w:r>
    </w:p>
    <w:p w:rsidR="00000000" w:rsidRDefault="00000000">
      <w:r>
        <w:tab/>
        <w:t xml:space="preserve">68.  </w:t>
      </w:r>
      <w:r>
        <w:rPr>
          <w:rFonts w:hint="eastAsia"/>
        </w:rPr>
        <w:t>在上次报告的审议结论第</w:t>
      </w:r>
      <w:r>
        <w:t>15</w:t>
      </w:r>
      <w:r>
        <w:rPr>
          <w:rFonts w:hint="eastAsia"/>
        </w:rPr>
        <w:t>段，委员会对《性别歧视条例》“未能保障那些因个人性取向而被剥夺工作权利的人士”表示关注。</w:t>
      </w:r>
    </w:p>
    <w:p w:rsidR="00000000" w:rsidRDefault="00000000">
      <w:r>
        <w:tab/>
        <w:t xml:space="preserve">69.  </w:t>
      </w:r>
      <w:r>
        <w:rPr>
          <w:rFonts w:hint="eastAsia"/>
        </w:rPr>
        <w:t>我们曾就性倾向歧视和种族歧视问题进行研究</w:t>
      </w:r>
      <w:r>
        <w:t>(</w:t>
      </w:r>
      <w:r>
        <w:rPr>
          <w:rFonts w:hint="eastAsia"/>
        </w:rPr>
        <w:t>见上文第二条下第</w:t>
      </w:r>
      <w:r>
        <w:t>13</w:t>
      </w:r>
      <w:r>
        <w:rPr>
          <w:rFonts w:hint="eastAsia"/>
        </w:rPr>
        <w:t>至</w:t>
      </w:r>
      <w:r>
        <w:t>17</w:t>
      </w:r>
      <w:r>
        <w:rPr>
          <w:rFonts w:hint="eastAsia"/>
        </w:rPr>
        <w:t>段</w:t>
      </w:r>
      <w:r>
        <w:t>)</w:t>
      </w:r>
      <w:r>
        <w:rPr>
          <w:rFonts w:hint="eastAsia"/>
        </w:rPr>
        <w:t>，并随之通过公众教育，包括编制雇佣实务守则，去处理这些问题。</w:t>
      </w:r>
    </w:p>
    <w:p w:rsidR="00000000" w:rsidRDefault="00000000">
      <w:r>
        <w:tab/>
        <w:t xml:space="preserve">70.  </w:t>
      </w:r>
      <w:r>
        <w:rPr>
          <w:rFonts w:hint="eastAsia"/>
        </w:rPr>
        <w:t>此外，委员会在审议结论第</w:t>
      </w:r>
      <w:r>
        <w:t>15</w:t>
      </w:r>
      <w:r>
        <w:rPr>
          <w:rFonts w:hint="eastAsia"/>
        </w:rPr>
        <w:t>段又认为：“</w:t>
      </w:r>
      <w:r>
        <w:t>30</w:t>
      </w:r>
      <w:r>
        <w:rPr>
          <w:rFonts w:hint="eastAsia"/>
        </w:rPr>
        <w:t>岁以上的妇女在就业方面受到歧视，是一个很严重的问题。在第</w:t>
      </w:r>
      <w:r>
        <w:t>20</w:t>
      </w:r>
      <w:r>
        <w:rPr>
          <w:rFonts w:hint="eastAsia"/>
        </w:rPr>
        <w:t>段，委员会特别关注到“很多妇女因此变成失业，有时更须从事危险工作”。</w:t>
      </w:r>
      <w:r>
        <w:rPr>
          <w:rFonts w:hint="eastAsia"/>
        </w:rPr>
        <w:t xml:space="preserve"> </w:t>
      </w:r>
      <w:r>
        <w:rPr>
          <w:rFonts w:hint="eastAsia"/>
        </w:rPr>
        <w:t>同样，本地论者也表示，他们关注到一些年长工人</w:t>
      </w:r>
      <w:r>
        <w:t xml:space="preserve"> </w:t>
      </w:r>
      <w:r>
        <w:rPr>
          <w:rStyle w:val="FootnoteReference"/>
        </w:rPr>
        <w:footnoteReference w:id="17"/>
      </w:r>
      <w:r>
        <w:t xml:space="preserve"> (</w:t>
      </w:r>
      <w:r>
        <w:rPr>
          <w:rFonts w:hint="eastAsia"/>
        </w:rPr>
        <w:t>特别是年长女工</w:t>
      </w:r>
      <w:r>
        <w:rPr>
          <w:rFonts w:hint="eastAsia"/>
        </w:rPr>
        <w:t>)</w:t>
      </w:r>
      <w:r>
        <w:rPr>
          <w:rFonts w:hint="eastAsia"/>
        </w:rPr>
        <w:t>受到经济转型所带来的影响，比其他人为严重，而他们也比其他人更难找到新工作。部分本地论者认为年龄歧视是造成就业障碍的主要原因，其影响对</w:t>
      </w:r>
      <w:r>
        <w:t>30</w:t>
      </w:r>
      <w:r>
        <w:rPr>
          <w:rFonts w:hint="eastAsia"/>
        </w:rPr>
        <w:t>岁或以上的妇女尤其严重。</w:t>
      </w:r>
    </w:p>
    <w:p w:rsidR="00000000" w:rsidRDefault="00000000">
      <w:pPr>
        <w:rPr>
          <w:rFonts w:hint="eastAsia"/>
        </w:rPr>
      </w:pPr>
      <w:r>
        <w:tab/>
        <w:t xml:space="preserve">71.  </w:t>
      </w:r>
      <w:r>
        <w:rPr>
          <w:rFonts w:hint="eastAsia"/>
        </w:rPr>
        <w:t>不过，香港劳工处却不赞同这个看法，根据该处的经验，并无有力证据证明中年妇女</w:t>
      </w:r>
      <w:r>
        <w:t>(</w:t>
      </w:r>
      <w:r>
        <w:rPr>
          <w:rFonts w:hint="eastAsia"/>
        </w:rPr>
        <w:t>及其他年长工人</w:t>
      </w:r>
      <w:r>
        <w:t>)</w:t>
      </w:r>
      <w:r>
        <w:rPr>
          <w:rFonts w:hint="eastAsia"/>
        </w:rPr>
        <w:t>是因受到年龄歧视而失业的。问题倒在于这类工人很多都是终生或大半生从事制造业，他们缺乏所需的资历和技能，无法适应经济急速转型的环境</w:t>
      </w:r>
      <w:r>
        <w:t xml:space="preserve"> </w:t>
      </w:r>
      <w:r>
        <w:rPr>
          <w:rStyle w:val="FootnoteReference"/>
        </w:rPr>
        <w:footnoteReference w:id="18"/>
      </w:r>
      <w:r>
        <w:t xml:space="preserve"> </w:t>
      </w:r>
      <w:r>
        <w:rPr>
          <w:rFonts w:hint="eastAsia"/>
        </w:rPr>
        <w:t>。这些因素会令人产生错觉，以为大量妇女失业，是因为性别和年龄歧视所致。事实上，女性的失业及就业不足率，一向较男性为低。</w:t>
      </w:r>
    </w:p>
    <w:p w:rsidR="00000000" w:rsidRDefault="00000000">
      <w:r>
        <w:br w:type="page"/>
      </w:r>
      <w:r>
        <w:tab/>
        <w:t xml:space="preserve">72.  </w:t>
      </w:r>
      <w:r>
        <w:rPr>
          <w:rFonts w:hint="eastAsia"/>
        </w:rPr>
        <w:t>如《公民和政治权利报告一》第</w:t>
      </w:r>
      <w:r>
        <w:t>499</w:t>
      </w:r>
      <w:r>
        <w:rPr>
          <w:rFonts w:hint="eastAsia"/>
        </w:rPr>
        <w:t>段针对公约第二十六条所述，政府统计处发表的统计数字</w:t>
      </w:r>
      <w:r>
        <w:t>(</w:t>
      </w:r>
      <w:r>
        <w:rPr>
          <w:rFonts w:hint="eastAsia"/>
        </w:rPr>
        <w:t>见附件</w:t>
      </w:r>
      <w:r>
        <w:t>8)</w:t>
      </w:r>
      <w:r>
        <w:rPr>
          <w:rFonts w:hint="eastAsia"/>
        </w:rPr>
        <w:t>显示，在一九九八年首季，</w:t>
      </w:r>
      <w:r>
        <w:t>30</w:t>
      </w:r>
      <w:r>
        <w:rPr>
          <w:rFonts w:hint="eastAsia"/>
        </w:rPr>
        <w:t>至</w:t>
      </w:r>
      <w:r>
        <w:t>39</w:t>
      </w:r>
      <w:r>
        <w:rPr>
          <w:rFonts w:hint="eastAsia"/>
        </w:rPr>
        <w:t>岁及</w:t>
      </w:r>
      <w:r>
        <w:t>40</w:t>
      </w:r>
      <w:r>
        <w:rPr>
          <w:rFonts w:hint="eastAsia"/>
        </w:rPr>
        <w:t>至</w:t>
      </w:r>
      <w:r>
        <w:t>49</w:t>
      </w:r>
      <w:r>
        <w:rPr>
          <w:rFonts w:hint="eastAsia"/>
        </w:rPr>
        <w:t>岁两个年龄组别的失业率，分别为</w:t>
      </w:r>
      <w:r>
        <w:t>2.3%</w:t>
      </w:r>
      <w:r>
        <w:rPr>
          <w:rFonts w:hint="eastAsia"/>
        </w:rPr>
        <w:t>及</w:t>
      </w:r>
      <w:r>
        <w:t>2.9%</w:t>
      </w:r>
      <w:r>
        <w:rPr>
          <w:rFonts w:hint="eastAsia"/>
        </w:rPr>
        <w:t>；</w:t>
      </w:r>
      <w:r>
        <w:t>20</w:t>
      </w:r>
      <w:r>
        <w:rPr>
          <w:rFonts w:hint="eastAsia"/>
        </w:rPr>
        <w:t>至</w:t>
      </w:r>
      <w:r>
        <w:t>29</w:t>
      </w:r>
      <w:r>
        <w:rPr>
          <w:rFonts w:hint="eastAsia"/>
        </w:rPr>
        <w:t>岁年龄组别的失业率则为</w:t>
      </w:r>
      <w:r>
        <w:t>3.8%</w:t>
      </w:r>
      <w:r>
        <w:rPr>
          <w:rFonts w:hint="eastAsia"/>
        </w:rPr>
        <w:t>。在第二季，各年龄组别的失业人数均有所增加，但整体趋势持续：</w:t>
      </w:r>
      <w:r>
        <w:t>30</w:t>
      </w:r>
      <w:r>
        <w:rPr>
          <w:rFonts w:hint="eastAsia"/>
        </w:rPr>
        <w:t>至</w:t>
      </w:r>
      <w:r>
        <w:t>39</w:t>
      </w:r>
      <w:r>
        <w:rPr>
          <w:rFonts w:hint="eastAsia"/>
        </w:rPr>
        <w:t>岁及</w:t>
      </w:r>
      <w:r>
        <w:t>40</w:t>
      </w:r>
      <w:r>
        <w:rPr>
          <w:rFonts w:hint="eastAsia"/>
        </w:rPr>
        <w:t>至</w:t>
      </w:r>
      <w:r>
        <w:t>49</w:t>
      </w:r>
      <w:r>
        <w:rPr>
          <w:rFonts w:hint="eastAsia"/>
        </w:rPr>
        <w:t>岁两个年龄组别的失业率，分别为</w:t>
      </w:r>
      <w:r>
        <w:t>3.1%</w:t>
      </w:r>
      <w:r>
        <w:rPr>
          <w:rFonts w:hint="eastAsia"/>
        </w:rPr>
        <w:t>及</w:t>
      </w:r>
      <w:r>
        <w:t>4.2%</w:t>
      </w:r>
      <w:r>
        <w:rPr>
          <w:rFonts w:hint="eastAsia"/>
        </w:rPr>
        <w:t>；</w:t>
      </w:r>
      <w:r>
        <w:t>20</w:t>
      </w:r>
      <w:r>
        <w:rPr>
          <w:rFonts w:hint="eastAsia"/>
        </w:rPr>
        <w:t>至</w:t>
      </w:r>
      <w:r>
        <w:t>29</w:t>
      </w:r>
      <w:r>
        <w:rPr>
          <w:rFonts w:hint="eastAsia"/>
        </w:rPr>
        <w:t>岁年龄组别的失业率则为</w:t>
      </w:r>
      <w:r>
        <w:t>4.8%</w:t>
      </w:r>
      <w:r>
        <w:rPr>
          <w:rFonts w:hint="eastAsia"/>
        </w:rPr>
        <w:t>。</w:t>
      </w:r>
    </w:p>
    <w:p w:rsidR="00000000" w:rsidRDefault="00000000">
      <w:r>
        <w:tab/>
        <w:t xml:space="preserve">73.  </w:t>
      </w:r>
      <w:r>
        <w:rPr>
          <w:rFonts w:hint="eastAsia"/>
        </w:rPr>
        <w:t>上述数字显示，年长工人的就业情况并不比年青工人差。就两性的就业情况来说，女性也不比男性为差：在第二季，女性在</w:t>
      </w:r>
      <w:r>
        <w:t>30</w:t>
      </w:r>
      <w:r>
        <w:rPr>
          <w:rFonts w:hint="eastAsia"/>
        </w:rPr>
        <w:t>至</w:t>
      </w:r>
      <w:r>
        <w:t>39</w:t>
      </w:r>
      <w:r>
        <w:rPr>
          <w:rFonts w:hint="eastAsia"/>
        </w:rPr>
        <w:t>岁及</w:t>
      </w:r>
      <w:r>
        <w:t>40</w:t>
      </w:r>
      <w:r>
        <w:rPr>
          <w:rFonts w:hint="eastAsia"/>
        </w:rPr>
        <w:t>至</w:t>
      </w:r>
      <w:r>
        <w:t>49</w:t>
      </w:r>
      <w:r>
        <w:rPr>
          <w:rFonts w:hint="eastAsia"/>
        </w:rPr>
        <w:t>岁两个年龄组别的失业率，分别为</w:t>
      </w:r>
      <w:r>
        <w:t>2.5%</w:t>
      </w:r>
      <w:r>
        <w:rPr>
          <w:rFonts w:hint="eastAsia"/>
        </w:rPr>
        <w:t>和</w:t>
      </w:r>
      <w:r>
        <w:t>3.8%</w:t>
      </w:r>
      <w:r>
        <w:rPr>
          <w:rFonts w:hint="eastAsia"/>
        </w:rPr>
        <w:t>；而男性在该两个年龄组别的失业率则分别为</w:t>
      </w:r>
      <w:r>
        <w:t>3.6%</w:t>
      </w:r>
      <w:r>
        <w:rPr>
          <w:rFonts w:hint="eastAsia"/>
        </w:rPr>
        <w:t>和</w:t>
      </w:r>
      <w:r>
        <w:t>4.4%</w:t>
      </w:r>
      <w:r>
        <w:rPr>
          <w:rFonts w:hint="eastAsia"/>
        </w:rPr>
        <w:t>。此外，劳工处的纪录亦显示，有关年龄组别求职者的就业率，与整体求职者</w:t>
      </w:r>
      <w:r>
        <w:t>(</w:t>
      </w:r>
      <w:r>
        <w:rPr>
          <w:rFonts w:hint="eastAsia"/>
        </w:rPr>
        <w:t>不分年龄</w:t>
      </w:r>
      <w:r>
        <w:t>)</w:t>
      </w:r>
      <w:r>
        <w:rPr>
          <w:rFonts w:hint="eastAsia"/>
        </w:rPr>
        <w:t>的就业率大致相同。</w:t>
      </w:r>
    </w:p>
    <w:p w:rsidR="00000000" w:rsidRDefault="00000000">
      <w:r>
        <w:tab/>
        <w:t xml:space="preserve">74.  </w:t>
      </w:r>
      <w:r>
        <w:rPr>
          <w:rFonts w:hint="eastAsia"/>
        </w:rPr>
        <w:t>劳工处在调解劳资纠纷方面所得的经验，也印证了上述情况。截至本报告的最后定稿阶段，劳工处只收到一宗有关雇佣年龄歧视的投诉。</w:t>
      </w:r>
    </w:p>
    <w:p w:rsidR="00000000" w:rsidRDefault="00000000">
      <w:r>
        <w:tab/>
        <w:t xml:space="preserve">75.  </w:t>
      </w:r>
      <w:r>
        <w:rPr>
          <w:rFonts w:hint="eastAsia"/>
        </w:rPr>
        <w:t>有论者表示，他们关注到年长工人</w:t>
      </w:r>
      <w:r>
        <w:t>(</w:t>
      </w:r>
      <w:r>
        <w:rPr>
          <w:rFonts w:hint="eastAsia"/>
        </w:rPr>
        <w:t>特别是中年单身父母</w:t>
      </w:r>
      <w:r>
        <w:t>)</w:t>
      </w:r>
      <w:r>
        <w:rPr>
          <w:rFonts w:hint="eastAsia"/>
        </w:rPr>
        <w:t>最受现时经济不景的影响。如上文第二条下第</w:t>
      </w:r>
      <w:r>
        <w:t>12</w:t>
      </w:r>
      <w:r>
        <w:rPr>
          <w:rFonts w:hint="eastAsia"/>
        </w:rPr>
        <w:t>段所述，家庭地位歧视是违法行为。若有人认为他们因其家庭地位而遭受歧视，均有权根据《家庭地位歧视条例》要求补救有关情况。</w:t>
      </w:r>
    </w:p>
    <w:p w:rsidR="00000000" w:rsidRDefault="00000000">
      <w:r>
        <w:tab/>
        <w:t xml:space="preserve">76.  </w:t>
      </w:r>
      <w:r>
        <w:rPr>
          <w:rFonts w:hint="eastAsia"/>
        </w:rPr>
        <w:t>政府致力在雇佣事务上消除一切形式的歧视，包括年龄歧视。虽然香港特区并无法例禁止年龄歧视，但却一直推行各项公众教育、宣传和自我规管计划，并编制了《雇佣实务指引：消除就业方面的年龄歧视》，鼓励雇主在招聘、培训、升职、解雇等多个雇佣范畴上采用划一的准则。除非年龄属于真正职业需要，否则有关的雇佣准则不应涉及年龄。</w:t>
      </w:r>
    </w:p>
    <w:p w:rsidR="00000000" w:rsidRDefault="00000000">
      <w:pPr>
        <w:spacing w:after="320"/>
        <w:textAlignment w:val="center"/>
      </w:pPr>
      <w:r>
        <w:tab/>
        <w:t xml:space="preserve">77.  </w:t>
      </w:r>
      <w:r>
        <w:rPr>
          <w:rFonts w:hint="eastAsia"/>
        </w:rPr>
        <w:t>此外，政府更已采取措施，消除在招聘事宜上带有歧视的做法。劳工处本港就业辅导组在接到雇主提交的职位空缺招聘要求时，会仔细审阅，确保当中不会带有不公平的限制。劳工处亦已扩展其自愿调解服务，以处理涉及雇佣年龄歧视的投诉。</w:t>
      </w:r>
    </w:p>
    <w:p w:rsidR="00000000" w:rsidRDefault="00000000">
      <w:pPr>
        <w:pStyle w:val="Heading3"/>
      </w:pPr>
      <w:r>
        <w:rPr>
          <w:rFonts w:hint="eastAsia"/>
        </w:rPr>
        <w:t>第七条</w:t>
      </w:r>
      <w:r>
        <w:t xml:space="preserve">. </w:t>
      </w:r>
      <w:r>
        <w:rPr>
          <w:rFonts w:hint="eastAsia"/>
        </w:rPr>
        <w:t>享受公平与良好工作条件的权利</w:t>
      </w:r>
    </w:p>
    <w:p w:rsidR="00000000" w:rsidRDefault="00000000">
      <w:pPr>
        <w:pStyle w:val="Heading4"/>
      </w:pPr>
      <w:r>
        <w:rPr>
          <w:rFonts w:hint="eastAsia"/>
        </w:rPr>
        <w:t>根据国际劳工公约所提交的报告</w:t>
      </w:r>
    </w:p>
    <w:p w:rsidR="00000000" w:rsidRDefault="00000000">
      <w:r>
        <w:tab/>
        <w:t xml:space="preserve">78.  </w:t>
      </w:r>
      <w:r>
        <w:rPr>
          <w:rFonts w:hint="eastAsia"/>
        </w:rPr>
        <w:t>下列根据国际劳工公约所提交的报告，已提供与本条有关的各项资料：</w:t>
      </w:r>
    </w:p>
    <w:p w:rsidR="00000000" w:rsidRDefault="00000000">
      <w:pPr>
        <w:pStyle w:val="a0"/>
        <w:numPr>
          <w:ilvl w:val="0"/>
          <w:numId w:val="6"/>
        </w:numPr>
        <w:ind w:left="1531" w:hanging="510"/>
      </w:pPr>
      <w:r>
        <w:rPr>
          <w:rFonts w:hint="eastAsia"/>
        </w:rPr>
        <w:t>就《确定最低工资公约》</w:t>
      </w:r>
      <w:r>
        <w:t>(</w:t>
      </w:r>
      <w:r>
        <w:rPr>
          <w:rFonts w:hint="eastAsia"/>
        </w:rPr>
        <w:t>第</w:t>
      </w:r>
      <w:r>
        <w:t>131</w:t>
      </w:r>
      <w:r>
        <w:rPr>
          <w:rFonts w:hint="eastAsia"/>
        </w:rPr>
        <w:t>号公约</w:t>
      </w:r>
      <w:r>
        <w:t>)</w:t>
      </w:r>
      <w:r>
        <w:rPr>
          <w:rFonts w:hint="eastAsia"/>
        </w:rPr>
        <w:t>提交的第</w:t>
      </w:r>
      <w:r>
        <w:t>19</w:t>
      </w:r>
      <w:r>
        <w:rPr>
          <w:rFonts w:hint="eastAsia"/>
        </w:rPr>
        <w:t>条</w:t>
      </w:r>
      <w:r>
        <w:t xml:space="preserve"> </w:t>
      </w:r>
      <w:r>
        <w:rPr>
          <w:rStyle w:val="FootnoteReference"/>
        </w:rPr>
        <w:footnoteReference w:id="19"/>
      </w:r>
      <w:r>
        <w:t xml:space="preserve"> </w:t>
      </w:r>
      <w:r>
        <w:rPr>
          <w:rFonts w:hint="eastAsia"/>
        </w:rPr>
        <w:t>报告</w:t>
      </w:r>
      <w:r>
        <w:t>(</w:t>
      </w:r>
      <w:r>
        <w:rPr>
          <w:rFonts w:hint="eastAsia"/>
        </w:rPr>
        <w:t>截至一九九○年十二月三十一日为止</w:t>
      </w:r>
      <w:r>
        <w:t>)</w:t>
      </w:r>
      <w:r>
        <w:rPr>
          <w:rFonts w:hint="eastAsia"/>
        </w:rPr>
        <w:t>；</w:t>
      </w:r>
    </w:p>
    <w:p w:rsidR="00000000" w:rsidRDefault="00000000">
      <w:pPr>
        <w:pStyle w:val="a0"/>
        <w:numPr>
          <w:ilvl w:val="0"/>
          <w:numId w:val="6"/>
        </w:numPr>
        <w:ind w:left="1531" w:hanging="510"/>
      </w:pPr>
      <w:r>
        <w:rPr>
          <w:rFonts w:hint="eastAsia"/>
        </w:rPr>
        <w:t>就《工作环境</w:t>
      </w:r>
      <w:r>
        <w:t>(</w:t>
      </w:r>
      <w:r>
        <w:rPr>
          <w:rFonts w:hint="eastAsia"/>
        </w:rPr>
        <w:t>空气污染、噪音和震动</w:t>
      </w:r>
      <w:r>
        <w:t>)</w:t>
      </w:r>
      <w:r>
        <w:rPr>
          <w:rFonts w:hint="eastAsia"/>
        </w:rPr>
        <w:t>公约》</w:t>
      </w:r>
      <w:r>
        <w:t>(</w:t>
      </w:r>
      <w:r>
        <w:rPr>
          <w:rFonts w:hint="eastAsia"/>
        </w:rPr>
        <w:t>第</w:t>
      </w:r>
      <w:r>
        <w:t>148</w:t>
      </w:r>
      <w:r>
        <w:rPr>
          <w:rFonts w:hint="eastAsia"/>
        </w:rPr>
        <w:t>号公约</w:t>
      </w:r>
      <w:r>
        <w:t>)</w:t>
      </w:r>
      <w:r>
        <w:rPr>
          <w:rFonts w:hint="eastAsia"/>
        </w:rPr>
        <w:t>提交有关一九八九年七月一日至一九九三年六月三十日的第</w:t>
      </w:r>
      <w:r>
        <w:t>22</w:t>
      </w:r>
      <w:r>
        <w:rPr>
          <w:rFonts w:hint="eastAsia"/>
        </w:rPr>
        <w:t>条报告；</w:t>
      </w:r>
    </w:p>
    <w:p w:rsidR="00000000" w:rsidRDefault="00000000">
      <w:pPr>
        <w:pStyle w:val="a0"/>
        <w:numPr>
          <w:ilvl w:val="0"/>
          <w:numId w:val="6"/>
        </w:numPr>
        <w:ind w:left="1531" w:hanging="510"/>
      </w:pPr>
      <w:r>
        <w:rPr>
          <w:rFonts w:hint="eastAsia"/>
        </w:rPr>
        <w:t>就《</w:t>
      </w:r>
      <w:r>
        <w:t>(</w:t>
      </w:r>
      <w:r>
        <w:rPr>
          <w:rFonts w:hint="eastAsia"/>
        </w:rPr>
        <w:t>工业</w:t>
      </w:r>
      <w:r>
        <w:t>)</w:t>
      </w:r>
      <w:r>
        <w:rPr>
          <w:rFonts w:hint="eastAsia"/>
        </w:rPr>
        <w:t>每周休息公约》</w:t>
      </w:r>
      <w:r>
        <w:t>(</w:t>
      </w:r>
      <w:r>
        <w:rPr>
          <w:rFonts w:hint="eastAsia"/>
        </w:rPr>
        <w:t>第</w:t>
      </w:r>
      <w:r>
        <w:t>14</w:t>
      </w:r>
      <w:r>
        <w:rPr>
          <w:rFonts w:hint="eastAsia"/>
        </w:rPr>
        <w:t>号公约</w:t>
      </w:r>
      <w:r>
        <w:t>)</w:t>
      </w:r>
      <w:r>
        <w:rPr>
          <w:rFonts w:hint="eastAsia"/>
        </w:rPr>
        <w:t>提交有关一九九三年七月一日至一九九四年六月三十日的第</w:t>
      </w:r>
      <w:r>
        <w:t>22</w:t>
      </w:r>
      <w:r>
        <w:rPr>
          <w:rFonts w:hint="eastAsia"/>
        </w:rPr>
        <w:t>条报告；</w:t>
      </w:r>
    </w:p>
    <w:p w:rsidR="00000000" w:rsidRDefault="00000000">
      <w:pPr>
        <w:pStyle w:val="a0"/>
        <w:numPr>
          <w:ilvl w:val="0"/>
          <w:numId w:val="6"/>
        </w:numPr>
        <w:ind w:left="1531" w:hanging="510"/>
      </w:pPr>
      <w:r>
        <w:rPr>
          <w:rFonts w:hint="eastAsia"/>
        </w:rPr>
        <w:t>就《辐射防护公约》</w:t>
      </w:r>
      <w:r>
        <w:t xml:space="preserve"> (</w:t>
      </w:r>
      <w:r>
        <w:rPr>
          <w:rFonts w:hint="eastAsia"/>
        </w:rPr>
        <w:t>第</w:t>
      </w:r>
      <w:r>
        <w:t>115</w:t>
      </w:r>
      <w:r>
        <w:rPr>
          <w:rFonts w:hint="eastAsia"/>
        </w:rPr>
        <w:t>号公约</w:t>
      </w:r>
      <w:r>
        <w:t xml:space="preserve">) </w:t>
      </w:r>
      <w:r>
        <w:rPr>
          <w:rFonts w:hint="eastAsia"/>
        </w:rPr>
        <w:t>提交有关一九九○年七月一日至一九九四年六月三十日的第</w:t>
      </w:r>
      <w:r>
        <w:t>22</w:t>
      </w:r>
      <w:r>
        <w:rPr>
          <w:rFonts w:hint="eastAsia"/>
        </w:rPr>
        <w:t>条报告；</w:t>
      </w:r>
    </w:p>
    <w:p w:rsidR="00000000" w:rsidRDefault="00000000">
      <w:pPr>
        <w:pStyle w:val="a0"/>
        <w:numPr>
          <w:ilvl w:val="0"/>
          <w:numId w:val="6"/>
        </w:numPr>
        <w:ind w:left="1531" w:hanging="510"/>
      </w:pPr>
      <w:r>
        <w:rPr>
          <w:rFonts w:hint="eastAsia"/>
        </w:rPr>
        <w:t>就《</w:t>
      </w:r>
      <w:r>
        <w:t>(</w:t>
      </w:r>
      <w:r>
        <w:rPr>
          <w:rFonts w:hint="eastAsia"/>
        </w:rPr>
        <w:t>就业和职业</w:t>
      </w:r>
      <w:r>
        <w:t>)</w:t>
      </w:r>
      <w:r>
        <w:rPr>
          <w:rFonts w:hint="eastAsia"/>
        </w:rPr>
        <w:t>歧视公约》</w:t>
      </w:r>
      <w:r>
        <w:t>(</w:t>
      </w:r>
      <w:r>
        <w:rPr>
          <w:rFonts w:hint="eastAsia"/>
        </w:rPr>
        <w:t>第</w:t>
      </w:r>
      <w:r>
        <w:t>111</w:t>
      </w:r>
      <w:r>
        <w:rPr>
          <w:rFonts w:hint="eastAsia"/>
        </w:rPr>
        <w:t>号公约</w:t>
      </w:r>
      <w:r>
        <w:t>)</w:t>
      </w:r>
      <w:r>
        <w:rPr>
          <w:rFonts w:hint="eastAsia"/>
        </w:rPr>
        <w:t>提交的第</w:t>
      </w:r>
      <w:r>
        <w:t>19</w:t>
      </w:r>
      <w:r>
        <w:rPr>
          <w:rFonts w:hint="eastAsia"/>
        </w:rPr>
        <w:t>条报告</w:t>
      </w:r>
      <w:r>
        <w:t>(</w:t>
      </w:r>
      <w:r>
        <w:rPr>
          <w:rFonts w:hint="eastAsia"/>
        </w:rPr>
        <w:t>截至一九九五年六月三十日为止</w:t>
      </w:r>
      <w:r>
        <w:t>)</w:t>
      </w:r>
      <w:r>
        <w:rPr>
          <w:rFonts w:hint="eastAsia"/>
        </w:rPr>
        <w:t>；</w:t>
      </w:r>
    </w:p>
    <w:p w:rsidR="00000000" w:rsidRDefault="00000000">
      <w:pPr>
        <w:pStyle w:val="a0"/>
        <w:numPr>
          <w:ilvl w:val="0"/>
          <w:numId w:val="6"/>
        </w:numPr>
        <w:ind w:left="1531" w:hanging="510"/>
      </w:pPr>
      <w:r>
        <w:rPr>
          <w:rFonts w:hint="eastAsia"/>
        </w:rPr>
        <w:t>就《</w:t>
      </w:r>
      <w:r>
        <w:t>(</w:t>
      </w:r>
      <w:r>
        <w:rPr>
          <w:rFonts w:hint="eastAsia"/>
        </w:rPr>
        <w:t>农业</w:t>
      </w:r>
      <w:r>
        <w:t>)</w:t>
      </w:r>
      <w:r>
        <w:rPr>
          <w:rFonts w:hint="eastAsia"/>
        </w:rPr>
        <w:t>带酬休假公约》</w:t>
      </w:r>
      <w:r>
        <w:t>(</w:t>
      </w:r>
      <w:r>
        <w:rPr>
          <w:rFonts w:hint="eastAsia"/>
        </w:rPr>
        <w:t>第</w:t>
      </w:r>
      <w:r>
        <w:t>101</w:t>
      </w:r>
      <w:r>
        <w:rPr>
          <w:rFonts w:hint="eastAsia"/>
        </w:rPr>
        <w:t>号公约</w:t>
      </w:r>
      <w:r>
        <w:t>)</w:t>
      </w:r>
      <w:r>
        <w:rPr>
          <w:rFonts w:hint="eastAsia"/>
        </w:rPr>
        <w:t>提交有关一九九四年七月一日至一九九五年十二月三十一日的第</w:t>
      </w:r>
      <w:r>
        <w:t>22</w:t>
      </w:r>
      <w:r>
        <w:rPr>
          <w:rFonts w:hint="eastAsia"/>
        </w:rPr>
        <w:t>条报告；及</w:t>
      </w:r>
    </w:p>
    <w:p w:rsidR="00000000" w:rsidRDefault="00000000">
      <w:pPr>
        <w:pStyle w:val="a0"/>
        <w:numPr>
          <w:ilvl w:val="0"/>
          <w:numId w:val="6"/>
        </w:numPr>
        <w:spacing w:after="320"/>
        <w:ind w:left="1531" w:hanging="510"/>
        <w:textAlignment w:val="center"/>
      </w:pPr>
      <w:r>
        <w:rPr>
          <w:rFonts w:hint="eastAsia"/>
        </w:rPr>
        <w:t>就《劳动监察公约》</w:t>
      </w:r>
      <w:r>
        <w:t>(</w:t>
      </w:r>
      <w:r>
        <w:rPr>
          <w:rFonts w:hint="eastAsia"/>
        </w:rPr>
        <w:t>第</w:t>
      </w:r>
      <w:r>
        <w:t>81</w:t>
      </w:r>
      <w:r>
        <w:rPr>
          <w:rFonts w:hint="eastAsia"/>
        </w:rPr>
        <w:t>号公约</w:t>
      </w:r>
      <w:r>
        <w:t>)</w:t>
      </w:r>
      <w:r>
        <w:rPr>
          <w:rFonts w:hint="eastAsia"/>
        </w:rPr>
        <w:t>提交有关一九九五年一月一日至一九九六年十二月三十一日的第</w:t>
      </w:r>
      <w:r>
        <w:t>22</w:t>
      </w:r>
      <w:r>
        <w:rPr>
          <w:rFonts w:hint="eastAsia"/>
        </w:rPr>
        <w:t>条报告。</w:t>
      </w:r>
    </w:p>
    <w:p w:rsidR="00000000" w:rsidRDefault="00000000">
      <w:pPr>
        <w:pStyle w:val="Heading4"/>
      </w:pPr>
      <w:r>
        <w:rPr>
          <w:rFonts w:hint="eastAsia"/>
        </w:rPr>
        <w:t>合理薪酬</w:t>
      </w:r>
    </w:p>
    <w:p w:rsidR="00000000" w:rsidRDefault="00000000">
      <w:r>
        <w:tab/>
        <w:t xml:space="preserve">79.  </w:t>
      </w:r>
      <w:r>
        <w:rPr>
          <w:rFonts w:hint="eastAsia"/>
        </w:rPr>
        <w:t>在上次报告审议结论第</w:t>
      </w:r>
      <w:r>
        <w:t>17</w:t>
      </w:r>
      <w:r>
        <w:rPr>
          <w:rFonts w:hint="eastAsia"/>
        </w:rPr>
        <w:t>段，委员会关注到，当局只在不具约束力的《性别歧视条例》实务守则中阐述同值同酬的原则，但却未有将之纳入香港的劳工法例，以致造成对女性的歧视。</w:t>
      </w:r>
    </w:p>
    <w:p w:rsidR="00000000" w:rsidRDefault="00000000">
      <w:r>
        <w:tab/>
        <w:t xml:space="preserve">80.  </w:t>
      </w:r>
      <w:r>
        <w:rPr>
          <w:rFonts w:hint="eastAsia"/>
        </w:rPr>
        <w:t>政府致力推行同值同酬的原则，同时亦鼓励所有雇主合力推行。不过，这并不代表政府认为所有雇员都应该获得相同的工资或薪金，而无视他们的工作表现或生产力；相反，政府认为，所有雇员都有权享有与其职级、职责、能力、年资、经验等方面相称的雇佣条款和条件。</w:t>
      </w:r>
    </w:p>
    <w:p w:rsidR="00000000" w:rsidRDefault="00000000">
      <w:r>
        <w:tab/>
        <w:t xml:space="preserve">81.  </w:t>
      </w:r>
      <w:r>
        <w:rPr>
          <w:rFonts w:hint="eastAsia"/>
        </w:rPr>
        <w:t>《性别歧视条例》订明，在雇佣范畴内，包括工作条款及条件、招聘、升级、调职及训练等方面，倘作出性别歧视行为，即属违法；不过，个别案件中女原告人的工作，是否跟她心目中某男同事的工作同值或可资比较，则须由法院裁定。法院在作出裁决时，可能会把《雇佣实务守则》作为其考虑因素。在拟备本报告的时候，平等机会委员会正在进行一项同值同酬工作的研究。预计该项研究可于一九九八至九九财政年度完成</w:t>
      </w:r>
      <w:r>
        <w:t xml:space="preserve"> </w:t>
      </w:r>
      <w:r>
        <w:rPr>
          <w:rStyle w:val="FootnoteReference"/>
        </w:rPr>
        <w:footnoteReference w:id="20"/>
      </w:r>
      <w:r>
        <w:rPr>
          <w:rFonts w:hint="eastAsia"/>
        </w:rPr>
        <w:t>。</w:t>
      </w:r>
    </w:p>
    <w:p w:rsidR="00000000" w:rsidRDefault="00000000">
      <w:r>
        <w:tab/>
        <w:t xml:space="preserve">82.  </w:t>
      </w:r>
      <w:r>
        <w:rPr>
          <w:rFonts w:hint="eastAsia"/>
        </w:rPr>
        <w:t>至于升级准则，情况亦相似。《性别歧视条例》订明，雇主若基于性别理由，在雇员的升级、调职或训练事宜上有所歧视，即属违法。此外，《残疾歧视条例》也有同样的条文，规定不得歧视残疾雇员。如上次报告第</w:t>
      </w:r>
      <w:r>
        <w:t>38</w:t>
      </w:r>
      <w:r>
        <w:rPr>
          <w:rFonts w:hint="eastAsia"/>
        </w:rPr>
        <w:t>段所述，升级准则是由雇主订定的，各行各业不尽相同，一般包括资格、经验</w:t>
      </w:r>
      <w:r>
        <w:t>(</w:t>
      </w:r>
      <w:r>
        <w:rPr>
          <w:rFonts w:hint="eastAsia"/>
        </w:rPr>
        <w:t>年资</w:t>
      </w:r>
      <w:r>
        <w:t>)</w:t>
      </w:r>
      <w:r>
        <w:rPr>
          <w:rFonts w:hint="eastAsia"/>
        </w:rPr>
        <w:t>及能力等。</w:t>
      </w:r>
    </w:p>
    <w:p w:rsidR="00000000" w:rsidRDefault="00000000">
      <w:pPr>
        <w:spacing w:after="320"/>
        <w:textAlignment w:val="center"/>
      </w:pPr>
      <w:r>
        <w:tab/>
        <w:t xml:space="preserve">83.  </w:t>
      </w:r>
      <w:r>
        <w:rPr>
          <w:rFonts w:hint="eastAsia"/>
        </w:rPr>
        <w:t>在上次报告审议结论第</w:t>
      </w:r>
      <w:r>
        <w:t>19</w:t>
      </w:r>
      <w:r>
        <w:rPr>
          <w:rFonts w:hint="eastAsia"/>
        </w:rPr>
        <w:t>段，委员会关注到在雇佣范畴上，《性别歧视条例》“没有就复职和可全数追讨补偿方面作出规定，以致能提供的补救措施相对不足；而《残疾歧视条例》则有包括这两方面的补救措施”。在第</w:t>
      </w:r>
      <w:r>
        <w:t>36</w:t>
      </w:r>
      <w:r>
        <w:rPr>
          <w:rFonts w:hint="eastAsia"/>
        </w:rPr>
        <w:t>段，委员会敦促政府“修订《性别歧视条例》，纳入复职条文，并废除现行有关追讨补偿上限的规定”。我们已在第二条下第</w:t>
      </w:r>
      <w:r>
        <w:t>7</w:t>
      </w:r>
      <w:r>
        <w:rPr>
          <w:rFonts w:hint="eastAsia"/>
        </w:rPr>
        <w:t>段就这些关注作出回应。</w:t>
      </w:r>
    </w:p>
    <w:p w:rsidR="00000000" w:rsidRDefault="00000000">
      <w:pPr>
        <w:pStyle w:val="Heading4"/>
      </w:pPr>
      <w:r>
        <w:rPr>
          <w:rFonts w:hint="eastAsia"/>
        </w:rPr>
        <w:t>雇员权益和福利</w:t>
      </w:r>
    </w:p>
    <w:p w:rsidR="00000000" w:rsidRDefault="00000000">
      <w:r>
        <w:tab/>
        <w:t xml:space="preserve">84.  </w:t>
      </w:r>
      <w:r>
        <w:rPr>
          <w:rFonts w:hint="eastAsia"/>
        </w:rPr>
        <w:t>《雇佣条例》</w:t>
      </w:r>
      <w:r>
        <w:t>(</w:t>
      </w:r>
      <w:r>
        <w:rPr>
          <w:rFonts w:hint="eastAsia"/>
        </w:rPr>
        <w:t>第</w:t>
      </w:r>
      <w:r>
        <w:t>57</w:t>
      </w:r>
      <w:r>
        <w:rPr>
          <w:rFonts w:hint="eastAsia"/>
        </w:rPr>
        <w:t>章</w:t>
      </w:r>
      <w:r>
        <w:t>)</w:t>
      </w:r>
      <w:r>
        <w:rPr>
          <w:rFonts w:hint="eastAsia"/>
        </w:rPr>
        <w:t>就休息日、法定假日、有薪年假、疾病津贴、生育保障、遣散费、长期服务金、终止雇佣合约、职工会不受歧视的保障，以及不受不合理解雇、不合理更改雇佣合约条款、不合法解雇的保障等范畴，都订明了最低标准。此外，《雇佣条例》亦订明，如雇佣合约条款的用意是除去或减少条例赋予雇员的权益、福利或保障，该条款便属无效。</w:t>
      </w:r>
    </w:p>
    <w:p w:rsidR="00000000" w:rsidRDefault="00000000">
      <w:pPr>
        <w:spacing w:after="320"/>
        <w:textAlignment w:val="center"/>
      </w:pPr>
      <w:r>
        <w:tab/>
        <w:t xml:space="preserve">85.  </w:t>
      </w:r>
      <w:r>
        <w:rPr>
          <w:rFonts w:hint="eastAsia"/>
        </w:rPr>
        <w:t>有关工业意外和职业病的补偿问题，下文第九条下第</w:t>
      </w:r>
      <w:r>
        <w:t>172</w:t>
      </w:r>
      <w:r>
        <w:rPr>
          <w:rFonts w:hint="eastAsia"/>
        </w:rPr>
        <w:t>至</w:t>
      </w:r>
      <w:r>
        <w:t>177</w:t>
      </w:r>
      <w:r>
        <w:rPr>
          <w:rFonts w:hint="eastAsia"/>
        </w:rPr>
        <w:t>段有所论述。</w:t>
      </w:r>
    </w:p>
    <w:p w:rsidR="00000000" w:rsidRDefault="00000000">
      <w:pPr>
        <w:pStyle w:val="Heading4"/>
      </w:pPr>
      <w:r>
        <w:rPr>
          <w:rFonts w:hint="eastAsia"/>
        </w:rPr>
        <w:t>委员会的结论</w:t>
      </w:r>
    </w:p>
    <w:p w:rsidR="00000000" w:rsidRDefault="00000000">
      <w:r>
        <w:tab/>
        <w:t xml:space="preserve">86.  </w:t>
      </w:r>
      <w:r>
        <w:rPr>
          <w:rFonts w:hint="eastAsia"/>
        </w:rPr>
        <w:t>在上次报告审议结论第</w:t>
      </w:r>
      <w:r>
        <w:t>21</w:t>
      </w:r>
      <w:r>
        <w:rPr>
          <w:rFonts w:hint="eastAsia"/>
        </w:rPr>
        <w:t>段，委员会关注到香港劳工法例并没有保障雇员免受不公平解雇，亦没有就限制工作时数、给予每周有薪休息时间和强制性超时工作工资等事宜作出规定。委员会认为这情况是雇员享有公平和很好工作条件的主要障碍。在第</w:t>
      </w:r>
      <w:r>
        <w:t>38</w:t>
      </w:r>
      <w:r>
        <w:rPr>
          <w:rFonts w:hint="eastAsia"/>
        </w:rPr>
        <w:t>段，委员会建议政府检讨不公平解雇、最低工资、每周有薪休息时间、最长工作时数及超时工作工资的政策。香港论者亦对上述建议表示赞同。</w:t>
      </w:r>
    </w:p>
    <w:p w:rsidR="00000000" w:rsidRDefault="00000000">
      <w:r>
        <w:tab/>
        <w:t xml:space="preserve">87.  </w:t>
      </w:r>
      <w:r>
        <w:rPr>
          <w:rFonts w:hint="eastAsia"/>
        </w:rPr>
        <w:t>现就委员会的结论依次答复如下：</w:t>
      </w:r>
    </w:p>
    <w:p w:rsidR="00000000" w:rsidRDefault="00000000">
      <w:pPr>
        <w:pStyle w:val="a0"/>
        <w:numPr>
          <w:ilvl w:val="0"/>
          <w:numId w:val="7"/>
        </w:numPr>
        <w:ind w:left="1531" w:hanging="510"/>
      </w:pPr>
      <w:r>
        <w:rPr>
          <w:rFonts w:hint="eastAsia"/>
          <w:u w:val="single"/>
        </w:rPr>
        <w:t>不公平解雇</w:t>
      </w:r>
      <w:r>
        <w:rPr>
          <w:rFonts w:hint="eastAsia"/>
        </w:rPr>
        <w:t>：这事项已于上文第六条下第</w:t>
      </w:r>
      <w:r>
        <w:t>53</w:t>
      </w:r>
      <w:r>
        <w:rPr>
          <w:rFonts w:hint="eastAsia"/>
        </w:rPr>
        <w:t>至</w:t>
      </w:r>
      <w:r>
        <w:t>55</w:t>
      </w:r>
      <w:r>
        <w:rPr>
          <w:rFonts w:hint="eastAsia"/>
        </w:rPr>
        <w:t>段论述；</w:t>
      </w:r>
    </w:p>
    <w:p w:rsidR="00000000" w:rsidRDefault="00000000">
      <w:pPr>
        <w:pStyle w:val="a0"/>
        <w:numPr>
          <w:ilvl w:val="0"/>
          <w:numId w:val="7"/>
        </w:numPr>
        <w:ind w:left="1531" w:hanging="510"/>
      </w:pPr>
      <w:r>
        <w:rPr>
          <w:rFonts w:hint="eastAsia"/>
          <w:u w:val="single"/>
        </w:rPr>
        <w:t>工作时数</w:t>
      </w:r>
      <w:r>
        <w:rPr>
          <w:rFonts w:hint="eastAsia"/>
        </w:rPr>
        <w:t>：受雇从事工业的青少年工人，其工作时数受法例规管</w:t>
      </w:r>
      <w:r>
        <w:t>(</w:t>
      </w:r>
      <w:r>
        <w:rPr>
          <w:rFonts w:hint="eastAsia"/>
        </w:rPr>
        <w:t>见附件</w:t>
      </w:r>
      <w:r>
        <w:t>9)</w:t>
      </w:r>
      <w:r>
        <w:rPr>
          <w:rFonts w:hint="eastAsia"/>
        </w:rPr>
        <w:t>。有关这方面及青少年工人的其他保障问题，在第十条下第</w:t>
      </w:r>
      <w:r>
        <w:t>278</w:t>
      </w:r>
      <w:r>
        <w:rPr>
          <w:rFonts w:hint="eastAsia"/>
        </w:rPr>
        <w:t>段有所论述。目前，成年工人的工作时数并无法例限制。政府认为，工作时数跟工资一样，是劳资双方直接议定的雇佣条款和条件内容之一。不过，政府也明白，工人在长时间连续工作之后，需要有足够的休息，以保障工人的安全和健康。在拟备本报告期间，我们正就未来路向咨询劳资双方的意见；</w:t>
      </w:r>
    </w:p>
    <w:p w:rsidR="00000000" w:rsidRDefault="00000000">
      <w:pPr>
        <w:pStyle w:val="a0"/>
        <w:numPr>
          <w:ilvl w:val="0"/>
          <w:numId w:val="7"/>
        </w:numPr>
        <w:ind w:left="1531" w:hanging="510"/>
      </w:pPr>
      <w:r>
        <w:rPr>
          <w:rFonts w:hint="eastAsia"/>
          <w:u w:val="single"/>
        </w:rPr>
        <w:t>休息日、法定假日和有薪年假</w:t>
      </w:r>
      <w:r>
        <w:rPr>
          <w:rFonts w:hint="eastAsia"/>
        </w:rPr>
        <w:t>：根据《雇佣条例》第</w:t>
      </w:r>
      <w:r>
        <w:t>IV</w:t>
      </w:r>
      <w:r>
        <w:rPr>
          <w:rFonts w:hint="eastAsia"/>
        </w:rPr>
        <w:t>部分，以连续性合约</w:t>
      </w:r>
      <w:r>
        <w:t xml:space="preserve"> </w:t>
      </w:r>
      <w:r>
        <w:rPr>
          <w:rStyle w:val="FootnoteReference"/>
        </w:rPr>
        <w:footnoteReference w:id="21"/>
      </w:r>
      <w:r>
        <w:t xml:space="preserve"> </w:t>
      </w:r>
      <w:r>
        <w:rPr>
          <w:rFonts w:hint="eastAsia"/>
        </w:rPr>
        <w:t>受雇的雇员，每七天有权享有一个休息日。除非因机器或工厂设备故障，或因其他不能预见的紧急事故，以致有此需要，否则雇主不得迫令雇员在休息日工作。《雇佣条例》并没有订明在休息日工作的薪酬，这方面应由个别雇佣合约订定。休息权利和其他法律保障如下：</w:t>
      </w:r>
    </w:p>
    <w:p w:rsidR="00000000" w:rsidRDefault="00000000">
      <w:pPr>
        <w:pStyle w:val="a5"/>
        <w:ind w:left="2064"/>
      </w:pPr>
      <w:r>
        <w:t>(i)</w:t>
      </w:r>
      <w:r>
        <w:tab/>
      </w:r>
      <w:r>
        <w:rPr>
          <w:rFonts w:hint="eastAsia"/>
          <w:u w:val="single"/>
        </w:rPr>
        <w:t>法定假日</w:t>
      </w:r>
      <w:r>
        <w:rPr>
          <w:rFonts w:hint="eastAsia"/>
        </w:rPr>
        <w:t>：《雇佣条例》第</w:t>
      </w:r>
      <w:r>
        <w:t>VIII</w:t>
      </w:r>
      <w:r>
        <w:rPr>
          <w:rFonts w:hint="eastAsia"/>
        </w:rPr>
        <w:t>部分订明，雇员每年可享有</w:t>
      </w:r>
      <w:r>
        <w:t>11</w:t>
      </w:r>
      <w:r>
        <w:rPr>
          <w:rFonts w:hint="eastAsia"/>
        </w:rPr>
        <w:t>天法定假日。一九九九年起，政府会加入劳动节</w:t>
      </w:r>
      <w:r>
        <w:t>(</w:t>
      </w:r>
      <w:r>
        <w:rPr>
          <w:rFonts w:hint="eastAsia"/>
        </w:rPr>
        <w:t>五月一日</w:t>
      </w:r>
      <w:r>
        <w:t>)</w:t>
      </w:r>
      <w:r>
        <w:rPr>
          <w:rFonts w:hint="eastAsia"/>
        </w:rPr>
        <w:t>为法定假日，把总数增至</w:t>
      </w:r>
      <w:r>
        <w:t>12</w:t>
      </w:r>
      <w:r>
        <w:rPr>
          <w:rFonts w:hint="eastAsia"/>
        </w:rPr>
        <w:t>日。雇员如在法定假日前，已根据连续性合约受雇至少三个月，便可在休该假日时获发以正常工资计算的薪金。《雇佣条例》不容许以薪酬代替假日；及</w:t>
      </w:r>
    </w:p>
    <w:p w:rsidR="00000000" w:rsidRDefault="00000000">
      <w:pPr>
        <w:pStyle w:val="a5"/>
        <w:ind w:left="2064"/>
      </w:pPr>
      <w:r>
        <w:t>(ii)</w:t>
      </w:r>
      <w:r>
        <w:tab/>
      </w:r>
      <w:r>
        <w:rPr>
          <w:rFonts w:hint="eastAsia"/>
          <w:u w:val="single"/>
        </w:rPr>
        <w:t>有薪年假</w:t>
      </w:r>
      <w:r>
        <w:rPr>
          <w:rFonts w:hint="eastAsia"/>
        </w:rPr>
        <w:t>：《雇佣条例》第</w:t>
      </w:r>
      <w:r>
        <w:t>VIIIA</w:t>
      </w:r>
      <w:r>
        <w:rPr>
          <w:rFonts w:hint="eastAsia"/>
        </w:rPr>
        <w:t>部分订明，根据连续性合约受雇的雇员，每服务满</w:t>
      </w:r>
      <w:r>
        <w:t>12</w:t>
      </w:r>
      <w:r>
        <w:rPr>
          <w:rFonts w:hint="eastAsia"/>
        </w:rPr>
        <w:t>个月后，便可享有有薪年假，</w:t>
      </w:r>
      <w:r>
        <w:t>7</w:t>
      </w:r>
      <w:r>
        <w:rPr>
          <w:rFonts w:hint="eastAsia"/>
        </w:rPr>
        <w:t>至</w:t>
      </w:r>
      <w:r>
        <w:t>14</w:t>
      </w:r>
      <w:r>
        <w:rPr>
          <w:rFonts w:hint="eastAsia"/>
        </w:rPr>
        <w:t>天不等，日数按有关雇员的服务年资计算。如在年假期间适逢有休息日或法定假日，该日即当作年假计算，雇主须另定休息日或假日代替。雇佣合约不得包括看来会剥夺任何或所有雇员年假权利的条款或条件。如雇佣合约因任何理由而终止</w:t>
      </w:r>
      <w:r>
        <w:t>(</w:t>
      </w:r>
      <w:r>
        <w:rPr>
          <w:rFonts w:hint="eastAsia"/>
        </w:rPr>
        <w:t>除雇员因严重不当行为而遭即时解雇者除外</w:t>
      </w:r>
      <w:r>
        <w:t>)</w:t>
      </w:r>
      <w:r>
        <w:rPr>
          <w:rFonts w:hint="eastAsia"/>
        </w:rPr>
        <w:t>，在假期年内服务满三个月</w:t>
      </w:r>
      <w:r>
        <w:t>(</w:t>
      </w:r>
      <w:r>
        <w:rPr>
          <w:rFonts w:hint="eastAsia"/>
        </w:rPr>
        <w:t>但少于</w:t>
      </w:r>
      <w:r>
        <w:t>12</w:t>
      </w:r>
      <w:r>
        <w:rPr>
          <w:rFonts w:hint="eastAsia"/>
        </w:rPr>
        <w:t>个月</w:t>
      </w:r>
      <w:r>
        <w:t>)</w:t>
      </w:r>
      <w:r>
        <w:rPr>
          <w:rFonts w:hint="eastAsia"/>
        </w:rPr>
        <w:t>的雇员，均有权享有以按比例基准计算的年假薪酬；</w:t>
      </w:r>
    </w:p>
    <w:p w:rsidR="00000000" w:rsidRDefault="00000000">
      <w:pPr>
        <w:ind w:left="1554"/>
      </w:pPr>
      <w:r>
        <w:rPr>
          <w:rFonts w:hint="eastAsia"/>
        </w:rPr>
        <w:t>附件</w:t>
      </w:r>
      <w:r>
        <w:t>10</w:t>
      </w:r>
      <w:r>
        <w:rPr>
          <w:rFonts w:hint="eastAsia"/>
        </w:rPr>
        <w:t>至</w:t>
      </w:r>
      <w:r>
        <w:t>12</w:t>
      </w:r>
      <w:r>
        <w:rPr>
          <w:rFonts w:hint="eastAsia"/>
        </w:rPr>
        <w:t>载列了有关违反上述条文的罚则，以及检控统计数字；</w:t>
      </w:r>
    </w:p>
    <w:p w:rsidR="00000000" w:rsidRDefault="00000000">
      <w:pPr>
        <w:pStyle w:val="a5"/>
        <w:ind w:left="1546"/>
      </w:pPr>
      <w:r>
        <w:t>(d)</w:t>
      </w:r>
      <w:r>
        <w:tab/>
      </w:r>
      <w:r>
        <w:rPr>
          <w:rFonts w:hint="eastAsia"/>
          <w:u w:val="single"/>
        </w:rPr>
        <w:t>超时工作薪酬</w:t>
      </w:r>
      <w:r>
        <w:rPr>
          <w:rFonts w:hint="eastAsia"/>
        </w:rPr>
        <w:t>：法例没有特别规定雇主必须给予雇员超时工作薪酬。超时工作薪酬及其金额，也跟工资</w:t>
      </w:r>
      <w:r>
        <w:t>/</w:t>
      </w:r>
      <w:r>
        <w:rPr>
          <w:rFonts w:hint="eastAsia"/>
        </w:rPr>
        <w:t>薪金一样，是劳资双方按照市场情况而议定的。不过，雇主给予雇员超时工作薪酬，是普遍的做法，而金额则各行各业不尽相同。一九九七年，《雇佣条例》作出了修订，规定雇主必须明确订明工资包括超时工作薪酬，如超时工作薪酬属固定性质，或如在过去</w:t>
      </w:r>
      <w:r>
        <w:t>12</w:t>
      </w:r>
      <w:r>
        <w:rPr>
          <w:rFonts w:hint="eastAsia"/>
        </w:rPr>
        <w:t>个月期间，超时工作薪酬的每月平均金额等于或超过雇员在同一段期间每月平均工资的</w:t>
      </w:r>
      <w:r>
        <w:t>20%</w:t>
      </w:r>
      <w:r>
        <w:rPr>
          <w:rFonts w:hint="eastAsia"/>
        </w:rPr>
        <w:t>，则在计算雇员的各项法定权益时，必须将超时工作薪酬也作为工资计算；及</w:t>
      </w:r>
    </w:p>
    <w:p w:rsidR="00000000" w:rsidRDefault="00000000">
      <w:pPr>
        <w:pStyle w:val="a5"/>
        <w:spacing w:after="320"/>
        <w:ind w:left="1546"/>
        <w:textAlignment w:val="center"/>
      </w:pPr>
      <w:r>
        <w:t>(e)</w:t>
      </w:r>
      <w:r>
        <w:tab/>
      </w:r>
      <w:r>
        <w:rPr>
          <w:rFonts w:hint="eastAsia"/>
          <w:u w:val="single"/>
        </w:rPr>
        <w:t>最低工资</w:t>
      </w:r>
      <w:r>
        <w:rPr>
          <w:rFonts w:hint="eastAsia"/>
        </w:rPr>
        <w:t>：《雇佣条例》订明雇佣权利和福利的法定最低标准</w:t>
      </w:r>
      <w:r>
        <w:t>(</w:t>
      </w:r>
      <w:r>
        <w:rPr>
          <w:rFonts w:hint="eastAsia"/>
        </w:rPr>
        <w:t>见下文第</w:t>
      </w:r>
      <w:r>
        <w:t>95</w:t>
      </w:r>
      <w:r>
        <w:rPr>
          <w:rFonts w:hint="eastAsia"/>
        </w:rPr>
        <w:t>段</w:t>
      </w:r>
      <w:r>
        <w:t>)</w:t>
      </w:r>
      <w:r>
        <w:rPr>
          <w:rFonts w:hint="eastAsia"/>
        </w:rPr>
        <w:t>。不过，香港并无法定最低工资。本地雇员的薪酬取决于劳资双方个别达成的协议，同时亦须视市场上劳工的供求关系而定。香港奉行自由市场经济，雇主和雇员可自由议定工资水平。基本上，我们认为制定最低工资会对经济构成不良影响，而这也是大部分主流经济学家</w:t>
      </w:r>
      <w:r>
        <w:t xml:space="preserve"> </w:t>
      </w:r>
      <w:r>
        <w:rPr>
          <w:rStyle w:val="FootnoteReference"/>
        </w:rPr>
        <w:footnoteReference w:id="22"/>
      </w:r>
      <w:r>
        <w:t xml:space="preserve"> </w:t>
      </w:r>
      <w:r>
        <w:rPr>
          <w:rFonts w:hint="eastAsia"/>
        </w:rPr>
        <w:t>的见解。虽然，基于下文第</w:t>
      </w:r>
      <w:r>
        <w:t>88</w:t>
      </w:r>
      <w:r>
        <w:rPr>
          <w:rFonts w:hint="eastAsia"/>
        </w:rPr>
        <w:t>和</w:t>
      </w:r>
      <w:r>
        <w:t>94</w:t>
      </w:r>
      <w:r>
        <w:rPr>
          <w:rFonts w:hint="eastAsia"/>
        </w:rPr>
        <w:t>段所述的理由，我们确有为特别容易受到剥削的外籍家庭佣工和外地劳工制定了最低工资，我们也知道其他奉行自由市场经济的国家早已制定最低工资，但其最低工资法例主要是基于特殊的历史及政治原因而设，与经济因素无关。最近，很多有关的经济实体已逐渐放宽劳工市场的规定。我们认为香港不应朝着相反的方向而行。</w:t>
      </w:r>
    </w:p>
    <w:p w:rsidR="00000000" w:rsidRDefault="00000000">
      <w:pPr>
        <w:pStyle w:val="Heading4"/>
      </w:pPr>
      <w:r>
        <w:rPr>
          <w:rFonts w:hint="eastAsia"/>
        </w:rPr>
        <w:t>外地劳工和外籍家庭佣工</w:t>
      </w:r>
    </w:p>
    <w:p w:rsidR="00000000" w:rsidRDefault="00000000">
      <w:pPr>
        <w:pStyle w:val="Heading4"/>
      </w:pPr>
      <w:r>
        <w:rPr>
          <w:u w:val="none"/>
        </w:rPr>
        <w:tab/>
      </w:r>
      <w:r>
        <w:rPr>
          <w:rFonts w:hint="eastAsia"/>
        </w:rPr>
        <w:t>外籍家庭佣工</w:t>
      </w:r>
    </w:p>
    <w:p w:rsidR="00000000" w:rsidRDefault="00000000">
      <w:r>
        <w:tab/>
        <w:t xml:space="preserve">88.  </w:t>
      </w:r>
      <w:r>
        <w:rPr>
          <w:rFonts w:hint="eastAsia"/>
        </w:rPr>
        <w:t>截至一九九八年六月三十日为止，有</w:t>
      </w:r>
      <w:r>
        <w:t>177,548</w:t>
      </w:r>
      <w:r>
        <w:rPr>
          <w:rFonts w:hint="eastAsia"/>
        </w:rPr>
        <w:t>名外籍人士</w:t>
      </w:r>
      <w:r>
        <w:t>(</w:t>
      </w:r>
      <w:r>
        <w:rPr>
          <w:rFonts w:hint="eastAsia"/>
        </w:rPr>
        <w:t>大部分为女性</w:t>
      </w:r>
      <w:r>
        <w:t>)</w:t>
      </w:r>
      <w:r>
        <w:rPr>
          <w:rFonts w:hint="eastAsia"/>
        </w:rPr>
        <w:t>在港担任家庭佣工。他们约有</w:t>
      </w:r>
      <w:r>
        <w:t>80%</w:t>
      </w:r>
      <w:r>
        <w:rPr>
          <w:rFonts w:hint="eastAsia"/>
        </w:rPr>
        <w:t>来自菲律宾，</w:t>
      </w:r>
      <w:r>
        <w:t>16%</w:t>
      </w:r>
      <w:r>
        <w:rPr>
          <w:rFonts w:hint="eastAsia"/>
        </w:rPr>
        <w:t>来自印尼，</w:t>
      </w:r>
      <w:r>
        <w:t>3%</w:t>
      </w:r>
      <w:r>
        <w:rPr>
          <w:rFonts w:hint="eastAsia"/>
        </w:rPr>
        <w:t>来自泰国，余下</w:t>
      </w:r>
      <w:r>
        <w:t>1%</w:t>
      </w:r>
      <w:r>
        <w:rPr>
          <w:rFonts w:hint="eastAsia"/>
        </w:rPr>
        <w:t>则主要来自南亚。外籍家庭佣工的雇主须支付最低工资，金额现为每月</w:t>
      </w:r>
      <w:r>
        <w:t>3,860</w:t>
      </w:r>
      <w:r>
        <w:rPr>
          <w:rFonts w:hint="eastAsia"/>
        </w:rPr>
        <w:t>港元。这个最低工资水平，大致相当于从事同类工作的本地佣工的市场工资。这种设定最低工资的情况，在香港是仅见的。政府设定最低工资的目的，一方面是要保障这一群容易受到剥削的外籍家庭佣工；另一方面，又要确保本地佣工不会被雇主利用外籍佣工压低工资。雇主必须为外籍佣工提供免费膳宿、免费医疗，并在雇佣合约期满或终止时，向其提供返回原居地的机票。外籍佣工亦与其他工人一样，享有法定假期及每周休息日的权利</w:t>
      </w:r>
      <w:r>
        <w:t>(</w:t>
      </w:r>
      <w:r>
        <w:rPr>
          <w:rFonts w:hint="eastAsia"/>
        </w:rPr>
        <w:t>见上文第</w:t>
      </w:r>
      <w:r>
        <w:t>87</w:t>
      </w:r>
      <w:r>
        <w:rPr>
          <w:rFonts w:hint="eastAsia"/>
        </w:rPr>
        <w:t>段</w:t>
      </w:r>
      <w:r>
        <w:t>)</w:t>
      </w:r>
      <w:r>
        <w:rPr>
          <w:rFonts w:hint="eastAsia"/>
        </w:rPr>
        <w:t>。</w:t>
      </w:r>
    </w:p>
    <w:p w:rsidR="00000000" w:rsidRDefault="00000000">
      <w:r>
        <w:tab/>
        <w:t xml:space="preserve">89.  </w:t>
      </w:r>
      <w:r>
        <w:rPr>
          <w:rFonts w:hint="eastAsia"/>
        </w:rPr>
        <w:t>外籍家庭佣工与其他外地劳工一样，通过劳工处举办的教育和宣传活动，认识他们在法律及合约上的权利和责任。</w:t>
      </w:r>
    </w:p>
    <w:p w:rsidR="00000000" w:rsidRDefault="00000000">
      <w:r>
        <w:tab/>
        <w:t xml:space="preserve">90.  </w:t>
      </w:r>
      <w:r>
        <w:rPr>
          <w:rFonts w:hint="eastAsia"/>
        </w:rPr>
        <w:t>在上次报告审议结论第</w:t>
      </w:r>
      <w:r>
        <w:t>14(f)</w:t>
      </w:r>
      <w:r>
        <w:rPr>
          <w:rFonts w:hint="eastAsia"/>
        </w:rPr>
        <w:t>段，委员会表示关注到政府继续施行外籍家庭佣工约满后的“两星期规则”，以致妨碍了他们的经济、社会和文化权利”。本地论者对此也表示关注，他们认为，政府在一九九八年二月决定把外籍家庭佣工的最低工资冻结在现行水平，已侵犯了外籍家庭佣工的权利。</w:t>
      </w:r>
    </w:p>
    <w:p w:rsidR="00000000" w:rsidRDefault="00000000">
      <w:r>
        <w:tab/>
        <w:t xml:space="preserve">91.  </w:t>
      </w:r>
      <w:r>
        <w:rPr>
          <w:rFonts w:hint="eastAsia"/>
        </w:rPr>
        <w:t>对于英国根据公约提交有关香港的第二次报告，委员会在其审议结论中，提出了废除“两星期规则”的建议。就此，政府在上次报告第</w:t>
      </w:r>
      <w:r>
        <w:t>46</w:t>
      </w:r>
      <w:r>
        <w:rPr>
          <w:rFonts w:hint="eastAsia"/>
        </w:rPr>
        <w:t>至</w:t>
      </w:r>
      <w:r>
        <w:t>48</w:t>
      </w:r>
      <w:r>
        <w:rPr>
          <w:rFonts w:hint="eastAsia"/>
        </w:rPr>
        <w:t>段已作出回应，阐明政府在这问题上的立场。基本上，政府仍然认为“两星期规则”是合理和必需的。如上次报告所述，订立这项规则的目的，是要防止外籍家庭佣工逾期居留，从事未经批准的工作。不过，政府亦会同时继续弹性执行这项规定，以顾及一些特殊个案中确实有困难的佣工。</w:t>
      </w:r>
    </w:p>
    <w:p w:rsidR="00000000" w:rsidRDefault="00000000">
      <w:r>
        <w:tab/>
        <w:t xml:space="preserve">92.  </w:t>
      </w:r>
      <w:r>
        <w:rPr>
          <w:rFonts w:hint="eastAsia"/>
        </w:rPr>
        <w:t>政府并不认为现行“冻结”最低工资的做法，会削减外籍家庭佣工的权利。政府每年检讨最低工资的金额时，均会计及可比行业的工资变动、本地经济状况，以及外籍佣工工资换算其原居地货币的价值</w:t>
      </w:r>
      <w:r>
        <w:t xml:space="preserve"> </w:t>
      </w:r>
      <w:r>
        <w:rPr>
          <w:rStyle w:val="FootnoteReference"/>
        </w:rPr>
        <w:footnoteReference w:id="23"/>
      </w:r>
      <w:r>
        <w:t xml:space="preserve"> </w:t>
      </w:r>
      <w:r>
        <w:rPr>
          <w:rFonts w:hint="eastAsia"/>
        </w:rPr>
        <w:t>等因素。事实上，最低许可工资不过是最起码的薪金。雇主是可以支付较高的金额的，而他们往往也会这样做。此外，如上文所述，外籍家庭佣工享有多项合约福利，例如免费膳食、医疗和住宿等。政府“冻结”他们的最低工资，是由于香港经济渐趋不景，其他各行各业的雇员，包括高级公务员在内，工资及薪金亦被冻结。事实上，部分人还被减薪。</w:t>
      </w:r>
    </w:p>
    <w:p w:rsidR="00000000" w:rsidRDefault="00000000">
      <w:pPr>
        <w:tabs>
          <w:tab w:val="left" w:pos="510"/>
          <w:tab w:val="left" w:pos="1021"/>
          <w:tab w:val="left" w:pos="1531"/>
          <w:tab w:val="left" w:pos="2041"/>
        </w:tabs>
        <w:spacing w:after="320"/>
      </w:pPr>
      <w:r>
        <w:tab/>
        <w:t xml:space="preserve">93.  </w:t>
      </w:r>
      <w:r>
        <w:rPr>
          <w:rFonts w:hint="eastAsia"/>
        </w:rPr>
        <w:t>我们将于一九九八年年底，根据当时的经济情况检讨最低许可工资金额，并会于一九九九年年初公布该年的工资水平。</w:t>
      </w:r>
    </w:p>
    <w:p w:rsidR="00000000" w:rsidRDefault="00000000">
      <w:pPr>
        <w:pStyle w:val="Heading4"/>
        <w:ind w:left="518"/>
      </w:pPr>
      <w:r>
        <w:rPr>
          <w:rFonts w:hint="eastAsia"/>
        </w:rPr>
        <w:t>外地劳工</w:t>
      </w:r>
    </w:p>
    <w:p w:rsidR="00000000" w:rsidRDefault="00000000">
      <w:pPr>
        <w:spacing w:after="320"/>
        <w:textAlignment w:val="center"/>
      </w:pPr>
      <w:r>
        <w:tab/>
        <w:t xml:space="preserve">94.  </w:t>
      </w:r>
      <w:r>
        <w:rPr>
          <w:rFonts w:hint="eastAsia"/>
        </w:rPr>
        <w:t>截至一九九八年六月三十日为止，约有</w:t>
      </w:r>
      <w:r>
        <w:t>5,350</w:t>
      </w:r>
      <w:r>
        <w:rPr>
          <w:rFonts w:hint="eastAsia"/>
        </w:rPr>
        <w:t>名外地劳工通过输入劳工计划在香港工作</w:t>
      </w:r>
      <w:r>
        <w:t>(</w:t>
      </w:r>
      <w:r>
        <w:rPr>
          <w:rFonts w:hint="eastAsia"/>
        </w:rPr>
        <w:t>见第六条下第</w:t>
      </w:r>
      <w:r>
        <w:t>65</w:t>
      </w:r>
      <w:r>
        <w:rPr>
          <w:rFonts w:hint="eastAsia"/>
        </w:rPr>
        <w:t>段</w:t>
      </w:r>
      <w:r>
        <w:t>)</w:t>
      </w:r>
      <w:r>
        <w:rPr>
          <w:rFonts w:hint="eastAsia"/>
        </w:rPr>
        <w:t>。大部分外地劳工均以两年期合约受聘。政府通过印发资料小册子、举办强制性简介会，以及提供备有五种方言</w:t>
      </w:r>
      <w:r>
        <w:t>/</w:t>
      </w:r>
      <w:r>
        <w:rPr>
          <w:rFonts w:hint="eastAsia"/>
        </w:rPr>
        <w:t>语言的电话录音查询服务，让外地劳工认识到他们根据法例所享有的权利和福利。雇主方面，他们所支付给外地劳工的工资，金额须与同类职位的本地工人工资相若。此外，雇主亦须负担外地劳工的医疗费用，并为他们提供指定标准的住宿地方。</w:t>
      </w:r>
    </w:p>
    <w:p w:rsidR="00000000" w:rsidRDefault="00000000">
      <w:pPr>
        <w:pStyle w:val="Heading4"/>
        <w:ind w:left="518"/>
      </w:pPr>
      <w:r>
        <w:rPr>
          <w:rFonts w:hint="eastAsia"/>
        </w:rPr>
        <w:t>法律保障</w:t>
      </w:r>
    </w:p>
    <w:p w:rsidR="00000000" w:rsidRDefault="00000000">
      <w:r>
        <w:tab/>
        <w:t xml:space="preserve">95.  </w:t>
      </w:r>
      <w:r>
        <w:rPr>
          <w:rFonts w:hint="eastAsia"/>
        </w:rPr>
        <w:t>外地劳工及外籍家庭佣工均与本地工人一样，享有劳工法例所赋予的同样权利和福利，包括《雇佣条例》及《雇员补偿条例》所订明的保障</w:t>
      </w:r>
      <w:r>
        <w:t>(</w:t>
      </w:r>
      <w:r>
        <w:rPr>
          <w:rFonts w:hint="eastAsia"/>
        </w:rPr>
        <w:t>见下文第九条下第</w:t>
      </w:r>
      <w:r>
        <w:t>162</w:t>
      </w:r>
      <w:r>
        <w:rPr>
          <w:rFonts w:hint="eastAsia"/>
        </w:rPr>
        <w:t>至</w:t>
      </w:r>
      <w:r>
        <w:t>172</w:t>
      </w:r>
      <w:r>
        <w:rPr>
          <w:rFonts w:hint="eastAsia"/>
        </w:rPr>
        <w:t>段</w:t>
      </w:r>
      <w:r>
        <w:rPr>
          <w:rStyle w:val="FootnoteReference"/>
        </w:rPr>
        <w:footnoteReference w:id="24"/>
      </w:r>
      <w:r>
        <w:t xml:space="preserve"> )</w:t>
      </w:r>
      <w:r>
        <w:rPr>
          <w:rFonts w:hint="eastAsia"/>
        </w:rPr>
        <w:t>。此外，若他们与雇主发生纠纷，他们同样可获得劳工处提供调解服务。一旦调解失败，他们也可视索偿金额及申索人人数多寡，向小额薪酬索偿仲裁处或劳资审裁处提出索偿。</w:t>
      </w:r>
    </w:p>
    <w:p w:rsidR="00000000" w:rsidRDefault="00000000">
      <w:pPr>
        <w:spacing w:after="320"/>
        <w:textAlignment w:val="center"/>
      </w:pPr>
      <w:r>
        <w:tab/>
        <w:t xml:space="preserve">96.  </w:t>
      </w:r>
      <w:r>
        <w:rPr>
          <w:rFonts w:hint="eastAsia"/>
        </w:rPr>
        <w:t>外地劳工及外籍家庭佣工在雇佣合约终止或期满后，可获雇主免费提供返回原居地的机票回程旅费。雇主必须履行这项责任。</w:t>
      </w:r>
    </w:p>
    <w:p w:rsidR="00000000" w:rsidRDefault="00000000">
      <w:pPr>
        <w:pStyle w:val="Heading4"/>
        <w:ind w:left="518"/>
      </w:pPr>
      <w:r>
        <w:rPr>
          <w:rFonts w:hint="eastAsia"/>
        </w:rPr>
        <w:t>加强执法行动</w:t>
      </w:r>
    </w:p>
    <w:p w:rsidR="00000000" w:rsidRDefault="00000000">
      <w:pPr>
        <w:spacing w:after="320"/>
        <w:textAlignment w:val="center"/>
      </w:pPr>
      <w:r>
        <w:tab/>
        <w:t xml:space="preserve">97.  </w:t>
      </w:r>
      <w:r>
        <w:rPr>
          <w:rFonts w:hint="eastAsia"/>
        </w:rPr>
        <w:t>政府各部门，特别是劳工处，均致力确保外地劳工能享受本身应有的权利和福利。当局定期派员到外地劳工的居所和工作地点视察，以确定他们享有法律及合约所赋予的一切权利。政府并设立了一条</w:t>
      </w:r>
      <w:r>
        <w:t>24</w:t>
      </w:r>
      <w:r>
        <w:rPr>
          <w:rFonts w:hint="eastAsia"/>
        </w:rPr>
        <w:t>小时投诉热线，方便他们作出投诉。违规的雇主会被检控及</w:t>
      </w:r>
      <w:r>
        <w:t>/</w:t>
      </w:r>
      <w:r>
        <w:rPr>
          <w:rFonts w:hint="eastAsia"/>
        </w:rPr>
        <w:t>或受到行政制裁，例如暂时中止参与输入劳工计划。此外，劳工处亦会调查外籍家庭佣工对雇主作出的投诉。若发现雇主违反法定或合约责任，劳工处便会提出检控。</w:t>
      </w:r>
    </w:p>
    <w:p w:rsidR="00000000" w:rsidRDefault="00000000">
      <w:pPr>
        <w:pStyle w:val="Heading4"/>
      </w:pPr>
      <w:r>
        <w:rPr>
          <w:rFonts w:hint="eastAsia"/>
        </w:rPr>
        <w:t>安全和健康的工作环境</w:t>
      </w:r>
    </w:p>
    <w:p w:rsidR="00000000" w:rsidRDefault="00000000">
      <w:r>
        <w:tab/>
        <w:t xml:space="preserve">98.  </w:t>
      </w:r>
      <w:r>
        <w:rPr>
          <w:rFonts w:hint="eastAsia"/>
        </w:rPr>
        <w:t>劳工处职业安全主任的职责，是保障工厂、建筑工地及其他工作场所雇员的安全和健康。其工作包括进行视察、展开意外调查、推行教育、推广和宣传运动，以及进行执法行动等。此外，劳工处更设有专责小组，负责就一些特别需要关注的范畴，例如机械操作、防火、建筑等，宣传工业安全的信息。该小组也会协助业界成立安全委员会，让管理人员和雇员认识有关工作所潜伏的危险，并制定相应的安全计划。一九九八年上半年，劳工处共进行了</w:t>
      </w:r>
      <w:r>
        <w:t>41,952</w:t>
      </w:r>
      <w:r>
        <w:rPr>
          <w:rFonts w:hint="eastAsia"/>
        </w:rPr>
        <w:t>次视察：视察工厂和其他工作场所</w:t>
      </w:r>
      <w:r>
        <w:t>26,982</w:t>
      </w:r>
      <w:r>
        <w:rPr>
          <w:rFonts w:hint="eastAsia"/>
        </w:rPr>
        <w:t>次；视察工地</w:t>
      </w:r>
      <w:r>
        <w:t>14,970</w:t>
      </w:r>
      <w:r>
        <w:rPr>
          <w:rFonts w:hint="eastAsia"/>
        </w:rPr>
        <w:t>次。</w:t>
      </w:r>
    </w:p>
    <w:p w:rsidR="00000000" w:rsidRDefault="00000000">
      <w:pPr>
        <w:spacing w:after="320"/>
        <w:textAlignment w:val="center"/>
      </w:pPr>
      <w:r>
        <w:tab/>
        <w:t xml:space="preserve">99.  </w:t>
      </w:r>
      <w:r>
        <w:rPr>
          <w:rFonts w:hint="eastAsia"/>
        </w:rPr>
        <w:t>有关法律保障於下文第</w:t>
      </w:r>
      <w:r>
        <w:t>102</w:t>
      </w:r>
      <w:r>
        <w:rPr>
          <w:rFonts w:hint="eastAsia"/>
        </w:rPr>
        <w:t>至</w:t>
      </w:r>
      <w:r>
        <w:t>110</w:t>
      </w:r>
      <w:r>
        <w:rPr>
          <w:rFonts w:hint="eastAsia"/>
        </w:rPr>
        <w:t>段将有所论述。</w:t>
      </w:r>
    </w:p>
    <w:p w:rsidR="00000000" w:rsidRDefault="00000000">
      <w:pPr>
        <w:pStyle w:val="Heading4"/>
        <w:ind w:left="518"/>
      </w:pPr>
      <w:r>
        <w:rPr>
          <w:rFonts w:hint="eastAsia"/>
        </w:rPr>
        <w:t>遇到的困难</w:t>
      </w:r>
    </w:p>
    <w:p w:rsidR="00000000" w:rsidRDefault="00000000">
      <w:r>
        <w:tab/>
        <w:t xml:space="preserve">100.  </w:t>
      </w:r>
      <w:r>
        <w:rPr>
          <w:rFonts w:hint="eastAsia"/>
        </w:rPr>
        <w:t>对于上述种种安全措施，部份雇主和雇员并不积极响应。此外，建造业和船舶修建业错综复杂的工程分包制度，加以工业界内工人的高度流动性，使政府在工业安全的推广和训练工作难于收效。附件</w:t>
      </w:r>
      <w:r>
        <w:t>13</w:t>
      </w:r>
      <w:r>
        <w:rPr>
          <w:rFonts w:hint="eastAsia"/>
        </w:rPr>
        <w:t>详列了一九八七年及一九九五至九七年间职业受伤个案的数字和类别。有关数字显示，虽然我们在多个范畴上均已获得重大进展，但我们仍须更加努力。</w:t>
      </w:r>
    </w:p>
    <w:p w:rsidR="00000000" w:rsidRDefault="00000000">
      <w:pPr>
        <w:spacing w:after="240"/>
        <w:textAlignment w:val="center"/>
      </w:pPr>
      <w:r>
        <w:tab/>
        <w:t xml:space="preserve">101.  </w:t>
      </w:r>
      <w:r>
        <w:rPr>
          <w:rFonts w:hint="eastAsia"/>
        </w:rPr>
        <w:t>一九九四年，政府就工业安全问题进行了一次全面检讨，并于一九九五年发表检讨结果和建议，咨询公众的意见。据此，政府于一九九六年采取新措施，以处理工人在工作场所的健康和安全问题。现时，政府鼓励劳资双方通过自我规管、教育、训练、宣传安全意识，以及加强认识发生意外的代价等方法，正视工业安全的问题。政府将于一九九九年初立法制订安全管理措施，并对不自律的机构采取执法行动。</w:t>
      </w:r>
    </w:p>
    <w:p w:rsidR="00000000" w:rsidRDefault="00000000">
      <w:pPr>
        <w:pStyle w:val="Heading4"/>
      </w:pPr>
      <w:r>
        <w:rPr>
          <w:rFonts w:hint="eastAsia"/>
        </w:rPr>
        <w:t>预防工业意外事故和职业病：法律保障</w:t>
      </w:r>
    </w:p>
    <w:p w:rsidR="00000000" w:rsidRDefault="00000000">
      <w:pPr>
        <w:pStyle w:val="Heading4"/>
        <w:ind w:left="518"/>
        <w:rPr>
          <w:sz w:val="26"/>
        </w:rPr>
      </w:pPr>
      <w:r>
        <w:rPr>
          <w:rFonts w:hint="eastAsia"/>
          <w:sz w:val="26"/>
          <w:u w:val="none"/>
        </w:rPr>
        <w:t>《</w:t>
      </w:r>
      <w:r>
        <w:rPr>
          <w:rFonts w:hint="eastAsia"/>
          <w:sz w:val="26"/>
        </w:rPr>
        <w:t>工厂及工业经营条例》</w:t>
      </w:r>
      <w:r>
        <w:rPr>
          <w:sz w:val="26"/>
        </w:rPr>
        <w:t>(</w:t>
      </w:r>
      <w:r>
        <w:rPr>
          <w:rFonts w:hint="eastAsia"/>
          <w:sz w:val="26"/>
        </w:rPr>
        <w:t>第</w:t>
      </w:r>
      <w:r>
        <w:rPr>
          <w:sz w:val="26"/>
        </w:rPr>
        <w:t>59</w:t>
      </w:r>
      <w:r>
        <w:rPr>
          <w:rFonts w:hint="eastAsia"/>
          <w:sz w:val="26"/>
        </w:rPr>
        <w:t>章</w:t>
      </w:r>
      <w:r>
        <w:rPr>
          <w:sz w:val="26"/>
        </w:rPr>
        <w:t>)</w:t>
      </w:r>
    </w:p>
    <w:p w:rsidR="00000000" w:rsidRDefault="00000000">
      <w:r>
        <w:tab/>
        <w:t xml:space="preserve">102.  </w:t>
      </w:r>
      <w:r>
        <w:rPr>
          <w:rFonts w:hint="eastAsia"/>
        </w:rPr>
        <w:t>这是香港有关工业安全的主要法例，适用于工厂、矿场。采石场、造船厂、建筑工地和食肆等工业场所。条例本身及其附属法例订明有关预防工业意外事故和职业病的各项规定，包括就某些行业和工序而订定的详细规则。根据这条例所制定的规例，其中有条文规定，雇主须为那些在工作时使用或相当可能会接触危险物质的雇员提供防护衣物及设备。</w:t>
      </w:r>
    </w:p>
    <w:p w:rsidR="00000000" w:rsidRDefault="00000000">
      <w:pPr>
        <w:spacing w:after="320"/>
        <w:textAlignment w:val="center"/>
      </w:pPr>
      <w:r>
        <w:tab/>
        <w:t xml:space="preserve">103.  </w:t>
      </w:r>
      <w:r>
        <w:rPr>
          <w:rFonts w:hint="eastAsia"/>
        </w:rPr>
        <w:t>根据这条例和《职业安全及健康条例》就预防工业意外事故和职业病而制定的法律条文，已摘录于附件</w:t>
      </w:r>
      <w:r>
        <w:t>14</w:t>
      </w:r>
      <w:r>
        <w:rPr>
          <w:rFonts w:hint="eastAsia"/>
        </w:rPr>
        <w:t>；至于违反这两条条例下有关规例的各项罚则，以及有关检控数字，则载于附件</w:t>
      </w:r>
      <w:r>
        <w:t>15</w:t>
      </w:r>
      <w:r>
        <w:rPr>
          <w:rFonts w:hint="eastAsia"/>
        </w:rPr>
        <w:t>。</w:t>
      </w:r>
    </w:p>
    <w:p w:rsidR="00000000" w:rsidRDefault="00000000">
      <w:pPr>
        <w:pStyle w:val="Heading4"/>
        <w:ind w:left="518"/>
      </w:pPr>
      <w:r>
        <w:rPr>
          <w:rFonts w:hint="eastAsia"/>
          <w:u w:val="none"/>
        </w:rPr>
        <w:t>《</w:t>
      </w:r>
      <w:r>
        <w:rPr>
          <w:rFonts w:hint="eastAsia"/>
        </w:rPr>
        <w:t>职业安全及健康条例》</w:t>
      </w:r>
      <w:r>
        <w:t>(</w:t>
      </w:r>
      <w:r>
        <w:rPr>
          <w:rFonts w:hint="eastAsia"/>
        </w:rPr>
        <w:t>第</w:t>
      </w:r>
      <w:r>
        <w:t>509</w:t>
      </w:r>
      <w:r>
        <w:rPr>
          <w:rFonts w:hint="eastAsia"/>
        </w:rPr>
        <w:t>章</w:t>
      </w:r>
      <w:r>
        <w:t>)</w:t>
      </w:r>
    </w:p>
    <w:p w:rsidR="00000000" w:rsidRDefault="00000000">
      <w:pPr>
        <w:spacing w:after="320"/>
        <w:textAlignment w:val="center"/>
      </w:pPr>
      <w:r>
        <w:tab/>
        <w:t xml:space="preserve">104.  </w:t>
      </w:r>
      <w:r>
        <w:rPr>
          <w:rFonts w:hint="eastAsia"/>
        </w:rPr>
        <w:t>这条例于一九九七年制定，旨在把有关职业安全及健康的法律规定适用范围，扩及所有经济活动</w:t>
      </w:r>
      <w:r>
        <w:t>(</w:t>
      </w:r>
      <w:r>
        <w:rPr>
          <w:rFonts w:hint="eastAsia"/>
        </w:rPr>
        <w:t>包括工业和非工业</w:t>
      </w:r>
      <w:r>
        <w:t>)</w:t>
      </w:r>
      <w:r>
        <w:rPr>
          <w:rFonts w:hint="eastAsia"/>
        </w:rPr>
        <w:t>的工作场所。条例亦授权政府制定附属规例，订明工作场所的最低职业安全及健康标准。</w:t>
      </w:r>
    </w:p>
    <w:p w:rsidR="00000000" w:rsidRDefault="00000000">
      <w:pPr>
        <w:pStyle w:val="Heading4"/>
        <w:ind w:left="518"/>
      </w:pPr>
      <w:r>
        <w:rPr>
          <w:rFonts w:hint="eastAsia"/>
          <w:u w:val="none"/>
        </w:rPr>
        <w:t>《</w:t>
      </w:r>
      <w:r>
        <w:rPr>
          <w:rFonts w:hint="eastAsia"/>
        </w:rPr>
        <w:t>锅炉及压力容器条例》</w:t>
      </w:r>
      <w:r>
        <w:t>(</w:t>
      </w:r>
      <w:r>
        <w:rPr>
          <w:rFonts w:hint="eastAsia"/>
        </w:rPr>
        <w:t>第</w:t>
      </w:r>
      <w:r>
        <w:t>56</w:t>
      </w:r>
      <w:r>
        <w:rPr>
          <w:rFonts w:hint="eastAsia"/>
        </w:rPr>
        <w:t>章</w:t>
      </w:r>
      <w:r>
        <w:t>)</w:t>
      </w:r>
    </w:p>
    <w:p w:rsidR="00000000" w:rsidRDefault="00000000">
      <w:r>
        <w:tab/>
        <w:t xml:space="preserve">105.  </w:t>
      </w:r>
      <w:r>
        <w:rPr>
          <w:rFonts w:hint="eastAsia"/>
        </w:rPr>
        <w:t>如条例名称所示，这条例及其附属法例，旨在规管锅炉和压力容器等设备的标准和操作。这条例适用于锅炉、压力容器和蒸汽甑等设备。上述设备必须向锅炉及压力容器监督登记，在投入使用前及使用后定期由监督委任的检验师检验。截至一九九八年六月三十日，香港已登记的压力设备为数约</w:t>
      </w:r>
      <w:r>
        <w:t>51,000</w:t>
      </w:r>
      <w:r>
        <w:rPr>
          <w:rFonts w:hint="eastAsia"/>
        </w:rPr>
        <w:t>。</w:t>
      </w:r>
    </w:p>
    <w:p w:rsidR="00000000" w:rsidRDefault="00000000">
      <w:r>
        <w:tab/>
        <w:t xml:space="preserve">106.  </w:t>
      </w:r>
      <w:r>
        <w:rPr>
          <w:rFonts w:hint="eastAsia"/>
        </w:rPr>
        <w:t>劳工处设有锅炉及压力容器科，负责执行《锅炉及压力容器条例》及其附属法例。该条例授权锅炉及压力容器科人员定期进行实地检查，确保在使用中的压力设备符合法定安全标准。他们也进行意外事故调查；并负责作出考核，以便向锅炉和蒸汽容器操作员发出合格证书。此外，他们亦会出版刊物和举办研讨会，宣传安全意识。</w:t>
      </w:r>
    </w:p>
    <w:p w:rsidR="00000000" w:rsidRDefault="00000000">
      <w:r>
        <w:tab/>
        <w:t xml:space="preserve">107.  </w:t>
      </w:r>
      <w:r>
        <w:rPr>
          <w:rFonts w:hint="eastAsia"/>
        </w:rPr>
        <w:t>劳工处在这方面的工作，已把涉及压力设备的意外事故减少约五成。在一九八八至九二年间，这类意外事故共有</w:t>
      </w:r>
      <w:r>
        <w:t>15</w:t>
      </w:r>
      <w:r>
        <w:rPr>
          <w:rFonts w:hint="eastAsia"/>
        </w:rPr>
        <w:t>宗；在一九九三年至一九九八年六月间则只有七宗，程度亦较轻微。在一九八八至九二年间发生的意外事故，大部分与蒸汽锅炉有关，造成六人死亡</w:t>
      </w:r>
      <w:r>
        <w:t>(</w:t>
      </w:r>
      <w:r>
        <w:rPr>
          <w:rFonts w:hint="eastAsia"/>
        </w:rPr>
        <w:t>五人涉及蒸汽容器，一人涉及集汽箱</w:t>
      </w:r>
      <w:r>
        <w:t>)</w:t>
      </w:r>
      <w:r>
        <w:rPr>
          <w:rFonts w:hint="eastAsia"/>
        </w:rPr>
        <w:t>，另有六人受伤；在一九九三年至一九九八年六月间发生的意外，则只有五人受伤，没有酿成人命损失。</w:t>
      </w:r>
    </w:p>
    <w:p w:rsidR="00000000" w:rsidRDefault="00000000">
      <w:r>
        <w:tab/>
        <w:t xml:space="preserve">108.  </w:t>
      </w:r>
      <w:r>
        <w:rPr>
          <w:rFonts w:hint="eastAsia"/>
        </w:rPr>
        <w:t>有关意外事故的成因如下：</w:t>
      </w:r>
    </w:p>
    <w:p w:rsidR="00000000" w:rsidRDefault="00000000">
      <w:pPr>
        <w:pStyle w:val="a5"/>
        <w:ind w:left="1560" w:firstLine="0"/>
      </w:pPr>
      <w:r>
        <w:rPr>
          <w:rFonts w:hint="eastAsia"/>
        </w:rPr>
        <w:t>设备的设计和构造不妥；</w:t>
      </w:r>
    </w:p>
    <w:p w:rsidR="00000000" w:rsidRDefault="00000000">
      <w:pPr>
        <w:pStyle w:val="a5"/>
        <w:ind w:left="1560" w:firstLine="0"/>
      </w:pPr>
      <w:r>
        <w:rPr>
          <w:rFonts w:hint="eastAsia"/>
        </w:rPr>
        <w:t>设备安装不妥；</w:t>
      </w:r>
    </w:p>
    <w:p w:rsidR="00000000" w:rsidRDefault="00000000">
      <w:pPr>
        <w:pStyle w:val="a5"/>
        <w:ind w:left="1560" w:firstLine="0"/>
      </w:pPr>
      <w:r>
        <w:rPr>
          <w:rFonts w:hint="eastAsia"/>
        </w:rPr>
        <w:t>非法改装；</w:t>
      </w:r>
    </w:p>
    <w:p w:rsidR="00000000" w:rsidRDefault="00000000">
      <w:pPr>
        <w:pStyle w:val="a5"/>
        <w:ind w:left="1560" w:firstLine="0"/>
      </w:pPr>
      <w:r>
        <w:rPr>
          <w:rFonts w:hint="eastAsia"/>
        </w:rPr>
        <w:t>欠缺</w:t>
      </w:r>
      <w:r>
        <w:t>/</w:t>
      </w:r>
      <w:r>
        <w:rPr>
          <w:rFonts w:hint="eastAsia"/>
        </w:rPr>
        <w:t>不适当的维修保养；及</w:t>
      </w:r>
    </w:p>
    <w:p w:rsidR="00000000" w:rsidRDefault="00000000">
      <w:pPr>
        <w:tabs>
          <w:tab w:val="clear" w:pos="1531"/>
          <w:tab w:val="left" w:pos="1080"/>
        </w:tabs>
        <w:spacing w:after="320"/>
        <w:ind w:left="1080" w:firstLine="480"/>
        <w:textAlignment w:val="center"/>
      </w:pPr>
      <w:r>
        <w:rPr>
          <w:rFonts w:hint="eastAsia"/>
        </w:rPr>
        <w:t>由于欠缺训练、指示不足、监督不善或缺乏监督、疏忽，以及没有合资格人士直接监督等原因，导致不适当地操作设备。</w:t>
      </w:r>
    </w:p>
    <w:p w:rsidR="00000000" w:rsidRDefault="00000000">
      <w:pPr>
        <w:pStyle w:val="Heading4"/>
        <w:ind w:left="518"/>
      </w:pPr>
      <w:r>
        <w:rPr>
          <w:rFonts w:hint="eastAsia"/>
          <w:u w:val="none"/>
        </w:rPr>
        <w:t>《</w:t>
      </w:r>
      <w:r>
        <w:t>1995</w:t>
      </w:r>
      <w:r>
        <w:rPr>
          <w:rFonts w:hint="eastAsia"/>
        </w:rPr>
        <w:t>年商船</w:t>
      </w:r>
      <w:r>
        <w:t>(</w:t>
      </w:r>
      <w:r>
        <w:rPr>
          <w:rFonts w:hint="eastAsia"/>
        </w:rPr>
        <w:t>海员</w:t>
      </w:r>
      <w:r>
        <w:t>)</w:t>
      </w:r>
      <w:r>
        <w:rPr>
          <w:rFonts w:hint="eastAsia"/>
        </w:rPr>
        <w:t>条例》</w:t>
      </w:r>
      <w:r>
        <w:t>(</w:t>
      </w:r>
      <w:r>
        <w:rPr>
          <w:rFonts w:hint="eastAsia"/>
        </w:rPr>
        <w:t>第</w:t>
      </w:r>
      <w:r>
        <w:t>478</w:t>
      </w:r>
      <w:r>
        <w:rPr>
          <w:rFonts w:hint="eastAsia"/>
        </w:rPr>
        <w:t>章</w:t>
      </w:r>
      <w:r>
        <w:t>)</w:t>
      </w:r>
    </w:p>
    <w:p w:rsidR="00000000" w:rsidRDefault="00000000">
      <w:pPr>
        <w:spacing w:after="320"/>
        <w:textAlignment w:val="center"/>
      </w:pPr>
      <w:r>
        <w:tab/>
        <w:t xml:space="preserve">109.  </w:t>
      </w:r>
      <w:r>
        <w:rPr>
          <w:rFonts w:hint="eastAsia"/>
        </w:rPr>
        <w:t>这条例综合了有关规管海员雇用和工作条件的法律。《海员培训、发证和值班标准国际公约》以及与海员事宜有关的各条国际劳工公约的规定，经作出适当的修订后，已纳入这条例内。这条例亦规定设立“海员事务监督”和“海员事务上诉委员会”，同时就下列事项作出规定：将海员从注册名录除名或吊销海员注册的规定理由；海员的资格、雇用和解雇事宜；海员安全、健康、福利、工作时数标准等。</w:t>
      </w:r>
    </w:p>
    <w:p w:rsidR="00000000" w:rsidRDefault="00000000">
      <w:pPr>
        <w:pStyle w:val="Heading4"/>
        <w:ind w:left="518"/>
      </w:pPr>
      <w:r>
        <w:rPr>
          <w:rFonts w:hint="eastAsia"/>
          <w:u w:val="none"/>
        </w:rPr>
        <w:t>《</w:t>
      </w:r>
      <w:r>
        <w:rPr>
          <w:rFonts w:hint="eastAsia"/>
        </w:rPr>
        <w:t>辐射条例》</w:t>
      </w:r>
      <w:r>
        <w:t>(</w:t>
      </w:r>
      <w:r>
        <w:rPr>
          <w:rFonts w:hint="eastAsia"/>
        </w:rPr>
        <w:t>第</w:t>
      </w:r>
      <w:r>
        <w:t>303</w:t>
      </w:r>
      <w:r>
        <w:rPr>
          <w:rFonts w:hint="eastAsia"/>
        </w:rPr>
        <w:t>章</w:t>
      </w:r>
      <w:r>
        <w:t>)</w:t>
      </w:r>
    </w:p>
    <w:p w:rsidR="00000000" w:rsidRDefault="00000000">
      <w:pPr>
        <w:spacing w:after="320"/>
        <w:textAlignment w:val="center"/>
      </w:pPr>
      <w:r>
        <w:tab/>
        <w:t xml:space="preserve">110.  </w:t>
      </w:r>
      <w:r>
        <w:rPr>
          <w:rFonts w:hint="eastAsia"/>
        </w:rPr>
        <w:t>这条例旨在管制放射性物质及辐射仪器的进出口、持有和使用，以及放射性矿物的勘探和开采事宜。其附属法例则详细订明了雇用工人的条件、放射性物质和辐射仪器的处理和操作、工人接触辐射量的控制、工埸的设施和设备，以及预防工人接触过量辐射的措施等事宜。</w:t>
      </w:r>
    </w:p>
    <w:p w:rsidR="00000000" w:rsidRDefault="00000000">
      <w:pPr>
        <w:pStyle w:val="Heading4"/>
        <w:ind w:left="518"/>
      </w:pPr>
      <w:r>
        <w:rPr>
          <w:rFonts w:hint="eastAsia"/>
          <w:u w:val="none"/>
        </w:rPr>
        <w:t>《</w:t>
      </w:r>
      <w:r>
        <w:rPr>
          <w:rFonts w:hint="eastAsia"/>
        </w:rPr>
        <w:t>危险品条例》</w:t>
      </w:r>
      <w:r>
        <w:t>(</w:t>
      </w:r>
      <w:r>
        <w:rPr>
          <w:rFonts w:hint="eastAsia"/>
        </w:rPr>
        <w:t>第</w:t>
      </w:r>
      <w:r>
        <w:t>295</w:t>
      </w:r>
      <w:r>
        <w:rPr>
          <w:rFonts w:hint="eastAsia"/>
        </w:rPr>
        <w:t>章</w:t>
      </w:r>
      <w:r>
        <w:t>)</w:t>
      </w:r>
    </w:p>
    <w:p w:rsidR="00000000" w:rsidRDefault="00000000">
      <w:pPr>
        <w:spacing w:after="320"/>
        <w:textAlignment w:val="center"/>
      </w:pPr>
      <w:r>
        <w:tab/>
        <w:t xml:space="preserve">111.  </w:t>
      </w:r>
      <w:r>
        <w:rPr>
          <w:rFonts w:hint="eastAsia"/>
        </w:rPr>
        <w:t>这条例旨在就危险品的制造、拥有、卸在陆地、装运、贮存、移动、出售和使用等事宜作出规管。</w:t>
      </w:r>
    </w:p>
    <w:p w:rsidR="00000000" w:rsidRDefault="00000000">
      <w:pPr>
        <w:spacing w:after="320"/>
        <w:textAlignment w:val="center"/>
        <w:rPr>
          <w:u w:val="single"/>
        </w:rPr>
      </w:pPr>
      <w:r>
        <w:rPr>
          <w:rFonts w:hint="eastAsia"/>
          <w:u w:val="single"/>
        </w:rPr>
        <w:t>雇佣保障</w:t>
      </w:r>
    </w:p>
    <w:p w:rsidR="00000000" w:rsidRDefault="00000000">
      <w:pPr>
        <w:pStyle w:val="Heading4"/>
        <w:ind w:left="518"/>
      </w:pPr>
      <w:r>
        <w:rPr>
          <w:rFonts w:hint="eastAsia"/>
        </w:rPr>
        <w:t>兼职工人</w:t>
      </w:r>
    </w:p>
    <w:p w:rsidR="00000000" w:rsidRDefault="00000000">
      <w:r>
        <w:tab/>
        <w:t xml:space="preserve">112.  </w:t>
      </w:r>
      <w:r>
        <w:rPr>
          <w:rFonts w:hint="eastAsia"/>
        </w:rPr>
        <w:t>有论者认为，兼职工人所获得的保障不够。他们指出，随著经济日渐衰退，兼职工人的数目正不断增加。</w:t>
      </w:r>
    </w:p>
    <w:p w:rsidR="00000000" w:rsidRDefault="00000000">
      <w:pPr>
        <w:spacing w:after="320"/>
        <w:textAlignment w:val="center"/>
      </w:pPr>
      <w:r>
        <w:tab/>
        <w:t xml:space="preserve">113.  </w:t>
      </w:r>
      <w:r>
        <w:rPr>
          <w:rFonts w:hint="eastAsia"/>
        </w:rPr>
        <w:t>雇员连续受雇于同一雇主至少四星期，且每星期工作至少</w:t>
      </w:r>
      <w:r>
        <w:t>18</w:t>
      </w:r>
      <w:r>
        <w:rPr>
          <w:rFonts w:hint="eastAsia"/>
        </w:rPr>
        <w:t>小时，即为根据连续性合约受雇。根据《雇佣条例》，如雇员符合该条例所订明的条件，他们便有权享受有关的法定福利。因此，绝大部分兼职雇员均能享受《雇佣条例》所订明的福利</w:t>
      </w:r>
      <w:r>
        <w:rPr>
          <w:rStyle w:val="FootnoteReference"/>
        </w:rPr>
        <w:footnoteReference w:id="25"/>
      </w:r>
      <w:r>
        <w:t xml:space="preserve"> </w:t>
      </w:r>
      <w:r>
        <w:rPr>
          <w:rFonts w:hint="eastAsia"/>
        </w:rPr>
        <w:t>。此外，所有雇员，包括兼职工人在内，倘于受雇工作期间因工受伤，均有资格获得补偿</w:t>
      </w:r>
      <w:r>
        <w:rPr>
          <w:rStyle w:val="FootnoteReference"/>
        </w:rPr>
        <w:footnoteReference w:id="26"/>
      </w:r>
      <w:r>
        <w:t xml:space="preserve"> </w:t>
      </w:r>
      <w:r>
        <w:rPr>
          <w:rFonts w:hint="eastAsia"/>
        </w:rPr>
        <w:t>。</w:t>
      </w:r>
    </w:p>
    <w:p w:rsidR="00000000" w:rsidRDefault="00000000">
      <w:pPr>
        <w:pStyle w:val="Heading4"/>
        <w:ind w:left="518"/>
      </w:pPr>
      <w:r>
        <w:rPr>
          <w:rFonts w:hint="eastAsia"/>
        </w:rPr>
        <w:t>长期停工</w:t>
      </w:r>
    </w:p>
    <w:p w:rsidR="00000000" w:rsidRDefault="00000000">
      <w:pPr>
        <w:spacing w:after="320"/>
        <w:textAlignment w:val="center"/>
      </w:pPr>
      <w:r>
        <w:tab/>
        <w:t xml:space="preserve">114.  </w:t>
      </w:r>
      <w:r>
        <w:rPr>
          <w:rFonts w:hint="eastAsia"/>
        </w:rPr>
        <w:t>《雇佣条例》订明，凡雇员根据连续性合约受雇至少两年，便有权在长期停工的情况下领取遣散费。凡雇主未向雇员提供工作或薪酬的日子总数，超过了任何连续四个星期正常工作日子总数的一半，或超过了任何连续</w:t>
      </w:r>
      <w:r>
        <w:t>26</w:t>
      </w:r>
      <w:r>
        <w:rPr>
          <w:rFonts w:hint="eastAsia"/>
        </w:rPr>
        <w:t>个星期正常工作日子总数的三分之一，则该雇员应视作被停工。同时，条例也向雇主提供了足够的弹性，让他们可以度过难关，毋须解雇工人。</w:t>
      </w:r>
    </w:p>
    <w:p w:rsidR="00000000" w:rsidRDefault="00000000">
      <w:pPr>
        <w:pStyle w:val="Heading4"/>
        <w:ind w:left="518"/>
      </w:pPr>
      <w:r>
        <w:rPr>
          <w:rFonts w:hint="eastAsia"/>
          <w:u w:val="none"/>
        </w:rPr>
        <w:t>《</w:t>
      </w:r>
      <w:r>
        <w:t>1985</w:t>
      </w:r>
      <w:r>
        <w:rPr>
          <w:rFonts w:hint="eastAsia"/>
        </w:rPr>
        <w:t>年破产欠薪保障条例》</w:t>
      </w:r>
      <w:r>
        <w:t>(</w:t>
      </w:r>
      <w:r>
        <w:rPr>
          <w:rFonts w:hint="eastAsia"/>
        </w:rPr>
        <w:t>第</w:t>
      </w:r>
      <w:r>
        <w:t>380</w:t>
      </w:r>
      <w:r>
        <w:rPr>
          <w:rFonts w:hint="eastAsia"/>
        </w:rPr>
        <w:t>章</w:t>
      </w:r>
      <w:r>
        <w:t>)</w:t>
      </w:r>
    </w:p>
    <w:p w:rsidR="00000000" w:rsidRDefault="00000000">
      <w:pPr>
        <w:tabs>
          <w:tab w:val="clear" w:pos="1531"/>
          <w:tab w:val="left" w:pos="1440"/>
        </w:tabs>
      </w:pPr>
      <w:r>
        <w:tab/>
        <w:t xml:space="preserve">115.  </w:t>
      </w:r>
      <w:r>
        <w:rPr>
          <w:rFonts w:hint="eastAsia"/>
        </w:rPr>
        <w:t>这条例旨在订定条文，设立一个“破产欠薪保障基金委员会”以管理“破产欠薪保障基金”。任何被拖欠工资、代通知金或遣散费的雇员，倘其雇主已没有能力清偿债务，便有资格向基金申请特惠款项。条例授权劳工处处长支付该等款项；不过，如雇员的雇主为一名个别人士，而该雇员为雇主的家庭成员，并且与雇主居住在同一居所内，则该雇员便不具备申请特惠款项的资格。</w:t>
      </w:r>
    </w:p>
    <w:p w:rsidR="00000000" w:rsidRDefault="00000000">
      <w:pPr>
        <w:rPr>
          <w:rFonts w:hint="eastAsia"/>
        </w:rPr>
      </w:pPr>
      <w:r>
        <w:tab/>
        <w:t xml:space="preserve">116.  </w:t>
      </w:r>
      <w:r>
        <w:rPr>
          <w:rFonts w:hint="eastAsia"/>
        </w:rPr>
        <w:t>如有人已根据《公司条例》</w:t>
      </w:r>
      <w:r>
        <w:t>(</w:t>
      </w:r>
      <w:r>
        <w:rPr>
          <w:rFonts w:hint="eastAsia"/>
        </w:rPr>
        <w:t>第</w:t>
      </w:r>
      <w:r>
        <w:t>32</w:t>
      </w:r>
      <w:r>
        <w:rPr>
          <w:rFonts w:hint="eastAsia"/>
        </w:rPr>
        <w:t>章</w:t>
      </w:r>
      <w:r>
        <w:t>)</w:t>
      </w:r>
      <w:r>
        <w:rPr>
          <w:rFonts w:hint="eastAsia"/>
        </w:rPr>
        <w:t>而针对雇主入禀强制清盘呈请，或根据《破产条例》</w:t>
      </w:r>
      <w:r>
        <w:t>(</w:t>
      </w:r>
      <w:r>
        <w:rPr>
          <w:rFonts w:hint="eastAsia"/>
        </w:rPr>
        <w:t>第</w:t>
      </w:r>
      <w:r>
        <w:t>6</w:t>
      </w:r>
      <w:r>
        <w:rPr>
          <w:rFonts w:hint="eastAsia"/>
        </w:rPr>
        <w:t>章</w:t>
      </w:r>
      <w:r>
        <w:t>)</w:t>
      </w:r>
      <w:r>
        <w:rPr>
          <w:rFonts w:hint="eastAsia"/>
        </w:rPr>
        <w:t>入禀破产呈请，则劳工处处长可于特惠款项申请获得核实后，从基金拨款支付款项。在某些情况下，如劳工处处长认为提出上述呈请并不合理或不符合经济原则，他</w:t>
      </w:r>
      <w:r>
        <w:t>/</w:t>
      </w:r>
      <w:r>
        <w:rPr>
          <w:rFonts w:hint="eastAsia"/>
        </w:rPr>
        <w:t>她可免除该项规定。假如雇主为一名个别人士，而所涉及的欠款又不超逾</w:t>
      </w:r>
      <w:r>
        <w:t>10,000</w:t>
      </w:r>
      <w:r>
        <w:rPr>
          <w:rFonts w:hint="eastAsia"/>
        </w:rPr>
        <w:t>港元，有关人士便不能提出呈请。在这情况下，劳工处处长可把特惠款项发放给有关的雇员。</w:t>
      </w:r>
    </w:p>
    <w:p w:rsidR="00000000" w:rsidRDefault="00000000">
      <w:r>
        <w:tab/>
        <w:t xml:space="preserve">117.  </w:t>
      </w:r>
      <w:r>
        <w:rPr>
          <w:rFonts w:hint="eastAsia"/>
        </w:rPr>
        <w:t>基金可用以支付：</w:t>
      </w:r>
    </w:p>
    <w:p w:rsidR="00000000" w:rsidRDefault="00000000">
      <w:pPr>
        <w:pStyle w:val="a5"/>
        <w:tabs>
          <w:tab w:val="clear" w:pos="1531"/>
        </w:tabs>
        <w:ind w:left="1435" w:hanging="475"/>
      </w:pPr>
      <w:r>
        <w:t>(a)</w:t>
      </w:r>
      <w:r>
        <w:tab/>
      </w:r>
      <w:r>
        <w:rPr>
          <w:rFonts w:hint="eastAsia"/>
        </w:rPr>
        <w:t>在最后一天服务之前的四个月内所提供服务的欠薪</w:t>
      </w:r>
      <w:r>
        <w:t>(</w:t>
      </w:r>
      <w:r>
        <w:rPr>
          <w:rFonts w:hint="eastAsia"/>
        </w:rPr>
        <w:t>金额不超过</w:t>
      </w:r>
      <w:r>
        <w:t>36,000</w:t>
      </w:r>
      <w:r>
        <w:rPr>
          <w:rFonts w:hint="eastAsia"/>
        </w:rPr>
        <w:t>港元</w:t>
      </w:r>
      <w:r>
        <w:t>)</w:t>
      </w:r>
      <w:r>
        <w:rPr>
          <w:rFonts w:hint="eastAsia"/>
        </w:rPr>
        <w:t>：当中包括尚未支付的年假或法定假日薪酬、产假薪酬、疾病津贴及年终酬金；</w:t>
      </w:r>
    </w:p>
    <w:p w:rsidR="00000000" w:rsidRDefault="00000000">
      <w:pPr>
        <w:pStyle w:val="a5"/>
        <w:tabs>
          <w:tab w:val="clear" w:pos="1021"/>
          <w:tab w:val="clear" w:pos="1531"/>
          <w:tab w:val="left" w:pos="960"/>
        </w:tabs>
        <w:ind w:left="1440" w:hanging="480"/>
      </w:pPr>
      <w:r>
        <w:t>(b)</w:t>
      </w:r>
      <w:r>
        <w:tab/>
      </w:r>
      <w:r>
        <w:rPr>
          <w:rFonts w:hint="eastAsia"/>
        </w:rPr>
        <w:t>代通知金：最高为一个月工资或</w:t>
      </w:r>
      <w:r>
        <w:t>22,500</w:t>
      </w:r>
      <w:r>
        <w:rPr>
          <w:rFonts w:hint="eastAsia"/>
        </w:rPr>
        <w:t>港元</w:t>
      </w:r>
      <w:r>
        <w:t>(</w:t>
      </w:r>
      <w:r>
        <w:rPr>
          <w:rFonts w:hint="eastAsia"/>
        </w:rPr>
        <w:t>以较低金额为准</w:t>
      </w:r>
      <w:r>
        <w:t>)</w:t>
      </w:r>
      <w:r>
        <w:rPr>
          <w:rFonts w:hint="eastAsia"/>
        </w:rPr>
        <w:t>；及</w:t>
      </w:r>
    </w:p>
    <w:p w:rsidR="00000000" w:rsidRDefault="00000000">
      <w:pPr>
        <w:pStyle w:val="a5"/>
        <w:tabs>
          <w:tab w:val="clear" w:pos="1531"/>
          <w:tab w:val="left" w:pos="1440"/>
        </w:tabs>
        <w:spacing w:after="320"/>
        <w:ind w:left="1546" w:hanging="586"/>
        <w:textAlignment w:val="center"/>
      </w:pPr>
      <w:r>
        <w:t>(c)</w:t>
      </w:r>
      <w:r>
        <w:tab/>
      </w:r>
      <w:r>
        <w:rPr>
          <w:rFonts w:hint="eastAsia"/>
        </w:rPr>
        <w:t>遣散费：最高为</w:t>
      </w:r>
      <w:r>
        <w:t>36,000</w:t>
      </w:r>
      <w:r>
        <w:rPr>
          <w:rFonts w:hint="eastAsia"/>
        </w:rPr>
        <w:t>港元及该款项以后余额</w:t>
      </w:r>
      <w:r>
        <w:t>(</w:t>
      </w:r>
      <w:r>
        <w:rPr>
          <w:rFonts w:hint="eastAsia"/>
        </w:rPr>
        <w:t>如有</w:t>
      </w:r>
      <w:r>
        <w:t>)</w:t>
      </w:r>
      <w:r>
        <w:rPr>
          <w:rFonts w:hint="eastAsia"/>
        </w:rPr>
        <w:t>半数的总和。</w:t>
      </w:r>
    </w:p>
    <w:p w:rsidR="00000000" w:rsidRDefault="00000000">
      <w:pPr>
        <w:pStyle w:val="Heading3"/>
      </w:pPr>
      <w:r>
        <w:rPr>
          <w:rFonts w:hint="eastAsia"/>
        </w:rPr>
        <w:t>第八条</w:t>
      </w:r>
      <w:r>
        <w:t xml:space="preserve">.  </w:t>
      </w:r>
      <w:r>
        <w:rPr>
          <w:rFonts w:hint="eastAsia"/>
        </w:rPr>
        <w:t>成为职工会会员的权利</w:t>
      </w:r>
    </w:p>
    <w:p w:rsidR="00000000" w:rsidRDefault="00000000">
      <w:pPr>
        <w:spacing w:after="320"/>
        <w:textAlignment w:val="center"/>
      </w:pPr>
      <w:r>
        <w:tab/>
        <w:t xml:space="preserve">118.  </w:t>
      </w:r>
      <w:r>
        <w:rPr>
          <w:rFonts w:hint="eastAsia"/>
        </w:rPr>
        <w:t>《基本法》第二十七条中订明，香港居民享有组织和参加工会、罢工的权利和自由。《人权法案》第十八条也保障了香港居民组织和参加工会的权利。</w:t>
      </w:r>
    </w:p>
    <w:p w:rsidR="00000000" w:rsidRDefault="00000000">
      <w:pPr>
        <w:pStyle w:val="Heading4"/>
      </w:pPr>
      <w:r>
        <w:rPr>
          <w:rFonts w:hint="eastAsia"/>
        </w:rPr>
        <w:t>国际劳工公约</w:t>
      </w:r>
    </w:p>
    <w:p w:rsidR="00000000" w:rsidRDefault="00000000">
      <w:r>
        <w:tab/>
        <w:t xml:space="preserve">119.  </w:t>
      </w:r>
      <w:r>
        <w:rPr>
          <w:rFonts w:hint="eastAsia"/>
        </w:rPr>
        <w:t>下列根据国际劳工公约所提交的报告，已提供与本条有关的各项资料：</w:t>
      </w:r>
    </w:p>
    <w:p w:rsidR="00000000" w:rsidRDefault="00000000">
      <w:pPr>
        <w:pStyle w:val="a5"/>
        <w:ind w:left="1546"/>
      </w:pPr>
      <w:r>
        <w:t xml:space="preserve">(a)  </w:t>
      </w:r>
      <w:r>
        <w:rPr>
          <w:rFonts w:hint="eastAsia"/>
        </w:rPr>
        <w:t>就《</w:t>
      </w:r>
      <w:r>
        <w:t>(</w:t>
      </w:r>
      <w:r>
        <w:rPr>
          <w:rFonts w:hint="eastAsia"/>
        </w:rPr>
        <w:t>农业</w:t>
      </w:r>
      <w:r>
        <w:t>)</w:t>
      </w:r>
      <w:r>
        <w:rPr>
          <w:rFonts w:hint="eastAsia"/>
        </w:rPr>
        <w:t>结社权利公约》</w:t>
      </w:r>
      <w:r>
        <w:t>(</w:t>
      </w:r>
      <w:r>
        <w:rPr>
          <w:rFonts w:hint="eastAsia"/>
        </w:rPr>
        <w:t>第</w:t>
      </w:r>
      <w:r>
        <w:t>11</w:t>
      </w:r>
      <w:r>
        <w:rPr>
          <w:rFonts w:hint="eastAsia"/>
        </w:rPr>
        <w:t>号公约</w:t>
      </w:r>
      <w:r>
        <w:t>)</w:t>
      </w:r>
      <w:r>
        <w:rPr>
          <w:rFonts w:hint="eastAsia"/>
        </w:rPr>
        <w:t>提交有关一九九二年七月一日至一九九四年六月三十日期间的第</w:t>
      </w:r>
      <w:r>
        <w:t>22</w:t>
      </w:r>
      <w:r>
        <w:rPr>
          <w:rFonts w:hint="eastAsia"/>
        </w:rPr>
        <w:t>条报告</w:t>
      </w:r>
      <w:r>
        <w:rPr>
          <w:rStyle w:val="FootnoteReference"/>
        </w:rPr>
        <w:footnoteReference w:id="27"/>
      </w:r>
      <w:r>
        <w:t xml:space="preserve"> </w:t>
      </w:r>
      <w:r>
        <w:rPr>
          <w:rFonts w:hint="eastAsia"/>
        </w:rPr>
        <w:t>；</w:t>
      </w:r>
    </w:p>
    <w:p w:rsidR="00000000" w:rsidRDefault="00000000">
      <w:pPr>
        <w:pStyle w:val="a5"/>
        <w:ind w:left="1546"/>
      </w:pPr>
      <w:r>
        <w:t xml:space="preserve">(b)  </w:t>
      </w:r>
      <w:r>
        <w:rPr>
          <w:rFonts w:hint="eastAsia"/>
        </w:rPr>
        <w:t>就《组织权利和集体谈判权利公约》</w:t>
      </w:r>
      <w:r>
        <w:t>(</w:t>
      </w:r>
      <w:r>
        <w:rPr>
          <w:rFonts w:hint="eastAsia"/>
        </w:rPr>
        <w:t>第</w:t>
      </w:r>
      <w:r>
        <w:t>98</w:t>
      </w:r>
      <w:r>
        <w:rPr>
          <w:rFonts w:hint="eastAsia"/>
        </w:rPr>
        <w:t>号公约</w:t>
      </w:r>
      <w:r>
        <w:t>)</w:t>
      </w:r>
      <w:r>
        <w:rPr>
          <w:rFonts w:hint="eastAsia"/>
        </w:rPr>
        <w:t>提交有关一九九六年一月一日至一九九六年十二月三十一日期间的第</w:t>
      </w:r>
      <w:r>
        <w:t>22</w:t>
      </w:r>
      <w:r>
        <w:rPr>
          <w:rFonts w:hint="eastAsia"/>
        </w:rPr>
        <w:t>条报告；</w:t>
      </w:r>
    </w:p>
    <w:p w:rsidR="00000000" w:rsidRDefault="00000000">
      <w:pPr>
        <w:pStyle w:val="a5"/>
        <w:ind w:left="1546"/>
      </w:pPr>
      <w:r>
        <w:t xml:space="preserve">(c)  </w:t>
      </w:r>
      <w:r>
        <w:rPr>
          <w:rFonts w:hint="eastAsia"/>
        </w:rPr>
        <w:t>就《农村工人组织公约》</w:t>
      </w:r>
      <w:r>
        <w:t>(</w:t>
      </w:r>
      <w:r>
        <w:rPr>
          <w:rFonts w:hint="eastAsia"/>
        </w:rPr>
        <w:t>第</w:t>
      </w:r>
      <w:r>
        <w:t>141</w:t>
      </w:r>
      <w:r>
        <w:rPr>
          <w:rFonts w:hint="eastAsia"/>
        </w:rPr>
        <w:t>号公约</w:t>
      </w:r>
      <w:r>
        <w:t>)</w:t>
      </w:r>
      <w:r>
        <w:rPr>
          <w:rFonts w:hint="eastAsia"/>
        </w:rPr>
        <w:t>提交有关一九九四年七月一日至一九九六年十二月三十一日期间第</w:t>
      </w:r>
      <w:r>
        <w:t>22</w:t>
      </w:r>
      <w:r>
        <w:rPr>
          <w:rFonts w:hint="eastAsia"/>
        </w:rPr>
        <w:t>条的报告；</w:t>
      </w:r>
    </w:p>
    <w:p w:rsidR="00000000" w:rsidRDefault="00000000">
      <w:pPr>
        <w:pStyle w:val="a5"/>
        <w:ind w:left="1546"/>
      </w:pPr>
      <w:r>
        <w:t xml:space="preserve">(d) </w:t>
      </w:r>
      <w:r>
        <w:rPr>
          <w:rFonts w:hint="eastAsia"/>
        </w:rPr>
        <w:t>就《</w:t>
      </w:r>
      <w:r>
        <w:t>(</w:t>
      </w:r>
      <w:r>
        <w:rPr>
          <w:rFonts w:hint="eastAsia"/>
        </w:rPr>
        <w:t>公共部门</w:t>
      </w:r>
      <w:r>
        <w:t>)</w:t>
      </w:r>
      <w:r>
        <w:rPr>
          <w:rFonts w:hint="eastAsia"/>
        </w:rPr>
        <w:t>劳资关系公约》</w:t>
      </w:r>
      <w:r>
        <w:t>(</w:t>
      </w:r>
      <w:r>
        <w:rPr>
          <w:rFonts w:hint="eastAsia"/>
        </w:rPr>
        <w:t>第</w:t>
      </w:r>
      <w:r>
        <w:t>151</w:t>
      </w:r>
      <w:r>
        <w:rPr>
          <w:rFonts w:hint="eastAsia"/>
        </w:rPr>
        <w:t>号公约</w:t>
      </w:r>
      <w:r>
        <w:t>)</w:t>
      </w:r>
      <w:r>
        <w:rPr>
          <w:rFonts w:hint="eastAsia"/>
        </w:rPr>
        <w:t>提交一九九三年七月一日至一九九五年十二月三十一日期间第</w:t>
      </w:r>
      <w:r>
        <w:t>22</w:t>
      </w:r>
      <w:r>
        <w:rPr>
          <w:rFonts w:hint="eastAsia"/>
        </w:rPr>
        <w:t>条的报告；及</w:t>
      </w:r>
    </w:p>
    <w:p w:rsidR="00000000" w:rsidRDefault="00000000">
      <w:pPr>
        <w:pStyle w:val="a5"/>
        <w:spacing w:after="320"/>
        <w:ind w:left="1546"/>
        <w:textAlignment w:val="center"/>
      </w:pPr>
      <w:r>
        <w:t xml:space="preserve">(e) </w:t>
      </w:r>
      <w:r>
        <w:rPr>
          <w:rFonts w:hint="eastAsia"/>
        </w:rPr>
        <w:t>就《结社自由和保护组织权利公约》</w:t>
      </w:r>
      <w:r>
        <w:t>(</w:t>
      </w:r>
      <w:r>
        <w:rPr>
          <w:rFonts w:hint="eastAsia"/>
        </w:rPr>
        <w:t>第</w:t>
      </w:r>
      <w:r>
        <w:t>87</w:t>
      </w:r>
      <w:r>
        <w:rPr>
          <w:rFonts w:hint="eastAsia"/>
        </w:rPr>
        <w:t>号公约</w:t>
      </w:r>
      <w:r>
        <w:t>)</w:t>
      </w:r>
      <w:r>
        <w:rPr>
          <w:rFonts w:hint="eastAsia"/>
        </w:rPr>
        <w:t>提交一九九六年一月一日至一九九八年五月三十一日期间第</w:t>
      </w:r>
      <w:r>
        <w:t>22</w:t>
      </w:r>
      <w:r>
        <w:rPr>
          <w:rFonts w:hint="eastAsia"/>
        </w:rPr>
        <w:t>条的报告。</w:t>
      </w:r>
    </w:p>
    <w:p w:rsidR="00000000" w:rsidRDefault="00000000">
      <w:pPr>
        <w:pStyle w:val="Heading4"/>
      </w:pPr>
      <w:r>
        <w:rPr>
          <w:rFonts w:hint="eastAsia"/>
          <w:u w:val="none"/>
        </w:rPr>
        <w:t>《</w:t>
      </w:r>
      <w:r>
        <w:rPr>
          <w:rFonts w:hint="eastAsia"/>
        </w:rPr>
        <w:t>职工会条例</w:t>
      </w:r>
      <w:r>
        <w:rPr>
          <w:rFonts w:hint="eastAsia"/>
          <w:u w:val="none"/>
        </w:rPr>
        <w:t>》</w:t>
      </w:r>
    </w:p>
    <w:p w:rsidR="00000000" w:rsidRDefault="00000000">
      <w:pPr>
        <w:pStyle w:val="Heading4"/>
        <w:ind w:left="518"/>
      </w:pPr>
      <w:r>
        <w:rPr>
          <w:rFonts w:hint="eastAsia"/>
        </w:rPr>
        <w:t>劳工法例经一九九七年十月修订后的现行规定</w:t>
      </w:r>
    </w:p>
    <w:p w:rsidR="00000000" w:rsidRDefault="00000000">
      <w:r>
        <w:tab/>
        <w:t xml:space="preserve">120.  </w:t>
      </w:r>
      <w:r>
        <w:rPr>
          <w:rFonts w:hint="eastAsia"/>
        </w:rPr>
        <w:t>《职工会条例》</w:t>
      </w:r>
      <w:r>
        <w:t>(</w:t>
      </w:r>
      <w:r>
        <w:rPr>
          <w:rFonts w:hint="eastAsia"/>
        </w:rPr>
        <w:t>第</w:t>
      </w:r>
      <w:r>
        <w:t>332</w:t>
      </w:r>
      <w:r>
        <w:rPr>
          <w:rFonts w:hint="eastAsia"/>
        </w:rPr>
        <w:t>章</w:t>
      </w:r>
      <w:r>
        <w:t>)</w:t>
      </w:r>
      <w:r>
        <w:rPr>
          <w:rFonts w:hint="eastAsia"/>
        </w:rPr>
        <w:t>订明，任何以规管雇主与雇员之间、雇员与雇员之间，或雇主与雇主之间关系为主要宗旨的组合，都必须向职工会登记局局长登记。同时，该条例又订明职工会的内部行政管理事宜，以及已登记职工会可享有的若干法定豁免权。一九九七年，政府修订了《职工会条例》，把保障范围扩大至包括雇主、雇员，以及已登记职工会的会员和职员，使他们不会因某些引至劳资纠纷的行为而被民事起诉。这项保障以往只适用于已登记的职工会本身。</w:t>
      </w:r>
    </w:p>
    <w:p w:rsidR="00000000" w:rsidRDefault="00000000">
      <w:r>
        <w:tab/>
        <w:t xml:space="preserve">121.  </w:t>
      </w:r>
      <w:r>
        <w:rPr>
          <w:rFonts w:hint="eastAsia"/>
        </w:rPr>
        <w:t>在上次报告审议结论第</w:t>
      </w:r>
      <w:r>
        <w:t>22</w:t>
      </w:r>
      <w:r>
        <w:rPr>
          <w:rFonts w:hint="eastAsia"/>
        </w:rPr>
        <w:t>段，委员会对香港职工会的权利受到过度限制表示关注。委员会尤其“认为，限制香港职工会与国际工会组织建立联系，禁止不同行业组成工会联盟，以及雇主有权合法解雇参与罢工活动的工人等做法，都与本公约有所抵触。”另外，委员会在第</w:t>
      </w:r>
      <w:r>
        <w:t>37</w:t>
      </w:r>
      <w:r>
        <w:rPr>
          <w:rFonts w:hint="eastAsia"/>
        </w:rPr>
        <w:t>段建议，“政府应撤销有关职工会联盟的压制性法例条文及限制，包括撤销禁止职工会与国际职工会建立联系的规定”。我们相信，我们现时的情况，已能消除这些疑虑</w:t>
      </w:r>
      <w:r>
        <w:t>(</w:t>
      </w:r>
      <w:r>
        <w:rPr>
          <w:rFonts w:hint="eastAsia"/>
        </w:rPr>
        <w:t>见下文第</w:t>
      </w:r>
      <w:r>
        <w:t>124</w:t>
      </w:r>
      <w:r>
        <w:rPr>
          <w:rFonts w:hint="eastAsia"/>
        </w:rPr>
        <w:t>段</w:t>
      </w:r>
      <w:r>
        <w:t>)</w:t>
      </w:r>
      <w:r>
        <w:rPr>
          <w:rFonts w:hint="eastAsia"/>
        </w:rPr>
        <w:t>。不过，在阐述现行情况前，我们必须先交代有关的背景资料。</w:t>
      </w:r>
    </w:p>
    <w:p w:rsidR="00000000" w:rsidRDefault="00000000">
      <w:r>
        <w:tab/>
        <w:t xml:space="preserve">122.  </w:t>
      </w:r>
      <w:r>
        <w:rPr>
          <w:rFonts w:hint="eastAsia"/>
        </w:rPr>
        <w:t>一九九七年六月，前立法局通过若干条与劳工事务有关的议员条例草案，当中包括：</w:t>
      </w:r>
    </w:p>
    <w:p w:rsidR="00000000" w:rsidRDefault="00000000">
      <w:pPr>
        <w:pStyle w:val="a5"/>
        <w:ind w:left="1523" w:hanging="487"/>
      </w:pPr>
      <w:r>
        <w:t>(a)</w:t>
      </w:r>
      <w:r>
        <w:tab/>
      </w:r>
      <w:r>
        <w:rPr>
          <w:rFonts w:hint="eastAsia"/>
        </w:rPr>
        <w:t>《</w:t>
      </w:r>
      <w:r>
        <w:rPr>
          <w:u w:val="single"/>
        </w:rPr>
        <w:t>1997</w:t>
      </w:r>
      <w:r>
        <w:rPr>
          <w:rFonts w:hint="eastAsia"/>
          <w:u w:val="single"/>
        </w:rPr>
        <w:t>年职工会</w:t>
      </w:r>
      <w:r>
        <w:rPr>
          <w:u w:val="single"/>
        </w:rPr>
        <w:t>(</w:t>
      </w:r>
      <w:r>
        <w:rPr>
          <w:rFonts w:hint="eastAsia"/>
          <w:u w:val="single"/>
        </w:rPr>
        <w:t>修订</w:t>
      </w:r>
      <w:r>
        <w:rPr>
          <w:u w:val="single"/>
        </w:rPr>
        <w:t>)(</w:t>
      </w:r>
      <w:r>
        <w:rPr>
          <w:rFonts w:hint="eastAsia"/>
          <w:u w:val="single"/>
        </w:rPr>
        <w:t>第</w:t>
      </w:r>
      <w:r>
        <w:rPr>
          <w:u w:val="single"/>
        </w:rPr>
        <w:t>2</w:t>
      </w:r>
      <w:r>
        <w:rPr>
          <w:rFonts w:hint="eastAsia"/>
          <w:u w:val="single"/>
        </w:rPr>
        <w:t>号</w:t>
      </w:r>
      <w:r>
        <w:rPr>
          <w:u w:val="single"/>
        </w:rPr>
        <w:t>)</w:t>
      </w:r>
      <w:r>
        <w:rPr>
          <w:rFonts w:hint="eastAsia"/>
          <w:u w:val="single"/>
        </w:rPr>
        <w:t>条例</w:t>
      </w:r>
      <w:r>
        <w:rPr>
          <w:rFonts w:hint="eastAsia"/>
        </w:rPr>
        <w:t>》：这条例放宽对职工会活动的管制，包括删除以下条文：</w:t>
      </w:r>
    </w:p>
    <w:p w:rsidR="00000000" w:rsidRDefault="00000000">
      <w:pPr>
        <w:pStyle w:val="a5"/>
        <w:ind w:left="2064"/>
      </w:pPr>
      <w:r>
        <w:t>(i)</w:t>
      </w:r>
      <w:r>
        <w:tab/>
      </w:r>
      <w:r>
        <w:rPr>
          <w:rFonts w:hint="eastAsia"/>
        </w:rPr>
        <w:t>规定职工会向香港以外地方的职工会或类似组织提供捐赠时，必须得到总督</w:t>
      </w:r>
      <w:r>
        <w:t>(</w:t>
      </w:r>
      <w:r>
        <w:rPr>
          <w:rFonts w:hint="eastAsia"/>
        </w:rPr>
        <w:t>现改为行政长官</w:t>
      </w:r>
      <w:r>
        <w:t>)</w:t>
      </w:r>
      <w:r>
        <w:rPr>
          <w:rFonts w:hint="eastAsia"/>
        </w:rPr>
        <w:t>的批准；及</w:t>
      </w:r>
    </w:p>
    <w:p w:rsidR="00000000" w:rsidRDefault="00000000">
      <w:pPr>
        <w:pStyle w:val="a5"/>
        <w:ind w:left="2064"/>
      </w:pPr>
      <w:r>
        <w:t>(ii)</w:t>
      </w:r>
      <w:r>
        <w:tab/>
      </w:r>
      <w:r>
        <w:rPr>
          <w:rFonts w:hint="eastAsia"/>
        </w:rPr>
        <w:t>限制职工会把经费用于政治目的，以及限制已登记职工会与在香港以外地方设立的组织联结；</w:t>
      </w:r>
      <w:r>
        <w:rPr>
          <w:rFonts w:hint="eastAsia"/>
        </w:rPr>
        <w:t xml:space="preserve"> </w:t>
      </w:r>
    </w:p>
    <w:p w:rsidR="00000000" w:rsidRDefault="00000000">
      <w:pPr>
        <w:pStyle w:val="a5"/>
        <w:ind w:left="1546"/>
      </w:pPr>
      <w:r>
        <w:t>(b)</w:t>
      </w:r>
      <w:r>
        <w:tab/>
      </w:r>
      <w:r>
        <w:rPr>
          <w:rFonts w:hint="eastAsia"/>
        </w:rPr>
        <w:t>《</w:t>
      </w:r>
      <w:r>
        <w:rPr>
          <w:u w:val="single"/>
        </w:rPr>
        <w:t>1997</w:t>
      </w:r>
      <w:r>
        <w:rPr>
          <w:rFonts w:hint="eastAsia"/>
          <w:u w:val="single"/>
        </w:rPr>
        <w:t>年雇佣</w:t>
      </w:r>
      <w:r>
        <w:rPr>
          <w:u w:val="single"/>
        </w:rPr>
        <w:t>(</w:t>
      </w:r>
      <w:r>
        <w:rPr>
          <w:rFonts w:hint="eastAsia"/>
          <w:u w:val="single"/>
        </w:rPr>
        <w:t>修订</w:t>
      </w:r>
      <w:r>
        <w:rPr>
          <w:u w:val="single"/>
        </w:rPr>
        <w:t>)(</w:t>
      </w:r>
      <w:r>
        <w:rPr>
          <w:rFonts w:hint="eastAsia"/>
          <w:u w:val="single"/>
        </w:rPr>
        <w:t>第</w:t>
      </w:r>
      <w:r>
        <w:rPr>
          <w:u w:val="single"/>
        </w:rPr>
        <w:t>4</w:t>
      </w:r>
      <w:r>
        <w:rPr>
          <w:rFonts w:hint="eastAsia"/>
          <w:u w:val="single"/>
        </w:rPr>
        <w:t>号</w:t>
      </w:r>
      <w:r>
        <w:rPr>
          <w:u w:val="single"/>
        </w:rPr>
        <w:t>)</w:t>
      </w:r>
      <w:r>
        <w:rPr>
          <w:rFonts w:hint="eastAsia"/>
          <w:u w:val="single"/>
        </w:rPr>
        <w:t>条例</w:t>
      </w:r>
      <w:r>
        <w:rPr>
          <w:rFonts w:hint="eastAsia"/>
        </w:rPr>
        <w:t>》：这条例给予雇员新的权利，让他们能就歧视职工会的作为提出民事申索；此外，这条例亦向雇员提供有关的补救方法，包括强制性复职、补偿和惩罚性赔偿；及</w:t>
      </w:r>
    </w:p>
    <w:p w:rsidR="00000000" w:rsidRDefault="00000000">
      <w:pPr>
        <w:ind w:left="1036"/>
      </w:pPr>
      <w:r>
        <w:t>(c)</w:t>
      </w:r>
      <w:r>
        <w:tab/>
      </w:r>
      <w:r>
        <w:rPr>
          <w:rFonts w:hint="eastAsia"/>
        </w:rPr>
        <w:t>《</w:t>
      </w:r>
      <w:r>
        <w:rPr>
          <w:rFonts w:hint="eastAsia"/>
          <w:u w:val="single"/>
        </w:rPr>
        <w:t>雇员代表权、咨询权及集体谈判权条例</w:t>
      </w:r>
      <w:r>
        <w:rPr>
          <w:rFonts w:hint="eastAsia"/>
        </w:rPr>
        <w:t>》：这条例订明雇员有权：</w:t>
      </w:r>
    </w:p>
    <w:p w:rsidR="00000000" w:rsidRDefault="00000000">
      <w:pPr>
        <w:pStyle w:val="a5"/>
        <w:ind w:left="2064"/>
      </w:pPr>
      <w:r>
        <w:t>(i)</w:t>
      </w:r>
      <w:r>
        <w:tab/>
      </w:r>
      <w:r>
        <w:rPr>
          <w:rFonts w:hint="eastAsia"/>
        </w:rPr>
        <w:t>在雇佣事宜上以职工会作为其代表；</w:t>
      </w:r>
    </w:p>
    <w:p w:rsidR="00000000" w:rsidRDefault="00000000">
      <w:pPr>
        <w:pStyle w:val="a5"/>
        <w:ind w:left="2064"/>
      </w:pPr>
      <w:r>
        <w:t>(ii)</w:t>
      </w:r>
      <w:r>
        <w:tab/>
      </w:r>
      <w:r>
        <w:rPr>
          <w:rFonts w:hint="eastAsia"/>
        </w:rPr>
        <w:t>通过所属而又具代表性的职工会，就各项影响其利益的有关事宜获得其雇主咨询；及</w:t>
      </w:r>
    </w:p>
    <w:p w:rsidR="00000000" w:rsidRDefault="00000000">
      <w:pPr>
        <w:ind w:left="1554"/>
      </w:pPr>
      <w:r>
        <w:t>(iii)</w:t>
      </w:r>
      <w:r>
        <w:tab/>
      </w:r>
      <w:r>
        <w:rPr>
          <w:rFonts w:hint="eastAsia"/>
        </w:rPr>
        <w:t>受到由具代表性的职工会商议和订立的集体协议保障。</w:t>
      </w:r>
    </w:p>
    <w:p w:rsidR="00000000" w:rsidRDefault="00000000">
      <w:r>
        <w:tab/>
        <w:t xml:space="preserve">123.  </w:t>
      </w:r>
      <w:r>
        <w:rPr>
          <w:rFonts w:hint="eastAsia"/>
        </w:rPr>
        <w:t>政府在检讨这些条文时，已征询劳工顾问委员会</w:t>
      </w:r>
      <w:r>
        <w:t>(</w:t>
      </w:r>
      <w:r>
        <w:rPr>
          <w:rFonts w:hint="eastAsia"/>
        </w:rPr>
        <w:t>劳顾会</w:t>
      </w:r>
      <w:r>
        <w:t>)</w:t>
      </w:r>
      <w:r>
        <w:rPr>
          <w:rFonts w:hint="eastAsia"/>
        </w:rPr>
        <w:t>的意见。检讨结果发现：</w:t>
      </w:r>
    </w:p>
    <w:p w:rsidR="00000000" w:rsidRDefault="00000000">
      <w:pPr>
        <w:pStyle w:val="a5"/>
        <w:ind w:left="1546"/>
      </w:pPr>
      <w:r>
        <w:t>(a)</w:t>
      </w:r>
      <w:r>
        <w:tab/>
      </w:r>
      <w:r>
        <w:rPr>
          <w:rFonts w:hint="eastAsia"/>
        </w:rPr>
        <w:t>《</w:t>
      </w:r>
      <w:r>
        <w:rPr>
          <w:u w:val="single"/>
        </w:rPr>
        <w:t>1997</w:t>
      </w:r>
      <w:r>
        <w:rPr>
          <w:rFonts w:hint="eastAsia"/>
          <w:u w:val="single"/>
        </w:rPr>
        <w:t>年职工会</w:t>
      </w:r>
      <w:r>
        <w:rPr>
          <w:u w:val="single"/>
        </w:rPr>
        <w:t>(</w:t>
      </w:r>
      <w:r>
        <w:rPr>
          <w:rFonts w:hint="eastAsia"/>
          <w:u w:val="single"/>
        </w:rPr>
        <w:t>修订</w:t>
      </w:r>
      <w:r>
        <w:rPr>
          <w:u w:val="single"/>
        </w:rPr>
        <w:t>)(</w:t>
      </w:r>
      <w:r>
        <w:rPr>
          <w:rFonts w:hint="eastAsia"/>
          <w:u w:val="single"/>
        </w:rPr>
        <w:t>第</w:t>
      </w:r>
      <w:r>
        <w:rPr>
          <w:u w:val="single"/>
        </w:rPr>
        <w:t>2</w:t>
      </w:r>
      <w:r>
        <w:rPr>
          <w:rFonts w:hint="eastAsia"/>
          <w:u w:val="single"/>
        </w:rPr>
        <w:t>号</w:t>
      </w:r>
      <w:r>
        <w:rPr>
          <w:u w:val="single"/>
        </w:rPr>
        <w:t>)</w:t>
      </w:r>
      <w:r>
        <w:rPr>
          <w:rFonts w:hint="eastAsia"/>
          <w:u w:val="single"/>
        </w:rPr>
        <w:t>条例</w:t>
      </w:r>
      <w:r>
        <w:rPr>
          <w:rFonts w:hint="eastAsia"/>
        </w:rPr>
        <w:t>》：原先的条文须予保留，用以促进香港特区职工会的健康发展，并确保职工会的职能只限于改善和保障其会员福利；</w:t>
      </w:r>
    </w:p>
    <w:p w:rsidR="00000000" w:rsidRDefault="00000000">
      <w:pPr>
        <w:pStyle w:val="a5"/>
        <w:ind w:left="1546"/>
      </w:pPr>
      <w:r>
        <w:t>(b)</w:t>
      </w:r>
      <w:r>
        <w:tab/>
      </w:r>
      <w:r>
        <w:rPr>
          <w:rFonts w:hint="eastAsia"/>
        </w:rPr>
        <w:t>《</w:t>
      </w:r>
      <w:r>
        <w:rPr>
          <w:u w:val="single"/>
        </w:rPr>
        <w:t>1997</w:t>
      </w:r>
      <w:r>
        <w:rPr>
          <w:rFonts w:hint="eastAsia"/>
          <w:u w:val="single"/>
        </w:rPr>
        <w:t>年雇佣</w:t>
      </w:r>
      <w:r>
        <w:rPr>
          <w:u w:val="single"/>
        </w:rPr>
        <w:t>(</w:t>
      </w:r>
      <w:r>
        <w:rPr>
          <w:rFonts w:hint="eastAsia"/>
          <w:u w:val="single"/>
        </w:rPr>
        <w:t>修订</w:t>
      </w:r>
      <w:r>
        <w:rPr>
          <w:u w:val="single"/>
        </w:rPr>
        <w:t>)(</w:t>
      </w:r>
      <w:r>
        <w:rPr>
          <w:rFonts w:hint="eastAsia"/>
          <w:u w:val="single"/>
        </w:rPr>
        <w:t>第</w:t>
      </w:r>
      <w:r>
        <w:rPr>
          <w:u w:val="single"/>
        </w:rPr>
        <w:t>4</w:t>
      </w:r>
      <w:r>
        <w:rPr>
          <w:rFonts w:hint="eastAsia"/>
          <w:u w:val="single"/>
        </w:rPr>
        <w:t>号</w:t>
      </w:r>
      <w:r>
        <w:rPr>
          <w:u w:val="single"/>
        </w:rPr>
        <w:t>)</w:t>
      </w:r>
      <w:r>
        <w:rPr>
          <w:rFonts w:hint="eastAsia"/>
          <w:u w:val="single"/>
        </w:rPr>
        <w:t>条例</w:t>
      </w:r>
      <w:r>
        <w:rPr>
          <w:rFonts w:hint="eastAsia"/>
        </w:rPr>
        <w:t>》：当中保障雇员不会因职工会受到歧视而遭解雇的规定，基本上跟原先《</w:t>
      </w:r>
      <w:r>
        <w:t>1997</w:t>
      </w:r>
      <w:r>
        <w:rPr>
          <w:rFonts w:hint="eastAsia"/>
        </w:rPr>
        <w:t>年雇佣</w:t>
      </w:r>
      <w:r>
        <w:t>(</w:t>
      </w:r>
      <w:r>
        <w:rPr>
          <w:rFonts w:hint="eastAsia"/>
        </w:rPr>
        <w:t>修订</w:t>
      </w:r>
      <w:r>
        <w:t>)(</w:t>
      </w:r>
      <w:r>
        <w:rPr>
          <w:rFonts w:hint="eastAsia"/>
        </w:rPr>
        <w:t>第</w:t>
      </w:r>
      <w:r>
        <w:t>3</w:t>
      </w:r>
      <w:r>
        <w:rPr>
          <w:rFonts w:hint="eastAsia"/>
        </w:rPr>
        <w:t>号</w:t>
      </w:r>
      <w:r>
        <w:t>)</w:t>
      </w:r>
      <w:r>
        <w:rPr>
          <w:rFonts w:hint="eastAsia"/>
        </w:rPr>
        <w:t>条例》所提供的保障一样；及</w:t>
      </w:r>
    </w:p>
    <w:p w:rsidR="00000000" w:rsidRDefault="00000000">
      <w:pPr>
        <w:pStyle w:val="a5"/>
        <w:ind w:left="1546"/>
      </w:pPr>
      <w:r>
        <w:t>(c)</w:t>
      </w:r>
      <w:r>
        <w:tab/>
      </w:r>
      <w:r>
        <w:rPr>
          <w:rFonts w:hint="eastAsia"/>
        </w:rPr>
        <w:t>《</w:t>
      </w:r>
      <w:r>
        <w:rPr>
          <w:rFonts w:hint="eastAsia"/>
          <w:u w:val="single"/>
        </w:rPr>
        <w:t>雇员代表权、咨询权及集体谈判权条例</w:t>
      </w:r>
      <w:r>
        <w:rPr>
          <w:rFonts w:hint="eastAsia"/>
        </w:rPr>
        <w:t>》：这条例会对香港的劳资关系制度产生即时及长远的影响，同时又会削弱香港经济的竞争力。政府和劳顾会均认为，香港特区劳动人口的流动性较高，加上以小型商业主导</w:t>
      </w:r>
      <w:r>
        <w:t>(</w:t>
      </w:r>
      <w:r>
        <w:rPr>
          <w:rFonts w:hint="eastAsia"/>
        </w:rPr>
        <w:t>约有</w:t>
      </w:r>
      <w:r>
        <w:t>94%</w:t>
      </w:r>
      <w:r>
        <w:rPr>
          <w:rFonts w:hint="eastAsia"/>
        </w:rPr>
        <w:t>的机构聘用少于</w:t>
      </w:r>
      <w:r>
        <w:t>20</w:t>
      </w:r>
      <w:r>
        <w:rPr>
          <w:rFonts w:hint="eastAsia"/>
        </w:rPr>
        <w:t>名雇员</w:t>
      </w:r>
      <w:r>
        <w:rPr>
          <w:rStyle w:val="FootnoteReference"/>
        </w:rPr>
        <w:footnoteReference w:id="28"/>
      </w:r>
      <w:r>
        <w:t xml:space="preserve"> )</w:t>
      </w:r>
      <w:r>
        <w:rPr>
          <w:rFonts w:hint="eastAsia"/>
        </w:rPr>
        <w:t>，故并不适宜立法实施集体谈判。政府一贯的政策，是以循序渐进的方式，因应香港经济和社会的发展步伐来改善雇员的权益，并使劳资双方的利益均能得到妥善照顾。</w:t>
      </w:r>
    </w:p>
    <w:p w:rsidR="00000000" w:rsidRDefault="00000000">
      <w:r>
        <w:tab/>
        <w:t xml:space="preserve">124.  </w:t>
      </w:r>
      <w:r>
        <w:rPr>
          <w:rFonts w:hint="eastAsia"/>
        </w:rPr>
        <w:t>因此，政府于一九九七年十月制定了《雇佣及劳资关系</w:t>
      </w:r>
      <w:r>
        <w:t>(</w:t>
      </w:r>
      <w:r>
        <w:rPr>
          <w:rFonts w:hint="eastAsia"/>
        </w:rPr>
        <w:t>杂项修订</w:t>
      </w:r>
      <w:r>
        <w:t>)</w:t>
      </w:r>
      <w:r>
        <w:rPr>
          <w:rFonts w:hint="eastAsia"/>
        </w:rPr>
        <w:t>条例》，就上文第</w:t>
      </w:r>
      <w:r>
        <w:t>(a)</w:t>
      </w:r>
      <w:r>
        <w:rPr>
          <w:rFonts w:hint="eastAsia"/>
        </w:rPr>
        <w:t>段所述的条例作出修订，并废除第</w:t>
      </w:r>
      <w:r>
        <w:t>(b)</w:t>
      </w:r>
      <w:r>
        <w:rPr>
          <w:rFonts w:hint="eastAsia"/>
        </w:rPr>
        <w:t>和</w:t>
      </w:r>
      <w:r>
        <w:t>(c)</w:t>
      </w:r>
      <w:r>
        <w:rPr>
          <w:rFonts w:hint="eastAsia"/>
        </w:rPr>
        <w:t>段所述的两条条例。部分论者认为，这是劳工权利的一大倒退；但政府对此并不同意。在检讨《职工会条例》时，政府咨询了劳顾会</w:t>
      </w:r>
      <w:r>
        <w:rPr>
          <w:rStyle w:val="FootnoteReference"/>
        </w:rPr>
        <w:footnoteReference w:id="29"/>
      </w:r>
      <w:r>
        <w:t xml:space="preserve"> </w:t>
      </w:r>
      <w:r>
        <w:rPr>
          <w:rFonts w:hint="eastAsia"/>
        </w:rPr>
        <w:t>的意见。其后，政府对《职工会条例》作出了重大修订</w:t>
      </w:r>
      <w:r>
        <w:rPr>
          <w:rStyle w:val="FootnoteReference"/>
        </w:rPr>
        <w:footnoteReference w:id="30"/>
      </w:r>
      <w:r>
        <w:t xml:space="preserve"> </w:t>
      </w:r>
      <w:r>
        <w:rPr>
          <w:rFonts w:hint="eastAsia"/>
        </w:rPr>
        <w:t>，而修订条文亦已由一九九七年十月三十一日起生效。有关修订包括：</w:t>
      </w:r>
    </w:p>
    <w:p w:rsidR="00000000" w:rsidRDefault="00000000">
      <w:pPr>
        <w:pStyle w:val="a0"/>
        <w:numPr>
          <w:ilvl w:val="0"/>
          <w:numId w:val="8"/>
        </w:numPr>
        <w:ind w:left="1531" w:hanging="510"/>
      </w:pPr>
      <w:r>
        <w:rPr>
          <w:rFonts w:hint="eastAsia"/>
        </w:rPr>
        <w:t>撤销禁止不同行业、工业或职业的职工会组成职工会联会的规定；</w:t>
      </w:r>
    </w:p>
    <w:p w:rsidR="00000000" w:rsidRDefault="00000000">
      <w:pPr>
        <w:pStyle w:val="a0"/>
        <w:numPr>
          <w:ilvl w:val="0"/>
          <w:numId w:val="8"/>
        </w:numPr>
        <w:ind w:left="1531" w:hanging="510"/>
      </w:pPr>
      <w:r>
        <w:rPr>
          <w:rFonts w:hint="eastAsia"/>
        </w:rPr>
        <w:t>准许职工会加入外国的工人组织、雇主组织，以及有关的专业组织成为会员，毋须事先得到政府的批准。这修订条文与国际劳工公约有关结社自由和保护组织权利的第</w:t>
      </w:r>
      <w:r>
        <w:t>87</w:t>
      </w:r>
      <w:r>
        <w:rPr>
          <w:rFonts w:hint="eastAsia"/>
        </w:rPr>
        <w:t>号公约相符；</w:t>
      </w:r>
    </w:p>
    <w:p w:rsidR="00000000" w:rsidRDefault="00000000">
      <w:pPr>
        <w:pStyle w:val="a0"/>
        <w:numPr>
          <w:ilvl w:val="0"/>
          <w:numId w:val="8"/>
        </w:numPr>
        <w:ind w:left="1531" w:hanging="510"/>
      </w:pPr>
      <w:r>
        <w:rPr>
          <w:rFonts w:hint="eastAsia"/>
        </w:rPr>
        <w:t>把职工会会员的最低年龄限制由</w:t>
      </w:r>
      <w:r>
        <w:t>21</w:t>
      </w:r>
      <w:r>
        <w:rPr>
          <w:rFonts w:hint="eastAsia"/>
        </w:rPr>
        <w:t>岁降至</w:t>
      </w:r>
      <w:r>
        <w:t>18</w:t>
      </w:r>
      <w:r>
        <w:rPr>
          <w:rFonts w:hint="eastAsia"/>
        </w:rPr>
        <w:t>岁；及</w:t>
      </w:r>
    </w:p>
    <w:p w:rsidR="00000000" w:rsidRDefault="00000000">
      <w:pPr>
        <w:pStyle w:val="a0"/>
        <w:numPr>
          <w:ilvl w:val="0"/>
          <w:numId w:val="8"/>
        </w:numPr>
        <w:ind w:left="1531" w:hanging="510"/>
      </w:pPr>
      <w:r>
        <w:rPr>
          <w:rFonts w:hint="eastAsia"/>
        </w:rPr>
        <w:t>放宽改变职工会名称的投票规定，由需获得全体有表决权的会员以三分之二票数通过，放宽至需出席会员大会的有表决权会员或其代表以大多数票通过。</w:t>
      </w:r>
    </w:p>
    <w:p w:rsidR="00000000" w:rsidRDefault="00000000">
      <w:r>
        <w:tab/>
        <w:t xml:space="preserve">125.  </w:t>
      </w:r>
      <w:r>
        <w:rPr>
          <w:rFonts w:hint="eastAsia"/>
        </w:rPr>
        <w:t>因此，职工会可与不同行业。工业或职业的成员职工会组织职工会联会。此外，它们亦可与在外国设立的工人组织、雇主组织或有关专业组织联结。我们相信，这些修改已顾及委员会审议结论第</w:t>
      </w:r>
      <w:r>
        <w:t>22</w:t>
      </w:r>
      <w:r>
        <w:rPr>
          <w:rFonts w:hint="eastAsia"/>
        </w:rPr>
        <w:t>段的关注和符合第</w:t>
      </w:r>
      <w:r>
        <w:t>37</w:t>
      </w:r>
      <w:r>
        <w:rPr>
          <w:rFonts w:hint="eastAsia"/>
        </w:rPr>
        <w:t>段的建议。</w:t>
      </w:r>
    </w:p>
    <w:p w:rsidR="00000000" w:rsidRDefault="00000000">
      <w:pPr>
        <w:spacing w:after="320"/>
        <w:textAlignment w:val="center"/>
      </w:pPr>
      <w:r>
        <w:tab/>
        <w:t xml:space="preserve">126.  </w:t>
      </w:r>
      <w:r>
        <w:rPr>
          <w:rFonts w:hint="eastAsia"/>
        </w:rPr>
        <w:t>关于参加职工会的权利，以及本公约第八条所保障的一般权利，在《公民和政治权利报告一》第</w:t>
      </w:r>
      <w:r>
        <w:t>390</w:t>
      </w:r>
      <w:r>
        <w:rPr>
          <w:rFonts w:hint="eastAsia"/>
        </w:rPr>
        <w:t>至</w:t>
      </w:r>
      <w:r>
        <w:t>398</w:t>
      </w:r>
      <w:r>
        <w:rPr>
          <w:rFonts w:hint="eastAsia"/>
        </w:rPr>
        <w:t>段亦有针对公约第二十二条的论述。</w:t>
      </w:r>
    </w:p>
    <w:p w:rsidR="00000000" w:rsidRDefault="00000000">
      <w:pPr>
        <w:pStyle w:val="Heading4"/>
      </w:pPr>
      <w:r>
        <w:rPr>
          <w:rFonts w:hint="eastAsia"/>
        </w:rPr>
        <w:t>职工会数目与会员人数</w:t>
      </w:r>
    </w:p>
    <w:p w:rsidR="00000000" w:rsidRDefault="00000000">
      <w:pPr>
        <w:spacing w:after="320"/>
        <w:textAlignment w:val="center"/>
      </w:pPr>
      <w:r>
        <w:tab/>
        <w:t xml:space="preserve">127.  </w:t>
      </w:r>
      <w:r>
        <w:rPr>
          <w:rFonts w:hint="eastAsia"/>
        </w:rPr>
        <w:t>截至一九九七年十二月三十一日为止，香港雇员工会数目与公布会员人数分列如下：</w:t>
      </w:r>
    </w:p>
    <w:tbl>
      <w:tblPr>
        <w:tblW w:w="0" w:type="auto"/>
        <w:tblInd w:w="2" w:type="dxa"/>
        <w:tblLayout w:type="fixed"/>
        <w:tblCellMar>
          <w:left w:w="28" w:type="dxa"/>
          <w:right w:w="28" w:type="dxa"/>
        </w:tblCellMar>
        <w:tblLook w:val="0000" w:firstRow="0" w:lastRow="0" w:firstColumn="0" w:lastColumn="0" w:noHBand="0" w:noVBand="0"/>
      </w:tblPr>
      <w:tblGrid>
        <w:gridCol w:w="4920"/>
        <w:gridCol w:w="1240"/>
        <w:gridCol w:w="65"/>
        <w:gridCol w:w="1175"/>
        <w:gridCol w:w="1984"/>
      </w:tblGrid>
      <w:tr w:rsidR="00000000">
        <w:tblPrEx>
          <w:tblCellMar>
            <w:top w:w="0" w:type="dxa"/>
            <w:bottom w:w="0" w:type="dxa"/>
          </w:tblCellMar>
        </w:tblPrEx>
        <w:tc>
          <w:tcPr>
            <w:tcW w:w="4920" w:type="dxa"/>
            <w:tcBorders>
              <w:top w:val="single" w:sz="4" w:space="0" w:color="auto"/>
              <w:left w:val="single" w:sz="4" w:space="0" w:color="auto"/>
              <w:bottom w:val="single" w:sz="4" w:space="0" w:color="auto"/>
            </w:tcBorders>
          </w:tcPr>
          <w:p w:rsidR="00000000" w:rsidRDefault="00000000">
            <w:pPr>
              <w:ind w:left="113"/>
            </w:pPr>
            <w:r>
              <w:rPr>
                <w:rFonts w:hint="eastAsia"/>
              </w:rPr>
              <w:t>经济环节</w:t>
            </w:r>
          </w:p>
        </w:tc>
        <w:tc>
          <w:tcPr>
            <w:tcW w:w="1240" w:type="dxa"/>
            <w:tcBorders>
              <w:top w:val="single" w:sz="4" w:space="0" w:color="auto"/>
              <w:bottom w:val="single" w:sz="4" w:space="0" w:color="auto"/>
            </w:tcBorders>
          </w:tcPr>
          <w:p w:rsidR="00000000" w:rsidRDefault="00000000">
            <w:pPr>
              <w:jc w:val="center"/>
              <w:rPr>
                <w:kern w:val="0"/>
              </w:rPr>
            </w:pPr>
            <w:r>
              <w:rPr>
                <w:rFonts w:hint="eastAsia"/>
                <w:kern w:val="0"/>
              </w:rPr>
              <w:t>工会数目</w:t>
            </w:r>
          </w:p>
        </w:tc>
        <w:tc>
          <w:tcPr>
            <w:tcW w:w="1240" w:type="dxa"/>
            <w:gridSpan w:val="2"/>
            <w:tcBorders>
              <w:top w:val="single" w:sz="4" w:space="0" w:color="auto"/>
              <w:bottom w:val="single" w:sz="4" w:space="0" w:color="auto"/>
            </w:tcBorders>
          </w:tcPr>
          <w:p w:rsidR="00000000" w:rsidRDefault="00000000"/>
        </w:tc>
        <w:tc>
          <w:tcPr>
            <w:tcW w:w="1984" w:type="dxa"/>
            <w:tcBorders>
              <w:top w:val="single" w:sz="4" w:space="0" w:color="auto"/>
              <w:bottom w:val="single" w:sz="4" w:space="0" w:color="auto"/>
              <w:right w:val="single" w:sz="4" w:space="0" w:color="auto"/>
            </w:tcBorders>
          </w:tcPr>
          <w:p w:rsidR="00000000" w:rsidRDefault="00000000">
            <w:pPr>
              <w:jc w:val="right"/>
            </w:pPr>
            <w:r>
              <w:rPr>
                <w:rFonts w:hint="eastAsia"/>
              </w:rPr>
              <w:t>公布会员人数</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农业及渔业</w:t>
            </w:r>
          </w:p>
        </w:tc>
        <w:tc>
          <w:tcPr>
            <w:tcW w:w="1240" w:type="dxa"/>
          </w:tcPr>
          <w:p w:rsidR="00000000" w:rsidRDefault="00000000">
            <w:pPr>
              <w:ind w:right="284"/>
              <w:jc w:val="right"/>
              <w:rPr>
                <w:kern w:val="0"/>
              </w:rPr>
            </w:pPr>
            <w:r>
              <w:rPr>
                <w:kern w:val="0"/>
              </w:rPr>
              <w:t>0</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0</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采矿及采石</w:t>
            </w:r>
          </w:p>
        </w:tc>
        <w:tc>
          <w:tcPr>
            <w:tcW w:w="1240" w:type="dxa"/>
          </w:tcPr>
          <w:p w:rsidR="00000000" w:rsidRDefault="00000000">
            <w:pPr>
              <w:ind w:right="284"/>
              <w:jc w:val="right"/>
              <w:rPr>
                <w:kern w:val="0"/>
              </w:rPr>
            </w:pPr>
            <w:r>
              <w:rPr>
                <w:kern w:val="0"/>
              </w:rPr>
              <w:t>0</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0</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制造</w:t>
            </w:r>
          </w:p>
        </w:tc>
        <w:tc>
          <w:tcPr>
            <w:tcW w:w="1240" w:type="dxa"/>
          </w:tcPr>
          <w:p w:rsidR="00000000" w:rsidRDefault="00000000">
            <w:pPr>
              <w:ind w:right="284"/>
              <w:jc w:val="right"/>
              <w:rPr>
                <w:kern w:val="0"/>
              </w:rPr>
            </w:pPr>
            <w:r>
              <w:rPr>
                <w:kern w:val="0"/>
              </w:rPr>
              <w:t>87</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72,617</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电力、天然气及水</w:t>
            </w:r>
          </w:p>
        </w:tc>
        <w:tc>
          <w:tcPr>
            <w:tcW w:w="1240" w:type="dxa"/>
          </w:tcPr>
          <w:p w:rsidR="00000000" w:rsidRDefault="00000000">
            <w:pPr>
              <w:ind w:right="284"/>
              <w:jc w:val="right"/>
              <w:rPr>
                <w:kern w:val="0"/>
              </w:rPr>
            </w:pPr>
            <w:r>
              <w:rPr>
                <w:kern w:val="0"/>
              </w:rPr>
              <w:t>4</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2,541</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建筑</w:t>
            </w:r>
          </w:p>
        </w:tc>
        <w:tc>
          <w:tcPr>
            <w:tcW w:w="1240" w:type="dxa"/>
          </w:tcPr>
          <w:p w:rsidR="00000000" w:rsidRDefault="00000000">
            <w:pPr>
              <w:ind w:right="284"/>
              <w:jc w:val="right"/>
              <w:rPr>
                <w:kern w:val="0"/>
              </w:rPr>
            </w:pPr>
            <w:r>
              <w:rPr>
                <w:kern w:val="0"/>
              </w:rPr>
              <w:t>22</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25,819</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批发及零售、出入口贸易、食肆及酒店</w:t>
            </w:r>
          </w:p>
        </w:tc>
        <w:tc>
          <w:tcPr>
            <w:tcW w:w="1240" w:type="dxa"/>
          </w:tcPr>
          <w:p w:rsidR="00000000" w:rsidRDefault="00000000">
            <w:pPr>
              <w:ind w:right="284"/>
              <w:jc w:val="right"/>
              <w:rPr>
                <w:kern w:val="0"/>
              </w:rPr>
            </w:pPr>
            <w:r>
              <w:rPr>
                <w:kern w:val="0"/>
              </w:rPr>
              <w:t>37</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52,392</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运输、仓务及通讯</w:t>
            </w:r>
          </w:p>
        </w:tc>
        <w:tc>
          <w:tcPr>
            <w:tcW w:w="1240" w:type="dxa"/>
          </w:tcPr>
          <w:p w:rsidR="00000000" w:rsidRDefault="00000000">
            <w:pPr>
              <w:ind w:right="284"/>
              <w:jc w:val="right"/>
              <w:rPr>
                <w:kern w:val="0"/>
              </w:rPr>
            </w:pPr>
            <w:r>
              <w:rPr>
                <w:kern w:val="0"/>
              </w:rPr>
              <w:t>85</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105,242</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金融、保险、地产及商业服务</w:t>
            </w:r>
          </w:p>
        </w:tc>
        <w:tc>
          <w:tcPr>
            <w:tcW w:w="1240" w:type="dxa"/>
          </w:tcPr>
          <w:p w:rsidR="00000000" w:rsidRDefault="00000000">
            <w:pPr>
              <w:ind w:right="284"/>
              <w:jc w:val="right"/>
              <w:rPr>
                <w:kern w:val="0"/>
              </w:rPr>
            </w:pPr>
            <w:r>
              <w:rPr>
                <w:kern w:val="0"/>
              </w:rPr>
              <w:t>14</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35,534</w:t>
            </w:r>
          </w:p>
        </w:tc>
      </w:tr>
      <w:tr w:rsidR="00000000">
        <w:tblPrEx>
          <w:tblCellMar>
            <w:top w:w="0" w:type="dxa"/>
            <w:bottom w:w="0" w:type="dxa"/>
          </w:tblCellMar>
        </w:tblPrEx>
        <w:tc>
          <w:tcPr>
            <w:tcW w:w="4920" w:type="dxa"/>
            <w:tcBorders>
              <w:left w:val="single" w:sz="6" w:space="0" w:color="auto"/>
            </w:tcBorders>
          </w:tcPr>
          <w:p w:rsidR="00000000" w:rsidRDefault="00000000">
            <w:pPr>
              <w:ind w:left="113"/>
            </w:pPr>
            <w:r>
              <w:rPr>
                <w:rFonts w:hint="eastAsia"/>
              </w:rPr>
              <w:t>公共、社会及个人服务</w:t>
            </w:r>
          </w:p>
        </w:tc>
        <w:tc>
          <w:tcPr>
            <w:tcW w:w="1240" w:type="dxa"/>
          </w:tcPr>
          <w:p w:rsidR="00000000" w:rsidRDefault="00000000">
            <w:pPr>
              <w:ind w:right="284"/>
              <w:jc w:val="right"/>
              <w:rPr>
                <w:kern w:val="0"/>
              </w:rPr>
            </w:pPr>
            <w:r>
              <w:rPr>
                <w:kern w:val="0"/>
              </w:rPr>
              <w:t>289</w:t>
            </w:r>
          </w:p>
        </w:tc>
        <w:tc>
          <w:tcPr>
            <w:tcW w:w="1240" w:type="dxa"/>
            <w:gridSpan w:val="2"/>
          </w:tcPr>
          <w:p w:rsidR="00000000" w:rsidRDefault="00000000">
            <w:pPr>
              <w:ind w:right="113"/>
              <w:jc w:val="right"/>
            </w:pPr>
          </w:p>
        </w:tc>
        <w:tc>
          <w:tcPr>
            <w:tcW w:w="1984" w:type="dxa"/>
            <w:tcBorders>
              <w:right w:val="single" w:sz="6" w:space="0" w:color="auto"/>
            </w:tcBorders>
          </w:tcPr>
          <w:p w:rsidR="00000000" w:rsidRDefault="00000000">
            <w:pPr>
              <w:ind w:right="397"/>
              <w:jc w:val="right"/>
            </w:pPr>
            <w:r>
              <w:t>353,763</w:t>
            </w:r>
          </w:p>
        </w:tc>
      </w:tr>
      <w:tr w:rsidR="00000000">
        <w:tblPrEx>
          <w:tblCellMar>
            <w:top w:w="0" w:type="dxa"/>
            <w:bottom w:w="0" w:type="dxa"/>
          </w:tblCellMar>
        </w:tblPrEx>
        <w:tc>
          <w:tcPr>
            <w:tcW w:w="4920" w:type="dxa"/>
            <w:tcBorders>
              <w:top w:val="single" w:sz="4" w:space="0" w:color="auto"/>
              <w:left w:val="single" w:sz="4" w:space="0" w:color="auto"/>
              <w:bottom w:val="single" w:sz="4" w:space="0" w:color="auto"/>
            </w:tcBorders>
          </w:tcPr>
          <w:p w:rsidR="00000000" w:rsidRDefault="00000000">
            <w:pPr>
              <w:ind w:left="113"/>
            </w:pPr>
            <w:r>
              <w:rPr>
                <w:rFonts w:hint="eastAsia"/>
              </w:rPr>
              <w:t>总计</w:t>
            </w:r>
          </w:p>
        </w:tc>
        <w:tc>
          <w:tcPr>
            <w:tcW w:w="1240" w:type="dxa"/>
            <w:tcBorders>
              <w:top w:val="single" w:sz="4" w:space="0" w:color="auto"/>
              <w:bottom w:val="single" w:sz="4" w:space="0" w:color="auto"/>
            </w:tcBorders>
          </w:tcPr>
          <w:p w:rsidR="00000000" w:rsidRDefault="00000000">
            <w:pPr>
              <w:ind w:right="284"/>
              <w:jc w:val="right"/>
              <w:rPr>
                <w:kern w:val="0"/>
              </w:rPr>
            </w:pPr>
            <w:r>
              <w:rPr>
                <w:kern w:val="0"/>
              </w:rPr>
              <w:t>538</w:t>
            </w:r>
          </w:p>
        </w:tc>
        <w:tc>
          <w:tcPr>
            <w:tcW w:w="1240" w:type="dxa"/>
            <w:gridSpan w:val="2"/>
            <w:tcBorders>
              <w:top w:val="single" w:sz="4" w:space="0" w:color="auto"/>
              <w:bottom w:val="single" w:sz="4" w:space="0" w:color="auto"/>
            </w:tcBorders>
          </w:tcPr>
          <w:p w:rsidR="00000000" w:rsidRDefault="00000000">
            <w:pPr>
              <w:ind w:right="113"/>
              <w:jc w:val="right"/>
            </w:pPr>
          </w:p>
        </w:tc>
        <w:tc>
          <w:tcPr>
            <w:tcW w:w="1984" w:type="dxa"/>
            <w:tcBorders>
              <w:top w:val="single" w:sz="4" w:space="0" w:color="auto"/>
              <w:bottom w:val="single" w:sz="4" w:space="0" w:color="auto"/>
              <w:right w:val="single" w:sz="4" w:space="0" w:color="auto"/>
            </w:tcBorders>
          </w:tcPr>
          <w:p w:rsidR="00000000" w:rsidRDefault="00000000">
            <w:pPr>
              <w:ind w:right="397"/>
              <w:jc w:val="right"/>
            </w:pPr>
            <w:r>
              <w:t>647,908</w:t>
            </w:r>
          </w:p>
        </w:tc>
      </w:tr>
      <w:tr w:rsidR="00000000">
        <w:tblPrEx>
          <w:tblCellMar>
            <w:top w:w="0" w:type="dxa"/>
            <w:bottom w:w="0" w:type="dxa"/>
          </w:tblCellMar>
        </w:tblPrEx>
        <w:tc>
          <w:tcPr>
            <w:tcW w:w="6225" w:type="dxa"/>
            <w:gridSpan w:val="3"/>
            <w:tcBorders>
              <w:left w:val="single" w:sz="4" w:space="0" w:color="auto"/>
              <w:bottom w:val="single" w:sz="4" w:space="0" w:color="auto"/>
            </w:tcBorders>
          </w:tcPr>
          <w:p w:rsidR="00000000" w:rsidRDefault="00000000">
            <w:pPr>
              <w:tabs>
                <w:tab w:val="clear" w:pos="510"/>
                <w:tab w:val="clear" w:pos="1021"/>
              </w:tabs>
              <w:ind w:left="932" w:right="312"/>
              <w:rPr>
                <w:kern w:val="0"/>
              </w:rPr>
            </w:pPr>
            <w:r>
              <w:rPr>
                <w:rFonts w:hint="eastAsia"/>
                <w:kern w:val="0"/>
              </w:rPr>
              <w:t>受薪雇员及工人参加工会的比率</w:t>
            </w:r>
          </w:p>
        </w:tc>
        <w:tc>
          <w:tcPr>
            <w:tcW w:w="1175" w:type="dxa"/>
            <w:tcBorders>
              <w:bottom w:val="single" w:sz="4" w:space="0" w:color="auto"/>
            </w:tcBorders>
          </w:tcPr>
          <w:p w:rsidR="00000000" w:rsidRDefault="00000000">
            <w:pPr>
              <w:jc w:val="right"/>
            </w:pPr>
          </w:p>
        </w:tc>
        <w:tc>
          <w:tcPr>
            <w:tcW w:w="1984" w:type="dxa"/>
            <w:tcBorders>
              <w:left w:val="single" w:sz="6" w:space="0" w:color="auto"/>
              <w:bottom w:val="single" w:sz="4" w:space="0" w:color="auto"/>
              <w:right w:val="single" w:sz="4" w:space="0" w:color="auto"/>
            </w:tcBorders>
          </w:tcPr>
          <w:p w:rsidR="00000000" w:rsidRDefault="00000000">
            <w:pPr>
              <w:ind w:right="340"/>
              <w:jc w:val="right"/>
            </w:pPr>
            <w:r>
              <w:t>21.85%</w:t>
            </w:r>
          </w:p>
        </w:tc>
      </w:tr>
    </w:tbl>
    <w:p w:rsidR="00000000" w:rsidRDefault="00000000">
      <w:pPr>
        <w:pStyle w:val="Heading4"/>
        <w:spacing w:before="320"/>
      </w:pPr>
      <w:r>
        <w:rPr>
          <w:rFonts w:hint="eastAsia"/>
          <w:u w:val="none"/>
        </w:rPr>
        <w:t>《</w:t>
      </w:r>
      <w:r>
        <w:rPr>
          <w:rFonts w:hint="eastAsia"/>
        </w:rPr>
        <w:t>雇佣条例》</w:t>
      </w:r>
      <w:r>
        <w:t>(</w:t>
      </w:r>
      <w:r>
        <w:rPr>
          <w:rFonts w:hint="eastAsia"/>
        </w:rPr>
        <w:t>第</w:t>
      </w:r>
      <w:r>
        <w:t>57</w:t>
      </w:r>
      <w:r>
        <w:rPr>
          <w:rFonts w:hint="eastAsia"/>
        </w:rPr>
        <w:t>章</w:t>
      </w:r>
      <w:r>
        <w:t>)</w:t>
      </w:r>
      <w:r>
        <w:rPr>
          <w:rFonts w:hint="eastAsia"/>
        </w:rPr>
        <w:t>有关职工会不受歧视的法律保障</w:t>
      </w:r>
    </w:p>
    <w:p w:rsidR="00000000" w:rsidRDefault="00000000">
      <w:r>
        <w:tab/>
        <w:t xml:space="preserve">128.  </w:t>
      </w:r>
      <w:r>
        <w:rPr>
          <w:rFonts w:hint="eastAsia"/>
        </w:rPr>
        <w:t>《雇佣条例》订明，所有雇员均有权成为职工会的会员或职员，并有权在工余参加职工会活动；如雇主同意，雇员更可在工作时间内参加职工会活动。此外，雇员更可享有组织职工会和申请将职工会登记的权利。雇主不得阻止或阻吓雇员行使这些权利，也不可因雇员行使该等权利而解雇、惩罚或歧视他们。雇主如违反上述规定，即属犯罪，一经定罪，最高可处罚款</w:t>
      </w:r>
      <w:r>
        <w:t>100,000</w:t>
      </w:r>
      <w:r>
        <w:rPr>
          <w:rFonts w:hint="eastAsia"/>
        </w:rPr>
        <w:t>港元。</w:t>
      </w:r>
    </w:p>
    <w:p w:rsidR="00000000" w:rsidRDefault="00000000">
      <w:r>
        <w:tab/>
        <w:t xml:space="preserve">129.  </w:t>
      </w:r>
      <w:r>
        <w:rPr>
          <w:rFonts w:hint="eastAsia"/>
        </w:rPr>
        <w:t>一九九七年六月，政府通过雇佣</w:t>
      </w:r>
      <w:r>
        <w:t>(</w:t>
      </w:r>
      <w:r>
        <w:rPr>
          <w:rFonts w:hint="eastAsia"/>
        </w:rPr>
        <w:t>修订</w:t>
      </w:r>
      <w:r>
        <w:t>)(</w:t>
      </w:r>
      <w:r>
        <w:rPr>
          <w:rFonts w:hint="eastAsia"/>
        </w:rPr>
        <w:t>第</w:t>
      </w:r>
      <w:r>
        <w:t>3</w:t>
      </w:r>
      <w:r>
        <w:rPr>
          <w:rFonts w:hint="eastAsia"/>
        </w:rPr>
        <w:t>号</w:t>
      </w:r>
      <w:r>
        <w:t>)</w:t>
      </w:r>
      <w:r>
        <w:rPr>
          <w:rFonts w:hint="eastAsia"/>
        </w:rPr>
        <w:t>条例</w:t>
      </w:r>
      <w:r>
        <w:t>(</w:t>
      </w:r>
      <w:r>
        <w:rPr>
          <w:rFonts w:hint="eastAsia"/>
        </w:rPr>
        <w:t>见上文第</w:t>
      </w:r>
      <w:r>
        <w:t>123</w:t>
      </w:r>
      <w:r>
        <w:rPr>
          <w:rFonts w:hint="eastAsia"/>
        </w:rPr>
        <w:t>段</w:t>
      </w:r>
      <w:r>
        <w:t>)</w:t>
      </w:r>
      <w:r>
        <w:rPr>
          <w:rFonts w:hint="eastAsia"/>
        </w:rPr>
        <w:t>，制定了新的条文：若雇员是因为在紧接遭雇主解雇前的</w:t>
      </w:r>
      <w:r>
        <w:t>12</w:t>
      </w:r>
      <w:r>
        <w:rPr>
          <w:rFonts w:hint="eastAsia"/>
        </w:rPr>
        <w:t>个月内行使参加职工会及</w:t>
      </w:r>
      <w:r>
        <w:t>/</w:t>
      </w:r>
      <w:r>
        <w:rPr>
          <w:rFonts w:hint="eastAsia"/>
        </w:rPr>
        <w:t>或参与其活动的权利而遭解雇，则该雇员有权提出申索，要求得到补救。如雇主未能证明解雇是出于正当理由</w:t>
      </w:r>
      <w:r>
        <w:rPr>
          <w:rStyle w:val="FootnoteReference"/>
        </w:rPr>
        <w:footnoteReference w:id="31"/>
      </w:r>
      <w:r>
        <w:t xml:space="preserve"> </w:t>
      </w:r>
      <w:r>
        <w:rPr>
          <w:rFonts w:hint="eastAsia"/>
        </w:rPr>
        <w:t>，而有关雇员是因参加职工会及</w:t>
      </w:r>
      <w:r>
        <w:t>/</w:t>
      </w:r>
      <w:r>
        <w:rPr>
          <w:rFonts w:hint="eastAsia"/>
        </w:rPr>
        <w:t>或参与其活动而遭解雇，则劳资审裁处可在得到劳资双方的同意后，作出复职或再次聘用的命令，或判给雇员一笔终止雇佣金。如劳资审裁处不作出复职或重新聘用的命令，则不论其是否已判给终止雇佣金，也可判给雇员一笔补偿金，最高为</w:t>
      </w:r>
      <w:r>
        <w:t>150,000</w:t>
      </w:r>
      <w:r>
        <w:rPr>
          <w:rFonts w:hint="eastAsia"/>
        </w:rPr>
        <w:t>港元。</w:t>
      </w:r>
    </w:p>
    <w:p w:rsidR="00000000" w:rsidRDefault="00000000">
      <w:pPr>
        <w:spacing w:after="320"/>
        <w:textAlignment w:val="center"/>
      </w:pPr>
      <w:r>
        <w:tab/>
        <w:t xml:space="preserve">130.  </w:t>
      </w:r>
      <w:r>
        <w:rPr>
          <w:rFonts w:hint="eastAsia"/>
        </w:rPr>
        <w:t>此外，虽然政府对实施强制性的集体谈判有所保留</w:t>
      </w:r>
      <w:r>
        <w:t>(</w:t>
      </w:r>
      <w:r>
        <w:rPr>
          <w:rFonts w:hint="eastAsia"/>
        </w:rPr>
        <w:t>见上文第</w:t>
      </w:r>
      <w:r>
        <w:t>123</w:t>
      </w:r>
      <w:r>
        <w:rPr>
          <w:rFonts w:hint="eastAsia"/>
        </w:rPr>
        <w:t>段</w:t>
      </w:r>
      <w:r>
        <w:t>)</w:t>
      </w:r>
      <w:r>
        <w:rPr>
          <w:rFonts w:hint="eastAsia"/>
        </w:rPr>
        <w:t>，但仍已采取多项措施，鼓励和促进劳资双方进行自愿性质的集体谈判。在劳工处的自愿调解服务协助下，自愿协商在香港一直行之有效，取得理想的成果。一九九五至九七这三年间，在每</w:t>
      </w:r>
      <w:r>
        <w:t>1,000</w:t>
      </w:r>
      <w:r>
        <w:rPr>
          <w:rFonts w:hint="eastAsia"/>
        </w:rPr>
        <w:t>名有工资收入的人士和受薪雇员中，每年因劳资纠纷而损失的平均工作日数只有</w:t>
      </w:r>
      <w:r>
        <w:t>0.55</w:t>
      </w:r>
      <w:r>
        <w:rPr>
          <w:rFonts w:hint="eastAsia"/>
        </w:rPr>
        <w:t>天。一九九八年四月，劳工处成立专责的“劳资协商促进组”，鼓励劳资双方在企业层面进行自愿协商，并促进他们达成有效的沟通。</w:t>
      </w:r>
    </w:p>
    <w:p w:rsidR="00000000" w:rsidRDefault="00000000">
      <w:pPr>
        <w:pStyle w:val="Heading4"/>
      </w:pPr>
      <w:r>
        <w:rPr>
          <w:rFonts w:hint="eastAsia"/>
          <w:u w:val="none"/>
        </w:rPr>
        <w:t>《</w:t>
      </w:r>
      <w:r>
        <w:rPr>
          <w:rFonts w:hint="eastAsia"/>
        </w:rPr>
        <w:t>劳资关系条例》</w:t>
      </w:r>
      <w:r>
        <w:t>(</w:t>
      </w:r>
      <w:r>
        <w:rPr>
          <w:rFonts w:hint="eastAsia"/>
        </w:rPr>
        <w:t>第</w:t>
      </w:r>
      <w:r>
        <w:t>55</w:t>
      </w:r>
      <w:r>
        <w:rPr>
          <w:rFonts w:hint="eastAsia"/>
        </w:rPr>
        <w:t>章</w:t>
      </w:r>
      <w:r>
        <w:t>)</w:t>
      </w:r>
      <w:r>
        <w:rPr>
          <w:rFonts w:hint="eastAsia"/>
        </w:rPr>
        <w:t>所订明的冷静期</w:t>
      </w:r>
    </w:p>
    <w:p w:rsidR="00000000" w:rsidRDefault="00000000">
      <w:r>
        <w:tab/>
        <w:t xml:space="preserve">131.  </w:t>
      </w:r>
      <w:r>
        <w:rPr>
          <w:rFonts w:hint="eastAsia"/>
        </w:rPr>
        <w:t>《雇佣条例》订明，凡已接获雇主通知终止其合约的雇员，如在通知期限届满前参加罢工，则其根据有关职业保障可获得的遣散费和领取长期服务金的权利，不得因该雇员参加罢工而受到影响。</w:t>
      </w:r>
    </w:p>
    <w:p w:rsidR="00000000" w:rsidRDefault="00000000">
      <w:r>
        <w:tab/>
        <w:t xml:space="preserve">132.  </w:t>
      </w:r>
      <w:r>
        <w:rPr>
          <w:rFonts w:hint="eastAsia"/>
        </w:rPr>
        <w:t>不过，如上次报告第</w:t>
      </w:r>
      <w:r>
        <w:t>56</w:t>
      </w:r>
      <w:r>
        <w:rPr>
          <w:rFonts w:hint="eastAsia"/>
        </w:rPr>
        <w:t>段所述，根据《劳资关系条例》的规定，凡劳资纠纷的性质或规模可能会严重影响香港的经济或危害很多人的生命，行政长官会同行政会议可颁令实施一段冷静期，期间一切形式的工业行动必须中止。冷静期不得超越</w:t>
      </w:r>
      <w:r>
        <w:t>30</w:t>
      </w:r>
      <w:r>
        <w:rPr>
          <w:rFonts w:hint="eastAsia"/>
        </w:rPr>
        <w:t>天，但可延长至合共</w:t>
      </w:r>
      <w:r>
        <w:t>60</w:t>
      </w:r>
      <w:r>
        <w:rPr>
          <w:rFonts w:hint="eastAsia"/>
        </w:rPr>
        <w:t>天。政府至今从未行使过这项权力。</w:t>
      </w:r>
    </w:p>
    <w:p w:rsidR="00000000" w:rsidRDefault="00000000">
      <w:pPr>
        <w:pStyle w:val="Heading3"/>
      </w:pPr>
      <w:r>
        <w:rPr>
          <w:rFonts w:hint="eastAsia"/>
        </w:rPr>
        <w:t>第九条</w:t>
      </w:r>
      <w:r>
        <w:t xml:space="preserve">. </w:t>
      </w:r>
      <w:r>
        <w:rPr>
          <w:rFonts w:hint="eastAsia"/>
        </w:rPr>
        <w:t>享有社会保障的权利</w:t>
      </w:r>
    </w:p>
    <w:p w:rsidR="00000000" w:rsidRDefault="00000000">
      <w:pPr>
        <w:spacing w:after="320"/>
        <w:textAlignment w:val="center"/>
      </w:pPr>
      <w:r>
        <w:tab/>
        <w:t xml:space="preserve">133.  </w:t>
      </w:r>
      <w:r>
        <w:rPr>
          <w:rFonts w:hint="eastAsia"/>
        </w:rPr>
        <w:t>《基本法》第三十六条订明，香港居民有依法享受社会福利的权利，劳工的福利待遇和退休保障受法律保护。《基本法》第一百四十五条又订明，香港特区得根据经济条件和社会需要而自行制定政策，以发展和改进原有的社会福利制度。</w:t>
      </w:r>
    </w:p>
    <w:p w:rsidR="00000000" w:rsidRDefault="00000000">
      <w:pPr>
        <w:pStyle w:val="Heading4"/>
      </w:pPr>
      <w:r>
        <w:rPr>
          <w:rFonts w:hint="eastAsia"/>
        </w:rPr>
        <w:t>整体目标</w:t>
      </w:r>
    </w:p>
    <w:p w:rsidR="00000000" w:rsidRDefault="00000000">
      <w:pPr>
        <w:spacing w:after="320"/>
        <w:textAlignment w:val="center"/>
      </w:pPr>
      <w:r>
        <w:tab/>
        <w:t xml:space="preserve">134.  </w:t>
      </w:r>
      <w:r>
        <w:rPr>
          <w:rFonts w:hint="eastAsia"/>
        </w:rPr>
        <w:t>如上次报告第</w:t>
      </w:r>
      <w:r>
        <w:t>58</w:t>
      </w:r>
      <w:r>
        <w:rPr>
          <w:rFonts w:hint="eastAsia"/>
        </w:rPr>
        <w:t>段所述，政府的社会保障政策，旨在照顾香港贫困人士的基本和特别需要。他们包括经济有困难、高龄</w:t>
      </w:r>
      <w:r>
        <w:t xml:space="preserve"> </w:t>
      </w:r>
      <w:r>
        <w:rPr>
          <w:rStyle w:val="FootnoteReference"/>
        </w:rPr>
        <w:footnoteReference w:id="32"/>
      </w:r>
      <w:r>
        <w:t xml:space="preserve"> </w:t>
      </w:r>
      <w:r>
        <w:rPr>
          <w:rFonts w:hint="eastAsia"/>
        </w:rPr>
        <w:t>，以及有严重残疾的人士。所有香港居民，不论性别、种族或宗教，均享有获得社会保障的权利。为此，政府推行一个完全毋须供款的综合社会保障制度。这个制度由两个主要部分构成，分别是综合社会保障援助</w:t>
      </w:r>
      <w:r>
        <w:t>(</w:t>
      </w:r>
      <w:r>
        <w:rPr>
          <w:rFonts w:hint="eastAsia"/>
        </w:rPr>
        <w:t>综援</w:t>
      </w:r>
      <w:r>
        <w:t>)</w:t>
      </w:r>
      <w:r>
        <w:rPr>
          <w:rFonts w:hint="eastAsia"/>
        </w:rPr>
        <w:t>计划和公共福利金计划。综援计划为那些基于年老、残疾、短期患病、收入低微或失业等种种原因，而无法应付基本生活需要的市民，提供一个安全网；公共福利金计划则为年老的市民和严重残疾人士提供援助，以照顾他们的特别需要。这两个非法定计划都毋须供款，经费悉数来自政府一般收入，并由社会福利署负责管理。</w:t>
      </w:r>
    </w:p>
    <w:p w:rsidR="00000000" w:rsidRDefault="00000000">
      <w:pPr>
        <w:pStyle w:val="Heading4"/>
      </w:pPr>
      <w:r>
        <w:rPr>
          <w:rFonts w:hint="eastAsia"/>
        </w:rPr>
        <w:t>政府在社会保障方面的开支</w:t>
      </w:r>
    </w:p>
    <w:p w:rsidR="00000000" w:rsidRDefault="00000000">
      <w:r>
        <w:tab/>
        <w:t xml:space="preserve">135.  </w:t>
      </w:r>
      <w:r>
        <w:rPr>
          <w:rFonts w:hint="eastAsia"/>
        </w:rPr>
        <w:t>在一九九七至九八财政年度，政府在社会保障方面的开支总额</w:t>
      </w:r>
      <w:r>
        <w:t>(</w:t>
      </w:r>
      <w:r>
        <w:rPr>
          <w:rFonts w:hint="eastAsia"/>
        </w:rPr>
        <w:t>连行政费用在内</w:t>
      </w:r>
      <w:r>
        <w:t>)</w:t>
      </w:r>
      <w:r>
        <w:rPr>
          <w:rFonts w:hint="eastAsia"/>
        </w:rPr>
        <w:t>达</w:t>
      </w:r>
      <w:r>
        <w:t>143.62</w:t>
      </w:r>
      <w:r>
        <w:rPr>
          <w:rFonts w:hint="eastAsia"/>
        </w:rPr>
        <w:t>亿港元，占政府整体开支的</w:t>
      </w:r>
      <w:r>
        <w:t>7%</w:t>
      </w:r>
      <w:r>
        <w:rPr>
          <w:rFonts w:hint="eastAsia"/>
        </w:rPr>
        <w:t>，或一九九七年本地生产总值的</w:t>
      </w:r>
      <w:r>
        <w:t>1%</w:t>
      </w:r>
      <w:r>
        <w:rPr>
          <w:rFonts w:hint="eastAsia"/>
        </w:rPr>
        <w:t>；而一九八七至八八财政年度的相应数字则为</w:t>
      </w:r>
      <w:r>
        <w:t>18.46</w:t>
      </w:r>
      <w:r>
        <w:rPr>
          <w:rFonts w:hint="eastAsia"/>
        </w:rPr>
        <w:t>亿港元，占当时政府整体开支的</w:t>
      </w:r>
      <w:r>
        <w:t>4%</w:t>
      </w:r>
      <w:r>
        <w:rPr>
          <w:rFonts w:hint="eastAsia"/>
        </w:rPr>
        <w:t>，或一九八七年本地生产总值的</w:t>
      </w:r>
      <w:r>
        <w:t>0.5%</w:t>
      </w:r>
      <w:r>
        <w:rPr>
          <w:rFonts w:hint="eastAsia"/>
        </w:rPr>
        <w:t>。过去十年的开支有所增长，反映了政府的各项社会保障计划都已作出改善。</w:t>
      </w:r>
    </w:p>
    <w:p w:rsidR="00000000" w:rsidRDefault="00000000">
      <w:pPr>
        <w:spacing w:after="320"/>
        <w:textAlignment w:val="center"/>
      </w:pPr>
      <w:r>
        <w:tab/>
        <w:t xml:space="preserve">136.  </w:t>
      </w:r>
      <w:r>
        <w:rPr>
          <w:rFonts w:hint="eastAsia"/>
        </w:rPr>
        <w:t>截至一九九八年六月三十日为止，约有</w:t>
      </w:r>
      <w:r>
        <w:t>840,400</w:t>
      </w:r>
      <w:r>
        <w:rPr>
          <w:rFonts w:hint="eastAsia"/>
        </w:rPr>
        <w:t>人</w:t>
      </w:r>
      <w:r>
        <w:t>(</w:t>
      </w:r>
      <w:r>
        <w:rPr>
          <w:rFonts w:hint="eastAsia"/>
        </w:rPr>
        <w:t>即总人口的</w:t>
      </w:r>
      <w:r>
        <w:t xml:space="preserve">13%) </w:t>
      </w:r>
      <w:r>
        <w:rPr>
          <w:rFonts w:hint="eastAsia"/>
        </w:rPr>
        <w:t>领取综援金或公共福利金；一九八八年的相应数字为</w:t>
      </w:r>
      <w:r>
        <w:t>407,300</w:t>
      </w:r>
      <w:r>
        <w:rPr>
          <w:rFonts w:hint="eastAsia"/>
        </w:rPr>
        <w:t>人</w:t>
      </w:r>
      <w:r>
        <w:t>(</w:t>
      </w:r>
      <w:r>
        <w:rPr>
          <w:rFonts w:hint="eastAsia"/>
        </w:rPr>
        <w:t>即总人口的</w:t>
      </w:r>
      <w:r>
        <w:t>7%)</w:t>
      </w:r>
      <w:r>
        <w:rPr>
          <w:rFonts w:hint="eastAsia"/>
        </w:rPr>
        <w:t>。</w:t>
      </w:r>
      <w:r>
        <w:t xml:space="preserve"> </w:t>
      </w:r>
      <w:r>
        <w:rPr>
          <w:rFonts w:hint="eastAsia"/>
        </w:rPr>
        <w:t>约</w:t>
      </w:r>
      <w:r>
        <w:t>74%</w:t>
      </w:r>
      <w:r>
        <w:rPr>
          <w:rFonts w:hint="eastAsia"/>
        </w:rPr>
        <w:t>受助人为长者。社会保障受助人数的增加，原因不一，其中主要包括：政府加强宣传，使市民对各项社会保障福利的认识日益提高；福利金额有所提高；以及市民对接受公共援助的态度有所改变等。</w:t>
      </w:r>
    </w:p>
    <w:p w:rsidR="00000000" w:rsidRDefault="00000000">
      <w:pPr>
        <w:pStyle w:val="Heading4"/>
      </w:pPr>
      <w:r>
        <w:rPr>
          <w:rFonts w:hint="eastAsia"/>
        </w:rPr>
        <w:t>综合社会保障援助计划</w:t>
      </w:r>
    </w:p>
    <w:p w:rsidR="00000000" w:rsidRDefault="00000000">
      <w:r>
        <w:tab/>
        <w:t xml:space="preserve">137.  </w:t>
      </w:r>
      <w:r>
        <w:rPr>
          <w:rFonts w:hint="eastAsia"/>
        </w:rPr>
        <w:t>综援计划的申请人必须接受经济状况调查。该计划按照香港的情况，向受助人提供适当的现金津贴，让他们可以应付衣、食、住、行等方面的基本生活需要。此外，所有综援受助人均可以免费享用政府医院或诊所提供的医疗服务。截至一九九八年六月三十日为止，约有</w:t>
      </w:r>
      <w:r>
        <w:t>320,700</w:t>
      </w:r>
      <w:r>
        <w:rPr>
          <w:rFonts w:hint="eastAsia"/>
        </w:rPr>
        <w:t>人领取综援。</w:t>
      </w:r>
    </w:p>
    <w:p w:rsidR="00000000" w:rsidRDefault="00000000">
      <w:r>
        <w:tab/>
        <w:t xml:space="preserve">138.  </w:t>
      </w:r>
      <w:r>
        <w:rPr>
          <w:rFonts w:hint="eastAsia"/>
        </w:rPr>
        <w:t>一九九六年，政府完成了一项全面检讨，以确定综援计划在满足受助人需要方面的成效。在检讨过程中，我们把领取综援家庭与一般家庭的开支模式互相比较，并参照食物、衣服、燃料和电灯等基本生活所需的估计费用，评估综援标准金额是否合理。根据检讨结果，我们调高了特定类受助人士的各项标准金额，实质增幅由</w:t>
      </w:r>
      <w:r>
        <w:t>9%</w:t>
      </w:r>
      <w:r>
        <w:rPr>
          <w:rFonts w:hint="eastAsia"/>
        </w:rPr>
        <w:t>至</w:t>
      </w:r>
      <w:r>
        <w:t>57%</w:t>
      </w:r>
      <w:r>
        <w:rPr>
          <w:rFonts w:hint="eastAsia"/>
        </w:rPr>
        <w:t>不等。此外，我们又提高了租金津贴上限；向受助学童发放“定额”津贴，以支付与就学有关的费用；增设两项发放给长者的特别津贴；以及放宽综援申请人的资产限额。这些调整均由一九九六年四月起生效。</w:t>
      </w:r>
    </w:p>
    <w:p w:rsidR="00000000" w:rsidRDefault="00000000">
      <w:r>
        <w:tab/>
        <w:t xml:space="preserve">139.  </w:t>
      </w:r>
      <w:r>
        <w:rPr>
          <w:rFonts w:hint="eastAsia"/>
        </w:rPr>
        <w:t>此外，检讨报告亦建议，应让选择离港到广东省</w:t>
      </w:r>
      <w:r>
        <w:t xml:space="preserve"> </w:t>
      </w:r>
      <w:r>
        <w:rPr>
          <w:rStyle w:val="FootnoteReference"/>
        </w:rPr>
        <w:footnoteReference w:id="33"/>
      </w:r>
      <w:r>
        <w:t xml:space="preserve"> </w:t>
      </w:r>
      <w:r>
        <w:rPr>
          <w:rFonts w:hint="eastAsia"/>
        </w:rPr>
        <w:t>定居的综援受助长者继续领取每月的标准金额，以及领取每年发放的长期个案补助金。这项建议由一九九七年四月一日起实施，称为“长者定居广东省续领综援计划”。截至一九九八年六月三十日为止，已有约</w:t>
      </w:r>
      <w:r>
        <w:t>1,030</w:t>
      </w:r>
      <w:r>
        <w:rPr>
          <w:rFonts w:hint="eastAsia"/>
        </w:rPr>
        <w:t>名综援受助长者选择加入这个计划。</w:t>
      </w:r>
    </w:p>
    <w:p w:rsidR="00000000" w:rsidRDefault="00000000">
      <w:pPr>
        <w:spacing w:after="320"/>
        <w:textAlignment w:val="center"/>
      </w:pPr>
      <w:r>
        <w:tab/>
        <w:t xml:space="preserve">140.  </w:t>
      </w:r>
      <w:r>
        <w:rPr>
          <w:rFonts w:hint="eastAsia"/>
        </w:rPr>
        <w:t>在拟备这份报告时，我们正在检讨综援计划为“有工作能力”的成年人所提供的援助。我们的目标，是要协助并鼓励这类受助人重新就业。</w:t>
      </w:r>
    </w:p>
    <w:p w:rsidR="00000000" w:rsidRDefault="00000000">
      <w:pPr>
        <w:pStyle w:val="Heading4"/>
      </w:pPr>
      <w:r>
        <w:rPr>
          <w:u w:val="none"/>
        </w:rPr>
        <w:tab/>
      </w:r>
      <w:r>
        <w:rPr>
          <w:rFonts w:hint="eastAsia"/>
        </w:rPr>
        <w:t>综援计划的申请资格</w:t>
      </w:r>
    </w:p>
    <w:p w:rsidR="00000000" w:rsidRDefault="00000000">
      <w:pPr>
        <w:spacing w:after="320"/>
        <w:textAlignment w:val="center"/>
      </w:pPr>
      <w:r>
        <w:tab/>
        <w:t xml:space="preserve">141.  </w:t>
      </w:r>
      <w:r>
        <w:rPr>
          <w:rFonts w:hint="eastAsia"/>
        </w:rPr>
        <w:t>如上次报告第</w:t>
      </w:r>
      <w:r>
        <w:t>60</w:t>
      </w:r>
      <w:r>
        <w:rPr>
          <w:rFonts w:hint="eastAsia"/>
        </w:rPr>
        <w:t>段所述，申请人必须在香港居住满一年，才有资格申领综援。如申请人有真正困难，这项标准可获豁免。年龄介乎</w:t>
      </w:r>
      <w:r>
        <w:t>15</w:t>
      </w:r>
      <w:r>
        <w:rPr>
          <w:rFonts w:hint="eastAsia"/>
        </w:rPr>
        <w:t>至</w:t>
      </w:r>
      <w:r>
        <w:t>59</w:t>
      </w:r>
      <w:r>
        <w:rPr>
          <w:rFonts w:hint="eastAsia"/>
        </w:rPr>
        <w:t>岁、身体健全、并有能力工作的综援受助人，必须向劳工处登记，以便安排就业。</w:t>
      </w:r>
    </w:p>
    <w:p w:rsidR="00000000" w:rsidRDefault="00000000">
      <w:pPr>
        <w:pStyle w:val="Heading4"/>
      </w:pPr>
      <w:r>
        <w:rPr>
          <w:u w:val="none"/>
        </w:rPr>
        <w:tab/>
      </w:r>
      <w:r>
        <w:rPr>
          <w:rFonts w:hint="eastAsia"/>
        </w:rPr>
        <w:t>综援计划的援助金额</w:t>
      </w:r>
    </w:p>
    <w:p w:rsidR="00000000" w:rsidRDefault="00000000">
      <w:pPr>
        <w:spacing w:after="320"/>
        <w:textAlignment w:val="center"/>
        <w:rPr>
          <w:rFonts w:hint="eastAsia"/>
        </w:rPr>
      </w:pPr>
      <w:r>
        <w:tab/>
        <w:t xml:space="preserve">142.  </w:t>
      </w:r>
      <w:r>
        <w:rPr>
          <w:rFonts w:hint="eastAsia"/>
        </w:rPr>
        <w:t>由一九九八年四月一日</w:t>
      </w:r>
      <w:r>
        <w:t>(</w:t>
      </w:r>
      <w:r>
        <w:rPr>
          <w:rFonts w:hint="eastAsia"/>
        </w:rPr>
        <w:t>政府新财政年度开始</w:t>
      </w:r>
      <w:r>
        <w:t>)</w:t>
      </w:r>
      <w:r>
        <w:rPr>
          <w:rFonts w:hint="eastAsia"/>
        </w:rPr>
        <w:t>起，综援标准金额如下</w:t>
      </w:r>
      <w:r>
        <w:rPr>
          <w:rFonts w:hint="eastAsia"/>
          <w:spacing w:val="-40"/>
        </w:rPr>
        <w:t>：</w:t>
      </w:r>
    </w:p>
    <w:tbl>
      <w:tblPr>
        <w:tblW w:w="0" w:type="auto"/>
        <w:tblInd w:w="-26" w:type="dxa"/>
        <w:tblLayout w:type="fixed"/>
        <w:tblCellMar>
          <w:left w:w="28" w:type="dxa"/>
          <w:right w:w="28" w:type="dxa"/>
        </w:tblCellMar>
        <w:tblLook w:val="0000" w:firstRow="0" w:lastRow="0" w:firstColumn="0" w:lastColumn="0" w:noHBand="0" w:noVBand="0"/>
      </w:tblPr>
      <w:tblGrid>
        <w:gridCol w:w="3868"/>
        <w:gridCol w:w="2772"/>
        <w:gridCol w:w="2772"/>
      </w:tblGrid>
      <w:tr w:rsidR="00000000">
        <w:tblPrEx>
          <w:tblCellMar>
            <w:top w:w="0" w:type="dxa"/>
            <w:bottom w:w="0" w:type="dxa"/>
          </w:tblCellMar>
        </w:tblPrEx>
        <w:tc>
          <w:tcPr>
            <w:tcW w:w="3868" w:type="dxa"/>
          </w:tcPr>
          <w:p w:rsidR="00000000" w:rsidRDefault="00000000"/>
        </w:tc>
        <w:tc>
          <w:tcPr>
            <w:tcW w:w="2772" w:type="dxa"/>
          </w:tcPr>
          <w:p w:rsidR="00000000" w:rsidRDefault="00000000">
            <w:pPr>
              <w:spacing w:line="240" w:lineRule="auto"/>
              <w:jc w:val="center"/>
            </w:pPr>
            <w:r>
              <w:rPr>
                <w:rFonts w:hint="eastAsia"/>
                <w:u w:val="single"/>
              </w:rPr>
              <w:t>单身人士每月金额</w:t>
            </w:r>
            <w:r>
              <w:br/>
              <w:t>(</w:t>
            </w:r>
            <w:r>
              <w:rPr>
                <w:rFonts w:hint="eastAsia"/>
              </w:rPr>
              <w:t>港</w:t>
            </w:r>
            <w:r>
              <w:t xml:space="preserve">  </w:t>
            </w:r>
            <w:r>
              <w:rPr>
                <w:rFonts w:hint="eastAsia"/>
              </w:rPr>
              <w:t>元</w:t>
            </w:r>
            <w:r>
              <w:t>)</w:t>
            </w:r>
          </w:p>
        </w:tc>
        <w:tc>
          <w:tcPr>
            <w:tcW w:w="2772" w:type="dxa"/>
          </w:tcPr>
          <w:p w:rsidR="00000000" w:rsidRDefault="00000000">
            <w:pPr>
              <w:spacing w:after="160" w:line="240" w:lineRule="auto"/>
              <w:jc w:val="center"/>
              <w:textAlignment w:val="center"/>
            </w:pPr>
            <w:r>
              <w:rPr>
                <w:rFonts w:hint="eastAsia"/>
                <w:u w:val="single"/>
              </w:rPr>
              <w:t>家庭成员每月金额</w:t>
            </w:r>
            <w:r>
              <w:br/>
              <w:t>(</w:t>
            </w:r>
            <w:r>
              <w:rPr>
                <w:rFonts w:hint="eastAsia"/>
              </w:rPr>
              <w:t>港</w:t>
            </w:r>
            <w:r>
              <w:t xml:space="preserve">  </w:t>
            </w:r>
            <w:r>
              <w:rPr>
                <w:rFonts w:hint="eastAsia"/>
              </w:rPr>
              <w:t>元</w:t>
            </w:r>
            <w:r>
              <w:t>)</w:t>
            </w:r>
          </w:p>
        </w:tc>
      </w:tr>
      <w:tr w:rsidR="00000000">
        <w:tblPrEx>
          <w:tblCellMar>
            <w:top w:w="0" w:type="dxa"/>
            <w:bottom w:w="0" w:type="dxa"/>
          </w:tblCellMar>
        </w:tblPrEx>
        <w:tc>
          <w:tcPr>
            <w:tcW w:w="3868" w:type="dxa"/>
          </w:tcPr>
          <w:p w:rsidR="00000000" w:rsidRDefault="00000000">
            <w:pPr>
              <w:spacing w:before="60"/>
            </w:pPr>
            <w:r>
              <w:rPr>
                <w:u w:val="single"/>
              </w:rPr>
              <w:t>60</w:t>
            </w:r>
            <w:r>
              <w:rPr>
                <w:rFonts w:hint="eastAsia"/>
                <w:u w:val="single"/>
              </w:rPr>
              <w:t>岁或以上的长者</w:t>
            </w:r>
          </w:p>
        </w:tc>
        <w:tc>
          <w:tcPr>
            <w:tcW w:w="2772" w:type="dxa"/>
          </w:tcPr>
          <w:p w:rsidR="00000000" w:rsidRDefault="00000000">
            <w:pPr>
              <w:spacing w:before="60" w:line="240" w:lineRule="auto"/>
              <w:jc w:val="center"/>
            </w:pPr>
          </w:p>
        </w:tc>
        <w:tc>
          <w:tcPr>
            <w:tcW w:w="2772" w:type="dxa"/>
          </w:tcPr>
          <w:p w:rsidR="00000000" w:rsidRDefault="00000000">
            <w:pPr>
              <w:spacing w:before="60" w:line="240" w:lineRule="auto"/>
              <w:jc w:val="center"/>
            </w:pPr>
          </w:p>
        </w:tc>
      </w:tr>
      <w:tr w:rsidR="00000000">
        <w:tblPrEx>
          <w:tblCellMar>
            <w:top w:w="0" w:type="dxa"/>
            <w:bottom w:w="0" w:type="dxa"/>
          </w:tblCellMar>
        </w:tblPrEx>
        <w:tc>
          <w:tcPr>
            <w:tcW w:w="3868" w:type="dxa"/>
          </w:tcPr>
          <w:p w:rsidR="00000000" w:rsidRDefault="00000000">
            <w:pPr>
              <w:spacing w:before="60" w:line="240" w:lineRule="auto"/>
              <w:rPr>
                <w:u w:val="single"/>
              </w:rPr>
            </w:pPr>
            <w:r>
              <w:rPr>
                <w:rFonts w:hint="eastAsia"/>
              </w:rPr>
              <w:t>健全</w:t>
            </w:r>
            <w:r>
              <w:t>/50%</w:t>
            </w:r>
            <w:r>
              <w:rPr>
                <w:rFonts w:hint="eastAsia"/>
              </w:rPr>
              <w:t>残疾</w:t>
            </w:r>
          </w:p>
        </w:tc>
        <w:tc>
          <w:tcPr>
            <w:tcW w:w="2772" w:type="dxa"/>
          </w:tcPr>
          <w:p w:rsidR="00000000" w:rsidRDefault="00000000">
            <w:pPr>
              <w:spacing w:before="60" w:line="240" w:lineRule="auto"/>
              <w:jc w:val="center"/>
            </w:pPr>
            <w:r>
              <w:t>2,555</w:t>
            </w:r>
          </w:p>
        </w:tc>
        <w:tc>
          <w:tcPr>
            <w:tcW w:w="2772" w:type="dxa"/>
          </w:tcPr>
          <w:p w:rsidR="00000000" w:rsidRDefault="00000000">
            <w:pPr>
              <w:spacing w:before="60" w:line="240" w:lineRule="auto"/>
              <w:jc w:val="center"/>
            </w:pPr>
            <w:r>
              <w:t>2,410</w:t>
            </w:r>
          </w:p>
        </w:tc>
      </w:tr>
      <w:tr w:rsidR="00000000">
        <w:tblPrEx>
          <w:tblCellMar>
            <w:top w:w="0" w:type="dxa"/>
            <w:bottom w:w="0" w:type="dxa"/>
          </w:tblCellMar>
        </w:tblPrEx>
        <w:tc>
          <w:tcPr>
            <w:tcW w:w="3868" w:type="dxa"/>
          </w:tcPr>
          <w:p w:rsidR="00000000" w:rsidRDefault="00000000">
            <w:pPr>
              <w:spacing w:before="60" w:line="240" w:lineRule="auto"/>
            </w:pPr>
            <w:r>
              <w:t>100%</w:t>
            </w:r>
            <w:r>
              <w:rPr>
                <w:rFonts w:hint="eastAsia"/>
              </w:rPr>
              <w:t>残疾</w:t>
            </w:r>
          </w:p>
        </w:tc>
        <w:tc>
          <w:tcPr>
            <w:tcW w:w="2772" w:type="dxa"/>
          </w:tcPr>
          <w:p w:rsidR="00000000" w:rsidRDefault="00000000">
            <w:pPr>
              <w:spacing w:before="60" w:line="240" w:lineRule="auto"/>
              <w:jc w:val="center"/>
            </w:pPr>
            <w:r>
              <w:t>3,095</w:t>
            </w:r>
          </w:p>
        </w:tc>
        <w:tc>
          <w:tcPr>
            <w:tcW w:w="2772" w:type="dxa"/>
          </w:tcPr>
          <w:p w:rsidR="00000000" w:rsidRDefault="00000000">
            <w:pPr>
              <w:spacing w:before="60" w:line="240" w:lineRule="auto"/>
              <w:jc w:val="center"/>
            </w:pPr>
            <w:r>
              <w:t>2,735</w:t>
            </w:r>
          </w:p>
        </w:tc>
      </w:tr>
      <w:tr w:rsidR="00000000">
        <w:tblPrEx>
          <w:tblCellMar>
            <w:top w:w="0" w:type="dxa"/>
            <w:bottom w:w="0" w:type="dxa"/>
          </w:tblCellMar>
        </w:tblPrEx>
        <w:tc>
          <w:tcPr>
            <w:tcW w:w="3868" w:type="dxa"/>
          </w:tcPr>
          <w:p w:rsidR="00000000" w:rsidRDefault="00000000">
            <w:pPr>
              <w:spacing w:before="60" w:line="240" w:lineRule="auto"/>
            </w:pPr>
            <w:r>
              <w:rPr>
                <w:rFonts w:hint="eastAsia"/>
              </w:rPr>
              <w:t>需要长期照顾</w:t>
            </w:r>
          </w:p>
        </w:tc>
        <w:tc>
          <w:tcPr>
            <w:tcW w:w="2772" w:type="dxa"/>
          </w:tcPr>
          <w:p w:rsidR="00000000" w:rsidRDefault="00000000">
            <w:pPr>
              <w:spacing w:before="60" w:line="240" w:lineRule="auto"/>
              <w:jc w:val="center"/>
            </w:pPr>
            <w:r>
              <w:t>4,355</w:t>
            </w:r>
          </w:p>
        </w:tc>
        <w:tc>
          <w:tcPr>
            <w:tcW w:w="2772" w:type="dxa"/>
          </w:tcPr>
          <w:p w:rsidR="00000000" w:rsidRDefault="00000000">
            <w:pPr>
              <w:spacing w:before="60" w:line="240" w:lineRule="auto"/>
              <w:jc w:val="center"/>
            </w:pPr>
            <w:r>
              <w:t>3,990</w:t>
            </w:r>
          </w:p>
        </w:tc>
      </w:tr>
      <w:tr w:rsidR="00000000">
        <w:tblPrEx>
          <w:tblCellMar>
            <w:top w:w="0" w:type="dxa"/>
            <w:bottom w:w="0" w:type="dxa"/>
          </w:tblCellMar>
        </w:tblPrEx>
        <w:tc>
          <w:tcPr>
            <w:tcW w:w="3868" w:type="dxa"/>
          </w:tcPr>
          <w:p w:rsidR="00000000" w:rsidRDefault="00000000"/>
        </w:tc>
        <w:tc>
          <w:tcPr>
            <w:tcW w:w="2772" w:type="dxa"/>
          </w:tcPr>
          <w:p w:rsidR="00000000" w:rsidRDefault="00000000">
            <w:pPr>
              <w:jc w:val="center"/>
            </w:pPr>
          </w:p>
        </w:tc>
        <w:tc>
          <w:tcPr>
            <w:tcW w:w="2772" w:type="dxa"/>
          </w:tcPr>
          <w:p w:rsidR="00000000" w:rsidRDefault="00000000">
            <w:pPr>
              <w:jc w:val="center"/>
            </w:pPr>
          </w:p>
        </w:tc>
      </w:tr>
      <w:tr w:rsidR="00000000">
        <w:tblPrEx>
          <w:tblCellMar>
            <w:top w:w="0" w:type="dxa"/>
            <w:bottom w:w="0" w:type="dxa"/>
          </w:tblCellMar>
        </w:tblPrEx>
        <w:tc>
          <w:tcPr>
            <w:tcW w:w="3868" w:type="dxa"/>
          </w:tcPr>
          <w:p w:rsidR="00000000" w:rsidRDefault="00000000">
            <w:pPr>
              <w:spacing w:before="60"/>
            </w:pPr>
            <w:r>
              <w:rPr>
                <w:u w:val="single"/>
              </w:rPr>
              <w:t>60</w:t>
            </w:r>
            <w:r>
              <w:rPr>
                <w:rFonts w:hint="eastAsia"/>
                <w:u w:val="single"/>
              </w:rPr>
              <w:t>岁以下的健全成年人</w:t>
            </w:r>
          </w:p>
        </w:tc>
        <w:tc>
          <w:tcPr>
            <w:tcW w:w="2772" w:type="dxa"/>
          </w:tcPr>
          <w:p w:rsidR="00000000" w:rsidRDefault="00000000">
            <w:pPr>
              <w:spacing w:before="60" w:line="240" w:lineRule="auto"/>
              <w:jc w:val="center"/>
            </w:pPr>
          </w:p>
        </w:tc>
        <w:tc>
          <w:tcPr>
            <w:tcW w:w="2772" w:type="dxa"/>
          </w:tcPr>
          <w:p w:rsidR="00000000" w:rsidRDefault="00000000">
            <w:pPr>
              <w:spacing w:before="60" w:line="240" w:lineRule="auto"/>
              <w:jc w:val="center"/>
            </w:pPr>
          </w:p>
        </w:tc>
      </w:tr>
      <w:tr w:rsidR="00000000">
        <w:tblPrEx>
          <w:tblCellMar>
            <w:top w:w="0" w:type="dxa"/>
            <w:bottom w:w="0" w:type="dxa"/>
          </w:tblCellMar>
        </w:tblPrEx>
        <w:tc>
          <w:tcPr>
            <w:tcW w:w="3868" w:type="dxa"/>
          </w:tcPr>
          <w:p w:rsidR="00000000" w:rsidRDefault="00000000">
            <w:pPr>
              <w:spacing w:before="60" w:line="240" w:lineRule="auto"/>
              <w:rPr>
                <w:u w:val="single"/>
              </w:rPr>
            </w:pPr>
            <w:r>
              <w:rPr>
                <w:rFonts w:hint="eastAsia"/>
              </w:rPr>
              <w:t>单亲家长</w:t>
            </w:r>
            <w:r>
              <w:t>/</w:t>
            </w:r>
            <w:r>
              <w:rPr>
                <w:rFonts w:hint="eastAsia"/>
              </w:rPr>
              <w:t>须照顾家庭人士</w:t>
            </w:r>
          </w:p>
        </w:tc>
        <w:tc>
          <w:tcPr>
            <w:tcW w:w="2772" w:type="dxa"/>
          </w:tcPr>
          <w:p w:rsidR="00000000" w:rsidRDefault="00000000">
            <w:pPr>
              <w:spacing w:before="60" w:line="240" w:lineRule="auto"/>
              <w:jc w:val="center"/>
            </w:pPr>
            <w:r>
              <w:t>-</w:t>
            </w:r>
          </w:p>
        </w:tc>
        <w:tc>
          <w:tcPr>
            <w:tcW w:w="2772" w:type="dxa"/>
          </w:tcPr>
          <w:p w:rsidR="00000000" w:rsidRDefault="00000000">
            <w:pPr>
              <w:tabs>
                <w:tab w:val="left" w:pos="1280"/>
                <w:tab w:val="left" w:pos="1760"/>
              </w:tabs>
              <w:spacing w:before="60" w:line="240" w:lineRule="auto"/>
              <w:jc w:val="center"/>
            </w:pPr>
            <w:r>
              <w:t>1,965</w:t>
            </w:r>
          </w:p>
        </w:tc>
      </w:tr>
      <w:tr w:rsidR="00000000">
        <w:tblPrEx>
          <w:tblCellMar>
            <w:top w:w="0" w:type="dxa"/>
            <w:bottom w:w="0" w:type="dxa"/>
          </w:tblCellMar>
        </w:tblPrEx>
        <w:tc>
          <w:tcPr>
            <w:tcW w:w="3868" w:type="dxa"/>
          </w:tcPr>
          <w:p w:rsidR="00000000" w:rsidRDefault="00000000">
            <w:pPr>
              <w:spacing w:before="60" w:line="240" w:lineRule="auto"/>
            </w:pPr>
            <w:r>
              <w:rPr>
                <w:rFonts w:hint="eastAsia"/>
              </w:rPr>
              <w:t>其</w:t>
            </w:r>
            <w:r>
              <w:t xml:space="preserve">  </w:t>
            </w:r>
            <w:r>
              <w:rPr>
                <w:rFonts w:hint="eastAsia"/>
              </w:rPr>
              <w:t>他</w:t>
            </w:r>
          </w:p>
        </w:tc>
        <w:tc>
          <w:tcPr>
            <w:tcW w:w="2772" w:type="dxa"/>
          </w:tcPr>
          <w:p w:rsidR="00000000" w:rsidRDefault="00000000">
            <w:pPr>
              <w:tabs>
                <w:tab w:val="left" w:pos="1172"/>
              </w:tabs>
              <w:spacing w:before="60" w:line="240" w:lineRule="auto"/>
              <w:jc w:val="center"/>
            </w:pPr>
            <w:r>
              <w:t>1,805</w:t>
            </w:r>
          </w:p>
        </w:tc>
        <w:tc>
          <w:tcPr>
            <w:tcW w:w="2772" w:type="dxa"/>
          </w:tcPr>
          <w:p w:rsidR="00000000" w:rsidRDefault="00000000">
            <w:pPr>
              <w:spacing w:before="60" w:line="240" w:lineRule="auto"/>
              <w:jc w:val="center"/>
            </w:pPr>
            <w:r>
              <w:t>1,610</w:t>
            </w:r>
          </w:p>
        </w:tc>
      </w:tr>
      <w:tr w:rsidR="00000000">
        <w:tblPrEx>
          <w:tblCellMar>
            <w:top w:w="0" w:type="dxa"/>
            <w:bottom w:w="0" w:type="dxa"/>
          </w:tblCellMar>
        </w:tblPrEx>
        <w:tc>
          <w:tcPr>
            <w:tcW w:w="3868" w:type="dxa"/>
          </w:tcPr>
          <w:p w:rsidR="00000000" w:rsidRDefault="00000000"/>
        </w:tc>
        <w:tc>
          <w:tcPr>
            <w:tcW w:w="2772" w:type="dxa"/>
          </w:tcPr>
          <w:p w:rsidR="00000000" w:rsidRDefault="00000000">
            <w:pPr>
              <w:jc w:val="center"/>
            </w:pPr>
          </w:p>
        </w:tc>
        <w:tc>
          <w:tcPr>
            <w:tcW w:w="2772" w:type="dxa"/>
          </w:tcPr>
          <w:p w:rsidR="00000000" w:rsidRDefault="00000000">
            <w:pPr>
              <w:jc w:val="center"/>
            </w:pPr>
          </w:p>
        </w:tc>
      </w:tr>
      <w:tr w:rsidR="00000000">
        <w:tblPrEx>
          <w:tblCellMar>
            <w:top w:w="0" w:type="dxa"/>
            <w:bottom w:w="0" w:type="dxa"/>
          </w:tblCellMar>
        </w:tblPrEx>
        <w:tc>
          <w:tcPr>
            <w:tcW w:w="3868" w:type="dxa"/>
          </w:tcPr>
          <w:p w:rsidR="00000000" w:rsidRDefault="00000000">
            <w:r>
              <w:rPr>
                <w:u w:val="single"/>
              </w:rPr>
              <w:t>60</w:t>
            </w:r>
            <w:r>
              <w:rPr>
                <w:rFonts w:hint="eastAsia"/>
                <w:u w:val="single"/>
              </w:rPr>
              <w:t>岁以下健康欠佳的残疾成年人</w:t>
            </w:r>
          </w:p>
        </w:tc>
        <w:tc>
          <w:tcPr>
            <w:tcW w:w="2772" w:type="dxa"/>
          </w:tcPr>
          <w:p w:rsidR="00000000" w:rsidRDefault="00000000">
            <w:pPr>
              <w:jc w:val="center"/>
            </w:pPr>
          </w:p>
        </w:tc>
        <w:tc>
          <w:tcPr>
            <w:tcW w:w="2772" w:type="dxa"/>
          </w:tcPr>
          <w:p w:rsidR="00000000" w:rsidRDefault="00000000">
            <w:pPr>
              <w:jc w:val="center"/>
            </w:pPr>
          </w:p>
        </w:tc>
      </w:tr>
      <w:tr w:rsidR="00000000">
        <w:tblPrEx>
          <w:tblCellMar>
            <w:top w:w="0" w:type="dxa"/>
            <w:bottom w:w="0" w:type="dxa"/>
          </w:tblCellMar>
        </w:tblPrEx>
        <w:tc>
          <w:tcPr>
            <w:tcW w:w="3868" w:type="dxa"/>
          </w:tcPr>
          <w:p w:rsidR="00000000" w:rsidRDefault="00000000">
            <w:pPr>
              <w:spacing w:before="60" w:line="240" w:lineRule="auto"/>
            </w:pPr>
            <w:r>
              <w:t>50%</w:t>
            </w:r>
            <w:r>
              <w:rPr>
                <w:rFonts w:hint="eastAsia"/>
              </w:rPr>
              <w:t>残疾</w:t>
            </w:r>
          </w:p>
        </w:tc>
        <w:tc>
          <w:tcPr>
            <w:tcW w:w="2772" w:type="dxa"/>
          </w:tcPr>
          <w:p w:rsidR="00000000" w:rsidRDefault="00000000">
            <w:pPr>
              <w:spacing w:before="60" w:line="240" w:lineRule="auto"/>
              <w:jc w:val="center"/>
            </w:pPr>
            <w:r>
              <w:t>2,160</w:t>
            </w:r>
          </w:p>
        </w:tc>
        <w:tc>
          <w:tcPr>
            <w:tcW w:w="2772" w:type="dxa"/>
          </w:tcPr>
          <w:p w:rsidR="00000000" w:rsidRDefault="00000000">
            <w:pPr>
              <w:spacing w:before="60" w:line="240" w:lineRule="auto"/>
              <w:jc w:val="center"/>
            </w:pPr>
            <w:r>
              <w:t>1,965</w:t>
            </w:r>
          </w:p>
        </w:tc>
      </w:tr>
      <w:tr w:rsidR="00000000">
        <w:tblPrEx>
          <w:tblCellMar>
            <w:top w:w="0" w:type="dxa"/>
            <w:bottom w:w="0" w:type="dxa"/>
          </w:tblCellMar>
        </w:tblPrEx>
        <w:tc>
          <w:tcPr>
            <w:tcW w:w="3868" w:type="dxa"/>
          </w:tcPr>
          <w:p w:rsidR="00000000" w:rsidRDefault="00000000">
            <w:pPr>
              <w:spacing w:before="60" w:line="240" w:lineRule="auto"/>
            </w:pPr>
            <w:r>
              <w:t>100%</w:t>
            </w:r>
            <w:r>
              <w:rPr>
                <w:rFonts w:hint="eastAsia"/>
              </w:rPr>
              <w:t>残疾</w:t>
            </w:r>
          </w:p>
        </w:tc>
        <w:tc>
          <w:tcPr>
            <w:tcW w:w="2772" w:type="dxa"/>
          </w:tcPr>
          <w:p w:rsidR="00000000" w:rsidRDefault="00000000">
            <w:pPr>
              <w:spacing w:before="60" w:line="240" w:lineRule="auto"/>
              <w:jc w:val="center"/>
            </w:pPr>
            <w:r>
              <w:t>2,700</w:t>
            </w:r>
          </w:p>
        </w:tc>
        <w:tc>
          <w:tcPr>
            <w:tcW w:w="2772" w:type="dxa"/>
          </w:tcPr>
          <w:p w:rsidR="00000000" w:rsidRDefault="00000000">
            <w:pPr>
              <w:spacing w:before="60" w:line="240" w:lineRule="auto"/>
              <w:jc w:val="center"/>
            </w:pPr>
            <w:r>
              <w:t>2,335</w:t>
            </w:r>
          </w:p>
        </w:tc>
      </w:tr>
      <w:tr w:rsidR="00000000">
        <w:tblPrEx>
          <w:tblCellMar>
            <w:top w:w="0" w:type="dxa"/>
            <w:bottom w:w="0" w:type="dxa"/>
          </w:tblCellMar>
        </w:tblPrEx>
        <w:tc>
          <w:tcPr>
            <w:tcW w:w="3868" w:type="dxa"/>
          </w:tcPr>
          <w:p w:rsidR="00000000" w:rsidRDefault="00000000">
            <w:pPr>
              <w:spacing w:before="60" w:line="240" w:lineRule="auto"/>
            </w:pPr>
            <w:r>
              <w:rPr>
                <w:rFonts w:hint="eastAsia"/>
              </w:rPr>
              <w:t>需要长期照顾</w:t>
            </w:r>
          </w:p>
        </w:tc>
        <w:tc>
          <w:tcPr>
            <w:tcW w:w="2772" w:type="dxa"/>
          </w:tcPr>
          <w:p w:rsidR="00000000" w:rsidRDefault="00000000">
            <w:pPr>
              <w:spacing w:before="60" w:line="240" w:lineRule="auto"/>
              <w:jc w:val="center"/>
            </w:pPr>
            <w:r>
              <w:t>3,955</w:t>
            </w:r>
          </w:p>
        </w:tc>
        <w:tc>
          <w:tcPr>
            <w:tcW w:w="2772" w:type="dxa"/>
          </w:tcPr>
          <w:p w:rsidR="00000000" w:rsidRDefault="00000000">
            <w:pPr>
              <w:spacing w:before="60" w:line="240" w:lineRule="auto"/>
              <w:jc w:val="center"/>
            </w:pPr>
            <w:r>
              <w:t>3,590</w:t>
            </w:r>
          </w:p>
        </w:tc>
      </w:tr>
      <w:tr w:rsidR="00000000">
        <w:tblPrEx>
          <w:tblCellMar>
            <w:top w:w="0" w:type="dxa"/>
            <w:bottom w:w="0" w:type="dxa"/>
          </w:tblCellMar>
        </w:tblPrEx>
        <w:tc>
          <w:tcPr>
            <w:tcW w:w="3868" w:type="dxa"/>
          </w:tcPr>
          <w:p w:rsidR="00000000" w:rsidRDefault="00000000">
            <w:pPr>
              <w:rPr>
                <w:u w:val="single"/>
              </w:rPr>
            </w:pPr>
          </w:p>
        </w:tc>
        <w:tc>
          <w:tcPr>
            <w:tcW w:w="2772" w:type="dxa"/>
          </w:tcPr>
          <w:p w:rsidR="00000000" w:rsidRDefault="00000000">
            <w:pPr>
              <w:jc w:val="center"/>
            </w:pPr>
          </w:p>
        </w:tc>
        <w:tc>
          <w:tcPr>
            <w:tcW w:w="2772" w:type="dxa"/>
          </w:tcPr>
          <w:p w:rsidR="00000000" w:rsidRDefault="00000000">
            <w:pPr>
              <w:jc w:val="center"/>
            </w:pPr>
          </w:p>
        </w:tc>
      </w:tr>
      <w:tr w:rsidR="00000000">
        <w:tblPrEx>
          <w:tblCellMar>
            <w:top w:w="0" w:type="dxa"/>
            <w:bottom w:w="0" w:type="dxa"/>
          </w:tblCellMar>
        </w:tblPrEx>
        <w:tc>
          <w:tcPr>
            <w:tcW w:w="3868" w:type="dxa"/>
          </w:tcPr>
          <w:p w:rsidR="00000000" w:rsidRDefault="00000000">
            <w:pPr>
              <w:rPr>
                <w:u w:val="single"/>
              </w:rPr>
            </w:pPr>
            <w:r>
              <w:rPr>
                <w:rFonts w:hint="eastAsia"/>
                <w:u w:val="single"/>
              </w:rPr>
              <w:t>儿</w:t>
            </w:r>
            <w:r>
              <w:rPr>
                <w:u w:val="single"/>
              </w:rPr>
              <w:t xml:space="preserve">  </w:t>
            </w:r>
            <w:r>
              <w:rPr>
                <w:rFonts w:hint="eastAsia"/>
                <w:u w:val="single"/>
              </w:rPr>
              <w:t>童</w:t>
            </w:r>
          </w:p>
        </w:tc>
        <w:tc>
          <w:tcPr>
            <w:tcW w:w="2772" w:type="dxa"/>
          </w:tcPr>
          <w:p w:rsidR="00000000" w:rsidRDefault="00000000">
            <w:pPr>
              <w:jc w:val="center"/>
            </w:pPr>
          </w:p>
        </w:tc>
        <w:tc>
          <w:tcPr>
            <w:tcW w:w="2772" w:type="dxa"/>
          </w:tcPr>
          <w:p w:rsidR="00000000" w:rsidRDefault="00000000">
            <w:pPr>
              <w:jc w:val="center"/>
            </w:pPr>
          </w:p>
        </w:tc>
      </w:tr>
      <w:tr w:rsidR="00000000">
        <w:tblPrEx>
          <w:tblCellMar>
            <w:top w:w="0" w:type="dxa"/>
            <w:bottom w:w="0" w:type="dxa"/>
          </w:tblCellMar>
        </w:tblPrEx>
        <w:tc>
          <w:tcPr>
            <w:tcW w:w="3868" w:type="dxa"/>
          </w:tcPr>
          <w:p w:rsidR="00000000" w:rsidRDefault="00000000">
            <w:pPr>
              <w:spacing w:before="60" w:line="240" w:lineRule="auto"/>
              <w:rPr>
                <w:u w:val="single"/>
              </w:rPr>
            </w:pPr>
            <w:r>
              <w:rPr>
                <w:rFonts w:hint="eastAsia"/>
              </w:rPr>
              <w:t>健</w:t>
            </w:r>
            <w:r>
              <w:t xml:space="preserve">  </w:t>
            </w:r>
            <w:r>
              <w:rPr>
                <w:rFonts w:hint="eastAsia"/>
              </w:rPr>
              <w:t>全</w:t>
            </w:r>
          </w:p>
        </w:tc>
        <w:tc>
          <w:tcPr>
            <w:tcW w:w="2772" w:type="dxa"/>
          </w:tcPr>
          <w:p w:rsidR="00000000" w:rsidRDefault="00000000">
            <w:pPr>
              <w:spacing w:before="60" w:line="240" w:lineRule="auto"/>
              <w:jc w:val="center"/>
            </w:pPr>
            <w:r>
              <w:t>2,160</w:t>
            </w:r>
          </w:p>
        </w:tc>
        <w:tc>
          <w:tcPr>
            <w:tcW w:w="2772" w:type="dxa"/>
          </w:tcPr>
          <w:p w:rsidR="00000000" w:rsidRDefault="00000000">
            <w:pPr>
              <w:spacing w:before="60" w:line="240" w:lineRule="auto"/>
              <w:jc w:val="center"/>
            </w:pPr>
            <w:r>
              <w:t>1,795</w:t>
            </w:r>
          </w:p>
        </w:tc>
      </w:tr>
      <w:tr w:rsidR="00000000">
        <w:tblPrEx>
          <w:tblCellMar>
            <w:top w:w="0" w:type="dxa"/>
            <w:bottom w:w="0" w:type="dxa"/>
          </w:tblCellMar>
        </w:tblPrEx>
        <w:tc>
          <w:tcPr>
            <w:tcW w:w="3868" w:type="dxa"/>
          </w:tcPr>
          <w:p w:rsidR="00000000" w:rsidRDefault="00000000">
            <w:pPr>
              <w:spacing w:before="60" w:line="240" w:lineRule="auto"/>
            </w:pPr>
            <w:r>
              <w:t>50%</w:t>
            </w:r>
            <w:r>
              <w:rPr>
                <w:rFonts w:hint="eastAsia"/>
              </w:rPr>
              <w:t>残疾</w:t>
            </w:r>
          </w:p>
        </w:tc>
        <w:tc>
          <w:tcPr>
            <w:tcW w:w="2772" w:type="dxa"/>
          </w:tcPr>
          <w:p w:rsidR="00000000" w:rsidRDefault="00000000">
            <w:pPr>
              <w:spacing w:before="60" w:line="240" w:lineRule="auto"/>
              <w:jc w:val="center"/>
            </w:pPr>
            <w:r>
              <w:t>2,880</w:t>
            </w:r>
          </w:p>
        </w:tc>
        <w:tc>
          <w:tcPr>
            <w:tcW w:w="2772" w:type="dxa"/>
          </w:tcPr>
          <w:p w:rsidR="00000000" w:rsidRDefault="00000000">
            <w:pPr>
              <w:spacing w:before="60" w:line="240" w:lineRule="auto"/>
              <w:jc w:val="center"/>
            </w:pPr>
            <w:r>
              <w:t>2,510</w:t>
            </w:r>
          </w:p>
        </w:tc>
      </w:tr>
      <w:tr w:rsidR="00000000">
        <w:tblPrEx>
          <w:tblCellMar>
            <w:top w:w="0" w:type="dxa"/>
            <w:bottom w:w="0" w:type="dxa"/>
          </w:tblCellMar>
        </w:tblPrEx>
        <w:tc>
          <w:tcPr>
            <w:tcW w:w="3868" w:type="dxa"/>
          </w:tcPr>
          <w:p w:rsidR="00000000" w:rsidRDefault="00000000">
            <w:pPr>
              <w:spacing w:before="60" w:line="240" w:lineRule="auto"/>
            </w:pPr>
            <w:r>
              <w:t>100%</w:t>
            </w:r>
            <w:r>
              <w:rPr>
                <w:rFonts w:hint="eastAsia"/>
              </w:rPr>
              <w:t>残疾</w:t>
            </w:r>
          </w:p>
        </w:tc>
        <w:tc>
          <w:tcPr>
            <w:tcW w:w="2772" w:type="dxa"/>
          </w:tcPr>
          <w:p w:rsidR="00000000" w:rsidRDefault="00000000">
            <w:pPr>
              <w:spacing w:before="60" w:line="240" w:lineRule="auto"/>
              <w:jc w:val="center"/>
            </w:pPr>
            <w:r>
              <w:t>3,420</w:t>
            </w:r>
          </w:p>
        </w:tc>
        <w:tc>
          <w:tcPr>
            <w:tcW w:w="2772" w:type="dxa"/>
          </w:tcPr>
          <w:p w:rsidR="00000000" w:rsidRDefault="00000000">
            <w:pPr>
              <w:spacing w:before="60" w:line="240" w:lineRule="auto"/>
              <w:jc w:val="center"/>
            </w:pPr>
            <w:r>
              <w:t>3,055</w:t>
            </w:r>
          </w:p>
        </w:tc>
      </w:tr>
      <w:tr w:rsidR="00000000">
        <w:tblPrEx>
          <w:tblCellMar>
            <w:top w:w="0" w:type="dxa"/>
            <w:bottom w:w="0" w:type="dxa"/>
          </w:tblCellMar>
        </w:tblPrEx>
        <w:tc>
          <w:tcPr>
            <w:tcW w:w="3868" w:type="dxa"/>
          </w:tcPr>
          <w:p w:rsidR="00000000" w:rsidRDefault="00000000">
            <w:pPr>
              <w:spacing w:before="60" w:after="320" w:line="240" w:lineRule="auto"/>
              <w:textAlignment w:val="center"/>
            </w:pPr>
            <w:r>
              <w:rPr>
                <w:rFonts w:hint="eastAsia"/>
              </w:rPr>
              <w:t>需要长期照顾</w:t>
            </w:r>
          </w:p>
        </w:tc>
        <w:tc>
          <w:tcPr>
            <w:tcW w:w="2772" w:type="dxa"/>
          </w:tcPr>
          <w:p w:rsidR="00000000" w:rsidRDefault="00000000">
            <w:pPr>
              <w:spacing w:before="60" w:line="240" w:lineRule="auto"/>
              <w:jc w:val="center"/>
            </w:pPr>
            <w:r>
              <w:t>4,670</w:t>
            </w:r>
          </w:p>
        </w:tc>
        <w:tc>
          <w:tcPr>
            <w:tcW w:w="2772" w:type="dxa"/>
          </w:tcPr>
          <w:p w:rsidR="00000000" w:rsidRDefault="00000000">
            <w:pPr>
              <w:spacing w:before="60" w:line="240" w:lineRule="auto"/>
              <w:jc w:val="center"/>
            </w:pPr>
            <w:r>
              <w:t>4,315</w:t>
            </w:r>
          </w:p>
        </w:tc>
      </w:tr>
    </w:tbl>
    <w:p w:rsidR="00000000" w:rsidRDefault="00000000">
      <w:r>
        <w:rPr>
          <w:rFonts w:hint="eastAsia"/>
        </w:rPr>
        <w:t>为鼓励综援受助人寻求经济自立，在计算援助金额时，受助人会获豁免计算收入，最高限额相等于单身健全成年人每月可获得的标准金额</w:t>
      </w:r>
      <w:r>
        <w:t>(1,805</w:t>
      </w:r>
      <w:r>
        <w:rPr>
          <w:rFonts w:hint="eastAsia"/>
        </w:rPr>
        <w:t>元</w:t>
      </w:r>
      <w:r>
        <w:t>)</w:t>
      </w:r>
      <w:r>
        <w:rPr>
          <w:rFonts w:hint="eastAsia"/>
        </w:rPr>
        <w:t>。此外，受助人也会获得豁免计算资产，单身人士的最高限额为</w:t>
      </w:r>
      <w:r>
        <w:t>37,000</w:t>
      </w:r>
      <w:r>
        <w:rPr>
          <w:rFonts w:hint="eastAsia"/>
        </w:rPr>
        <w:t>港元，每多一名家庭成员便可多获</w:t>
      </w:r>
      <w:r>
        <w:t>18,500</w:t>
      </w:r>
      <w:r>
        <w:rPr>
          <w:rFonts w:hint="eastAsia"/>
        </w:rPr>
        <w:t>港元的豁免。根据现行安排，申请人拥有的自住物业也会获得豁免计算。</w:t>
      </w:r>
    </w:p>
    <w:p w:rsidR="00000000" w:rsidRDefault="00000000">
      <w:pPr>
        <w:spacing w:after="320"/>
        <w:textAlignment w:val="center"/>
      </w:pPr>
      <w:r>
        <w:tab/>
        <w:t xml:space="preserve">143.  </w:t>
      </w:r>
      <w:r>
        <w:rPr>
          <w:rFonts w:hint="eastAsia"/>
        </w:rPr>
        <w:t>至于连续领取援助金达</w:t>
      </w:r>
      <w:r>
        <w:t>12</w:t>
      </w:r>
      <w:r>
        <w:rPr>
          <w:rFonts w:hint="eastAsia"/>
        </w:rPr>
        <w:t>个月的受助人，每年会获得发放一笔长期个案补助金，以支付更换家庭必需品的费用。由一九九八年四月一日起，单身人士每年可获</w:t>
      </w:r>
      <w:r>
        <w:t>1,605</w:t>
      </w:r>
      <w:r>
        <w:rPr>
          <w:rFonts w:hint="eastAsia"/>
        </w:rPr>
        <w:t>港元，二至四人家庭每年可获</w:t>
      </w:r>
      <w:r>
        <w:t>3,210</w:t>
      </w:r>
      <w:r>
        <w:rPr>
          <w:rFonts w:hint="eastAsia"/>
        </w:rPr>
        <w:t>港元，五人或五人以上家庭每年可获</w:t>
      </w:r>
      <w:r>
        <w:t>4,305</w:t>
      </w:r>
      <w:r>
        <w:rPr>
          <w:rFonts w:hint="eastAsia"/>
        </w:rPr>
        <w:t>港元。</w:t>
      </w:r>
    </w:p>
    <w:p w:rsidR="00000000" w:rsidRDefault="00000000">
      <w:pPr>
        <w:pStyle w:val="Heading4"/>
      </w:pPr>
      <w:r>
        <w:rPr>
          <w:u w:val="none"/>
        </w:rPr>
        <w:tab/>
      </w:r>
      <w:r>
        <w:rPr>
          <w:rFonts w:hint="eastAsia"/>
        </w:rPr>
        <w:t>综援计划的其他特别津贴</w:t>
      </w:r>
    </w:p>
    <w:p w:rsidR="00000000" w:rsidRDefault="00000000">
      <w:pPr>
        <w:spacing w:after="320"/>
        <w:textAlignment w:val="center"/>
      </w:pPr>
      <w:r>
        <w:tab/>
        <w:t xml:space="preserve">144.  </w:t>
      </w:r>
      <w:r>
        <w:rPr>
          <w:rFonts w:hint="eastAsia"/>
        </w:rPr>
        <w:t>除标准金额外，综援受助人还可获特别津贴，以应付租金、学费及其他教育费用、医生建议的膳食、眼镜、假牙和殓葬等方面的开支。特别津贴视需要而发放。</w:t>
      </w:r>
    </w:p>
    <w:p w:rsidR="00000000" w:rsidRDefault="00000000">
      <w:pPr>
        <w:pStyle w:val="Heading4"/>
      </w:pPr>
      <w:r>
        <w:rPr>
          <w:u w:val="none"/>
        </w:rPr>
        <w:tab/>
      </w:r>
      <w:r>
        <w:rPr>
          <w:rFonts w:hint="eastAsia"/>
        </w:rPr>
        <w:t>综援标准金额的调整</w:t>
      </w:r>
    </w:p>
    <w:p w:rsidR="00000000" w:rsidRDefault="00000000">
      <w:r>
        <w:tab/>
        <w:t xml:space="preserve">145.  </w:t>
      </w:r>
      <w:r>
        <w:rPr>
          <w:rFonts w:hint="eastAsia"/>
        </w:rPr>
        <w:t>综援标准金额每年都会作出调整，以计及通胀因素，确保维持援助金的购买力。此外，特别津贴的金额和援助范围也会定期检讨，以确保援助金额与有关项目的实际开支同步，并满足受助人不断变化的需要。</w:t>
      </w:r>
    </w:p>
    <w:p w:rsidR="00000000" w:rsidRDefault="00000000">
      <w:r>
        <w:tab/>
        <w:t xml:space="preserve">146.  </w:t>
      </w:r>
      <w:r>
        <w:rPr>
          <w:rFonts w:hint="eastAsia"/>
        </w:rPr>
        <w:t>此外，政府不断改善综援计划，确保援助金额有实质增加，让受助人可以分享香港日益富裕的成果。由一九七八至一九九八这</w:t>
      </w:r>
      <w:r>
        <w:t>20</w:t>
      </w:r>
      <w:r>
        <w:rPr>
          <w:rFonts w:hint="eastAsia"/>
        </w:rPr>
        <w:t>年间，通胀增幅约为四倍，但健全单身成年人可得的综援金额则增加了大约八倍。在一九九七至九八财政年度，受助人平均每月可得的综援金，由单身人士的</w:t>
      </w:r>
      <w:r>
        <w:t>3,250</w:t>
      </w:r>
      <w:r>
        <w:rPr>
          <w:rFonts w:hint="eastAsia"/>
        </w:rPr>
        <w:t>港元至四人家庭的</w:t>
      </w:r>
      <w:r>
        <w:t>10,740</w:t>
      </w:r>
      <w:r>
        <w:rPr>
          <w:rFonts w:hint="eastAsia"/>
        </w:rPr>
        <w:t>港元不等，分别相当于工资中位数</w:t>
      </w:r>
      <w:r>
        <w:t xml:space="preserve"> </w:t>
      </w:r>
      <w:r>
        <w:rPr>
          <w:rStyle w:val="FootnoteReference"/>
        </w:rPr>
        <w:footnoteReference w:id="34"/>
      </w:r>
      <w:r>
        <w:t xml:space="preserve"> </w:t>
      </w:r>
      <w:r>
        <w:rPr>
          <w:rFonts w:hint="eastAsia"/>
        </w:rPr>
        <w:t>的</w:t>
      </w:r>
      <w:r>
        <w:t>32%</w:t>
      </w:r>
      <w:r>
        <w:rPr>
          <w:rFonts w:hint="eastAsia"/>
        </w:rPr>
        <w:t>和</w:t>
      </w:r>
      <w:r>
        <w:t>105%</w:t>
      </w:r>
      <w:r>
        <w:rPr>
          <w:rFonts w:hint="eastAsia"/>
        </w:rPr>
        <w:t>。</w:t>
      </w:r>
    </w:p>
    <w:p w:rsidR="00000000" w:rsidRDefault="00000000">
      <w:pPr>
        <w:spacing w:after="320"/>
        <w:textAlignment w:val="center"/>
      </w:pPr>
      <w:r>
        <w:tab/>
        <w:t xml:space="preserve">147.  </w:t>
      </w:r>
      <w:r>
        <w:rPr>
          <w:rFonts w:hint="eastAsia"/>
        </w:rPr>
        <w:t>最近，综援受助长者每月可得的标准金额，实质增加了</w:t>
      </w:r>
      <w:r>
        <w:t>10%</w:t>
      </w:r>
      <w:r>
        <w:rPr>
          <w:rFonts w:hint="eastAsia"/>
        </w:rPr>
        <w:t>至</w:t>
      </w:r>
      <w:r>
        <w:t>20%</w:t>
      </w:r>
      <w:r>
        <w:rPr>
          <w:rFonts w:hint="eastAsia"/>
        </w:rPr>
        <w:t>。这是要鼓励他们在退休后继续过健康而活跃的社交生活。在增加金额后，一名单身长者平均每月大约可得到</w:t>
      </w:r>
      <w:r>
        <w:t>3,670</w:t>
      </w:r>
      <w:r>
        <w:rPr>
          <w:rFonts w:hint="eastAsia"/>
        </w:rPr>
        <w:t>港元，而一对年老夫妇则可得到</w:t>
      </w:r>
      <w:r>
        <w:t>5,980</w:t>
      </w:r>
      <w:r>
        <w:rPr>
          <w:rFonts w:hint="eastAsia"/>
        </w:rPr>
        <w:t>港元，分别相当于工资中位数的</w:t>
      </w:r>
      <w:r>
        <w:t>36%</w:t>
      </w:r>
      <w:r>
        <w:rPr>
          <w:rFonts w:hint="eastAsia"/>
        </w:rPr>
        <w:t>和</w:t>
      </w:r>
      <w:r>
        <w:t>58%</w:t>
      </w:r>
      <w:r>
        <w:rPr>
          <w:rFonts w:hint="eastAsia"/>
        </w:rPr>
        <w:t>。</w:t>
      </w:r>
    </w:p>
    <w:p w:rsidR="00000000" w:rsidRDefault="00000000">
      <w:pPr>
        <w:pStyle w:val="Heading4"/>
      </w:pPr>
      <w:r>
        <w:rPr>
          <w:u w:val="none"/>
        </w:rPr>
        <w:tab/>
      </w:r>
      <w:r>
        <w:rPr>
          <w:rFonts w:hint="eastAsia"/>
        </w:rPr>
        <w:t>提高市民对综援计划的认识</w:t>
      </w:r>
    </w:p>
    <w:p w:rsidR="00000000" w:rsidRDefault="00000000">
      <w:r>
        <w:tab/>
        <w:t xml:space="preserve">148.  </w:t>
      </w:r>
      <w:r>
        <w:rPr>
          <w:rFonts w:hint="eastAsia"/>
        </w:rPr>
        <w:t>在上次报告的审议结论第</w:t>
      </w:r>
      <w:r>
        <w:t>24</w:t>
      </w:r>
      <w:r>
        <w:rPr>
          <w:rFonts w:hint="eastAsia"/>
        </w:rPr>
        <w:t>段，委员会表示关注到：</w:t>
      </w:r>
    </w:p>
    <w:p w:rsidR="00000000" w:rsidRDefault="00000000">
      <w:pPr>
        <w:ind w:left="1036"/>
      </w:pPr>
      <w:r>
        <w:tab/>
      </w:r>
      <w:r>
        <w:rPr>
          <w:rFonts w:hint="eastAsia"/>
        </w:rPr>
        <w:t>“很多合资格申请综合社会保障援助</w:t>
      </w:r>
      <w:r>
        <w:t>(</w:t>
      </w:r>
      <w:r>
        <w:rPr>
          <w:rFonts w:hint="eastAsia"/>
        </w:rPr>
        <w:t>综援</w:t>
      </w:r>
      <w:r>
        <w:t>)</w:t>
      </w:r>
      <w:r>
        <w:rPr>
          <w:rFonts w:hint="eastAsia"/>
        </w:rPr>
        <w:t>的人士和家庭，没有申请这项援助。这是由于他们并不知道有综援这种福利，或因受传统文化观念影响而认为申领福利援助是不光彩的事，或因为当局某些不符合香港法律的措施，使他们不去申请综合援助，例如要求父母须事先征得子女的同意，方可接受综援等。”</w:t>
      </w:r>
    </w:p>
    <w:p w:rsidR="00000000" w:rsidRDefault="00000000">
      <w:r>
        <w:tab/>
        <w:t xml:space="preserve">149.  </w:t>
      </w:r>
      <w:r>
        <w:rPr>
          <w:rFonts w:hint="eastAsia"/>
        </w:rPr>
        <w:t>政府不明白委员会为何会提到须事先征得子女同意的规定：香港从来都没有任何这类规定。</w:t>
      </w:r>
    </w:p>
    <w:p w:rsidR="00000000" w:rsidRDefault="00000000">
      <w:r>
        <w:tab/>
        <w:t xml:space="preserve">150.  </w:t>
      </w:r>
      <w:r>
        <w:rPr>
          <w:rFonts w:hint="eastAsia"/>
        </w:rPr>
        <w:t>无可否认，香港居民基于本身的文化背景，在某程度上会抗拒向亲属以外的人士寻求协助。这种文化态度存在已久，且根深蒂固，不容易在短期内消除。不过，政府早已了解问题所在，并不断致力宣传推广各项服务</w:t>
      </w:r>
      <w:r>
        <w:t>(</w:t>
      </w:r>
      <w:r>
        <w:rPr>
          <w:rFonts w:hint="eastAsia"/>
        </w:rPr>
        <w:t>包括综援计划</w:t>
      </w:r>
      <w:r>
        <w:t>)</w:t>
      </w:r>
      <w:r>
        <w:rPr>
          <w:rFonts w:hint="eastAsia"/>
        </w:rPr>
        <w:t>，使社会逐渐认识到接受援助是一种权利，不必引以为耻。</w:t>
      </w:r>
    </w:p>
    <w:p w:rsidR="00000000" w:rsidRDefault="00000000">
      <w:pPr>
        <w:spacing w:after="320"/>
        <w:textAlignment w:val="center"/>
      </w:pPr>
      <w:r>
        <w:tab/>
        <w:t xml:space="preserve">151.  </w:t>
      </w:r>
      <w:r>
        <w:rPr>
          <w:rFonts w:hint="eastAsia"/>
        </w:rPr>
        <w:t>目前，宣传推广工作包括多方面，有前线人员的参与、制作电台宣传声带，以及印制小册子和设立电话热线服务等其他宣传方法。这些工作已持续推行了几年，现在渐见成效。最近一项调查发现，超过</w:t>
      </w:r>
      <w:r>
        <w:t>75%</w:t>
      </w:r>
      <w:r>
        <w:rPr>
          <w:rFonts w:hint="eastAsia"/>
        </w:rPr>
        <w:t>未领到综援福利的长者，都了解这项计划，或知道有经济困难的人可向社会福利署求助。超过</w:t>
      </w:r>
      <w:r>
        <w:t>90%</w:t>
      </w:r>
      <w:r>
        <w:rPr>
          <w:rFonts w:hint="eastAsia"/>
        </w:rPr>
        <w:t>受访者表示，他们如果有经济困难，也会申领综援。</w:t>
      </w:r>
    </w:p>
    <w:p w:rsidR="00000000" w:rsidRDefault="00000000">
      <w:pPr>
        <w:pStyle w:val="Heading4"/>
      </w:pPr>
      <w:r>
        <w:rPr>
          <w:u w:val="none"/>
        </w:rPr>
        <w:tab/>
      </w:r>
      <w:r>
        <w:rPr>
          <w:rFonts w:hint="eastAsia"/>
        </w:rPr>
        <w:t>有关对失业人士设定可能领取综援期限的建议</w:t>
      </w:r>
    </w:p>
    <w:p w:rsidR="00000000" w:rsidRDefault="00000000">
      <w:pPr>
        <w:spacing w:after="320"/>
        <w:textAlignment w:val="center"/>
      </w:pPr>
      <w:r>
        <w:tab/>
        <w:t xml:space="preserve">152.  </w:t>
      </w:r>
      <w:r>
        <w:rPr>
          <w:rFonts w:hint="eastAsia"/>
        </w:rPr>
        <w:t>目前，凡有经济困难的失业人士，均可申领综援。失业人士经审核后，如符合资格，便可无限期领取这项福利，直至他们不再符合资格为止。我们现正检讨这项政策，以鼓励有工作能力的失业人士重新就业。</w:t>
      </w:r>
    </w:p>
    <w:p w:rsidR="00000000" w:rsidRDefault="00000000">
      <w:pPr>
        <w:pStyle w:val="Heading4"/>
      </w:pPr>
      <w:r>
        <w:rPr>
          <w:u w:val="none"/>
        </w:rPr>
        <w:tab/>
      </w:r>
      <w:r>
        <w:rPr>
          <w:rFonts w:hint="eastAsia"/>
        </w:rPr>
        <w:t>简化申请程序</w:t>
      </w:r>
    </w:p>
    <w:p w:rsidR="00000000" w:rsidRDefault="00000000">
      <w:pPr>
        <w:spacing w:after="320"/>
        <w:textAlignment w:val="center"/>
      </w:pPr>
      <w:r>
        <w:tab/>
        <w:t xml:space="preserve">153.  </w:t>
      </w:r>
      <w:r>
        <w:rPr>
          <w:rFonts w:hint="eastAsia"/>
        </w:rPr>
        <w:t>有论者指出，无论是综援计划或公共福利金计划，申请程序都十分繁复，令有意申请人士却步。申领综援确须经过调查、评估和批核几个程序；但这些程序是有需要的，以防止福利被滥用，并确保公款运用得当。迄今并无证据显示，合资格人士会因上述程序而放弃申领综援。根据上文第</w:t>
      </w:r>
      <w:r>
        <w:t>151</w:t>
      </w:r>
      <w:r>
        <w:rPr>
          <w:rFonts w:hint="eastAsia"/>
        </w:rPr>
        <w:t>段提及的调查，认为现行申请程序过于繁复而不申领综援助的受访者，只有不足</w:t>
      </w:r>
      <w:r>
        <w:t>1%</w:t>
      </w:r>
      <w:r>
        <w:rPr>
          <w:rFonts w:hint="eastAsia"/>
        </w:rPr>
        <w:t>。不过，我们仍会设法简化申请程序，确保需要社会援助的人士不会因程序繁复而放弃申请。</w:t>
      </w:r>
    </w:p>
    <w:p w:rsidR="00000000" w:rsidRDefault="00000000">
      <w:pPr>
        <w:pStyle w:val="Heading4"/>
      </w:pPr>
      <w:r>
        <w:rPr>
          <w:u w:val="none"/>
        </w:rPr>
        <w:tab/>
      </w:r>
      <w:r>
        <w:rPr>
          <w:rFonts w:hint="eastAsia"/>
        </w:rPr>
        <w:t>发还用于中医药方面的开支</w:t>
      </w:r>
    </w:p>
    <w:p w:rsidR="00000000" w:rsidRDefault="00000000">
      <w:r>
        <w:tab/>
        <w:t xml:space="preserve">154.  </w:t>
      </w:r>
      <w:r>
        <w:rPr>
          <w:rFonts w:hint="eastAsia"/>
        </w:rPr>
        <w:t>在上次报告的审议结论第</w:t>
      </w:r>
      <w:r>
        <w:t>25</w:t>
      </w:r>
      <w:r>
        <w:rPr>
          <w:rFonts w:hint="eastAsia"/>
        </w:rPr>
        <w:t>段，委员会表示关注到“虽然香港居民经常使用中医药，而香港法院亦有在民事责任诉讼中判令当事人可获发还用于中医药方面的支出”，但综援受助人却未获发还这项开支。</w:t>
      </w:r>
    </w:p>
    <w:p w:rsidR="00000000" w:rsidRDefault="00000000">
      <w:pPr>
        <w:spacing w:after="320"/>
        <w:textAlignment w:val="center"/>
      </w:pPr>
      <w:r>
        <w:tab/>
        <w:t xml:space="preserve">155.  </w:t>
      </w:r>
      <w:r>
        <w:rPr>
          <w:rFonts w:hint="eastAsia"/>
        </w:rPr>
        <w:t>我们最关注的，是不应有人会因经济困难而得不到治疗。正因如此，所有综援受助人一向都可以在公营医院和诊疗所获得免费医疗服务。不过，我们也注意到，香港有很多人只以中医药或</w:t>
      </w:r>
      <w:r>
        <w:t>(</w:t>
      </w:r>
      <w:r>
        <w:rPr>
          <w:rFonts w:hint="eastAsia"/>
        </w:rPr>
        <w:t>较常见地</w:t>
      </w:r>
      <w:r>
        <w:t>)</w:t>
      </w:r>
      <w:r>
        <w:rPr>
          <w:rFonts w:hint="eastAsia"/>
        </w:rPr>
        <w:t>同时采用中医药和常规医药</w:t>
      </w:r>
      <w:r>
        <w:t>(</w:t>
      </w:r>
      <w:r>
        <w:rPr>
          <w:rFonts w:hint="eastAsia"/>
        </w:rPr>
        <w:t>“西医”</w:t>
      </w:r>
      <w:r>
        <w:t>)</w:t>
      </w:r>
      <w:r>
        <w:rPr>
          <w:rFonts w:hint="eastAsia"/>
        </w:rPr>
        <w:t>来治病。因此，我们在一九九六年的检讨</w:t>
      </w:r>
      <w:r>
        <w:t>(</w:t>
      </w:r>
      <w:r>
        <w:rPr>
          <w:rFonts w:hint="eastAsia"/>
        </w:rPr>
        <w:t>见上文第</w:t>
      </w:r>
      <w:r>
        <w:t>138</w:t>
      </w:r>
      <w:r>
        <w:rPr>
          <w:rFonts w:hint="eastAsia"/>
        </w:rPr>
        <w:t>段</w:t>
      </w:r>
      <w:r>
        <w:t>)</w:t>
      </w:r>
      <w:r>
        <w:rPr>
          <w:rFonts w:hint="eastAsia"/>
        </w:rPr>
        <w:t>中评估各项标准援助金额是否足够时，已考虑到受助人在中医药方面的开支</w:t>
      </w:r>
      <w:r>
        <w:t xml:space="preserve"> </w:t>
      </w:r>
      <w:r>
        <w:rPr>
          <w:rStyle w:val="FootnoteReference"/>
        </w:rPr>
        <w:footnoteReference w:id="35"/>
      </w:r>
      <w:r>
        <w:t xml:space="preserve"> </w:t>
      </w:r>
      <w:r>
        <w:rPr>
          <w:rFonts w:hint="eastAsia"/>
        </w:rPr>
        <w:t>。此外，我们在最近一次厘定综援受助长者每月援助金额的增幅时，亦已考虑到这方面的开支。</w:t>
      </w:r>
    </w:p>
    <w:p w:rsidR="00000000" w:rsidRDefault="00000000">
      <w:pPr>
        <w:pStyle w:val="Heading4"/>
      </w:pPr>
      <w:r>
        <w:rPr>
          <w:rFonts w:hint="eastAsia"/>
        </w:rPr>
        <w:t>公共福利金计划</w:t>
      </w:r>
    </w:p>
    <w:p w:rsidR="00000000" w:rsidRDefault="00000000">
      <w:pPr>
        <w:spacing w:after="320"/>
        <w:textAlignment w:val="center"/>
      </w:pPr>
      <w:r>
        <w:tab/>
        <w:t xml:space="preserve">156.  </w:t>
      </w:r>
      <w:r>
        <w:rPr>
          <w:rFonts w:hint="eastAsia"/>
        </w:rPr>
        <w:t>公共福利金计划包括高龄津贴和伤残津贴。两者均属定额津贴、分别按月发放给</w:t>
      </w:r>
      <w:r>
        <w:t>65</w:t>
      </w:r>
      <w:r>
        <w:rPr>
          <w:rFonts w:hint="eastAsia"/>
        </w:rPr>
        <w:t>岁或</w:t>
      </w:r>
      <w:r>
        <w:t>65</w:t>
      </w:r>
      <w:r>
        <w:rPr>
          <w:rFonts w:hint="eastAsia"/>
        </w:rPr>
        <w:t>岁以上的长者及伤残人士。政府每年都会因应通胀而调整津贴金额。在拟备本报告时，我们正在检讨这项计划、确保计划能继续达至所订目标。</w:t>
      </w:r>
    </w:p>
    <w:p w:rsidR="00000000" w:rsidRDefault="00000000">
      <w:pPr>
        <w:pStyle w:val="Heading4"/>
      </w:pPr>
      <w:r>
        <w:rPr>
          <w:u w:val="none"/>
        </w:rPr>
        <w:tab/>
      </w:r>
      <w:r>
        <w:rPr>
          <w:rFonts w:hint="eastAsia"/>
        </w:rPr>
        <w:t>高龄津贴</w:t>
      </w:r>
    </w:p>
    <w:p w:rsidR="00000000" w:rsidRDefault="00000000">
      <w:r>
        <w:tab/>
        <w:t xml:space="preserve">157.  </w:t>
      </w:r>
      <w:r>
        <w:rPr>
          <w:rFonts w:hint="eastAsia"/>
        </w:rPr>
        <w:t>高龄津贴是发放给居港最少五年而又没有领取综援的长者。凡</w:t>
      </w:r>
      <w:r>
        <w:t>70</w:t>
      </w:r>
      <w:r>
        <w:rPr>
          <w:rFonts w:hint="eastAsia"/>
        </w:rPr>
        <w:t>岁或</w:t>
      </w:r>
      <w:r>
        <w:t>70</w:t>
      </w:r>
      <w:r>
        <w:rPr>
          <w:rFonts w:hint="eastAsia"/>
        </w:rPr>
        <w:t>岁以上的长者，均毋须接受经济状况审查。现时，高龄津贴每月金额为</w:t>
      </w:r>
      <w:r>
        <w:t>705</w:t>
      </w:r>
      <w:r>
        <w:rPr>
          <w:rFonts w:hint="eastAsia"/>
        </w:rPr>
        <w:t>港元。至于</w:t>
      </w:r>
      <w:r>
        <w:t>65</w:t>
      </w:r>
      <w:r>
        <w:rPr>
          <w:rFonts w:hint="eastAsia"/>
        </w:rPr>
        <w:t>至</w:t>
      </w:r>
      <w:r>
        <w:t>69</w:t>
      </w:r>
      <w:r>
        <w:rPr>
          <w:rFonts w:hint="eastAsia"/>
        </w:rPr>
        <w:t>岁的长者，他们只须作出简单申报，声明其收入及资产不超过规定的限额</w:t>
      </w:r>
      <w:r>
        <w:t xml:space="preserve"> </w:t>
      </w:r>
      <w:r>
        <w:rPr>
          <w:rStyle w:val="FootnoteReference"/>
        </w:rPr>
        <w:footnoteReference w:id="36"/>
      </w:r>
      <w:r>
        <w:t xml:space="preserve"> </w:t>
      </w:r>
      <w:r>
        <w:rPr>
          <w:rFonts w:hint="eastAsia"/>
        </w:rPr>
        <w:t>，也可每月获发</w:t>
      </w:r>
      <w:r>
        <w:t>625</w:t>
      </w:r>
      <w:r>
        <w:rPr>
          <w:rFonts w:hint="eastAsia"/>
        </w:rPr>
        <w:t>港元的较低额津贴。截至一九九八年六月三十日为止，约有</w:t>
      </w:r>
      <w:r>
        <w:t>441,000</w:t>
      </w:r>
      <w:r>
        <w:rPr>
          <w:rFonts w:hint="eastAsia"/>
        </w:rPr>
        <w:t>人领取这项津贴。</w:t>
      </w:r>
    </w:p>
    <w:p w:rsidR="00000000" w:rsidRDefault="00000000">
      <w:pPr>
        <w:spacing w:after="320"/>
        <w:textAlignment w:val="center"/>
      </w:pPr>
      <w:r>
        <w:tab/>
        <w:t xml:space="preserve">158.  </w:t>
      </w:r>
      <w:r>
        <w:rPr>
          <w:rFonts w:hint="eastAsia"/>
        </w:rPr>
        <w:t>领取这项津贴的人士毋需供款，津贴所需资金悉数由政府一般收入拨付。政府在批出津贴时，不会审查申请人是否有经济需要，也不是希望藉此让长者能完全应付生活开支。那些在经济上无法维持生计的长者，可以申领综援。</w:t>
      </w:r>
    </w:p>
    <w:p w:rsidR="00000000" w:rsidRDefault="00000000">
      <w:pPr>
        <w:pStyle w:val="Heading4"/>
      </w:pPr>
      <w:r>
        <w:rPr>
          <w:u w:val="none"/>
        </w:rPr>
        <w:tab/>
      </w:r>
      <w:r>
        <w:rPr>
          <w:rFonts w:hint="eastAsia"/>
        </w:rPr>
        <w:t>伤残津贴</w:t>
      </w:r>
    </w:p>
    <w:p w:rsidR="00000000" w:rsidRDefault="00000000">
      <w:r>
        <w:tab/>
        <w:t xml:space="preserve">159.  </w:t>
      </w:r>
      <w:r>
        <w:rPr>
          <w:rFonts w:hint="eastAsia"/>
        </w:rPr>
        <w:t>伤残津贴的申请人亦毋须接受经济状况审查，惟他们必须已在香港居住满一年。任何年龄的人士，其伤残程度经认可的医疗当局评估后，若确定大致相当于失去</w:t>
      </w:r>
      <w:r>
        <w:t>100%</w:t>
      </w:r>
      <w:r>
        <w:rPr>
          <w:rFonts w:hint="eastAsia"/>
        </w:rPr>
        <w:t>谋生能力，便可获发伤残津贴。目前，伤残津贴金额为每月</w:t>
      </w:r>
      <w:r>
        <w:t>1,260</w:t>
      </w:r>
      <w:r>
        <w:rPr>
          <w:rFonts w:hint="eastAsia"/>
        </w:rPr>
        <w:t>港元。此外，凡需要别人不断照顾日常生活的伤残人士，如未能获得政府或资助机构的住院照顾，可获发</w:t>
      </w:r>
      <w:r>
        <w:t>2,520</w:t>
      </w:r>
      <w:r>
        <w:rPr>
          <w:rFonts w:hint="eastAsia"/>
        </w:rPr>
        <w:t>港元的较高额伤残津贴。截至一九九八年六月三十日为止，约有</w:t>
      </w:r>
      <w:r>
        <w:t>79,000</w:t>
      </w:r>
      <w:r>
        <w:rPr>
          <w:rFonts w:hint="eastAsia"/>
        </w:rPr>
        <w:t>人正在领取这项津贴。</w:t>
      </w:r>
    </w:p>
    <w:p w:rsidR="00000000" w:rsidRDefault="00000000">
      <w:pPr>
        <w:spacing w:after="320"/>
        <w:textAlignment w:val="center"/>
      </w:pPr>
      <w:r>
        <w:tab/>
        <w:t xml:space="preserve">160.  </w:t>
      </w:r>
      <w:r>
        <w:rPr>
          <w:rFonts w:hint="eastAsia"/>
        </w:rPr>
        <w:t>有论者认为，综援计划及公共福利金计划所提供的津贴，均不足以让长者维持适当的生活水平。更有批评特别指出，</w:t>
      </w:r>
      <w:r>
        <w:t>60</w:t>
      </w:r>
      <w:r>
        <w:rPr>
          <w:rFonts w:hint="eastAsia"/>
        </w:rPr>
        <w:t>岁以下单身人士的综援金额，仅为工资中位数的</w:t>
      </w:r>
      <w:r>
        <w:t>17%</w:t>
      </w:r>
      <w:r>
        <w:rPr>
          <w:rFonts w:hint="eastAsia"/>
        </w:rPr>
        <w:t>，而实质金额比七十年代所发的援助金额还要低。然而，政府并不同意这个看法。如上文第</w:t>
      </w:r>
      <w:r>
        <w:t>146</w:t>
      </w:r>
      <w:r>
        <w:rPr>
          <w:rFonts w:hint="eastAsia"/>
        </w:rPr>
        <w:t>段所述，过去二十年，健全单身成人的综援金额大约上升了八倍，而通胀率只上升了四倍左右。此外，受助人每月领得的款额，其实比标准金额多，因为他们还可获得多项特别及额外津贴。一九九七至九八年度，单身人士平均每月可得的综援金额为</w:t>
      </w:r>
      <w:r>
        <w:t>3,250</w:t>
      </w:r>
      <w:r>
        <w:rPr>
          <w:rFonts w:hint="eastAsia"/>
        </w:rPr>
        <w:t>港元，为工资中位数的</w:t>
      </w:r>
      <w:r>
        <w:t>32%</w:t>
      </w:r>
      <w:r>
        <w:rPr>
          <w:rFonts w:hint="eastAsia"/>
        </w:rPr>
        <w:t>。必须注意的是，综援的目的，是协助有经济困难人士维持基本生活需要，因此不宜按照某些人的建议，把综援金额与由市场决定的工资水平挂钩。</w:t>
      </w:r>
    </w:p>
    <w:p w:rsidR="00000000" w:rsidRDefault="00000000">
      <w:pPr>
        <w:pStyle w:val="Heading4"/>
      </w:pPr>
      <w:r>
        <w:rPr>
          <w:rFonts w:hint="eastAsia"/>
        </w:rPr>
        <w:t>政府对医疗护理服务的一般政策</w:t>
      </w:r>
    </w:p>
    <w:p w:rsidR="00000000" w:rsidRDefault="00000000">
      <w:pPr>
        <w:spacing w:after="320"/>
        <w:textAlignment w:val="center"/>
      </w:pPr>
      <w:r>
        <w:tab/>
        <w:t xml:space="preserve">161.  </w:t>
      </w:r>
      <w:r>
        <w:rPr>
          <w:rFonts w:hint="eastAsia"/>
        </w:rPr>
        <w:t>这事项会在下文第十二条项下第</w:t>
      </w:r>
      <w:r>
        <w:t>413</w:t>
      </w:r>
      <w:r>
        <w:rPr>
          <w:rFonts w:hint="eastAsia"/>
        </w:rPr>
        <w:t>及</w:t>
      </w:r>
      <w:r>
        <w:t>414</w:t>
      </w:r>
      <w:r>
        <w:rPr>
          <w:rFonts w:hint="eastAsia"/>
        </w:rPr>
        <w:t>段论述。</w:t>
      </w:r>
    </w:p>
    <w:p w:rsidR="00000000" w:rsidRDefault="00000000">
      <w:pPr>
        <w:pStyle w:val="Heading4"/>
      </w:pPr>
      <w:r>
        <w:rPr>
          <w:rFonts w:hint="eastAsia"/>
        </w:rPr>
        <w:t>享有病假及疾病津贴的权利</w:t>
      </w:r>
    </w:p>
    <w:p w:rsidR="00000000" w:rsidRDefault="00000000">
      <w:r>
        <w:tab/>
        <w:t xml:space="preserve">162.  </w:t>
      </w:r>
      <w:r>
        <w:rPr>
          <w:rFonts w:hint="eastAsia"/>
        </w:rPr>
        <w:t>凡雇员根据连续性合约受聘为雇主工作，便可在休病假时获发给疾病津贴</w:t>
      </w:r>
      <w:r>
        <w:t xml:space="preserve"> </w:t>
      </w:r>
      <w:r>
        <w:rPr>
          <w:rStyle w:val="FootnoteReference"/>
        </w:rPr>
        <w:footnoteReference w:id="37"/>
      </w:r>
      <w:r>
        <w:t xml:space="preserve"> </w:t>
      </w:r>
      <w:r>
        <w:rPr>
          <w:rFonts w:hint="eastAsia"/>
        </w:rPr>
        <w:t>；但该雇员当时必须有累积病假余额，才可享有疾病津贴。病假的日数，是按雇员在受雇的最初</w:t>
      </w:r>
      <w:r>
        <w:t>12</w:t>
      </w:r>
      <w:r>
        <w:rPr>
          <w:rFonts w:hint="eastAsia"/>
        </w:rPr>
        <w:t>个月内，每工作满一个月即可享有有薪病假两日来计算；其后每工作满一个月，即可享有有薪病假四日。已记录的有薪病假最多可累积至</w:t>
      </w:r>
      <w:r>
        <w:t>120</w:t>
      </w:r>
      <w:r>
        <w:rPr>
          <w:rFonts w:hint="eastAsia"/>
        </w:rPr>
        <w:t>日。按条例规定，雇员必须连续休病假不少于四日，并获医生或注册牙医签发证明书，才合乎领取疾病津贴的资格。</w:t>
      </w:r>
    </w:p>
    <w:p w:rsidR="00000000" w:rsidRDefault="00000000">
      <w:r>
        <w:tab/>
        <w:t xml:space="preserve">163.  </w:t>
      </w:r>
      <w:r>
        <w:rPr>
          <w:rFonts w:hint="eastAsia"/>
        </w:rPr>
        <w:t>雇员每日的疾病津贴额，相等于其正常日薪的五分之四，而雇主必须在正常发薪日发放该津贴给雇员。若雇主未按时发给疾病津贴，最高可被判罚款</w:t>
      </w:r>
      <w:r>
        <w:t>50,000</w:t>
      </w:r>
      <w:r>
        <w:rPr>
          <w:rFonts w:hint="eastAsia"/>
        </w:rPr>
        <w:t>港元。一九九六年，一名雇主因被裁定该项罪名成立，被罚款</w:t>
      </w:r>
      <w:r>
        <w:t>1,000</w:t>
      </w:r>
      <w:r>
        <w:rPr>
          <w:rFonts w:hint="eastAsia"/>
        </w:rPr>
        <w:t>港元。不过，在一九九七年及一九九八年头六个月，没有雇主因触犯该项罪名而被检控。一九九七年，劳工处共处理了</w:t>
      </w:r>
      <w:r>
        <w:t>397</w:t>
      </w:r>
      <w:r>
        <w:rPr>
          <w:rFonts w:hint="eastAsia"/>
        </w:rPr>
        <w:t>宗有关疾病津贴的索偿个案，其中</w:t>
      </w:r>
      <w:r>
        <w:t>71.5%</w:t>
      </w:r>
      <w:r>
        <w:rPr>
          <w:rFonts w:hint="eastAsia"/>
        </w:rPr>
        <w:t>经调解后获得解决。一九九八年上半年，劳工处共处理了</w:t>
      </w:r>
      <w:r>
        <w:t>277</w:t>
      </w:r>
      <w:r>
        <w:rPr>
          <w:rFonts w:hint="eastAsia"/>
        </w:rPr>
        <w:t>宗索偿个案，其中</w:t>
      </w:r>
      <w:r>
        <w:t>63.5%</w:t>
      </w:r>
      <w:r>
        <w:rPr>
          <w:rFonts w:hint="eastAsia"/>
        </w:rPr>
        <w:t>已获得解决；余下未能解决的个案，则转介劳资审裁处或小额薪酬索偿仲裁处仲裁。</w:t>
      </w:r>
    </w:p>
    <w:p w:rsidR="00000000" w:rsidRDefault="00000000">
      <w:pPr>
        <w:spacing w:after="320"/>
        <w:textAlignment w:val="center"/>
      </w:pPr>
      <w:r>
        <w:tab/>
        <w:t xml:space="preserve">164.  </w:t>
      </w:r>
      <w:r>
        <w:rPr>
          <w:rFonts w:hint="eastAsia"/>
        </w:rPr>
        <w:t>雇主不得在雇员休有薪病假期间，终止其雇佣合约，除非有关雇员是因严重失当行为而须即时解雇。雇主若违反规定，即属违法，一经定罪，可被判罚款</w:t>
      </w:r>
      <w:r>
        <w:t>100,000</w:t>
      </w:r>
      <w:r>
        <w:rPr>
          <w:rFonts w:hint="eastAsia"/>
        </w:rPr>
        <w:t>港元，同时须向受影响的雇员支付《雇佣条例》所订明的款项。此外，雇员也可就雇主的不合理及非法解雇而提出申索，要求作出补救。若雇主未能提出解雇该雇员的正当理由</w:t>
      </w:r>
      <w:r>
        <w:t>(</w:t>
      </w:r>
      <w:r>
        <w:rPr>
          <w:rFonts w:hint="eastAsia"/>
        </w:rPr>
        <w:t>即《雇佣条例》订明的理由</w:t>
      </w:r>
      <w:r>
        <w:t>)</w:t>
      </w:r>
      <w:r>
        <w:rPr>
          <w:rFonts w:hint="eastAsia"/>
        </w:rPr>
        <w:t>，则劳资审裁处可经劳资双方同意作出复职或再次聘用的命令；或下令判雇主支付终止雇用金。如劳资审裁处并无作出复职或再次聘用的命令，则不论是否已判给终止雇佣金，审裁处均可就适当的个案裁定雇员获得一笔补偿金，款额上限为</w:t>
      </w:r>
      <w:r>
        <w:t>150,000</w:t>
      </w:r>
      <w:r>
        <w:rPr>
          <w:rFonts w:hint="eastAsia"/>
        </w:rPr>
        <w:t>港元。</w:t>
      </w:r>
    </w:p>
    <w:p w:rsidR="00000000" w:rsidRDefault="00000000">
      <w:pPr>
        <w:pStyle w:val="Heading4"/>
      </w:pPr>
      <w:r>
        <w:rPr>
          <w:rFonts w:hint="eastAsia"/>
        </w:rPr>
        <w:t>享有长期服务金的权利</w:t>
      </w:r>
    </w:p>
    <w:p w:rsidR="00000000" w:rsidRDefault="00000000">
      <w:r>
        <w:tab/>
        <w:t xml:space="preserve">165.  </w:t>
      </w:r>
      <w:r>
        <w:rPr>
          <w:rFonts w:hint="eastAsia"/>
        </w:rPr>
        <w:t>根据连续性合约受雇不少于五年的人士，在下列情况下可领取长期服务金：</w:t>
      </w:r>
    </w:p>
    <w:p w:rsidR="00000000" w:rsidRDefault="00000000">
      <w:pPr>
        <w:pStyle w:val="a0"/>
        <w:numPr>
          <w:ilvl w:val="0"/>
          <w:numId w:val="9"/>
        </w:numPr>
        <w:ind w:left="1531" w:hanging="510"/>
      </w:pPr>
      <w:r>
        <w:rPr>
          <w:rFonts w:hint="eastAsia"/>
        </w:rPr>
        <w:t>非因严重行为不当或裁员而遭解雇；或</w:t>
      </w:r>
    </w:p>
    <w:p w:rsidR="00000000" w:rsidRDefault="00000000">
      <w:pPr>
        <w:pStyle w:val="a0"/>
        <w:numPr>
          <w:ilvl w:val="0"/>
          <w:numId w:val="9"/>
        </w:numPr>
        <w:ind w:left="1531" w:hanging="510"/>
      </w:pPr>
      <w:r>
        <w:rPr>
          <w:rFonts w:hint="eastAsia"/>
        </w:rPr>
        <w:t>年满</w:t>
      </w:r>
      <w:r>
        <w:t>65</w:t>
      </w:r>
      <w:r>
        <w:rPr>
          <w:rFonts w:hint="eastAsia"/>
        </w:rPr>
        <w:t>岁而离职；或</w:t>
      </w:r>
    </w:p>
    <w:p w:rsidR="00000000" w:rsidRDefault="00000000">
      <w:pPr>
        <w:pStyle w:val="a0"/>
        <w:numPr>
          <w:ilvl w:val="0"/>
          <w:numId w:val="9"/>
        </w:numPr>
        <w:ind w:left="1531" w:hanging="510"/>
      </w:pPr>
      <w:r>
        <w:rPr>
          <w:rFonts w:hint="eastAsia"/>
        </w:rPr>
        <w:t>获注册医生签发证明书，证明已永久性地不适宜担任现有工作，并以此理由离职</w:t>
      </w:r>
      <w:r>
        <w:t xml:space="preserve"> </w:t>
      </w:r>
      <w:r>
        <w:rPr>
          <w:rStyle w:val="FootnoteReference"/>
        </w:rPr>
        <w:footnoteReference w:id="38"/>
      </w:r>
      <w:r>
        <w:t xml:space="preserve"> </w:t>
      </w:r>
      <w:r>
        <w:rPr>
          <w:rFonts w:hint="eastAsia"/>
        </w:rPr>
        <w:t>。</w:t>
      </w:r>
    </w:p>
    <w:p w:rsidR="00000000" w:rsidRDefault="00000000">
      <w:r>
        <w:rPr>
          <w:rFonts w:hint="eastAsia"/>
        </w:rPr>
        <w:t>此外，凡根据连续性合约受雇五年或以上的雇员，若在受雇期间死亡，长期服务金便会付给其受益人</w:t>
      </w:r>
      <w:r>
        <w:t xml:space="preserve"> </w:t>
      </w:r>
      <w:r>
        <w:rPr>
          <w:rStyle w:val="FootnoteReference"/>
        </w:rPr>
        <w:footnoteReference w:id="39"/>
      </w:r>
      <w:r>
        <w:t xml:space="preserve"> </w:t>
      </w:r>
      <w:r>
        <w:rPr>
          <w:rFonts w:hint="eastAsia"/>
        </w:rPr>
        <w:t>。</w:t>
      </w:r>
    </w:p>
    <w:p w:rsidR="00000000" w:rsidRDefault="00000000">
      <w:r>
        <w:tab/>
        <w:t xml:space="preserve">166.  </w:t>
      </w:r>
      <w:r>
        <w:rPr>
          <w:rFonts w:hint="eastAsia"/>
        </w:rPr>
        <w:t>月薪雇员的长期服务金额，以每服务满一年可获一个月工资的三分之二</w:t>
      </w:r>
      <w:r>
        <w:t>(</w:t>
      </w:r>
      <w:r>
        <w:rPr>
          <w:rFonts w:hint="eastAsia"/>
        </w:rPr>
        <w:t>但以</w:t>
      </w:r>
      <w:r>
        <w:t>22,500</w:t>
      </w:r>
      <w:r>
        <w:rPr>
          <w:rFonts w:hint="eastAsia"/>
        </w:rPr>
        <w:t>港元的三分之二为上限</w:t>
      </w:r>
      <w:r>
        <w:t>)</w:t>
      </w:r>
      <w:r>
        <w:rPr>
          <w:rFonts w:hint="eastAsia"/>
        </w:rPr>
        <w:t>计算。至于日薪雇员或件工雇员的长期服务金额，则按每服务满一年可获</w:t>
      </w:r>
      <w:r>
        <w:t>18</w:t>
      </w:r>
      <w:r>
        <w:rPr>
          <w:rFonts w:hint="eastAsia"/>
        </w:rPr>
        <w:t>日工资</w:t>
      </w:r>
      <w:r>
        <w:t>(</w:t>
      </w:r>
      <w:r>
        <w:rPr>
          <w:rFonts w:hint="eastAsia"/>
        </w:rPr>
        <w:t>但同样以</w:t>
      </w:r>
      <w:r>
        <w:t>22,500)</w:t>
      </w:r>
      <w:r>
        <w:rPr>
          <w:rFonts w:hint="eastAsia"/>
        </w:rPr>
        <w:t>港元的三分之二为上限</w:t>
      </w:r>
      <w:r>
        <w:t>)</w:t>
      </w:r>
      <w:r>
        <w:rPr>
          <w:rFonts w:hint="eastAsia"/>
        </w:rPr>
        <w:t>计算；未满一年则按比例计算。</w:t>
      </w:r>
    </w:p>
    <w:p w:rsidR="00000000" w:rsidRDefault="00000000">
      <w:pPr>
        <w:tabs>
          <w:tab w:val="left" w:pos="3600"/>
        </w:tabs>
        <w:spacing w:after="320"/>
        <w:textAlignment w:val="center"/>
      </w:pPr>
      <w:r>
        <w:tab/>
        <w:t xml:space="preserve">167.  </w:t>
      </w:r>
      <w:r>
        <w:rPr>
          <w:rFonts w:hint="eastAsia"/>
        </w:rPr>
        <w:t>此外，雇员可获得的长期服务金额，视他们依法可追溯的服务年资年数而定</w:t>
      </w:r>
      <w:r>
        <w:t xml:space="preserve"> </w:t>
      </w:r>
      <w:r>
        <w:rPr>
          <w:rStyle w:val="FootnoteReference"/>
        </w:rPr>
        <w:footnoteReference w:id="40"/>
      </w:r>
      <w:r>
        <w:t xml:space="preserve"> </w:t>
      </w:r>
      <w:r>
        <w:rPr>
          <w:rFonts w:hint="eastAsia"/>
        </w:rPr>
        <w:t>。目前，对于体力劳动工人来说，年数上限为</w:t>
      </w:r>
      <w:r>
        <w:t>31</w:t>
      </w:r>
      <w:r>
        <w:rPr>
          <w:rFonts w:hint="eastAsia"/>
        </w:rPr>
        <w:t>年，而</w:t>
      </w:r>
      <w:r>
        <w:t>31</w:t>
      </w:r>
      <w:r>
        <w:rPr>
          <w:rFonts w:hint="eastAsia"/>
        </w:rPr>
        <w:t>年以后的服务年数则减半计算。至于非体力劳动工人，若于一九九</w:t>
      </w:r>
      <w:r>
        <w:rPr>
          <w:rFonts w:hint="eastAsia"/>
          <w:sz w:val="32"/>
        </w:rPr>
        <w:t>○</w:t>
      </w:r>
      <w:r>
        <w:rPr>
          <w:rFonts w:hint="eastAsia"/>
        </w:rPr>
        <w:t>年六月八日前的</w:t>
      </w:r>
      <w:r>
        <w:t>12</w:t>
      </w:r>
      <w:r>
        <w:rPr>
          <w:rFonts w:hint="eastAsia"/>
        </w:rPr>
        <w:t>个月内，每月平均工资不超过</w:t>
      </w:r>
      <w:r>
        <w:t>15,000</w:t>
      </w:r>
      <w:r>
        <w:rPr>
          <w:rFonts w:hint="eastAsia"/>
        </w:rPr>
        <w:t>港元，其年数上限的计算方法与体力劳动工人相同。不过，服务年资上限现已逐步递增；到了二</w:t>
      </w:r>
      <w:r>
        <w:rPr>
          <w:rFonts w:hint="eastAsia"/>
          <w:sz w:val="32"/>
        </w:rPr>
        <w:t>○○</w:t>
      </w:r>
      <w:r>
        <w:rPr>
          <w:rFonts w:hint="eastAsia"/>
        </w:rPr>
        <w:t>四年十月，服务年资便可“十足计算”。非体力劳动工人若于一九九</w:t>
      </w:r>
      <w:r>
        <w:rPr>
          <w:rFonts w:hint="eastAsia"/>
          <w:sz w:val="32"/>
        </w:rPr>
        <w:t>○</w:t>
      </w:r>
      <w:r>
        <w:rPr>
          <w:rFonts w:hint="eastAsia"/>
        </w:rPr>
        <w:t>年六月八日前的</w:t>
      </w:r>
      <w:r>
        <w:t>12</w:t>
      </w:r>
      <w:r>
        <w:rPr>
          <w:rFonts w:hint="eastAsia"/>
        </w:rPr>
        <w:t>个月内，每月平均工资超过</w:t>
      </w:r>
      <w:r>
        <w:t>15,000</w:t>
      </w:r>
      <w:r>
        <w:rPr>
          <w:rFonts w:hint="eastAsia"/>
        </w:rPr>
        <w:t>港元，在计算长期服务金时，服务年资可计至一九八</w:t>
      </w:r>
      <w:r>
        <w:rPr>
          <w:rFonts w:hint="eastAsia"/>
          <w:sz w:val="32"/>
        </w:rPr>
        <w:t>○</w:t>
      </w:r>
      <w:r>
        <w:rPr>
          <w:rFonts w:hint="eastAsia"/>
        </w:rPr>
        <w:t>年。现时，长期服务金最高为</w:t>
      </w:r>
      <w:r>
        <w:t>270,000</w:t>
      </w:r>
      <w:r>
        <w:rPr>
          <w:rFonts w:hint="eastAsia"/>
        </w:rPr>
        <w:t>港元。这个金额亦会逐步递增，于二</w:t>
      </w:r>
      <w:r>
        <w:rPr>
          <w:rFonts w:hint="eastAsia"/>
          <w:sz w:val="32"/>
        </w:rPr>
        <w:t>○○</w:t>
      </w:r>
      <w:r>
        <w:rPr>
          <w:rFonts w:hint="eastAsia"/>
        </w:rPr>
        <w:t>三年十月前增至</w:t>
      </w:r>
      <w:r>
        <w:t>390,000</w:t>
      </w:r>
      <w:r>
        <w:rPr>
          <w:rFonts w:hint="eastAsia"/>
        </w:rPr>
        <w:t>港元。</w:t>
      </w:r>
    </w:p>
    <w:p w:rsidR="00000000" w:rsidRDefault="00000000">
      <w:pPr>
        <w:pStyle w:val="Heading4"/>
      </w:pPr>
      <w:r>
        <w:rPr>
          <w:rFonts w:hint="eastAsia"/>
        </w:rPr>
        <w:t>工资保障</w:t>
      </w:r>
    </w:p>
    <w:p w:rsidR="00000000" w:rsidRDefault="00000000">
      <w:r>
        <w:tab/>
        <w:t xml:space="preserve">168.  </w:t>
      </w:r>
      <w:r>
        <w:rPr>
          <w:rFonts w:hint="eastAsia"/>
        </w:rPr>
        <w:t>雇主须于雇员工资期届满或合约终止后</w:t>
      </w:r>
      <w:r>
        <w:t>(</w:t>
      </w:r>
      <w:r>
        <w:rPr>
          <w:rFonts w:hint="eastAsia"/>
        </w:rPr>
        <w:t>按具体情况而定</w:t>
      </w:r>
      <w:r>
        <w:t>)</w:t>
      </w:r>
      <w:r>
        <w:rPr>
          <w:rFonts w:hint="eastAsia"/>
        </w:rPr>
        <w:t>支薪，最迟不得超过七日</w:t>
      </w:r>
      <w:r>
        <w:t xml:space="preserve"> </w:t>
      </w:r>
      <w:r>
        <w:rPr>
          <w:rStyle w:val="FootnoteReference"/>
        </w:rPr>
        <w:footnoteReference w:id="41"/>
      </w:r>
      <w:r>
        <w:t xml:space="preserve"> </w:t>
      </w:r>
      <w:r>
        <w:rPr>
          <w:rFonts w:hint="eastAsia"/>
        </w:rPr>
        <w:t>。若雇主蓄意不在上述期限内支薪，又无合理解释，即属违法，一经定罪，可被判罚款</w:t>
      </w:r>
      <w:r>
        <w:t>200,000</w:t>
      </w:r>
      <w:r>
        <w:rPr>
          <w:rFonts w:hint="eastAsia"/>
        </w:rPr>
        <w:t>港元和监禁一年。</w:t>
      </w:r>
    </w:p>
    <w:p w:rsidR="00000000" w:rsidRDefault="00000000">
      <w:pPr>
        <w:spacing w:after="320"/>
        <w:textAlignment w:val="center"/>
      </w:pPr>
      <w:r>
        <w:tab/>
        <w:t xml:space="preserve">169.  </w:t>
      </w:r>
      <w:r>
        <w:rPr>
          <w:rFonts w:hint="eastAsia"/>
        </w:rPr>
        <w:t>一九九七年六月，《雇佣条例》作出修订，规定雇主须就欠薪支付利息。若雇主逾期一个月仍未支付欠薪，雇员可终止雇佣合约，毋须给予通知或支付代通知金，而雇主则被认为已同意按照法例支付终止佣金。</w:t>
      </w:r>
    </w:p>
    <w:p w:rsidR="00000000" w:rsidRDefault="00000000">
      <w:pPr>
        <w:pStyle w:val="Heading4"/>
      </w:pPr>
      <w:r>
        <w:rPr>
          <w:rFonts w:hint="eastAsia"/>
        </w:rPr>
        <w:t>国际劳工公约</w:t>
      </w:r>
    </w:p>
    <w:p w:rsidR="00000000" w:rsidRDefault="00000000">
      <w:r>
        <w:tab/>
        <w:t xml:space="preserve">170.  </w:t>
      </w:r>
      <w:r>
        <w:rPr>
          <w:rFonts w:hint="eastAsia"/>
        </w:rPr>
        <w:t>一九九二年七月一日至一九九六年十二月三十一日期间有关分娩福利的资料，载于就《保护生育公约》</w:t>
      </w:r>
      <w:r>
        <w:t>(</w:t>
      </w:r>
      <w:r>
        <w:rPr>
          <w:rFonts w:hint="eastAsia"/>
        </w:rPr>
        <w:t>第</w:t>
      </w:r>
      <w:r>
        <w:t>3</w:t>
      </w:r>
      <w:r>
        <w:rPr>
          <w:rFonts w:hint="eastAsia"/>
        </w:rPr>
        <w:t>号公约</w:t>
      </w:r>
      <w:r>
        <w:t>)</w:t>
      </w:r>
      <w:r>
        <w:rPr>
          <w:rFonts w:hint="eastAsia"/>
        </w:rPr>
        <w:t>提交的第</w:t>
      </w:r>
      <w:r>
        <w:t>22</w:t>
      </w:r>
      <w:r>
        <w:rPr>
          <w:rFonts w:hint="eastAsia"/>
        </w:rPr>
        <w:t>条报告内</w:t>
      </w:r>
      <w:r>
        <w:t xml:space="preserve"> </w:t>
      </w:r>
      <w:r>
        <w:rPr>
          <w:rStyle w:val="FootnoteReference"/>
        </w:rPr>
        <w:footnoteReference w:id="42"/>
      </w:r>
      <w:r>
        <w:t xml:space="preserve"> </w:t>
      </w:r>
      <w:r>
        <w:rPr>
          <w:rFonts w:hint="eastAsia"/>
        </w:rPr>
        <w:t>。</w:t>
      </w:r>
    </w:p>
    <w:p w:rsidR="00000000" w:rsidRDefault="00000000">
      <w:r>
        <w:tab/>
        <w:t xml:space="preserve">171.  </w:t>
      </w:r>
      <w:r>
        <w:rPr>
          <w:rFonts w:hint="eastAsia"/>
        </w:rPr>
        <w:t>至于有关雇员工伤或职业病补偿计划的资料，则载录于下列有关国际劳工公约的报告内：</w:t>
      </w:r>
    </w:p>
    <w:p w:rsidR="00000000" w:rsidRDefault="00000000">
      <w:pPr>
        <w:pStyle w:val="a0"/>
        <w:numPr>
          <w:ilvl w:val="0"/>
          <w:numId w:val="10"/>
        </w:numPr>
        <w:ind w:left="1531" w:hanging="510"/>
      </w:pPr>
      <w:r>
        <w:rPr>
          <w:rFonts w:hint="eastAsia"/>
        </w:rPr>
        <w:t>就《工人</w:t>
      </w:r>
      <w:r>
        <w:t>(</w:t>
      </w:r>
      <w:r>
        <w:rPr>
          <w:rFonts w:hint="eastAsia"/>
        </w:rPr>
        <w:t>农业</w:t>
      </w:r>
      <w:r>
        <w:t>)</w:t>
      </w:r>
      <w:r>
        <w:rPr>
          <w:rFonts w:hint="eastAsia"/>
        </w:rPr>
        <w:t>赔偿公约》</w:t>
      </w:r>
      <w:r>
        <w:t>(</w:t>
      </w:r>
      <w:r>
        <w:rPr>
          <w:rFonts w:hint="eastAsia"/>
        </w:rPr>
        <w:t>第</w:t>
      </w:r>
      <w:r>
        <w:t>12</w:t>
      </w:r>
      <w:r>
        <w:rPr>
          <w:rFonts w:hint="eastAsia"/>
        </w:rPr>
        <w:t>号公约</w:t>
      </w:r>
      <w:r>
        <w:t>)</w:t>
      </w:r>
      <w:r>
        <w:rPr>
          <w:rFonts w:hint="eastAsia"/>
        </w:rPr>
        <w:t>提交有关一九八九年七月一日至一九九三年六月三十日期间的第</w:t>
      </w:r>
      <w:r>
        <w:t>22</w:t>
      </w:r>
      <w:r>
        <w:rPr>
          <w:rFonts w:hint="eastAsia"/>
        </w:rPr>
        <w:t>条报告；</w:t>
      </w:r>
    </w:p>
    <w:p w:rsidR="00000000" w:rsidRDefault="00000000">
      <w:pPr>
        <w:pStyle w:val="a0"/>
        <w:numPr>
          <w:ilvl w:val="0"/>
          <w:numId w:val="10"/>
        </w:numPr>
        <w:ind w:left="1531" w:hanging="510"/>
      </w:pPr>
      <w:r>
        <w:rPr>
          <w:rFonts w:hint="eastAsia"/>
        </w:rPr>
        <w:t>就《工人</w:t>
      </w:r>
      <w:r>
        <w:t>(</w:t>
      </w:r>
      <w:r>
        <w:rPr>
          <w:rFonts w:hint="eastAsia"/>
        </w:rPr>
        <w:t>事故</w:t>
      </w:r>
      <w:r>
        <w:t>)</w:t>
      </w:r>
      <w:r>
        <w:rPr>
          <w:rFonts w:hint="eastAsia"/>
        </w:rPr>
        <w:t>赔偿公约》</w:t>
      </w:r>
      <w:r>
        <w:t>(</w:t>
      </w:r>
      <w:r>
        <w:rPr>
          <w:rFonts w:hint="eastAsia"/>
        </w:rPr>
        <w:t>第</w:t>
      </w:r>
      <w:r>
        <w:t>17</w:t>
      </w:r>
      <w:r>
        <w:rPr>
          <w:rFonts w:hint="eastAsia"/>
        </w:rPr>
        <w:t>号公约</w:t>
      </w:r>
      <w:r>
        <w:t>)</w:t>
      </w:r>
      <w:r>
        <w:rPr>
          <w:rFonts w:hint="eastAsia"/>
        </w:rPr>
        <w:t>提交有关一九八九年七月一日至一九九三年六月三十日期间的第</w:t>
      </w:r>
      <w:r>
        <w:t>22</w:t>
      </w:r>
      <w:r>
        <w:rPr>
          <w:rFonts w:hint="eastAsia"/>
        </w:rPr>
        <w:t>条报告；及</w:t>
      </w:r>
    </w:p>
    <w:p w:rsidR="00000000" w:rsidRDefault="00000000">
      <w:pPr>
        <w:pStyle w:val="a0"/>
        <w:numPr>
          <w:ilvl w:val="0"/>
          <w:numId w:val="10"/>
        </w:numPr>
        <w:spacing w:after="320"/>
        <w:ind w:left="1531" w:hanging="510"/>
        <w:textAlignment w:val="center"/>
      </w:pPr>
      <w:r>
        <w:rPr>
          <w:rFonts w:hint="eastAsia"/>
        </w:rPr>
        <w:t>就《工人</w:t>
      </w:r>
      <w:r>
        <w:t>(</w:t>
      </w:r>
      <w:r>
        <w:rPr>
          <w:rFonts w:hint="eastAsia"/>
        </w:rPr>
        <w:t>职业病</w:t>
      </w:r>
      <w:r>
        <w:t>)</w:t>
      </w:r>
      <w:r>
        <w:rPr>
          <w:rFonts w:hint="eastAsia"/>
        </w:rPr>
        <w:t>赔偿公约</w:t>
      </w:r>
      <w:r>
        <w:t>(</w:t>
      </w:r>
      <w:r>
        <w:rPr>
          <w:rFonts w:hint="eastAsia"/>
        </w:rPr>
        <w:t>修订本</w:t>
      </w:r>
      <w:r>
        <w:t>)</w:t>
      </w:r>
      <w:r>
        <w:rPr>
          <w:rFonts w:hint="eastAsia"/>
        </w:rPr>
        <w:t>》</w:t>
      </w:r>
      <w:r>
        <w:t>(</w:t>
      </w:r>
      <w:r>
        <w:rPr>
          <w:rFonts w:hint="eastAsia"/>
        </w:rPr>
        <w:t>第</w:t>
      </w:r>
      <w:r>
        <w:t>42</w:t>
      </w:r>
      <w:r>
        <w:rPr>
          <w:rFonts w:hint="eastAsia"/>
        </w:rPr>
        <w:t>号公约</w:t>
      </w:r>
      <w:r>
        <w:t>)</w:t>
      </w:r>
      <w:r>
        <w:rPr>
          <w:rFonts w:hint="eastAsia"/>
        </w:rPr>
        <w:t>提交有关一九八九年七月一日至一九九三年六月三十日的第</w:t>
      </w:r>
      <w:r>
        <w:t>22</w:t>
      </w:r>
      <w:r>
        <w:rPr>
          <w:rFonts w:hint="eastAsia"/>
        </w:rPr>
        <w:t>条报告。</w:t>
      </w:r>
    </w:p>
    <w:p w:rsidR="00000000" w:rsidRDefault="00000000">
      <w:pPr>
        <w:pStyle w:val="Heading4"/>
      </w:pPr>
      <w:r>
        <w:rPr>
          <w:rFonts w:hint="eastAsia"/>
        </w:rPr>
        <w:t>雇员补偿</w:t>
      </w:r>
    </w:p>
    <w:p w:rsidR="00000000" w:rsidRDefault="00000000">
      <w:pPr>
        <w:spacing w:after="320"/>
        <w:textAlignment w:val="center"/>
      </w:pPr>
      <w:r>
        <w:tab/>
        <w:t xml:space="preserve">172.  </w:t>
      </w:r>
      <w:r>
        <w:rPr>
          <w:rFonts w:hint="eastAsia"/>
        </w:rPr>
        <w:t>《雇员补偿条例》</w:t>
      </w:r>
      <w:r>
        <w:t>(</w:t>
      </w:r>
      <w:r>
        <w:rPr>
          <w:rFonts w:hint="eastAsia"/>
        </w:rPr>
        <w:t>第</w:t>
      </w:r>
      <w:r>
        <w:t>282</w:t>
      </w:r>
      <w:r>
        <w:rPr>
          <w:rFonts w:hint="eastAsia"/>
        </w:rPr>
        <w:t>章</w:t>
      </w:r>
      <w:r>
        <w:t>)</w:t>
      </w:r>
      <w:r>
        <w:rPr>
          <w:rFonts w:hint="eastAsia"/>
        </w:rPr>
        <w:t>就雇员在受雇期间因工作遭遇意外，或因指明的职业病而导致身体受伤或死亡等事故，订明雇主和雇员的权利和责任，详情载于附件</w:t>
      </w:r>
      <w:r>
        <w:t>16</w:t>
      </w:r>
      <w:r>
        <w:rPr>
          <w:rFonts w:hint="eastAsia"/>
        </w:rPr>
        <w:t>。</w:t>
      </w:r>
    </w:p>
    <w:p w:rsidR="00000000" w:rsidRDefault="00000000">
      <w:pPr>
        <w:pStyle w:val="Heading4"/>
      </w:pPr>
      <w:r>
        <w:rPr>
          <w:u w:val="none"/>
        </w:rPr>
        <w:tab/>
      </w:r>
      <w:r>
        <w:rPr>
          <w:rFonts w:hint="eastAsia"/>
        </w:rPr>
        <w:t>雇员补偿援助基金</w:t>
      </w:r>
    </w:p>
    <w:p w:rsidR="00000000" w:rsidRDefault="00000000">
      <w:pPr>
        <w:spacing w:after="320"/>
        <w:textAlignment w:val="center"/>
      </w:pPr>
      <w:r>
        <w:tab/>
        <w:t xml:space="preserve">173.  </w:t>
      </w:r>
      <w:r>
        <w:rPr>
          <w:rFonts w:hint="eastAsia"/>
        </w:rPr>
        <w:t>雇员补偿援助基金是根据《雇员补偿援助条例》</w:t>
      </w:r>
      <w:r>
        <w:t>(</w:t>
      </w:r>
      <w:r>
        <w:rPr>
          <w:rFonts w:hint="eastAsia"/>
        </w:rPr>
        <w:t>第</w:t>
      </w:r>
      <w:r>
        <w:t>365</w:t>
      </w:r>
      <w:r>
        <w:rPr>
          <w:rFonts w:hint="eastAsia"/>
        </w:rPr>
        <w:t>章</w:t>
      </w:r>
      <w:r>
        <w:t>)</w:t>
      </w:r>
      <w:r>
        <w:rPr>
          <w:rFonts w:hint="eastAsia"/>
        </w:rPr>
        <w:t>设立的中央基金，为遭雇主拖欠补偿的受伤雇员或已故雇员的受养人，提供一个安全网。根据《雇员补偿条例》第</w:t>
      </w:r>
      <w:r>
        <w:t>40</w:t>
      </w:r>
      <w:r>
        <w:rPr>
          <w:rFonts w:hint="eastAsia"/>
        </w:rPr>
        <w:t>条，雇主必须为所有雇员投保。上述基金的经费来自对这项保险的征款。</w:t>
      </w:r>
    </w:p>
    <w:p w:rsidR="00000000" w:rsidRDefault="00000000">
      <w:pPr>
        <w:pStyle w:val="Heading4"/>
      </w:pPr>
      <w:r>
        <w:rPr>
          <w:u w:val="none"/>
        </w:rPr>
        <w:tab/>
      </w:r>
      <w:r>
        <w:rPr>
          <w:rFonts w:hint="eastAsia"/>
        </w:rPr>
        <w:t>肺尘埃沉着病补偿</w:t>
      </w:r>
    </w:p>
    <w:p w:rsidR="00000000" w:rsidRDefault="00000000">
      <w:r>
        <w:tab/>
        <w:t xml:space="preserve">174.  </w:t>
      </w:r>
      <w:r>
        <w:rPr>
          <w:rFonts w:hint="eastAsia"/>
        </w:rPr>
        <w:t>《肺尘埃沉着病</w:t>
      </w:r>
      <w:r>
        <w:t>(</w:t>
      </w:r>
      <w:r>
        <w:rPr>
          <w:rFonts w:hint="eastAsia"/>
        </w:rPr>
        <w:t>补偿</w:t>
      </w:r>
      <w:r>
        <w:t>)</w:t>
      </w:r>
      <w:r>
        <w:rPr>
          <w:rFonts w:hint="eastAsia"/>
        </w:rPr>
        <w:t>条例》</w:t>
      </w:r>
      <w:r>
        <w:t>(</w:t>
      </w:r>
      <w:r>
        <w:rPr>
          <w:rFonts w:hint="eastAsia"/>
        </w:rPr>
        <w:t>第</w:t>
      </w:r>
      <w:r>
        <w:t>360</w:t>
      </w:r>
      <w:r>
        <w:rPr>
          <w:rFonts w:hint="eastAsia"/>
        </w:rPr>
        <w:t>章</w:t>
      </w:r>
      <w:r>
        <w:t>)</w:t>
      </w:r>
      <w:r>
        <w:rPr>
          <w:rFonts w:hint="eastAsia"/>
        </w:rPr>
        <w:t>规定，因肺尘埃沉着病导致丧失工作能力的人士，每月可获补偿金，直至去世为止。至于肺尘埃沉着病死者的家人，则可申索一笔过的补偿。有关补偿条文详载于附件</w:t>
      </w:r>
      <w:r>
        <w:t>17</w:t>
      </w:r>
      <w:r>
        <w:rPr>
          <w:rFonts w:hint="eastAsia"/>
        </w:rPr>
        <w:t>。</w:t>
      </w:r>
    </w:p>
    <w:p w:rsidR="00000000" w:rsidRDefault="00000000">
      <w:pPr>
        <w:spacing w:after="320"/>
        <w:textAlignment w:val="center"/>
      </w:pPr>
      <w:r>
        <w:tab/>
        <w:t xml:space="preserve">175.  </w:t>
      </w:r>
      <w:r>
        <w:rPr>
          <w:rFonts w:hint="eastAsia"/>
        </w:rPr>
        <w:t>按上述条例领取补偿的人士，每两年可接受进一步的身体检查。如证实其丧失工作能力的程度有所增加，则每月的丧失工作能力补偿</w:t>
      </w:r>
      <w:r>
        <w:t>(</w:t>
      </w:r>
      <w:r>
        <w:rPr>
          <w:rFonts w:hint="eastAsia"/>
        </w:rPr>
        <w:t>见附件</w:t>
      </w:r>
      <w:r>
        <w:t>17 (a)</w:t>
      </w:r>
      <w:r>
        <w:rPr>
          <w:rFonts w:hint="eastAsia"/>
        </w:rPr>
        <w:t>段</w:t>
      </w:r>
      <w:r>
        <w:t>)</w:t>
      </w:r>
      <w:r>
        <w:rPr>
          <w:rFonts w:hint="eastAsia"/>
        </w:rPr>
        <w:t>便会相应调整。</w:t>
      </w:r>
    </w:p>
    <w:p w:rsidR="00000000" w:rsidRDefault="00000000">
      <w:pPr>
        <w:pStyle w:val="Heading4"/>
      </w:pPr>
      <w:r>
        <w:rPr>
          <w:u w:val="none"/>
        </w:rPr>
        <w:tab/>
      </w:r>
      <w:r>
        <w:rPr>
          <w:rFonts w:hint="eastAsia"/>
        </w:rPr>
        <w:t>职业性失聪补偿计划</w:t>
      </w:r>
    </w:p>
    <w:p w:rsidR="00000000" w:rsidRDefault="00000000">
      <w:r>
        <w:tab/>
        <w:t xml:space="preserve">176.  </w:t>
      </w:r>
      <w:r>
        <w:rPr>
          <w:rFonts w:hint="eastAsia"/>
        </w:rPr>
        <w:t>职业性失聪补偿计划根据《职业性失聪</w:t>
      </w:r>
      <w:r>
        <w:t>(</w:t>
      </w:r>
      <w:r>
        <w:rPr>
          <w:rFonts w:hint="eastAsia"/>
        </w:rPr>
        <w:t>补偿</w:t>
      </w:r>
      <w:r>
        <w:t>)</w:t>
      </w:r>
      <w:r>
        <w:rPr>
          <w:rFonts w:hint="eastAsia"/>
        </w:rPr>
        <w:t>条例》</w:t>
      </w:r>
      <w:r>
        <w:t>(</w:t>
      </w:r>
      <w:r>
        <w:rPr>
          <w:rFonts w:hint="eastAsia"/>
        </w:rPr>
        <w:t>第</w:t>
      </w:r>
      <w:r>
        <w:t>469</w:t>
      </w:r>
      <w:r>
        <w:rPr>
          <w:rFonts w:hint="eastAsia"/>
        </w:rPr>
        <w:t>章</w:t>
      </w:r>
      <w:r>
        <w:t>)</w:t>
      </w:r>
      <w:r>
        <w:rPr>
          <w:rFonts w:hint="eastAsia"/>
        </w:rPr>
        <w:t>设立，对因工作而罹患噪音所致的失聪人士作出补偿。该计划由职业性失聪补偿管理局管理，资金来自对雇员补偿保险费的征款。</w:t>
      </w:r>
    </w:p>
    <w:p w:rsidR="00000000" w:rsidRDefault="00000000">
      <w:pPr>
        <w:spacing w:after="160"/>
        <w:textAlignment w:val="center"/>
      </w:pPr>
      <w:r>
        <w:tab/>
        <w:t xml:space="preserve">177.  </w:t>
      </w:r>
      <w:r>
        <w:rPr>
          <w:rFonts w:hint="eastAsia"/>
        </w:rPr>
        <w:t>任何雇员如曾在香港从事的工作，属于上述条例附表</w:t>
      </w:r>
      <w:r>
        <w:t>3</w:t>
      </w:r>
      <w:r>
        <w:rPr>
          <w:rFonts w:hint="eastAsia"/>
        </w:rPr>
        <w:t>所界定为高噪音工作的</w:t>
      </w:r>
      <w:r>
        <w:t>25</w:t>
      </w:r>
      <w:r>
        <w:rPr>
          <w:rFonts w:hint="eastAsia"/>
        </w:rPr>
        <w:t>种行业之一，为期最少十年，便可申请补偿。雇员如曾从事订为噪音特高的</w:t>
      </w:r>
      <w:r>
        <w:t>4</w:t>
      </w:r>
      <w:r>
        <w:rPr>
          <w:rFonts w:hint="eastAsia"/>
        </w:rPr>
        <w:t>种行业之一，则只须受雇五年，便可获得补偿。不过，有关雇员仍须每边耳朵的听力损失最少为</w:t>
      </w:r>
      <w:r>
        <w:t>40</w:t>
      </w:r>
      <w:r>
        <w:rPr>
          <w:rFonts w:hint="eastAsia"/>
        </w:rPr>
        <w:t>分贝，才符合领取补偿的资格。补偿以一笔过的形式支付，金额视申索人提出申请时的年龄、每月收入</w:t>
      </w:r>
      <w:r>
        <w:t>(</w:t>
      </w:r>
      <w:r>
        <w:rPr>
          <w:rFonts w:hint="eastAsia"/>
        </w:rPr>
        <w:t>最高</w:t>
      </w:r>
      <w:r>
        <w:t>15,000</w:t>
      </w:r>
      <w:r>
        <w:rPr>
          <w:rFonts w:hint="eastAsia"/>
        </w:rPr>
        <w:t>港元</w:t>
      </w:r>
      <w:r>
        <w:t>)</w:t>
      </w:r>
      <w:r>
        <w:rPr>
          <w:rFonts w:hint="eastAsia"/>
        </w:rPr>
        <w:t>和永久丧失工作能力的程度</w:t>
      </w:r>
      <w:r>
        <w:t>(</w:t>
      </w:r>
      <w:r>
        <w:rPr>
          <w:rFonts w:hint="eastAsia"/>
        </w:rPr>
        <w:t>由</w:t>
      </w:r>
      <w:r>
        <w:t>1%</w:t>
      </w:r>
      <w:r>
        <w:rPr>
          <w:rFonts w:hint="eastAsia"/>
        </w:rPr>
        <w:t>至</w:t>
      </w:r>
      <w:r>
        <w:t>60%</w:t>
      </w:r>
      <w:r>
        <w:rPr>
          <w:rFonts w:hint="eastAsia"/>
        </w:rPr>
        <w:t>不等</w:t>
      </w:r>
      <w:r>
        <w:t>)</w:t>
      </w:r>
      <w:r>
        <w:rPr>
          <w:rFonts w:hint="eastAsia"/>
        </w:rPr>
        <w:t>而定。有关计算方法如下：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28"/>
        <w:gridCol w:w="5782"/>
      </w:tblGrid>
      <w:tr w:rsidR="00000000">
        <w:tblPrEx>
          <w:tblCellMar>
            <w:top w:w="0" w:type="dxa"/>
            <w:bottom w:w="0" w:type="dxa"/>
          </w:tblCellMar>
        </w:tblPrEx>
        <w:tc>
          <w:tcPr>
            <w:tcW w:w="3628" w:type="dxa"/>
          </w:tcPr>
          <w:p w:rsidR="00000000" w:rsidRDefault="00000000">
            <w:pPr>
              <w:spacing w:before="120"/>
              <w:ind w:left="57"/>
              <w:jc w:val="center"/>
              <w:rPr>
                <w:sz w:val="21"/>
              </w:rPr>
            </w:pPr>
            <w:r>
              <w:rPr>
                <w:rFonts w:hint="eastAsia"/>
                <w:sz w:val="21"/>
              </w:rPr>
              <w:t>年龄组别</w:t>
            </w:r>
          </w:p>
        </w:tc>
        <w:tc>
          <w:tcPr>
            <w:tcW w:w="5782" w:type="dxa"/>
          </w:tcPr>
          <w:p w:rsidR="00000000" w:rsidRDefault="00000000">
            <w:pPr>
              <w:spacing w:before="120"/>
              <w:ind w:left="57"/>
              <w:jc w:val="center"/>
              <w:rPr>
                <w:sz w:val="21"/>
              </w:rPr>
            </w:pPr>
            <w:r>
              <w:rPr>
                <w:rFonts w:hint="eastAsia"/>
                <w:sz w:val="21"/>
              </w:rPr>
              <w:t>补偿金额</w:t>
            </w:r>
          </w:p>
        </w:tc>
      </w:tr>
      <w:tr w:rsidR="00000000">
        <w:tblPrEx>
          <w:tblCellMar>
            <w:top w:w="0" w:type="dxa"/>
            <w:bottom w:w="0" w:type="dxa"/>
          </w:tblCellMar>
        </w:tblPrEx>
        <w:tc>
          <w:tcPr>
            <w:tcW w:w="3628" w:type="dxa"/>
          </w:tcPr>
          <w:p w:rsidR="00000000" w:rsidRDefault="00000000">
            <w:pPr>
              <w:spacing w:before="120"/>
              <w:ind w:left="57"/>
              <w:rPr>
                <w:sz w:val="21"/>
              </w:rPr>
            </w:pPr>
            <w:r>
              <w:rPr>
                <w:sz w:val="21"/>
              </w:rPr>
              <w:t>40</w:t>
            </w:r>
            <w:r>
              <w:rPr>
                <w:rFonts w:hint="eastAsia"/>
                <w:sz w:val="21"/>
              </w:rPr>
              <w:t>岁以下</w:t>
            </w:r>
          </w:p>
        </w:tc>
        <w:tc>
          <w:tcPr>
            <w:tcW w:w="5782" w:type="dxa"/>
          </w:tcPr>
          <w:p w:rsidR="00000000" w:rsidRDefault="00000000">
            <w:pPr>
              <w:spacing w:before="120"/>
              <w:ind w:left="57"/>
              <w:rPr>
                <w:sz w:val="21"/>
              </w:rPr>
            </w:pPr>
            <w:r>
              <w:rPr>
                <w:sz w:val="21"/>
              </w:rPr>
              <w:t>96</w:t>
            </w:r>
            <w:r>
              <w:rPr>
                <w:rFonts w:hint="eastAsia"/>
                <w:sz w:val="21"/>
              </w:rPr>
              <w:t>×每月入息×永久丧失工作能力百分率</w:t>
            </w:r>
          </w:p>
        </w:tc>
      </w:tr>
      <w:tr w:rsidR="00000000">
        <w:tblPrEx>
          <w:tblCellMar>
            <w:top w:w="0" w:type="dxa"/>
            <w:bottom w:w="0" w:type="dxa"/>
          </w:tblCellMar>
        </w:tblPrEx>
        <w:tc>
          <w:tcPr>
            <w:tcW w:w="3628" w:type="dxa"/>
          </w:tcPr>
          <w:p w:rsidR="00000000" w:rsidRDefault="00000000">
            <w:pPr>
              <w:spacing w:before="120"/>
              <w:ind w:left="57"/>
              <w:rPr>
                <w:sz w:val="21"/>
              </w:rPr>
            </w:pPr>
            <w:r>
              <w:rPr>
                <w:sz w:val="21"/>
              </w:rPr>
              <w:t>40</w:t>
            </w:r>
            <w:r>
              <w:rPr>
                <w:rFonts w:hint="eastAsia"/>
                <w:sz w:val="21"/>
              </w:rPr>
              <w:t>岁—</w:t>
            </w:r>
            <w:r>
              <w:rPr>
                <w:sz w:val="21"/>
              </w:rPr>
              <w:t>55</w:t>
            </w:r>
            <w:r>
              <w:rPr>
                <w:rFonts w:hint="eastAsia"/>
                <w:sz w:val="21"/>
              </w:rPr>
              <w:t>岁</w:t>
            </w:r>
          </w:p>
        </w:tc>
        <w:tc>
          <w:tcPr>
            <w:tcW w:w="5782" w:type="dxa"/>
          </w:tcPr>
          <w:p w:rsidR="00000000" w:rsidRDefault="00000000">
            <w:pPr>
              <w:spacing w:before="120"/>
              <w:ind w:left="57"/>
              <w:rPr>
                <w:sz w:val="21"/>
              </w:rPr>
            </w:pPr>
            <w:r>
              <w:rPr>
                <w:sz w:val="21"/>
              </w:rPr>
              <w:t>72</w:t>
            </w:r>
            <w:r>
              <w:rPr>
                <w:rFonts w:hint="eastAsia"/>
                <w:sz w:val="21"/>
              </w:rPr>
              <w:t>×每月入息×永久丧失工作能力百分率</w:t>
            </w:r>
          </w:p>
        </w:tc>
      </w:tr>
      <w:tr w:rsidR="00000000">
        <w:tblPrEx>
          <w:tblCellMar>
            <w:top w:w="0" w:type="dxa"/>
            <w:bottom w:w="0" w:type="dxa"/>
          </w:tblCellMar>
        </w:tblPrEx>
        <w:tc>
          <w:tcPr>
            <w:tcW w:w="3628" w:type="dxa"/>
          </w:tcPr>
          <w:p w:rsidR="00000000" w:rsidRDefault="00000000">
            <w:pPr>
              <w:spacing w:before="120"/>
              <w:ind w:left="57"/>
              <w:rPr>
                <w:sz w:val="21"/>
              </w:rPr>
            </w:pPr>
            <w:r>
              <w:rPr>
                <w:sz w:val="21"/>
              </w:rPr>
              <w:t>56</w:t>
            </w:r>
            <w:r>
              <w:rPr>
                <w:rFonts w:hint="eastAsia"/>
                <w:sz w:val="21"/>
              </w:rPr>
              <w:t>岁或以上</w:t>
            </w:r>
          </w:p>
        </w:tc>
        <w:tc>
          <w:tcPr>
            <w:tcW w:w="5782" w:type="dxa"/>
          </w:tcPr>
          <w:p w:rsidR="00000000" w:rsidRDefault="00000000">
            <w:pPr>
              <w:spacing w:before="120"/>
              <w:ind w:left="57"/>
              <w:rPr>
                <w:sz w:val="21"/>
              </w:rPr>
            </w:pPr>
            <w:r>
              <w:rPr>
                <w:sz w:val="21"/>
              </w:rPr>
              <w:t>48</w:t>
            </w:r>
            <w:r>
              <w:rPr>
                <w:rFonts w:hint="eastAsia"/>
                <w:sz w:val="21"/>
              </w:rPr>
              <w:t>×每月入息×永久丧失工作能力百分率</w:t>
            </w:r>
          </w:p>
        </w:tc>
      </w:tr>
    </w:tbl>
    <w:p w:rsidR="00000000" w:rsidRDefault="00000000">
      <w:pPr>
        <w:pStyle w:val="Heading4"/>
        <w:spacing w:before="320"/>
      </w:pPr>
      <w:r>
        <w:rPr>
          <w:rFonts w:hint="eastAsia"/>
        </w:rPr>
        <w:t>退休福利</w:t>
      </w:r>
    </w:p>
    <w:p w:rsidR="00000000" w:rsidRDefault="00000000">
      <w:r>
        <w:tab/>
        <w:t xml:space="preserve">178.  </w:t>
      </w:r>
      <w:r>
        <w:rPr>
          <w:rFonts w:hint="eastAsia"/>
        </w:rPr>
        <w:t>在上次报告审议结论第</w:t>
      </w:r>
      <w:r>
        <w:t>23</w:t>
      </w:r>
      <w:r>
        <w:rPr>
          <w:rFonts w:hint="eastAsia"/>
        </w:rPr>
        <w:t>段，委员会对于香港并无全面的强制性老年社会保障计划，且有接近</w:t>
      </w:r>
      <w:r>
        <w:t>60%</w:t>
      </w:r>
      <w:r>
        <w:rPr>
          <w:rFonts w:hint="eastAsia"/>
        </w:rPr>
        <w:t>的人口不受任何公营或私营退休金计划保障，表示深切关注。其实，政府亦一直关注这个问题，并已投入大量资源，以期寻求最佳的解决方法。</w:t>
      </w:r>
    </w:p>
    <w:p w:rsidR="00000000" w:rsidRDefault="00000000">
      <w:r>
        <w:tab/>
        <w:t xml:space="preserve">179.  </w:t>
      </w:r>
      <w:r>
        <w:rPr>
          <w:rFonts w:hint="eastAsia"/>
        </w:rPr>
        <w:t>过往，香港的退休计划全属自愿参与性质。一九九三年，政府制定了《职业退休计划条例》</w:t>
      </w:r>
      <w:r>
        <w:t>(</w:t>
      </w:r>
      <w:r>
        <w:rPr>
          <w:rFonts w:hint="eastAsia"/>
        </w:rPr>
        <w:t>第</w:t>
      </w:r>
      <w:r>
        <w:t>426</w:t>
      </w:r>
      <w:r>
        <w:rPr>
          <w:rFonts w:hint="eastAsia"/>
        </w:rPr>
        <w:t>章</w:t>
      </w:r>
      <w:r>
        <w:t>)</w:t>
      </w:r>
      <w:r>
        <w:rPr>
          <w:rFonts w:hint="eastAsia"/>
        </w:rPr>
        <w:t>，以确保这些计划有恰当的管理和供款安排，并向雇员提供更明确的保障，使他们于退休时可领取应得的福利。</w:t>
      </w:r>
    </w:p>
    <w:p w:rsidR="00000000" w:rsidRDefault="00000000">
      <w:r>
        <w:tab/>
        <w:t xml:space="preserve">180.  </w:t>
      </w:r>
      <w:r>
        <w:rPr>
          <w:rFonts w:hint="eastAsia"/>
        </w:rPr>
        <w:t>《职业退休计划条例》订明，除了获豁免的计划外</w:t>
      </w:r>
      <w:r>
        <w:t xml:space="preserve"> </w:t>
      </w:r>
      <w:r>
        <w:rPr>
          <w:rStyle w:val="FootnoteReference"/>
        </w:rPr>
        <w:footnoteReference w:id="43"/>
      </w:r>
      <w:r>
        <w:t xml:space="preserve"> </w:t>
      </w:r>
      <w:r>
        <w:rPr>
          <w:rFonts w:hint="eastAsia"/>
        </w:rPr>
        <w:t>，所有在香港或由香港运作的计划均须注册。截至一九九八年六月三十日为止，注册计划共有</w:t>
      </w:r>
      <w:r>
        <w:t>16,933</w:t>
      </w:r>
      <w:r>
        <w:rPr>
          <w:rFonts w:hint="eastAsia"/>
        </w:rPr>
        <w:t>个，受保障雇员约达</w:t>
      </w:r>
      <w:r>
        <w:t>885,395</w:t>
      </w:r>
      <w:r>
        <w:rPr>
          <w:rFonts w:hint="eastAsia"/>
        </w:rPr>
        <w:t>人。此外，另约有</w:t>
      </w:r>
      <w:r>
        <w:t>1,970</w:t>
      </w:r>
      <w:r>
        <w:rPr>
          <w:rFonts w:hint="eastAsia"/>
        </w:rPr>
        <w:t>个计划获得豁免注册。</w:t>
      </w:r>
    </w:p>
    <w:p w:rsidR="00000000" w:rsidRDefault="00000000">
      <w:r>
        <w:tab/>
        <w:t xml:space="preserve">181.  </w:t>
      </w:r>
      <w:r>
        <w:rPr>
          <w:rFonts w:hint="eastAsia"/>
        </w:rPr>
        <w:t>注册计划的资产，必须与有关雇主及计划管理人的资产分开，独立处理。每个注册计划最少须有一个独立受托人，而该独立受托人不得为雇主本身、该雇主的雇员，或与该雇主有关连的人。此外，计划资金不得借予雇主或与他有关连的人，亦不得在雇主的业务上作出过多投资</w:t>
      </w:r>
      <w:r>
        <w:t xml:space="preserve"> </w:t>
      </w:r>
      <w:r>
        <w:rPr>
          <w:rStyle w:val="FootnoteReference"/>
        </w:rPr>
        <w:footnoteReference w:id="44"/>
      </w:r>
      <w:r>
        <w:t xml:space="preserve"> </w:t>
      </w:r>
      <w:r>
        <w:rPr>
          <w:rFonts w:hint="eastAsia"/>
        </w:rPr>
        <w:t>。其他规定包括：独立核数；精算检讨</w:t>
      </w:r>
      <w:r>
        <w:t>(</w:t>
      </w:r>
      <w:r>
        <w:rPr>
          <w:rFonts w:hint="eastAsia"/>
        </w:rPr>
        <w:t>如属界定利益计划</w:t>
      </w:r>
      <w:r>
        <w:t xml:space="preserve"> </w:t>
      </w:r>
      <w:r>
        <w:rPr>
          <w:rStyle w:val="FootnoteReference"/>
        </w:rPr>
        <w:footnoteReference w:id="45"/>
      </w:r>
      <w:r>
        <w:t xml:space="preserve"> )</w:t>
      </w:r>
      <w:r>
        <w:rPr>
          <w:rFonts w:hint="eastAsia"/>
        </w:rPr>
        <w:t>；每年向职业退休计划注册处处长提交经审核的财务报表；以及向计划成员披露有关计划的运作资料。</w:t>
      </w:r>
    </w:p>
    <w:p w:rsidR="00000000" w:rsidRDefault="00000000">
      <w:pPr>
        <w:spacing w:after="320"/>
        <w:textAlignment w:val="center"/>
      </w:pPr>
      <w:r>
        <w:tab/>
        <w:t xml:space="preserve">182.  </w:t>
      </w:r>
      <w:r>
        <w:rPr>
          <w:rFonts w:hint="eastAsia"/>
        </w:rPr>
        <w:t>目前，约有</w:t>
      </w:r>
      <w:r>
        <w:t>890,000</w:t>
      </w:r>
      <w:r>
        <w:rPr>
          <w:rFonts w:hint="eastAsia"/>
        </w:rPr>
        <w:t>人参与该等计划，人数少于</w:t>
      </w:r>
      <w:r>
        <w:t>330</w:t>
      </w:r>
      <w:r>
        <w:rPr>
          <w:rFonts w:hint="eastAsia"/>
        </w:rPr>
        <w:t>万工作人口的三分之一。此外，香港的公务员和大部分教师均参与法定退休金计划，他们约占工作人口的</w:t>
      </w:r>
      <w:r>
        <w:t>5.5%</w:t>
      </w:r>
      <w:r>
        <w:rPr>
          <w:rFonts w:hint="eastAsia"/>
        </w:rPr>
        <w:t>。为了保障全体工作人口，我们确有需要制定一个正式的退休保障制度，这是无容置疑的。不过，香港各界却对退休保障制度的形式，一直争议不休。</w:t>
      </w:r>
    </w:p>
    <w:p w:rsidR="00000000" w:rsidRDefault="00000000">
      <w:pPr>
        <w:pStyle w:val="Heading4"/>
      </w:pPr>
      <w:r>
        <w:rPr>
          <w:rFonts w:hint="eastAsia"/>
        </w:rPr>
        <w:t>退休保障</w:t>
      </w:r>
    </w:p>
    <w:p w:rsidR="00000000" w:rsidRDefault="00000000">
      <w:r>
        <w:tab/>
        <w:t xml:space="preserve">183.  </w:t>
      </w:r>
      <w:r>
        <w:rPr>
          <w:rFonts w:hint="eastAsia"/>
        </w:rPr>
        <w:t>在七十年代和八十年代期间，大概是看到当时亚太区内一些国家已施行中央公积金制度，社会上不断有人要求政府采取同样的措施。不过，这种中央管理的基金，其管理者必然会采取保守的投资策略，以致利润回报往往不足以提供合理的退休福利，因而从来都不被认为适合香港。另一方面，国际复兴开发银行</w:t>
      </w:r>
      <w:r>
        <w:t>(</w:t>
      </w:r>
      <w:r>
        <w:rPr>
          <w:rFonts w:hint="eastAsia"/>
        </w:rPr>
        <w:t>即“世界银行”</w:t>
      </w:r>
      <w:r>
        <w:t>)</w:t>
      </w:r>
      <w:r>
        <w:rPr>
          <w:rFonts w:hint="eastAsia"/>
        </w:rPr>
        <w:t xml:space="preserve"> </w:t>
      </w:r>
      <w:r>
        <w:rPr>
          <w:rFonts w:hint="eastAsia"/>
        </w:rPr>
        <w:t>在</w:t>
      </w:r>
      <w:r>
        <w:t>1994</w:t>
      </w:r>
      <w:r>
        <w:rPr>
          <w:rFonts w:hint="eastAsia"/>
        </w:rPr>
        <w:t>年度报告</w:t>
      </w:r>
      <w:r>
        <w:t xml:space="preserve"> </w:t>
      </w:r>
      <w:r>
        <w:rPr>
          <w:rStyle w:val="FootnoteReference"/>
        </w:rPr>
        <w:footnoteReference w:id="46"/>
      </w:r>
      <w:r>
        <w:t xml:space="preserve"> </w:t>
      </w:r>
      <w:r>
        <w:rPr>
          <w:rFonts w:hint="eastAsia"/>
        </w:rPr>
        <w:t>内也提出了以下忧虑：</w:t>
      </w:r>
    </w:p>
    <w:p w:rsidR="00000000" w:rsidRDefault="00000000">
      <w:pPr>
        <w:spacing w:after="320"/>
        <w:ind w:left="1036"/>
        <w:textAlignment w:val="center"/>
      </w:pPr>
      <w:r>
        <w:tab/>
      </w:r>
      <w:r>
        <w:rPr>
          <w:rFonts w:hint="eastAsia"/>
        </w:rPr>
        <w:t>“由政府管理基金计划</w:t>
      </w:r>
      <w:r>
        <w:t>(</w:t>
      </w:r>
      <w:r>
        <w:rPr>
          <w:rFonts w:hint="eastAsia"/>
        </w:rPr>
        <w:t>如各种公积金</w:t>
      </w:r>
      <w:r>
        <w:t>)</w:t>
      </w:r>
      <w:r>
        <w:rPr>
          <w:rFonts w:hint="eastAsia"/>
        </w:rPr>
        <w:t>，实际上是对工作人口征收间接税……在这种制度下，政府得以控制国家的大部分金融资产，以致剥夺私营机构运用这些资金的机会，使经济增长受到压抑。”</w:t>
      </w:r>
    </w:p>
    <w:p w:rsidR="00000000" w:rsidRDefault="00000000">
      <w:pPr>
        <w:pStyle w:val="Heading4"/>
      </w:pPr>
      <w:r>
        <w:rPr>
          <w:rFonts w:hint="eastAsia"/>
        </w:rPr>
        <w:t>对非中央管理强制性退休保障制度的首次考虑</w:t>
      </w:r>
    </w:p>
    <w:p w:rsidR="00000000" w:rsidRDefault="00000000">
      <w:r>
        <w:tab/>
        <w:t xml:space="preserve">184.  </w:t>
      </w:r>
      <w:r>
        <w:rPr>
          <w:rFonts w:hint="eastAsia"/>
        </w:rPr>
        <w:t>一九九二年十月，政府发表了一份咨询文件，就强制供款形式的退休保障计划咨询公众意见。该项计划称为“全港推行的退休保障制度”，如果获得采纳，雇主和雇员便要强制性作出相同金额的供款，并按其选择供款予一家私营基金。市场上，这些基金的数量甚多，而且互相竞争顾客，可提供广泛的选择。供款金额方面，则定于劳资双方均可负担的水平，而且其所能作出的退休福利回报，亦须相当于大部分工作人口实质平均收入的</w:t>
      </w:r>
      <w:r>
        <w:t>40%</w:t>
      </w:r>
      <w:r>
        <w:rPr>
          <w:rFonts w:hint="eastAsia"/>
        </w:rPr>
        <w:t>。这样，雇员在在工作期间的实得工资不用大幅降低，又可在退休时得到一笔合理的款项，以应所需。</w:t>
      </w:r>
    </w:p>
    <w:p w:rsidR="00000000" w:rsidRDefault="00000000">
      <w:r>
        <w:tab/>
        <w:t xml:space="preserve">185.  </w:t>
      </w:r>
      <w:r>
        <w:rPr>
          <w:rFonts w:hint="eastAsia"/>
        </w:rPr>
        <w:t>不过，有人关注到，这方案会令很多工作人口得不到足够的退休保障。例如，行将退休人士只会得到很少退休保障，而已退休者更不能享受任何福利。而且，一些人会因长期失业等理由，未能保持供款，以致年届退休时，即使能获得应享福利，其金额也有所折减。此外，有人亦忧虑供款缺乏保障。</w:t>
      </w:r>
    </w:p>
    <w:p w:rsidR="00000000" w:rsidRDefault="00000000">
      <w:r>
        <w:tab/>
        <w:t xml:space="preserve">186.  </w:t>
      </w:r>
      <w:r>
        <w:rPr>
          <w:rFonts w:hint="eastAsia"/>
        </w:rPr>
        <w:t>政府大致上赞同世界银行的研究结果，认为由私营机构管理的强制性供款计划，可刺激资金累积，有利金融市场的发展，进而促进经济增长。不过，政府也注意到世界银行的警告。世界银行指出，虽然这种由私营机构管理的储蓄基金对发展资本市场有利，对劳工市场的扭曲最小，而且相对地不受政治操控；但是，这种制度却没有：</w:t>
      </w:r>
    </w:p>
    <w:p w:rsidR="00000000" w:rsidRDefault="00000000">
      <w:pPr>
        <w:ind w:left="1036"/>
      </w:pPr>
      <w:r>
        <w:tab/>
      </w:r>
      <w:r>
        <w:rPr>
          <w:rFonts w:hint="eastAsia"/>
        </w:rPr>
        <w:t>“纾解那些一生收入偏低人士的困苦，况且该批人士的谋生能力更会随着年老而下降。这制度也没有保障个人因选择了不适当的基金或整体经济出现衰退时所须面对的低回报风险。此外，这制度也没有处理长寿所带来的问题……”</w:t>
      </w:r>
    </w:p>
    <w:p w:rsidR="00000000" w:rsidRDefault="00000000">
      <w:pPr>
        <w:tabs>
          <w:tab w:val="left" w:pos="510"/>
          <w:tab w:val="left" w:pos="1021"/>
          <w:tab w:val="left" w:pos="1531"/>
          <w:tab w:val="left" w:pos="2041"/>
        </w:tabs>
      </w:pPr>
      <w:r>
        <w:tab/>
        <w:t xml:space="preserve">187.  </w:t>
      </w:r>
      <w:r>
        <w:rPr>
          <w:rFonts w:hint="eastAsia"/>
        </w:rPr>
        <w:t>因此，政府了解到单靠这样的计划实不足以解决问题。正如世界银行报告指出，真正妥善的退休保障制度必须建基于三条支柱，一条支柱并不足够。政府赞同世界银行的看法，认为私营而强制性的模式可提供最大的长远利益；不过，这种模式须辅以另外两条支柱：</w:t>
      </w:r>
    </w:p>
    <w:p w:rsidR="00000000" w:rsidRDefault="00000000">
      <w:pPr>
        <w:pStyle w:val="a0"/>
        <w:numPr>
          <w:ilvl w:val="0"/>
          <w:numId w:val="11"/>
        </w:numPr>
        <w:ind w:left="1531" w:hanging="510"/>
      </w:pPr>
      <w:r>
        <w:rPr>
          <w:rFonts w:hint="eastAsia"/>
        </w:rPr>
        <w:t>以税收提供一个安全网，用来纾缓老人困苦，并为低回报、经济衰退、通胀或私人市场崩溃等风险提供保障。在香港，综援和高龄津贴一直提供了安全网的保障；及</w:t>
      </w:r>
    </w:p>
    <w:p w:rsidR="00000000" w:rsidRDefault="00000000">
      <w:pPr>
        <w:pStyle w:val="a0"/>
        <w:numPr>
          <w:ilvl w:val="0"/>
          <w:numId w:val="11"/>
        </w:numPr>
        <w:spacing w:after="320"/>
        <w:ind w:left="1531" w:hanging="510"/>
        <w:textAlignment w:val="center"/>
      </w:pPr>
      <w:r>
        <w:rPr>
          <w:rFonts w:hint="eastAsia"/>
        </w:rPr>
        <w:t>为希望在老年时获得更多收入和保障的人士，设立自愿参与的职业或个人储蓄计划。</w:t>
      </w:r>
    </w:p>
    <w:p w:rsidR="00000000" w:rsidRDefault="00000000">
      <w:pPr>
        <w:pStyle w:val="Heading4"/>
      </w:pPr>
      <w:r>
        <w:rPr>
          <w:rFonts w:hint="eastAsia"/>
        </w:rPr>
        <w:t>老年退休金计划</w:t>
      </w:r>
    </w:p>
    <w:p w:rsidR="00000000" w:rsidRDefault="00000000">
      <w:r>
        <w:tab/>
        <w:t xml:space="preserve">188.  </w:t>
      </w:r>
      <w:r>
        <w:rPr>
          <w:rFonts w:hint="eastAsia"/>
        </w:rPr>
        <w:t>因应前述方案所收到的意见，政府于一九九四年七月就老年退休金计划发表一份咨询文件，征询市民的意见。根据该计划，长者可领取划一款额的老年退休金，而雇主和雇员均须作出强制性供款，供款率按其应评算供款收入计算。此外，政府亦会一次过提供一笔供款。该计划可为所有年满</w:t>
      </w:r>
      <w:r>
        <w:t>60</w:t>
      </w:r>
      <w:r>
        <w:rPr>
          <w:rFonts w:hint="eastAsia"/>
        </w:rPr>
        <w:t>岁的合资格居民</w:t>
      </w:r>
      <w:r>
        <w:t>(</w:t>
      </w:r>
      <w:r>
        <w:rPr>
          <w:rFonts w:hint="eastAsia"/>
        </w:rPr>
        <w:t>包括已退休人士</w:t>
      </w:r>
      <w:r>
        <w:t>)</w:t>
      </w:r>
      <w:r>
        <w:rPr>
          <w:rFonts w:hint="eastAsia"/>
        </w:rPr>
        <w:t>提供基本保障金。政府收到</w:t>
      </w:r>
      <w:r>
        <w:t>6,000</w:t>
      </w:r>
      <w:r>
        <w:rPr>
          <w:rFonts w:hint="eastAsia"/>
        </w:rPr>
        <w:t>多份意见书，但当中并无一致的意见。由于这计划缺乏明确的公众支持，政府认为不应推行。</w:t>
      </w:r>
    </w:p>
    <w:p w:rsidR="00000000" w:rsidRDefault="00000000">
      <w:r>
        <w:tab/>
        <w:t xml:space="preserve">189.  </w:t>
      </w:r>
      <w:r>
        <w:rPr>
          <w:rFonts w:hint="eastAsia"/>
        </w:rPr>
        <w:t>政府就该计划咨询市民的意见时，已留意到世界银行在其研究中所论及这种制度的缺点：</w:t>
      </w:r>
    </w:p>
    <w:p w:rsidR="00000000" w:rsidRDefault="00000000">
      <w:pPr>
        <w:pStyle w:val="a0"/>
        <w:numPr>
          <w:ilvl w:val="0"/>
          <w:numId w:val="12"/>
        </w:numPr>
        <w:ind w:left="1531" w:hanging="510"/>
      </w:pPr>
      <w:r>
        <w:rPr>
          <w:rFonts w:hint="eastAsia"/>
        </w:rPr>
        <w:t>当“随收随付”制度成为老年保障计划的主要形式，便会降低个人储蓄的意欲，因为这制度会增加市民对政府退休金的期望和依赖；</w:t>
      </w:r>
    </w:p>
    <w:p w:rsidR="00000000" w:rsidRDefault="00000000">
      <w:pPr>
        <w:pStyle w:val="a0"/>
        <w:numPr>
          <w:ilvl w:val="0"/>
          <w:numId w:val="12"/>
        </w:numPr>
        <w:ind w:left="1531" w:hanging="510"/>
      </w:pPr>
      <w:r>
        <w:rPr>
          <w:rFonts w:hint="eastAsia"/>
        </w:rPr>
        <w:t>这种制度费用庞大，令政府难以负担重要的服务及建设，造成“增长受压抑的后果”；及</w:t>
      </w:r>
    </w:p>
    <w:p w:rsidR="00000000" w:rsidRDefault="00000000">
      <w:pPr>
        <w:pStyle w:val="a0"/>
        <w:numPr>
          <w:ilvl w:val="0"/>
          <w:numId w:val="12"/>
        </w:numPr>
        <w:ind w:left="1531" w:hanging="510"/>
      </w:pPr>
      <w:r>
        <w:rPr>
          <w:rFonts w:hint="eastAsia"/>
        </w:rPr>
        <w:t>“最终来说，很多国家将难以负担这制度日益增加的费用。当政府不能按照承诺发放保障金时，单靠此保障维生的长者便无所依靠。因此，依靠政府拨款支持的单一制度会增加长者须面对的风险。”</w:t>
      </w:r>
    </w:p>
    <w:p w:rsidR="00000000" w:rsidRDefault="00000000">
      <w:pPr>
        <w:spacing w:after="320"/>
        <w:textAlignment w:val="center"/>
      </w:pPr>
      <w:r>
        <w:rPr>
          <w:rFonts w:hint="eastAsia"/>
        </w:rPr>
        <w:t>所以，即使这计划获得公众接纳，单靠这计划也不能提供足够的退休保障。</w:t>
      </w:r>
    </w:p>
    <w:p w:rsidR="00000000" w:rsidRDefault="00000000">
      <w:pPr>
        <w:pStyle w:val="Heading4"/>
      </w:pPr>
      <w:r>
        <w:rPr>
          <w:rFonts w:hint="eastAsia"/>
        </w:rPr>
        <w:t>对非中央管理强制性退休保障制度的第二次考虑</w:t>
      </w:r>
    </w:p>
    <w:p w:rsidR="00000000" w:rsidRDefault="00000000">
      <w:r>
        <w:tab/>
        <w:t xml:space="preserve">190.  </w:t>
      </w:r>
      <w:r>
        <w:rPr>
          <w:rFonts w:hint="eastAsia"/>
        </w:rPr>
        <w:t>根据老年退休金计划咨询工作所收到的意见显示，市民支持非中央管理的强制性供款退休保障制度。我们广泛与社会团体商讨时，也肯定该计划是获得大众支持的。据此，政府于一九九五年七月制定了《强制性公积金计划条例》</w:t>
      </w:r>
      <w:r>
        <w:t>(</w:t>
      </w:r>
      <w:r>
        <w:rPr>
          <w:rFonts w:hint="eastAsia"/>
        </w:rPr>
        <w:t>第</w:t>
      </w:r>
      <w:r>
        <w:t>485</w:t>
      </w:r>
      <w:r>
        <w:rPr>
          <w:rFonts w:hint="eastAsia"/>
        </w:rPr>
        <w:t>章</w:t>
      </w:r>
      <w:r>
        <w:t>)</w:t>
      </w:r>
      <w:r>
        <w:rPr>
          <w:rFonts w:hint="eastAsia"/>
        </w:rPr>
        <w:t>。</w:t>
      </w:r>
    </w:p>
    <w:p w:rsidR="00000000" w:rsidRDefault="00000000">
      <w:r>
        <w:tab/>
        <w:t xml:space="preserve">191.  </w:t>
      </w:r>
      <w:r>
        <w:rPr>
          <w:rFonts w:hint="eastAsia"/>
        </w:rPr>
        <w:t>该条例为由私营机构管理的退休保障制度提供了一个纲领。一九九八年年初，经咨询雇员和雇主代表、专业团体、退休计划业内人士和立法会后，政府修订了该条例，并制定了所需的附属法例，以便计划得以顺利施行。</w:t>
      </w:r>
    </w:p>
    <w:p w:rsidR="00000000" w:rsidRDefault="00000000">
      <w:r>
        <w:tab/>
        <w:t xml:space="preserve">192.  </w:t>
      </w:r>
      <w:r>
        <w:rPr>
          <w:rFonts w:hint="eastAsia"/>
        </w:rPr>
        <w:t>顾名思义，强制性公积金计划</w:t>
      </w:r>
      <w:r>
        <w:t>(</w:t>
      </w:r>
      <w:r>
        <w:rPr>
          <w:rFonts w:hint="eastAsia"/>
        </w:rPr>
        <w:t>强积金计划</w:t>
      </w:r>
      <w:r>
        <w:t>)</w:t>
      </w:r>
      <w:r>
        <w:rPr>
          <w:rFonts w:hint="eastAsia"/>
        </w:rPr>
        <w:t>是强制性的，因此，雇主和雇员</w:t>
      </w:r>
      <w:r>
        <w:t>(</w:t>
      </w:r>
      <w:r>
        <w:rPr>
          <w:rFonts w:hint="eastAsia"/>
        </w:rPr>
        <w:t>下文</w:t>
      </w:r>
      <w:r>
        <w:t>(b)</w:t>
      </w:r>
      <w:r>
        <w:rPr>
          <w:rFonts w:hint="eastAsia"/>
        </w:rPr>
        <w:t>段所述者除外</w:t>
      </w:r>
      <w:r>
        <w:t>)</w:t>
      </w:r>
      <w:r>
        <w:rPr>
          <w:rFonts w:hint="eastAsia"/>
        </w:rPr>
        <w:t>都必须向私营信托计划供款。这些计划由核准受托人管理；受托人须符合资本充裕程度、财政状况及其他资格的严格标准。计划成员退休时，便会收到相当于他们工作期间供款额，加上供款投资回报的福利金。至于已参加《职业退休计划条例》下某些现行计划的雇员，则毋须参加强积金计划。</w:t>
      </w:r>
    </w:p>
    <w:p w:rsidR="00000000" w:rsidRDefault="00000000">
      <w:r>
        <w:tab/>
        <w:t xml:space="preserve">193.  </w:t>
      </w:r>
      <w:r>
        <w:rPr>
          <w:rFonts w:hint="eastAsia"/>
        </w:rPr>
        <w:t>强积金的主要内容如下：</w:t>
      </w:r>
    </w:p>
    <w:p w:rsidR="00000000" w:rsidRDefault="00000000">
      <w:pPr>
        <w:pStyle w:val="a0"/>
        <w:numPr>
          <w:ilvl w:val="0"/>
          <w:numId w:val="13"/>
        </w:numPr>
        <w:ind w:left="1531" w:hanging="510"/>
      </w:pPr>
      <w:r>
        <w:rPr>
          <w:rFonts w:hint="eastAsia"/>
        </w:rPr>
        <w:t>雇主和雇员均须供款，金额是雇员每月现金收入的</w:t>
      </w:r>
      <w:r>
        <w:t>5%</w:t>
      </w:r>
      <w:r>
        <w:rPr>
          <w:rFonts w:hint="eastAsia"/>
        </w:rPr>
        <w:t>；</w:t>
      </w:r>
    </w:p>
    <w:p w:rsidR="00000000" w:rsidRDefault="00000000">
      <w:pPr>
        <w:pStyle w:val="a0"/>
        <w:numPr>
          <w:ilvl w:val="0"/>
          <w:numId w:val="13"/>
        </w:numPr>
        <w:ind w:left="1531" w:hanging="510"/>
      </w:pPr>
      <w:r>
        <w:rPr>
          <w:rFonts w:hint="eastAsia"/>
        </w:rPr>
        <w:t>每月收入低于</w:t>
      </w:r>
      <w:r>
        <w:t>4,000</w:t>
      </w:r>
      <w:r>
        <w:rPr>
          <w:rFonts w:hint="eastAsia"/>
        </w:rPr>
        <w:t>港元的雇员毋须供款，但他们亦可选择供款。无论雇员选择供款与否，雇主仍须替他们作出收入</w:t>
      </w:r>
      <w:r>
        <w:t>5%</w:t>
      </w:r>
      <w:r>
        <w:rPr>
          <w:rFonts w:hint="eastAsia"/>
        </w:rPr>
        <w:t>的供款。每月强制性供款上限是</w:t>
      </w:r>
      <w:r>
        <w:t>20,000</w:t>
      </w:r>
      <w:r>
        <w:rPr>
          <w:rFonts w:hint="eastAsia"/>
        </w:rPr>
        <w:t>港元现金收入的</w:t>
      </w:r>
      <w:r>
        <w:t>5%</w:t>
      </w:r>
      <w:r>
        <w:rPr>
          <w:rFonts w:hint="eastAsia"/>
        </w:rPr>
        <w:t>。至于雇员收入中超出该金额的部分，雇员可自行选择是否就该部分供款；</w:t>
      </w:r>
    </w:p>
    <w:p w:rsidR="00000000" w:rsidRDefault="00000000">
      <w:pPr>
        <w:pStyle w:val="a0"/>
        <w:numPr>
          <w:ilvl w:val="0"/>
          <w:numId w:val="13"/>
        </w:numPr>
        <w:ind w:left="1531" w:hanging="510"/>
      </w:pPr>
      <w:r>
        <w:rPr>
          <w:rFonts w:hint="eastAsia"/>
        </w:rPr>
        <w:t>整笔供款和累积权益归于计划成员名下。雇主如获得核准受托人同意，可将其供款所累积的权益，用作抵销须支付予雇员的长期服务金或遣散费；</w:t>
      </w:r>
    </w:p>
    <w:p w:rsidR="00000000" w:rsidRDefault="00000000">
      <w:pPr>
        <w:pStyle w:val="a0"/>
        <w:numPr>
          <w:ilvl w:val="0"/>
          <w:numId w:val="13"/>
        </w:numPr>
        <w:ind w:left="1531" w:hanging="510"/>
      </w:pPr>
      <w:r>
        <w:rPr>
          <w:rFonts w:hint="eastAsia"/>
        </w:rPr>
        <w:t>雇员转换工作时，可将他们的累积权益转入新计划</w:t>
      </w:r>
      <w:r>
        <w:t>(</w:t>
      </w:r>
      <w:r>
        <w:rPr>
          <w:rFonts w:hint="eastAsia"/>
        </w:rPr>
        <w:t>换言之，权益是完全“可随个人携带”的</w:t>
      </w:r>
      <w:r>
        <w:t>)</w:t>
      </w:r>
      <w:r>
        <w:rPr>
          <w:rFonts w:hint="eastAsia"/>
        </w:rPr>
        <w:t>；</w:t>
      </w:r>
    </w:p>
    <w:p w:rsidR="00000000" w:rsidRDefault="00000000">
      <w:pPr>
        <w:pStyle w:val="a0"/>
        <w:numPr>
          <w:ilvl w:val="0"/>
          <w:numId w:val="13"/>
        </w:numPr>
        <w:ind w:left="1531" w:hanging="510"/>
      </w:pPr>
      <w:r>
        <w:rPr>
          <w:rFonts w:hint="eastAsia"/>
        </w:rPr>
        <w:t>除因特别情况外</w:t>
      </w:r>
      <w:r>
        <w:t xml:space="preserve"> </w:t>
      </w:r>
      <w:r>
        <w:rPr>
          <w:rStyle w:val="FootnoteReference"/>
        </w:rPr>
        <w:footnoteReference w:id="47"/>
      </w:r>
      <w:r>
        <w:t xml:space="preserve"> </w:t>
      </w:r>
      <w:r>
        <w:rPr>
          <w:rFonts w:hint="eastAsia"/>
        </w:rPr>
        <w:t>累积权益会一直保留至计划成员达至退休年龄</w:t>
      </w:r>
      <w:r>
        <w:t>(</w:t>
      </w:r>
      <w:r>
        <w:rPr>
          <w:rFonts w:hint="eastAsia"/>
        </w:rPr>
        <w:t>即</w:t>
      </w:r>
      <w:r>
        <w:t>65</w:t>
      </w:r>
      <w:r>
        <w:rPr>
          <w:rFonts w:hint="eastAsia"/>
        </w:rPr>
        <w:t>岁</w:t>
      </w:r>
      <w:r>
        <w:t>)</w:t>
      </w:r>
      <w:r>
        <w:rPr>
          <w:rFonts w:hint="eastAsia"/>
        </w:rPr>
        <w:t>为止；及</w:t>
      </w:r>
    </w:p>
    <w:p w:rsidR="00000000" w:rsidRDefault="00000000">
      <w:pPr>
        <w:pStyle w:val="a0"/>
        <w:numPr>
          <w:ilvl w:val="0"/>
          <w:numId w:val="13"/>
        </w:numPr>
        <w:ind w:left="1531" w:hanging="510"/>
      </w:pPr>
      <w:r>
        <w:rPr>
          <w:rFonts w:hint="eastAsia"/>
        </w:rPr>
        <w:t>政府会采取措施，以保障计划下的资产，并会成立一个补偿基金。如果计划成员因核准受托人和</w:t>
      </w:r>
      <w:r>
        <w:t>/</w:t>
      </w:r>
      <w:r>
        <w:rPr>
          <w:rFonts w:hint="eastAsia"/>
        </w:rPr>
        <w:t>或其他管理人的失当或违法行为而蒙受损失，可向补偿基金申请补偿。</w:t>
      </w:r>
    </w:p>
    <w:p w:rsidR="00000000" w:rsidRDefault="00000000">
      <w:r>
        <w:tab/>
        <w:t xml:space="preserve">194.  </w:t>
      </w:r>
      <w:r>
        <w:rPr>
          <w:rFonts w:hint="eastAsia"/>
        </w:rPr>
        <w:t>在拟备本报告时，政府已经成立了强积金计划管理局，以便对核准受托人施以严谨的监管，并确保强积金计划能顺利运作。管理局和经营退休计划的公司正加紧进行所需的筹备工作，包括设计和发展电脑系统，以及展开宣传和公众教育活动等。我们的目标是尽可能及早实施这项计划。</w:t>
      </w:r>
    </w:p>
    <w:p w:rsidR="00000000" w:rsidRDefault="00000000">
      <w:r>
        <w:tab/>
        <w:t xml:space="preserve">195.  </w:t>
      </w:r>
      <w:r>
        <w:rPr>
          <w:rFonts w:hint="eastAsia"/>
        </w:rPr>
        <w:t>有论者指出，强积金计划并非一个理想的选择，因为它不保障家庭主妇、失业人士，以及已年届或已逾退休年龄的人士。同时，他们表示，计划开始推行时，并不能对那些将于数年内退休的人士提供充分保障。</w:t>
      </w:r>
    </w:p>
    <w:p w:rsidR="00000000" w:rsidRDefault="00000000">
      <w:pPr>
        <w:spacing w:after="320"/>
        <w:textAlignment w:val="center"/>
      </w:pPr>
      <w:r>
        <w:tab/>
        <w:t xml:space="preserve">196.  </w:t>
      </w:r>
      <w:r>
        <w:rPr>
          <w:rFonts w:hint="eastAsia"/>
        </w:rPr>
        <w:t>政府不同意这个说法，原因是上文第</w:t>
      </w:r>
      <w:r>
        <w:t>192</w:t>
      </w:r>
      <w:r>
        <w:rPr>
          <w:rFonts w:hint="eastAsia"/>
        </w:rPr>
        <w:t>至</w:t>
      </w:r>
      <w:r>
        <w:t>193</w:t>
      </w:r>
      <w:r>
        <w:rPr>
          <w:rFonts w:hint="eastAsia"/>
        </w:rPr>
        <w:t>段。成立强制性公积金后，香港便具备世界银行所提出的三条支柱，并由该三条支柱互相配合，以提供妥善的退休保障制度。</w:t>
      </w:r>
    </w:p>
    <w:p w:rsidR="00000000" w:rsidRDefault="00000000">
      <w:pPr>
        <w:pStyle w:val="Heading3"/>
      </w:pPr>
      <w:r>
        <w:rPr>
          <w:rFonts w:hint="eastAsia"/>
        </w:rPr>
        <w:t>第十条</w:t>
      </w:r>
      <w:r>
        <w:t xml:space="preserve">.  </w:t>
      </w:r>
      <w:r>
        <w:rPr>
          <w:rFonts w:hint="eastAsia"/>
        </w:rPr>
        <w:t>对家庭的保护</w:t>
      </w:r>
    </w:p>
    <w:p w:rsidR="00000000" w:rsidRDefault="00000000">
      <w:pPr>
        <w:spacing w:after="320"/>
        <w:textAlignment w:val="center"/>
      </w:pPr>
      <w:r>
        <w:tab/>
        <w:t xml:space="preserve">197.  </w:t>
      </w:r>
      <w:r>
        <w:rPr>
          <w:rFonts w:hint="eastAsia"/>
        </w:rPr>
        <w:t>《基本法》第三十七条订明，香港居民的婚姻自由和自愿生育的权利受法律保护</w:t>
      </w:r>
      <w:r>
        <w:t xml:space="preserve"> </w:t>
      </w:r>
      <w:r>
        <w:rPr>
          <w:rStyle w:val="FootnoteReference"/>
        </w:rPr>
        <w:footnoteReference w:id="48"/>
      </w:r>
      <w:r>
        <w:t xml:space="preserve"> </w:t>
      </w:r>
      <w:r>
        <w:rPr>
          <w:rFonts w:hint="eastAsia"/>
        </w:rPr>
        <w:t>。《人权法案》第十九条使《公民权利和政治权利国际公约》第二十三条的条文得以在香港实施。</w:t>
      </w:r>
    </w:p>
    <w:p w:rsidR="00000000" w:rsidRDefault="00000000">
      <w:pPr>
        <w:spacing w:after="320"/>
        <w:textAlignment w:val="center"/>
        <w:rPr>
          <w:kern w:val="0"/>
          <w:u w:val="single"/>
        </w:rPr>
      </w:pPr>
      <w:r>
        <w:br w:type="page"/>
      </w:r>
      <w:r>
        <w:rPr>
          <w:rFonts w:hint="eastAsia"/>
          <w:kern w:val="0"/>
          <w:u w:val="single"/>
        </w:rPr>
        <w:t>家</w:t>
      </w:r>
      <w:r>
        <w:rPr>
          <w:kern w:val="0"/>
          <w:u w:val="single"/>
        </w:rPr>
        <w:t xml:space="preserve">  </w:t>
      </w:r>
      <w:r>
        <w:rPr>
          <w:rFonts w:hint="eastAsia"/>
          <w:kern w:val="0"/>
          <w:u w:val="single"/>
        </w:rPr>
        <w:t>庭</w:t>
      </w:r>
    </w:p>
    <w:p w:rsidR="00000000" w:rsidRDefault="00000000">
      <w:r>
        <w:tab/>
        <w:t xml:space="preserve">198.  </w:t>
      </w:r>
      <w:r>
        <w:rPr>
          <w:rFonts w:hint="eastAsia"/>
        </w:rPr>
        <w:t>如上次报告第</w:t>
      </w:r>
      <w:r>
        <w:t>84</w:t>
      </w:r>
      <w:r>
        <w:rPr>
          <w:rFonts w:hint="eastAsia"/>
        </w:rPr>
        <w:t>段所述，一九九一年发表的《跨越九十年代香港社会福利白皮书》指出：</w:t>
      </w:r>
    </w:p>
    <w:p w:rsidR="00000000" w:rsidRDefault="00000000">
      <w:pPr>
        <w:ind w:left="1036"/>
      </w:pPr>
      <w:r>
        <w:tab/>
      </w:r>
      <w:r>
        <w:rPr>
          <w:rFonts w:hint="eastAsia"/>
        </w:rPr>
        <w:t>“家庭是社会的重要组成部分。它提供一个亲切的环境，使家庭成员在正常情况下获得照顾、支持和安全感，以培育儿童成为社会上健康、负责的一分子。在照顾老弱伤残和误入歧途的人士方面，家庭成员的关怀通常有助于促进他们的顺利康复。”</w:t>
      </w:r>
    </w:p>
    <w:p w:rsidR="00000000" w:rsidRDefault="00000000">
      <w:pPr>
        <w:spacing w:after="320"/>
        <w:textAlignment w:val="center"/>
      </w:pPr>
      <w:r>
        <w:rPr>
          <w:rFonts w:hint="eastAsia"/>
        </w:rPr>
        <w:t>该白皮书所着重的是家庭的功能和家庭对其成员的影响，而不是其存在的形式。</w:t>
      </w:r>
    </w:p>
    <w:p w:rsidR="00000000" w:rsidRDefault="00000000">
      <w:pPr>
        <w:pStyle w:val="Heading4"/>
        <w:rPr>
          <w:kern w:val="0"/>
        </w:rPr>
      </w:pPr>
      <w:r>
        <w:rPr>
          <w:rFonts w:hint="eastAsia"/>
          <w:kern w:val="0"/>
          <w:u w:val="none"/>
        </w:rPr>
        <w:t>“</w:t>
      </w:r>
      <w:r>
        <w:rPr>
          <w:rFonts w:hint="eastAsia"/>
          <w:kern w:val="0"/>
        </w:rPr>
        <w:t>家庭”的定义</w:t>
      </w:r>
    </w:p>
    <w:p w:rsidR="00000000" w:rsidRDefault="00000000">
      <w:pPr>
        <w:spacing w:after="320"/>
        <w:textAlignment w:val="center"/>
      </w:pPr>
      <w:r>
        <w:tab/>
        <w:t xml:space="preserve">199.  </w:t>
      </w:r>
      <w:r>
        <w:rPr>
          <w:rFonts w:hint="eastAsia"/>
        </w:rPr>
        <w:t>政府仍然沿用上次报告第</w:t>
      </w:r>
      <w:r>
        <w:t>85</w:t>
      </w:r>
      <w:r>
        <w:rPr>
          <w:rFonts w:hint="eastAsia"/>
        </w:rPr>
        <w:t>段所载定义：“家庭”是指有血缘和婚姻关系并起码包括两代的一群人；他们可能住在一起，或分开居住但保持良好的亲属关系。香港依然是以非扩展核心家庭和垂直扩展的核心家庭最为普遍。正如上次报告所述，非扩展核心家庭只包括一个“家庭核心”</w:t>
      </w:r>
      <w:r>
        <w:rPr>
          <w:rStyle w:val="FootnoteReference"/>
        </w:rPr>
        <w:footnoteReference w:id="49"/>
      </w:r>
      <w:r>
        <w:rPr>
          <w:rFonts w:hint="eastAsia"/>
        </w:rPr>
        <w:t>，</w:t>
      </w:r>
      <w:r>
        <w:t xml:space="preserve"> </w:t>
      </w:r>
      <w:r>
        <w:rPr>
          <w:rFonts w:hint="eastAsia"/>
        </w:rPr>
        <w:t>而没有其他亲属；垂直扩展的核心家庭则由一个家庭核心和一个或以上不属于同一代的亲人所组成。</w:t>
      </w:r>
    </w:p>
    <w:p w:rsidR="00000000" w:rsidRDefault="00000000">
      <w:pPr>
        <w:pStyle w:val="Heading4"/>
      </w:pPr>
      <w:r>
        <w:rPr>
          <w:u w:val="none"/>
        </w:rPr>
        <w:tab/>
      </w:r>
      <w:r>
        <w:rPr>
          <w:rFonts w:hint="eastAsia"/>
        </w:rPr>
        <w:t>非扩展核心家庭住户</w:t>
      </w:r>
    </w:p>
    <w:p w:rsidR="00000000" w:rsidRDefault="00000000">
      <w:pPr>
        <w:spacing w:after="320"/>
        <w:textAlignment w:val="center"/>
      </w:pPr>
      <w:r>
        <w:tab/>
        <w:t xml:space="preserve">200.  </w:t>
      </w:r>
      <w:r>
        <w:rPr>
          <w:rFonts w:hint="eastAsia"/>
        </w:rPr>
        <w:t>过去二十年间，非扩展核心家庭数目有所增加。根据一九九六年香港中期人口统计的数据，</w:t>
      </w:r>
      <w:r>
        <w:t>63.6%</w:t>
      </w:r>
      <w:r>
        <w:rPr>
          <w:rFonts w:hint="eastAsia"/>
        </w:rPr>
        <w:t>的香港家庭属非扩展核心家庭，家庭成员平均有</w:t>
      </w:r>
      <w:r>
        <w:t>3.5</w:t>
      </w:r>
      <w:r>
        <w:rPr>
          <w:rFonts w:hint="eastAsia"/>
        </w:rPr>
        <w:t>人。一九九一年的相应数字分别为</w:t>
      </w:r>
      <w:r>
        <w:t>61.6%</w:t>
      </w:r>
      <w:r>
        <w:rPr>
          <w:rFonts w:hint="eastAsia"/>
        </w:rPr>
        <w:t>及</w:t>
      </w:r>
      <w:r>
        <w:t>3.6</w:t>
      </w:r>
      <w:r>
        <w:rPr>
          <w:rFonts w:hint="eastAsia"/>
        </w:rPr>
        <w:t>人；一九八六年的相应数字分别为</w:t>
      </w:r>
      <w:r>
        <w:t>59.2%</w:t>
      </w:r>
      <w:r>
        <w:rPr>
          <w:rFonts w:hint="eastAsia"/>
        </w:rPr>
        <w:t>及</w:t>
      </w:r>
      <w:r>
        <w:t>3.8</w:t>
      </w:r>
      <w:r>
        <w:rPr>
          <w:rFonts w:hint="eastAsia"/>
        </w:rPr>
        <w:t>人；而一九八一年则为</w:t>
      </w:r>
      <w:r>
        <w:t>54.4%</w:t>
      </w:r>
      <w:r>
        <w:rPr>
          <w:rFonts w:hint="eastAsia"/>
        </w:rPr>
        <w:t>及</w:t>
      </w:r>
      <w:r>
        <w:t>4.1</w:t>
      </w:r>
      <w:r>
        <w:rPr>
          <w:rFonts w:hint="eastAsia"/>
        </w:rPr>
        <w:t>人。扩展家庭各成员之间的家庭维系、互相照顾和支持的功能已日渐减弱；由于没有这些支持，越来越多低收入的父母须得到社会服务的支援，才能抽身投入全职工作。自委员会审议上次报告至今的两年间，家庭支援服务、幼儿服务、社会保障福利和房屋援助的需求不断增加。</w:t>
      </w:r>
    </w:p>
    <w:p w:rsidR="00000000" w:rsidRDefault="00000000">
      <w:pPr>
        <w:pStyle w:val="Heading4"/>
      </w:pPr>
      <w:r>
        <w:rPr>
          <w:rFonts w:hint="eastAsia"/>
        </w:rPr>
        <w:t>单亲家庭和分离家庭</w:t>
      </w:r>
    </w:p>
    <w:p w:rsidR="00000000" w:rsidRDefault="00000000">
      <w:pPr>
        <w:spacing w:after="160"/>
        <w:textAlignment w:val="center"/>
      </w:pPr>
      <w:r>
        <w:tab/>
        <w:t xml:space="preserve">201.  </w:t>
      </w:r>
      <w:r>
        <w:rPr>
          <w:rFonts w:hint="eastAsia"/>
        </w:rPr>
        <w:t>根据一九九六年中期人口统计的数据显示，香港共有</w:t>
      </w:r>
      <w:r>
        <w:t>42,309</w:t>
      </w:r>
      <w:r>
        <w:rPr>
          <w:rFonts w:hint="eastAsia"/>
        </w:rPr>
        <w:t>名单身家长，其中</w:t>
      </w:r>
      <w:r>
        <w:t>30,402</w:t>
      </w:r>
      <w:r>
        <w:rPr>
          <w:rFonts w:hint="eastAsia"/>
        </w:rPr>
        <w:t>人</w:t>
      </w:r>
      <w:r>
        <w:t>(71.9%)</w:t>
      </w:r>
      <w:r>
        <w:rPr>
          <w:rFonts w:hint="eastAsia"/>
        </w:rPr>
        <w:t>为单身母亲，</w:t>
      </w:r>
      <w:r>
        <w:t>11.907</w:t>
      </w:r>
      <w:r>
        <w:rPr>
          <w:rFonts w:hint="eastAsia"/>
        </w:rPr>
        <w:t>人</w:t>
      </w:r>
      <w:r>
        <w:t>(28.1%)</w:t>
      </w:r>
      <w:r>
        <w:rPr>
          <w:rFonts w:hint="eastAsia"/>
        </w:rPr>
        <w:t>为单身父亲。一九八六及一九九一年的相应数字分别为：</w:t>
      </w:r>
    </w:p>
    <w:tbl>
      <w:tblPr>
        <w:tblW w:w="0" w:type="auto"/>
        <w:tblInd w:w="-26" w:type="dxa"/>
        <w:tblLayout w:type="fixed"/>
        <w:tblCellMar>
          <w:left w:w="28" w:type="dxa"/>
          <w:right w:w="28" w:type="dxa"/>
        </w:tblCellMar>
        <w:tblLook w:val="0000" w:firstRow="0" w:lastRow="0" w:firstColumn="0" w:lastColumn="0" w:noHBand="0" w:noVBand="0"/>
      </w:tblPr>
      <w:tblGrid>
        <w:gridCol w:w="1828"/>
        <w:gridCol w:w="2527"/>
        <w:gridCol w:w="2527"/>
        <w:gridCol w:w="2527"/>
      </w:tblGrid>
      <w:tr w:rsidR="00000000">
        <w:tblPrEx>
          <w:tblCellMar>
            <w:top w:w="0" w:type="dxa"/>
            <w:bottom w:w="0" w:type="dxa"/>
          </w:tblCellMar>
        </w:tblPrEx>
        <w:tc>
          <w:tcPr>
            <w:tcW w:w="1828" w:type="dxa"/>
          </w:tcPr>
          <w:p w:rsidR="00000000" w:rsidRDefault="00000000">
            <w:pPr>
              <w:spacing w:after="120"/>
              <w:jc w:val="center"/>
              <w:rPr>
                <w:u w:val="single"/>
              </w:rPr>
            </w:pPr>
            <w:r>
              <w:rPr>
                <w:rFonts w:hint="eastAsia"/>
                <w:u w:val="single"/>
              </w:rPr>
              <w:t>年</w:t>
            </w:r>
            <w:r>
              <w:rPr>
                <w:u w:val="single"/>
              </w:rPr>
              <w:t xml:space="preserve">  </w:t>
            </w:r>
            <w:r>
              <w:rPr>
                <w:rFonts w:hint="eastAsia"/>
                <w:u w:val="single"/>
              </w:rPr>
              <w:t>份</w:t>
            </w:r>
          </w:p>
        </w:tc>
        <w:tc>
          <w:tcPr>
            <w:tcW w:w="2527" w:type="dxa"/>
          </w:tcPr>
          <w:p w:rsidR="00000000" w:rsidRDefault="00000000">
            <w:pPr>
              <w:spacing w:after="120"/>
              <w:jc w:val="center"/>
              <w:rPr>
                <w:u w:val="single"/>
              </w:rPr>
            </w:pPr>
            <w:r>
              <w:rPr>
                <w:rFonts w:hint="eastAsia"/>
                <w:u w:val="single"/>
              </w:rPr>
              <w:t>单身母亲</w:t>
            </w:r>
          </w:p>
        </w:tc>
        <w:tc>
          <w:tcPr>
            <w:tcW w:w="2527" w:type="dxa"/>
          </w:tcPr>
          <w:p w:rsidR="00000000" w:rsidRDefault="00000000">
            <w:pPr>
              <w:spacing w:after="120"/>
              <w:jc w:val="center"/>
              <w:rPr>
                <w:u w:val="single"/>
              </w:rPr>
            </w:pPr>
            <w:r>
              <w:rPr>
                <w:rFonts w:hint="eastAsia"/>
                <w:u w:val="single"/>
              </w:rPr>
              <w:t>单身父亲</w:t>
            </w:r>
          </w:p>
        </w:tc>
        <w:tc>
          <w:tcPr>
            <w:tcW w:w="2527" w:type="dxa"/>
          </w:tcPr>
          <w:p w:rsidR="00000000" w:rsidRDefault="00000000">
            <w:pPr>
              <w:spacing w:after="120"/>
              <w:jc w:val="center"/>
              <w:rPr>
                <w:u w:val="single"/>
              </w:rPr>
            </w:pPr>
            <w:r>
              <w:rPr>
                <w:rFonts w:hint="eastAsia"/>
                <w:u w:val="single"/>
              </w:rPr>
              <w:t>总</w:t>
            </w:r>
            <w:r>
              <w:rPr>
                <w:u w:val="single"/>
              </w:rPr>
              <w:t xml:space="preserve">  </w:t>
            </w:r>
            <w:r>
              <w:rPr>
                <w:rFonts w:hint="eastAsia"/>
                <w:u w:val="single"/>
              </w:rPr>
              <w:t>数</w:t>
            </w:r>
          </w:p>
        </w:tc>
      </w:tr>
      <w:tr w:rsidR="00000000">
        <w:tblPrEx>
          <w:tblCellMar>
            <w:top w:w="0" w:type="dxa"/>
            <w:bottom w:w="0" w:type="dxa"/>
          </w:tblCellMar>
        </w:tblPrEx>
        <w:tc>
          <w:tcPr>
            <w:tcW w:w="1828" w:type="dxa"/>
          </w:tcPr>
          <w:p w:rsidR="00000000" w:rsidRDefault="00000000">
            <w:pPr>
              <w:jc w:val="center"/>
            </w:pPr>
            <w:r>
              <w:t>1986</w:t>
            </w:r>
            <w:r>
              <w:rPr>
                <w:rFonts w:hint="eastAsia"/>
              </w:rPr>
              <w:t>年</w:t>
            </w:r>
          </w:p>
        </w:tc>
        <w:tc>
          <w:tcPr>
            <w:tcW w:w="2527" w:type="dxa"/>
          </w:tcPr>
          <w:p w:rsidR="00000000" w:rsidRDefault="00000000">
            <w:pPr>
              <w:jc w:val="center"/>
            </w:pPr>
            <w:r>
              <w:t>24,149</w:t>
            </w:r>
            <w:r>
              <w:rPr>
                <w:rFonts w:hint="eastAsia"/>
              </w:rPr>
              <w:t>人</w:t>
            </w:r>
            <w:r>
              <w:t>(65.9%)</w:t>
            </w:r>
          </w:p>
        </w:tc>
        <w:tc>
          <w:tcPr>
            <w:tcW w:w="2527" w:type="dxa"/>
          </w:tcPr>
          <w:p w:rsidR="00000000" w:rsidRDefault="00000000">
            <w:pPr>
              <w:jc w:val="center"/>
            </w:pPr>
            <w:r>
              <w:t>12,504</w:t>
            </w:r>
            <w:r>
              <w:rPr>
                <w:rFonts w:hint="eastAsia"/>
              </w:rPr>
              <w:t>人</w:t>
            </w:r>
            <w:r>
              <w:t>(34.1%)</w:t>
            </w:r>
          </w:p>
        </w:tc>
        <w:tc>
          <w:tcPr>
            <w:tcW w:w="2527" w:type="dxa"/>
          </w:tcPr>
          <w:p w:rsidR="00000000" w:rsidRDefault="00000000">
            <w:pPr>
              <w:jc w:val="center"/>
            </w:pPr>
            <w:r>
              <w:t>36,653</w:t>
            </w:r>
            <w:r>
              <w:rPr>
                <w:rFonts w:hint="eastAsia"/>
              </w:rPr>
              <w:t>人</w:t>
            </w:r>
            <w:r>
              <w:t>(100%)</w:t>
            </w:r>
          </w:p>
        </w:tc>
      </w:tr>
      <w:tr w:rsidR="00000000">
        <w:tblPrEx>
          <w:tblCellMar>
            <w:top w:w="0" w:type="dxa"/>
            <w:bottom w:w="0" w:type="dxa"/>
          </w:tblCellMar>
        </w:tblPrEx>
        <w:tc>
          <w:tcPr>
            <w:tcW w:w="1828" w:type="dxa"/>
          </w:tcPr>
          <w:p w:rsidR="00000000" w:rsidRDefault="00000000">
            <w:pPr>
              <w:jc w:val="center"/>
            </w:pPr>
            <w:r>
              <w:t>1991</w:t>
            </w:r>
            <w:r>
              <w:rPr>
                <w:rFonts w:hint="eastAsia"/>
              </w:rPr>
              <w:t>年</w:t>
            </w:r>
          </w:p>
        </w:tc>
        <w:tc>
          <w:tcPr>
            <w:tcW w:w="2527" w:type="dxa"/>
          </w:tcPr>
          <w:p w:rsidR="00000000" w:rsidRDefault="00000000">
            <w:pPr>
              <w:jc w:val="center"/>
            </w:pPr>
            <w:r>
              <w:t>23,059</w:t>
            </w:r>
            <w:r>
              <w:rPr>
                <w:rFonts w:hint="eastAsia"/>
              </w:rPr>
              <w:t>人</w:t>
            </w:r>
            <w:r>
              <w:t>(66.8%)</w:t>
            </w:r>
          </w:p>
        </w:tc>
        <w:tc>
          <w:tcPr>
            <w:tcW w:w="2527" w:type="dxa"/>
          </w:tcPr>
          <w:p w:rsidR="00000000" w:rsidRDefault="00000000">
            <w:pPr>
              <w:jc w:val="center"/>
            </w:pPr>
            <w:r>
              <w:t>11,479</w:t>
            </w:r>
            <w:r>
              <w:rPr>
                <w:rFonts w:hint="eastAsia"/>
              </w:rPr>
              <w:t>人</w:t>
            </w:r>
            <w:r>
              <w:t>(33.2%)</w:t>
            </w:r>
          </w:p>
        </w:tc>
        <w:tc>
          <w:tcPr>
            <w:tcW w:w="2527" w:type="dxa"/>
          </w:tcPr>
          <w:p w:rsidR="00000000" w:rsidRDefault="00000000">
            <w:pPr>
              <w:jc w:val="center"/>
            </w:pPr>
            <w:r>
              <w:t>34,538</w:t>
            </w:r>
            <w:r>
              <w:rPr>
                <w:rFonts w:hint="eastAsia"/>
              </w:rPr>
              <w:t>人</w:t>
            </w:r>
            <w:r>
              <w:t>(100%)</w:t>
            </w:r>
          </w:p>
        </w:tc>
      </w:tr>
    </w:tbl>
    <w:p w:rsidR="00000000" w:rsidRDefault="00000000">
      <w:pPr>
        <w:spacing w:before="240"/>
      </w:pPr>
      <w:r>
        <w:tab/>
        <w:t xml:space="preserve">202.  </w:t>
      </w:r>
      <w:r>
        <w:rPr>
          <w:rFonts w:hint="eastAsia"/>
        </w:rPr>
        <w:t>大部分单身家长的年龄介乎</w:t>
      </w:r>
      <w:r>
        <w:t>30</w:t>
      </w:r>
      <w:r>
        <w:rPr>
          <w:rFonts w:hint="eastAsia"/>
        </w:rPr>
        <w:t>至</w:t>
      </w:r>
      <w:r>
        <w:t>49</w:t>
      </w:r>
      <w:r>
        <w:rPr>
          <w:rFonts w:hint="eastAsia"/>
        </w:rPr>
        <w:t>岁，与一名或两名子女同住。他们当中约有</w:t>
      </w:r>
      <w:r>
        <w:t>66.3%</w:t>
      </w:r>
      <w:r>
        <w:rPr>
          <w:rFonts w:hint="eastAsia"/>
        </w:rPr>
        <w:t>是受薪雇员，其余分别是全职料理家务者、退休人士或非受雇人士。在没有配偶的支援下，单身家长往往需要经济和房屋援助、幼儿服务、家务助理、辅导等服务，以及临时庇护和情绪上的支援。</w:t>
      </w:r>
    </w:p>
    <w:p w:rsidR="00000000" w:rsidRDefault="00000000">
      <w:r>
        <w:tab/>
        <w:t xml:space="preserve">203.  </w:t>
      </w:r>
      <w:r>
        <w:rPr>
          <w:rFonts w:hint="eastAsia"/>
        </w:rPr>
        <w:t>因此，单亲家庭数目不断增加。低收入家庭的困境仍备受关注，而离婚率急升，依然是市民所最关注的问题。社会价值观、妇女的社会经济地位和角色的改变是导致离婚率急升的主要原因。在一九九七年，共有</w:t>
      </w:r>
      <w:r>
        <w:t>14,482</w:t>
      </w:r>
      <w:r>
        <w:rPr>
          <w:rFonts w:hint="eastAsia"/>
        </w:rPr>
        <w:t>宗离婚申请，而在一九八七年则只有</w:t>
      </w:r>
      <w:r>
        <w:t>5,747</w:t>
      </w:r>
      <w:r>
        <w:rPr>
          <w:rFonts w:hint="eastAsia"/>
        </w:rPr>
        <w:t>宗。</w:t>
      </w:r>
    </w:p>
    <w:p w:rsidR="00000000" w:rsidRDefault="00000000">
      <w:pPr>
        <w:spacing w:after="320"/>
        <w:textAlignment w:val="center"/>
      </w:pPr>
      <w:r>
        <w:tab/>
        <w:t xml:space="preserve">204.  </w:t>
      </w:r>
      <w:r>
        <w:rPr>
          <w:rFonts w:hint="eastAsia"/>
        </w:rPr>
        <w:t>这些单亲家庭的户主通常是已离婚或分居的父母，并与未满</w:t>
      </w:r>
      <w:r>
        <w:t>18</w:t>
      </w:r>
      <w:r>
        <w:rPr>
          <w:rFonts w:hint="eastAsia"/>
        </w:rPr>
        <w:t>岁的子女同住。他们的子女可优先享用政府和资助幼儿服务，而单身家长则可获得其他形式的公共援助，如房屋和经济方面的援助。新近分居或离婚的单身家长如果无法继续在婚姻居所居住，便有资格申请体恤安置。身为妻子的一方如果遇到这些情况，也可申请暂时入住收容所。截至一九九八年六月三十日为止，社会福利署共为</w:t>
      </w:r>
      <w:r>
        <w:t>416</w:t>
      </w:r>
      <w:r>
        <w:rPr>
          <w:rFonts w:hint="eastAsia"/>
        </w:rPr>
        <w:t>个分离家庭提供个案工作服务，当中涉及约</w:t>
      </w:r>
      <w:r>
        <w:t>747</w:t>
      </w:r>
      <w:r>
        <w:rPr>
          <w:rFonts w:hint="eastAsia"/>
        </w:rPr>
        <w:t>名儿童，因母亲没有香港居留权以致与母亲分隔两地。</w:t>
      </w:r>
    </w:p>
    <w:p w:rsidR="00000000" w:rsidRDefault="00000000">
      <w:pPr>
        <w:pStyle w:val="Heading4"/>
      </w:pPr>
      <w:r>
        <w:rPr>
          <w:rFonts w:hint="eastAsia"/>
        </w:rPr>
        <w:t>内地新来港定居人士</w:t>
      </w:r>
    </w:p>
    <w:p w:rsidR="00000000" w:rsidRDefault="00000000">
      <w:r>
        <w:tab/>
        <w:t xml:space="preserve">205.  </w:t>
      </w:r>
      <w:r>
        <w:rPr>
          <w:rFonts w:hint="eastAsia"/>
        </w:rPr>
        <w:t>如上次报告第</w:t>
      </w:r>
      <w:r>
        <w:t>89</w:t>
      </w:r>
      <w:r>
        <w:rPr>
          <w:rFonts w:hint="eastAsia"/>
        </w:rPr>
        <w:t>至</w:t>
      </w:r>
      <w:r>
        <w:t>98</w:t>
      </w:r>
      <w:r>
        <w:rPr>
          <w:rFonts w:hint="eastAsia"/>
        </w:rPr>
        <w:t>段所述，香港的移民主要来自中国内地，其中逾九成是来港与家人团聚的。根据现时实施的配额制度，每日可以从内地移居香港的人数为</w:t>
      </w:r>
      <w:r>
        <w:t>150</w:t>
      </w:r>
      <w:r>
        <w:rPr>
          <w:rFonts w:hint="eastAsia"/>
        </w:rPr>
        <w:t>人。实施配额制度，旨在确保来港定居的人数，是香港的资源可以应付得来的。然而，由于要求来港定居的人数众多，因此，有些人未必能够举家同时获内地主管当局发给所需的出境许可证，“分离家庭”问题由此而生。“分离家庭”的产生，主要因为港人在内地娶妻所致。这些港人妻子若要来港，便必须根据“配额制度”提出申请，而他们又生儿育女，以致轮候来港人数进一步增加。</w:t>
      </w:r>
    </w:p>
    <w:p w:rsidR="00000000" w:rsidRDefault="00000000">
      <w:r>
        <w:tab/>
        <w:t xml:space="preserve">206.  </w:t>
      </w:r>
      <w:r>
        <w:rPr>
          <w:rFonts w:hint="eastAsia"/>
        </w:rPr>
        <w:t>为使这些内地家庭成员加快来港与家人团聚，当局特别从每日的</w:t>
      </w:r>
      <w:r>
        <w:t>150</w:t>
      </w:r>
      <w:r>
        <w:rPr>
          <w:rFonts w:hint="eastAsia"/>
        </w:rPr>
        <w:t>个配额中拨出</w:t>
      </w:r>
      <w:r>
        <w:t>48</w:t>
      </w:r>
      <w:r>
        <w:rPr>
          <w:rFonts w:hint="eastAsia"/>
        </w:rPr>
        <w:t>个，让港人的内地妻子带一名</w:t>
      </w:r>
      <w:r>
        <w:t>14</w:t>
      </w:r>
      <w:r>
        <w:rPr>
          <w:rFonts w:hint="eastAsia"/>
        </w:rPr>
        <w:t>岁以下的子女一同来港定居。然而，一些家庭仍继续安排子女偷渡来港。当这些儿童一旦被发现，便会遭遣返内地。正如上次报告所述，有论者认为此举不近人情，但为了对那些依次轮候来港的人士公平起见，也为了使来港定居的人数维持在我们可以应付的水平，和确保他们可以有秩序地来港定居，我们除了把偷渡来港的儿童遣返之外，实在别无他法。</w:t>
      </w:r>
    </w:p>
    <w:p w:rsidR="00000000" w:rsidRDefault="00000000">
      <w:r>
        <w:tab/>
        <w:t xml:space="preserve">207.  </w:t>
      </w:r>
      <w:r>
        <w:rPr>
          <w:rFonts w:hint="eastAsia"/>
        </w:rPr>
        <w:t>这问题亦已在《公民和政治权利报告一》第</w:t>
      </w:r>
      <w:r>
        <w:t>230</w:t>
      </w:r>
      <w:r>
        <w:rPr>
          <w:rFonts w:hint="eastAsia"/>
        </w:rPr>
        <w:t>至</w:t>
      </w:r>
      <w:r>
        <w:t>241</w:t>
      </w:r>
      <w:r>
        <w:rPr>
          <w:rFonts w:hint="eastAsia"/>
        </w:rPr>
        <w:t>段针对公约第十二条和第二十三条下第</w:t>
      </w:r>
      <w:r>
        <w:t>417</w:t>
      </w:r>
      <w:r>
        <w:rPr>
          <w:rFonts w:hint="eastAsia"/>
        </w:rPr>
        <w:t>至</w:t>
      </w:r>
      <w:r>
        <w:t>425</w:t>
      </w:r>
      <w:r>
        <w:rPr>
          <w:rFonts w:hint="eastAsia"/>
        </w:rPr>
        <w:t>段论述。下文第</w:t>
      </w:r>
      <w:r>
        <w:t>209</w:t>
      </w:r>
      <w:r>
        <w:rPr>
          <w:rFonts w:hint="eastAsia"/>
        </w:rPr>
        <w:t>至</w:t>
      </w:r>
      <w:r>
        <w:t>219</w:t>
      </w:r>
      <w:r>
        <w:rPr>
          <w:rFonts w:hint="eastAsia"/>
        </w:rPr>
        <w:t>段所涵盖的范畴与上述两条条文项下有关段落所载的大致相同，但由于这些内容涉及《经济、社会、文化权利国际公约》所赋予的权利，所以载录于此，方便参阅。</w:t>
      </w:r>
    </w:p>
    <w:p w:rsidR="00000000" w:rsidRDefault="00000000">
      <w:r>
        <w:tab/>
        <w:t xml:space="preserve">208.  </w:t>
      </w:r>
      <w:r>
        <w:rPr>
          <w:rFonts w:hint="eastAsia"/>
        </w:rPr>
        <w:t>如上次报告第</w:t>
      </w:r>
      <w:r>
        <w:t>95</w:t>
      </w:r>
      <w:r>
        <w:rPr>
          <w:rFonts w:hint="eastAsia"/>
        </w:rPr>
        <w:t>及</w:t>
      </w:r>
      <w:r>
        <w:t>96</w:t>
      </w:r>
      <w:r>
        <w:rPr>
          <w:rFonts w:hint="eastAsia"/>
        </w:rPr>
        <w:t>段所述，《基本法》第二十四</w:t>
      </w:r>
      <w:r>
        <w:t>(</w:t>
      </w:r>
      <w:r>
        <w:rPr>
          <w:rFonts w:hint="eastAsia"/>
        </w:rPr>
        <w:t>三</w:t>
      </w:r>
      <w:r>
        <w:t>)</w:t>
      </w:r>
      <w:r>
        <w:rPr>
          <w:rFonts w:hint="eastAsia"/>
        </w:rPr>
        <w:t>条</w:t>
      </w:r>
      <w:r>
        <w:t xml:space="preserve"> </w:t>
      </w:r>
      <w:r>
        <w:rPr>
          <w:rStyle w:val="FootnoteReference"/>
        </w:rPr>
        <w:footnoteReference w:id="50"/>
      </w:r>
      <w:r>
        <w:t xml:space="preserve"> </w:t>
      </w:r>
      <w:r>
        <w:rPr>
          <w:rFonts w:hint="eastAsia"/>
        </w:rPr>
        <w:t>赋予在香港以外出生的中国籍子女享有香港特区的居留权，但子女在出生时父母其中一人须为中国籍香港永久性居民。该条文导致更多人可要求来港，而我们亦已解释过有关预计会有多少这类儿童可以来港，以及控制他们涌入香港的措施。截至一九九七年七月一日为止，估计有</w:t>
      </w:r>
      <w:r>
        <w:t>66,000</w:t>
      </w:r>
      <w:r>
        <w:rPr>
          <w:rFonts w:hint="eastAsia"/>
        </w:rPr>
        <w:t>名年龄在</w:t>
      </w:r>
      <w:r>
        <w:t>20</w:t>
      </w:r>
      <w:r>
        <w:rPr>
          <w:rFonts w:hint="eastAsia"/>
        </w:rPr>
        <w:t>岁或以下的内地居民根据上述条例符合资格取得香港居留权。为使他们能加快来港，当局已由一九九八年一月起把为他们而设的特别配额由原来的</w:t>
      </w:r>
      <w:r>
        <w:t>45</w:t>
      </w:r>
      <w:r>
        <w:rPr>
          <w:rFonts w:hint="eastAsia"/>
        </w:rPr>
        <w:t>个增加至</w:t>
      </w:r>
      <w:r>
        <w:t>60</w:t>
      </w:r>
      <w:r>
        <w:rPr>
          <w:rFonts w:hint="eastAsia"/>
        </w:rPr>
        <w:t>个。在一九九七年七月一日至一九九八年六月三十日期间，约有</w:t>
      </w:r>
      <w:r>
        <w:t>25,000</w:t>
      </w:r>
      <w:r>
        <w:rPr>
          <w:rFonts w:hint="eastAsia"/>
        </w:rPr>
        <w:t>名这类内地人士籍上述方法来港定居。</w:t>
      </w:r>
    </w:p>
    <w:p w:rsidR="00000000" w:rsidRDefault="00000000">
      <w:r>
        <w:tab/>
        <w:t xml:space="preserve">209.  </w:t>
      </w:r>
      <w:r>
        <w:rPr>
          <w:rFonts w:hint="eastAsia"/>
        </w:rPr>
        <w:t>自从上次报告以来</w:t>
      </w:r>
      <w:r>
        <w:t>(</w:t>
      </w:r>
      <w:r>
        <w:rPr>
          <w:rFonts w:hint="eastAsia"/>
        </w:rPr>
        <w:t>加上来港定居人数配额增多</w:t>
      </w:r>
      <w:r>
        <w:t>)</w:t>
      </w:r>
      <w:r>
        <w:rPr>
          <w:rFonts w:hint="eastAsia"/>
        </w:rPr>
        <w:t>，新来港定居的人士数目大增。在一九九五年七月一日</w:t>
      </w:r>
      <w:r>
        <w:t>(</w:t>
      </w:r>
      <w:r>
        <w:rPr>
          <w:rFonts w:hint="eastAsia"/>
        </w:rPr>
        <w:t>每天配额由当天起增加</w:t>
      </w:r>
      <w:r>
        <w:t>)</w:t>
      </w:r>
      <w:r>
        <w:rPr>
          <w:rFonts w:hint="eastAsia"/>
        </w:rPr>
        <w:t>至一九九八年六月三十日期间，约有</w:t>
      </w:r>
      <w:r>
        <w:t>159,500</w:t>
      </w:r>
      <w:r>
        <w:rPr>
          <w:rFonts w:hint="eastAsia"/>
        </w:rPr>
        <w:t>人从内地来港定居。他们很多</w:t>
      </w:r>
      <w:r>
        <w:t>(</w:t>
      </w:r>
      <w:r>
        <w:rPr>
          <w:rFonts w:hint="eastAsia"/>
        </w:rPr>
        <w:t>约</w:t>
      </w:r>
      <w:r>
        <w:t>20%)</w:t>
      </w:r>
      <w:r>
        <w:rPr>
          <w:rFonts w:hint="eastAsia"/>
        </w:rPr>
        <w:t>不懂说广东话或英语，因而难以跟邻居、同事和同学沟通。这些儿童曾在不同的教学传统接受教育，故此并不习惯香港的课程。至于成人，他们往往发觉自己的学历不获香港承认。凡此种种，可能令他们感到无所适从，遭受“文化冲击”，以及遇到求职或找寻学校之类的困难，这些情况尤以抵港初期为甚。</w:t>
      </w:r>
    </w:p>
    <w:p w:rsidR="00000000" w:rsidRDefault="00000000">
      <w:r>
        <w:tab/>
        <w:t xml:space="preserve">210.  </w:t>
      </w:r>
      <w:r>
        <w:rPr>
          <w:rFonts w:hint="eastAsia"/>
        </w:rPr>
        <w:t>其他困难则来自家庭环境方面。居港的丈夫很多时并非如其内地家人所期望般富有。他们未婚之前，生活条件还算可以，但婚后生儿育女，则往往捉襟见肘。这些困难，加上以上所述问题，有时导致家庭破裂，家庭暴力及虐待妻儿的情形。</w:t>
      </w:r>
    </w:p>
    <w:p w:rsidR="00000000" w:rsidRDefault="00000000">
      <w:r>
        <w:tab/>
        <w:t xml:space="preserve">211.  </w:t>
      </w:r>
      <w:r>
        <w:rPr>
          <w:rFonts w:hint="eastAsia"/>
        </w:rPr>
        <w:t>在上次报告的审议结论第</w:t>
      </w:r>
      <w:r>
        <w:t>14(d)</w:t>
      </w:r>
      <w:r>
        <w:rPr>
          <w:rFonts w:hint="eastAsia"/>
        </w:rPr>
        <w:t>段，委员会表示关注分离家庭的数目“不断增加，情况令人忧虑。”在第</w:t>
      </w:r>
      <w:r>
        <w:t>26</w:t>
      </w:r>
      <w:r>
        <w:rPr>
          <w:rFonts w:hint="eastAsia"/>
        </w:rPr>
        <w:t>段，委员会重申对此问题的关注，并认为港府有责任确保用以审定合资格人士合法移居香港的准则，与公约条文相符。本地一些论者亦同样关注这些问题。在第</w:t>
      </w:r>
      <w:r>
        <w:t>34</w:t>
      </w:r>
      <w:r>
        <w:rPr>
          <w:rFonts w:hint="eastAsia"/>
        </w:rPr>
        <w:t>段，委员会促请港府“采取一切可行的措施，制订一套公平和公开的单程证审批机制，使分离的家庭能早日团聚。”</w:t>
      </w:r>
    </w:p>
    <w:p w:rsidR="00000000" w:rsidRDefault="00000000">
      <w:r>
        <w:tab/>
        <w:t xml:space="preserve">212.  </w:t>
      </w:r>
      <w:r>
        <w:rPr>
          <w:rFonts w:hint="eastAsia"/>
        </w:rPr>
        <w:t>政府和非政府机构非常清楚这些问题，并联手采取积极措施应付。新来港定居人士可以享用一应俱全的福利服务，包括辅导，日间幼儿护理和幼儿院护服务，经济资助，以及房屋援助</w:t>
      </w:r>
      <w:r>
        <w:t>(</w:t>
      </w:r>
      <w:r>
        <w:rPr>
          <w:rFonts w:hint="eastAsia"/>
        </w:rPr>
        <w:t>如符合体恤理由</w:t>
      </w:r>
      <w:r>
        <w:t>)</w:t>
      </w:r>
      <w:r>
        <w:rPr>
          <w:rFonts w:hint="eastAsia"/>
        </w:rPr>
        <w:t>。如上次报告第</w:t>
      </w:r>
      <w:r>
        <w:t>97</w:t>
      </w:r>
      <w:r>
        <w:rPr>
          <w:rFonts w:hint="eastAsia"/>
        </w:rPr>
        <w:t>段所述，香港国际社会服务社获政府资助，为内地新移民提供来港后的服务，例如资料查询及咨询服务；提供适应课程，短期辅导及转介服务。资助香港国际社会服务社的安排，始于一九七二年，是一项长期性的安排。政府自从决定增加入境人数后，已由一九九六年起给予香港国际社会服务社额外的资源，供其加强为新移民提供来港后的服务。</w:t>
      </w:r>
    </w:p>
    <w:p w:rsidR="00000000" w:rsidRDefault="00000000">
      <w:r>
        <w:tab/>
        <w:t xml:space="preserve">213.  </w:t>
      </w:r>
      <w:r>
        <w:rPr>
          <w:rFonts w:hint="eastAsia"/>
        </w:rPr>
        <w:t>增加来港移民配额给这些服务带来极大的挑战。无论非政府机构还是政府本身，均认为有需要设立一个统筹机制，确保各项为新来港定居人士提供的服务计划不会漫无方向。为此，政府于一九九五年十二月成立了“新来港定居人士服务统筹委员会”，负责监察和评估为内地新来港定居人士所提供的服务。统筹委员会由民政事务总署署长担任主席，而成员则包括有关政府部门和香港社会服务联会的代表。统筹委员会定期举行会议，以找出并研究内地新来港定居人士所遇到的困难</w:t>
      </w:r>
      <w:r>
        <w:t xml:space="preserve"> </w:t>
      </w:r>
      <w:r>
        <w:rPr>
          <w:rStyle w:val="FootnoteReference"/>
        </w:rPr>
        <w:footnoteReference w:id="51"/>
      </w:r>
      <w:r>
        <w:rPr>
          <w:rFonts w:hint="eastAsia"/>
        </w:rPr>
        <w:t>，</w:t>
      </w:r>
    </w:p>
    <w:p w:rsidR="00000000" w:rsidRDefault="00000000">
      <w:r>
        <w:br w:type="page"/>
      </w:r>
      <w:r>
        <w:rPr>
          <w:rFonts w:hint="eastAsia"/>
        </w:rPr>
        <w:t>以及向政府和非政府机构建议解决措施。在地区层面上，统筹委员会得到全港十八区各个“新来港定居人士服务分区统筹委员会”协助推展工作。</w:t>
      </w:r>
    </w:p>
    <w:p w:rsidR="00000000" w:rsidRDefault="00000000">
      <w:r>
        <w:tab/>
        <w:t xml:space="preserve">214.  </w:t>
      </w:r>
      <w:r>
        <w:rPr>
          <w:rFonts w:hint="eastAsia"/>
        </w:rPr>
        <w:t>一九九八年一月，当局成立“新来港定居人士服务政策督导委员会”，进一步加强这方面的工作。这个更高层的督导委员会，由民政事务局局长担任主席，负责监督统筹委员会的工作，并决定提供服务的策略。</w:t>
      </w:r>
    </w:p>
    <w:p w:rsidR="00000000" w:rsidRDefault="00000000">
      <w:r>
        <w:tab/>
        <w:t xml:space="preserve">215.  </w:t>
      </w:r>
      <w:r>
        <w:rPr>
          <w:rFonts w:hint="eastAsia"/>
        </w:rPr>
        <w:t>政府在规划福利服务时，自然需要考虑到内地新来港定居人士的预计人数。不过，社会所给予的服务和照顾，还包括福利以外的其他服务，例如教育和就业。为了在这些方面向新来港定居人士提供协助，政府已经采取了下述措施：</w:t>
      </w:r>
    </w:p>
    <w:p w:rsidR="00000000" w:rsidRDefault="00000000">
      <w:pPr>
        <w:pStyle w:val="a0"/>
        <w:numPr>
          <w:ilvl w:val="0"/>
          <w:numId w:val="14"/>
        </w:numPr>
        <w:ind w:left="1531" w:hanging="510"/>
      </w:pPr>
      <w:r>
        <w:rPr>
          <w:rFonts w:hint="eastAsia"/>
          <w:u w:val="single"/>
        </w:rPr>
        <w:t>教育</w:t>
      </w:r>
      <w:r>
        <w:rPr>
          <w:rFonts w:hint="eastAsia"/>
        </w:rPr>
        <w:t>：在教育署内设立一个中心安排入学小组，以监察学额的供应情况。至于当局在教育方面所采取的其他措施，则在第十三条项下第</w:t>
      </w:r>
      <w:r>
        <w:t>564</w:t>
      </w:r>
      <w:r>
        <w:rPr>
          <w:rFonts w:hint="eastAsia"/>
        </w:rPr>
        <w:t>至</w:t>
      </w:r>
      <w:r>
        <w:t>566</w:t>
      </w:r>
      <w:r>
        <w:rPr>
          <w:rFonts w:hint="eastAsia"/>
        </w:rPr>
        <w:t>段论述；</w:t>
      </w:r>
    </w:p>
    <w:p w:rsidR="00000000" w:rsidRDefault="00000000">
      <w:pPr>
        <w:pStyle w:val="a0"/>
        <w:numPr>
          <w:ilvl w:val="0"/>
          <w:numId w:val="14"/>
        </w:numPr>
        <w:ind w:left="1531" w:hanging="510"/>
      </w:pPr>
      <w:r>
        <w:rPr>
          <w:rFonts w:hint="eastAsia"/>
          <w:u w:val="single"/>
        </w:rPr>
        <w:t>就业</w:t>
      </w:r>
      <w:r>
        <w:rPr>
          <w:rFonts w:hint="eastAsia"/>
        </w:rPr>
        <w:t>：在劳工处内设立一个“新来港定居人士就业辅导中心”，以协助新来港定居人士寻找工作。此外，新来港定居人士更可报读雇员再培训局所开办的再培训课程。有关这方面的详情，已在上文第六条项下第</w:t>
      </w:r>
      <w:r>
        <w:t>58</w:t>
      </w:r>
      <w:r>
        <w:rPr>
          <w:rFonts w:hint="eastAsia"/>
        </w:rPr>
        <w:t>段论述；及</w:t>
      </w:r>
    </w:p>
    <w:p w:rsidR="00000000" w:rsidRDefault="00000000">
      <w:pPr>
        <w:pStyle w:val="a0"/>
        <w:numPr>
          <w:ilvl w:val="0"/>
          <w:numId w:val="14"/>
        </w:numPr>
        <w:ind w:left="1531" w:hanging="510"/>
      </w:pPr>
      <w:r>
        <w:rPr>
          <w:rFonts w:hint="eastAsia"/>
          <w:u w:val="single"/>
        </w:rPr>
        <w:t>一般服务</w:t>
      </w:r>
      <w:r>
        <w:rPr>
          <w:rFonts w:hint="eastAsia"/>
        </w:rPr>
        <w:t>：印制《内地新来港定居人士服务指南》，向新来港定居人士提供有关香港生活的一般资料，以及他们可享用服务的详情。指南免费派发给刚抵达的新来港定居人士，并可于各个政府办事处索阅。</w:t>
      </w:r>
    </w:p>
    <w:p w:rsidR="00000000" w:rsidRDefault="00000000">
      <w:pPr>
        <w:spacing w:after="320"/>
        <w:textAlignment w:val="center"/>
      </w:pPr>
      <w:r>
        <w:rPr>
          <w:rFonts w:hint="eastAsia"/>
        </w:rPr>
        <w:t>当局亦已就新来港定居人士的房屋需求展开工作。有关详情在下文第十一条项下第</w:t>
      </w:r>
      <w:r>
        <w:t>381</w:t>
      </w:r>
      <w:r>
        <w:rPr>
          <w:rFonts w:hint="eastAsia"/>
        </w:rPr>
        <w:t>至</w:t>
      </w:r>
      <w:r>
        <w:t>382</w:t>
      </w:r>
      <w:r>
        <w:rPr>
          <w:rFonts w:hint="eastAsia"/>
        </w:rPr>
        <w:t>段论述。</w:t>
      </w:r>
    </w:p>
    <w:p w:rsidR="00000000" w:rsidRDefault="00000000">
      <w:pPr>
        <w:pStyle w:val="Heading4"/>
      </w:pPr>
      <w:r>
        <w:rPr>
          <w:rFonts w:hint="eastAsia"/>
        </w:rPr>
        <w:t>居留权证明书</w:t>
      </w:r>
      <w:r>
        <w:t>(</w:t>
      </w:r>
      <w:r>
        <w:rPr>
          <w:rFonts w:hint="eastAsia"/>
        </w:rPr>
        <w:t>居权证</w:t>
      </w:r>
      <w:r>
        <w:t>)</w:t>
      </w:r>
      <w:r>
        <w:rPr>
          <w:rFonts w:hint="eastAsia"/>
        </w:rPr>
        <w:t>计划</w:t>
      </w:r>
    </w:p>
    <w:p w:rsidR="00000000" w:rsidRDefault="00000000">
      <w:r>
        <w:tab/>
        <w:t xml:space="preserve">216.  </w:t>
      </w:r>
      <w:r>
        <w:rPr>
          <w:rFonts w:hint="eastAsia"/>
        </w:rPr>
        <w:t>如上次报告第</w:t>
      </w:r>
      <w:r>
        <w:t>95</w:t>
      </w:r>
      <w:r>
        <w:rPr>
          <w:rFonts w:hint="eastAsia"/>
        </w:rPr>
        <w:t>段所述，当时的香港法例与《基本法》对“永久性居民”的定义有不同解释。根据《基本法》第二十四</w:t>
      </w:r>
      <w:r>
        <w:t>(</w:t>
      </w:r>
      <w:r>
        <w:rPr>
          <w:rFonts w:hint="eastAsia"/>
        </w:rPr>
        <w:t>三</w:t>
      </w:r>
      <w:r>
        <w:t>)</w:t>
      </w:r>
      <w:r>
        <w:rPr>
          <w:rFonts w:hint="eastAsia"/>
        </w:rPr>
        <w:t>条，在香港特别行政区成立以前或以后在香港出生或在香港通常居住连续七年以上的中国公民</w:t>
      </w:r>
      <w:r>
        <w:t xml:space="preserve"> </w:t>
      </w:r>
      <w:r>
        <w:rPr>
          <w:rStyle w:val="FootnoteReference"/>
        </w:rPr>
        <w:footnoteReference w:id="52"/>
      </w:r>
      <w:r>
        <w:t xml:space="preserve"> </w:t>
      </w:r>
      <w:r>
        <w:rPr>
          <w:rFonts w:hint="eastAsia"/>
        </w:rPr>
        <w:t>在香港以外所生的中国籍子女属永久性居民，并享有香港特区居留权。</w:t>
      </w:r>
    </w:p>
    <w:p w:rsidR="00000000" w:rsidRDefault="00000000">
      <w:r>
        <w:tab/>
        <w:t xml:space="preserve">217.  </w:t>
      </w:r>
      <w:r>
        <w:rPr>
          <w:rFonts w:hint="eastAsia"/>
        </w:rPr>
        <w:t>在一九九七年七月一日前，《基本法》第二十四</w:t>
      </w:r>
      <w:r>
        <w:t>(</w:t>
      </w:r>
      <w:r>
        <w:rPr>
          <w:rFonts w:hint="eastAsia"/>
        </w:rPr>
        <w:t>三</w:t>
      </w:r>
      <w:r>
        <w:t>)</w:t>
      </w:r>
      <w:r>
        <w:rPr>
          <w:rFonts w:hint="eastAsia"/>
        </w:rPr>
        <w:t>条所涵盖的人士，并无享有香港特区居留权，而《基本法》并无说明这些人士的香港特区居留权应通过甚么程序来确立。在一九九七年七月十日制定，并于一九九七年七月一日生效的《入境</w:t>
      </w:r>
      <w:r>
        <w:t>(</w:t>
      </w:r>
      <w:r>
        <w:rPr>
          <w:rFonts w:hint="eastAsia"/>
        </w:rPr>
        <w:t>修订</w:t>
      </w:r>
      <w:r>
        <w:t>)(</w:t>
      </w:r>
      <w:r>
        <w:rPr>
          <w:rFonts w:hint="eastAsia"/>
        </w:rPr>
        <w:t>第</w:t>
      </w:r>
      <w:r>
        <w:t>3</w:t>
      </w:r>
      <w:r>
        <w:rPr>
          <w:rFonts w:hint="eastAsia"/>
        </w:rPr>
        <w:t>号</w:t>
      </w:r>
      <w:r>
        <w:t>)</w:t>
      </w:r>
      <w:r>
        <w:rPr>
          <w:rFonts w:hint="eastAsia"/>
        </w:rPr>
        <w:t>条例》</w:t>
      </w:r>
      <w:r>
        <w:t>(</w:t>
      </w:r>
      <w:r>
        <w:rPr>
          <w:rFonts w:hint="eastAsia"/>
        </w:rPr>
        <w:t>《第</w:t>
      </w:r>
      <w:r>
        <w:t>3</w:t>
      </w:r>
      <w:r>
        <w:rPr>
          <w:rFonts w:hint="eastAsia"/>
        </w:rPr>
        <w:t>号条例》</w:t>
      </w:r>
      <w:r>
        <w:t>)</w:t>
      </w:r>
      <w:r>
        <w:rPr>
          <w:rFonts w:hint="eastAsia"/>
        </w:rPr>
        <w:t>则订定了这些程序，同时引进了居权证计划。该条例规定，声称按《基本法》第二十四</w:t>
      </w:r>
      <w:r>
        <w:t>(</w:t>
      </w:r>
      <w:r>
        <w:rPr>
          <w:rFonts w:hint="eastAsia"/>
        </w:rPr>
        <w:t>三</w:t>
      </w:r>
      <w:r>
        <w:t>)</w:t>
      </w:r>
      <w:r>
        <w:rPr>
          <w:rFonts w:hint="eastAsia"/>
        </w:rPr>
        <w:t>条具有香港特区永久性居民身份的人士，必须符合某些条件的其中一项，才可确立其身份，这些条件之一是他们必须持有附贴有效居权证的有效旅行证件。因此，凡属香港居民于中国内地所生并声称拥有香港特区居留权的人士，必须向有关当局申请有效的旅行证件和居权证，方可进入香港。这项安排旨在确保那些声称按《基本法》第二十四</w:t>
      </w:r>
      <w:r>
        <w:t>(</w:t>
      </w:r>
      <w:r>
        <w:rPr>
          <w:rFonts w:hint="eastAsia"/>
        </w:rPr>
        <w:t>三</w:t>
      </w:r>
      <w:r>
        <w:t>)</w:t>
      </w:r>
      <w:r>
        <w:rPr>
          <w:rFonts w:hint="eastAsia"/>
        </w:rPr>
        <w:t>条在香港特区拥有居留权的人士，须先经过核实身份，才可进入香港特区。截至一九九八年六月三十日为止，该项计划确保了约</w:t>
      </w:r>
      <w:r>
        <w:t>25,000</w:t>
      </w:r>
      <w:r>
        <w:rPr>
          <w:rFonts w:hint="eastAsia"/>
        </w:rPr>
        <w:t>名合资格子女可迅速而有秩序地进入香港。</w:t>
      </w:r>
    </w:p>
    <w:p w:rsidR="00000000" w:rsidRDefault="00000000">
      <w:r>
        <w:tab/>
        <w:t xml:space="preserve">218.  </w:t>
      </w:r>
      <w:r>
        <w:rPr>
          <w:rFonts w:hint="eastAsia"/>
        </w:rPr>
        <w:t>有论者认为，居权证计划使现时的分离家庭问题更加严重，而且侵犯了本公约第十条和《儿童权利公约》所载的儿童和家庭的权利。但政府并不同意这个说法。该条例的条文，并没有要求这些家庭成员分隔两地生活。造成这个情况，是出于个别家庭的选择，并非因条例所致。事实上，香港永久性居民有权离港与中国内地家人团聚。</w:t>
      </w:r>
    </w:p>
    <w:p w:rsidR="00000000" w:rsidRDefault="00000000">
      <w:pPr>
        <w:spacing w:after="320"/>
        <w:textAlignment w:val="center"/>
      </w:pPr>
      <w:r>
        <w:tab/>
        <w:t xml:space="preserve">219.  </w:t>
      </w:r>
      <w:r>
        <w:rPr>
          <w:rFonts w:hint="eastAsia"/>
        </w:rPr>
        <w:t>居权证计划曾在法院受到质疑。同样地，为实施《基本法》第二十四</w:t>
      </w:r>
      <w:r>
        <w:t>(</w:t>
      </w:r>
      <w:r>
        <w:rPr>
          <w:rFonts w:hint="eastAsia"/>
        </w:rPr>
        <w:t>三</w:t>
      </w:r>
      <w:r>
        <w:t>)</w:t>
      </w:r>
      <w:r>
        <w:rPr>
          <w:rFonts w:hint="eastAsia"/>
        </w:rPr>
        <w:t>条而在《入境条例》新加入的条文</w:t>
      </w:r>
      <w:r>
        <w:t>(</w:t>
      </w:r>
      <w:r>
        <w:rPr>
          <w:rFonts w:hint="eastAsia"/>
        </w:rPr>
        <w:t>一九九七年七月</w:t>
      </w:r>
      <w:r>
        <w:t>)</w:t>
      </w:r>
      <w:r>
        <w:rPr>
          <w:rFonts w:hint="eastAsia"/>
        </w:rPr>
        <w:t>也受到质疑。香港特区提交的《公民和政治权利报告一》第</w:t>
      </w:r>
      <w:r>
        <w:t>234</w:t>
      </w:r>
      <w:r>
        <w:rPr>
          <w:rFonts w:hint="eastAsia"/>
        </w:rPr>
        <w:t>至</w:t>
      </w:r>
      <w:r>
        <w:t>240</w:t>
      </w:r>
      <w:r>
        <w:rPr>
          <w:rFonts w:hint="eastAsia"/>
        </w:rPr>
        <w:t>段针对公约第十二条对上述法律质疑有详细论述</w:t>
      </w:r>
      <w:r>
        <w:t>(</w:t>
      </w:r>
      <w:r>
        <w:rPr>
          <w:rFonts w:hint="eastAsia"/>
        </w:rPr>
        <w:t>转载于附件</w:t>
      </w:r>
      <w:r>
        <w:t xml:space="preserve">18, </w:t>
      </w:r>
      <w:r>
        <w:rPr>
          <w:rFonts w:hint="eastAsia"/>
        </w:rPr>
        <w:t>以便参阅</w:t>
      </w:r>
      <w:r>
        <w:t>)</w:t>
      </w:r>
      <w:r>
        <w:rPr>
          <w:rFonts w:hint="eastAsia"/>
        </w:rPr>
        <w:t>。</w:t>
      </w:r>
    </w:p>
    <w:p w:rsidR="00000000" w:rsidRDefault="00000000">
      <w:pPr>
        <w:pStyle w:val="Heading4"/>
      </w:pPr>
      <w:r>
        <w:rPr>
          <w:rFonts w:hint="eastAsia"/>
        </w:rPr>
        <w:t>香港居民在内地领养的子女</w:t>
      </w:r>
    </w:p>
    <w:p w:rsidR="00000000" w:rsidRDefault="00000000">
      <w:r>
        <w:tab/>
        <w:t xml:space="preserve">220.  </w:t>
      </w:r>
      <w:r>
        <w:rPr>
          <w:rFonts w:hint="eastAsia"/>
        </w:rPr>
        <w:t>一九九八年三月，三名香港家长申请司法复核，反对政府向他们非法进入香港</w:t>
      </w:r>
      <w:r>
        <w:t>/</w:t>
      </w:r>
      <w:r>
        <w:rPr>
          <w:rFonts w:hint="eastAsia"/>
        </w:rPr>
        <w:t>在香港居留的内地领养子女发出遣送离境令。</w:t>
      </w:r>
    </w:p>
    <w:p w:rsidR="00000000" w:rsidRDefault="00000000">
      <w:r>
        <w:tab/>
        <w:t xml:space="preserve">221.  </w:t>
      </w:r>
      <w:r>
        <w:rPr>
          <w:rFonts w:hint="eastAsia"/>
        </w:rPr>
        <w:t>《入境条例》附表</w:t>
      </w:r>
      <w:r>
        <w:t>1</w:t>
      </w:r>
      <w:r>
        <w:rPr>
          <w:rFonts w:hint="eastAsia"/>
        </w:rPr>
        <w:t>第</w:t>
      </w:r>
      <w:r>
        <w:t>1(2)(c)</w:t>
      </w:r>
      <w:r>
        <w:rPr>
          <w:rFonts w:hint="eastAsia"/>
        </w:rPr>
        <w:t>段订明，按照法院命令在香港领养的子女，须视为该领养父母的子女。不过，如果他们在香港以外出生，而父母又非香港永久性居民，他们便不能根据《基本法》第二十四</w:t>
      </w:r>
      <w:r>
        <w:t>(</w:t>
      </w:r>
      <w:r>
        <w:rPr>
          <w:rFonts w:hint="eastAsia"/>
        </w:rPr>
        <w:t>三</w:t>
      </w:r>
      <w:r>
        <w:t>)</w:t>
      </w:r>
      <w:r>
        <w:rPr>
          <w:rFonts w:hint="eastAsia"/>
        </w:rPr>
        <w:t>条</w:t>
      </w:r>
      <w:r>
        <w:t>(</w:t>
      </w:r>
      <w:r>
        <w:rPr>
          <w:rFonts w:hint="eastAsia"/>
        </w:rPr>
        <w:t>见上文第</w:t>
      </w:r>
      <w:r>
        <w:t>216</w:t>
      </w:r>
      <w:r>
        <w:rPr>
          <w:rFonts w:hint="eastAsia"/>
        </w:rPr>
        <w:t>段</w:t>
      </w:r>
      <w:r>
        <w:t>)</w:t>
      </w:r>
      <w:r>
        <w:rPr>
          <w:rFonts w:hint="eastAsia"/>
        </w:rPr>
        <w:t>享有居留权。因此，在香港以外出生的子女，倘若父母并非永久性居民，但其后由属永久性居民的人士领养，他们所获的待遇，将与那些出生时父母未获居留权，但其后父母获得这个身份的子女相同。</w:t>
      </w:r>
    </w:p>
    <w:p w:rsidR="00000000" w:rsidRDefault="00000000">
      <w:pPr>
        <w:spacing w:after="320"/>
        <w:textAlignment w:val="center"/>
      </w:pPr>
      <w:r>
        <w:tab/>
        <w:t xml:space="preserve">222.  </w:t>
      </w:r>
      <w:r>
        <w:rPr>
          <w:rFonts w:hint="eastAsia"/>
        </w:rPr>
        <w:t>在拟备本报告时，上述案件尚未进行聆讯。</w:t>
      </w:r>
    </w:p>
    <w:p w:rsidR="00000000" w:rsidRDefault="00000000">
      <w:pPr>
        <w:pStyle w:val="Heading4"/>
      </w:pPr>
      <w:r>
        <w:rPr>
          <w:rFonts w:hint="eastAsia"/>
        </w:rPr>
        <w:t>家庭福利服务</w:t>
      </w:r>
    </w:p>
    <w:p w:rsidR="00000000" w:rsidRDefault="00000000">
      <w:r>
        <w:tab/>
        <w:t xml:space="preserve">223.  </w:t>
      </w:r>
      <w:r>
        <w:rPr>
          <w:rFonts w:hint="eastAsia"/>
        </w:rPr>
        <w:t>如上次报告第</w:t>
      </w:r>
      <w:r>
        <w:t>101</w:t>
      </w:r>
      <w:r>
        <w:rPr>
          <w:rFonts w:hint="eastAsia"/>
        </w:rPr>
        <w:t>段所述，政府为家庭提供福利服务，以防止家庭破裂和帮助有问题的家庭。上次报告论述了提供服务的形式</w:t>
      </w:r>
      <w:r>
        <w:t xml:space="preserve"> </w:t>
      </w:r>
      <w:r>
        <w:rPr>
          <w:rStyle w:val="FootnoteReference"/>
        </w:rPr>
        <w:footnoteReference w:id="53"/>
      </w:r>
      <w:r>
        <w:rPr>
          <w:rFonts w:hint="eastAsia"/>
        </w:rPr>
        <w:t>。我们很高兴告知委员会，家庭生活教育工作者的人数，已由一九九四至九五年度的</w:t>
      </w:r>
      <w:r>
        <w:t>71</w:t>
      </w:r>
      <w:r>
        <w:rPr>
          <w:rFonts w:hint="eastAsia"/>
        </w:rPr>
        <w:t>名增加至一九九七至九八年度的</w:t>
      </w:r>
      <w:r>
        <w:t>79</w:t>
      </w:r>
      <w:r>
        <w:rPr>
          <w:rFonts w:hint="eastAsia"/>
        </w:rPr>
        <w:t>名。一九九七年九月，当局在《幼儿服务条例》</w:t>
      </w:r>
      <w:r>
        <w:t>(</w:t>
      </w:r>
      <w:r>
        <w:rPr>
          <w:rFonts w:hint="eastAsia"/>
        </w:rPr>
        <w:t>第</w:t>
      </w:r>
      <w:r>
        <w:t>243</w:t>
      </w:r>
      <w:r>
        <w:rPr>
          <w:rFonts w:hint="eastAsia"/>
        </w:rPr>
        <w:t>章</w:t>
      </w:r>
      <w:r>
        <w:t>)</w:t>
      </w:r>
      <w:r>
        <w:rPr>
          <w:rFonts w:hint="eastAsia"/>
        </w:rPr>
        <w:t>加入了新的第</w:t>
      </w:r>
      <w:r>
        <w:t>II(a)</w:t>
      </w:r>
      <w:r>
        <w:rPr>
          <w:rFonts w:hint="eastAsia"/>
        </w:rPr>
        <w:t>部</w:t>
      </w:r>
      <w:r>
        <w:t>(</w:t>
      </w:r>
      <w:r>
        <w:rPr>
          <w:rFonts w:hint="eastAsia"/>
        </w:rPr>
        <w:t>第</w:t>
      </w:r>
      <w:r>
        <w:t>11A</w:t>
      </w:r>
      <w:r>
        <w:rPr>
          <w:rFonts w:hint="eastAsia"/>
        </w:rPr>
        <w:t>至</w:t>
      </w:r>
      <w:r>
        <w:t>F</w:t>
      </w:r>
      <w:r>
        <w:rPr>
          <w:rFonts w:hint="eastAsia"/>
        </w:rPr>
        <w:t>条</w:t>
      </w:r>
      <w:r>
        <w:t>)</w:t>
      </w:r>
      <w:r>
        <w:rPr>
          <w:rFonts w:hint="eastAsia"/>
        </w:rPr>
        <w:t>，使“互助幼儿小组”</w:t>
      </w:r>
      <w:r>
        <w:t xml:space="preserve"> </w:t>
      </w:r>
      <w:r>
        <w:rPr>
          <w:rStyle w:val="FootnoteReference"/>
        </w:rPr>
        <w:footnoteReference w:id="54"/>
      </w:r>
      <w:r>
        <w:t xml:space="preserve"> </w:t>
      </w:r>
      <w:r>
        <w:rPr>
          <w:rFonts w:hint="eastAsia"/>
        </w:rPr>
        <w:t>可免受适用于幼儿中心的注册规定而成立。不过</w:t>
      </w:r>
      <w:r>
        <w:t>,</w:t>
      </w:r>
      <w:r>
        <w:rPr>
          <w:rFonts w:hint="eastAsia"/>
        </w:rPr>
        <w:t>“主办机构”</w:t>
      </w:r>
      <w:r>
        <w:t xml:space="preserve"> </w:t>
      </w:r>
      <w:r>
        <w:rPr>
          <w:rStyle w:val="FootnoteReference"/>
        </w:rPr>
        <w:footnoteReference w:id="55"/>
      </w:r>
      <w:r>
        <w:t xml:space="preserve"> </w:t>
      </w:r>
      <w:r>
        <w:rPr>
          <w:rFonts w:hint="eastAsia"/>
        </w:rPr>
        <w:t>必须使社会福利署署长相信，拟用作互助幼儿中心的处所适合作该项用途，并符合关于结构、消防、以及其他安全的规定。</w:t>
      </w:r>
    </w:p>
    <w:p w:rsidR="00000000" w:rsidRDefault="00000000">
      <w:pPr>
        <w:spacing w:after="160"/>
        <w:textAlignment w:val="center"/>
      </w:pPr>
      <w:r>
        <w:tab/>
        <w:t xml:space="preserve">224.  </w:t>
      </w:r>
      <w:r>
        <w:rPr>
          <w:rFonts w:hint="eastAsia"/>
        </w:rPr>
        <w:t>上次报告第</w:t>
      </w:r>
      <w:r>
        <w:t>101(b)</w:t>
      </w:r>
      <w:r>
        <w:rPr>
          <w:rFonts w:hint="eastAsia"/>
        </w:rPr>
        <w:t>段所提及的各种支援服务续有扩展：</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000000">
            <w:pPr>
              <w:spacing w:before="80"/>
              <w:ind w:left="113" w:right="113"/>
              <w:rPr>
                <w:sz w:val="21"/>
              </w:rPr>
            </w:pPr>
          </w:p>
        </w:tc>
        <w:tc>
          <w:tcPr>
            <w:tcW w:w="3137" w:type="dxa"/>
          </w:tcPr>
          <w:p w:rsidR="00000000" w:rsidRDefault="00000000">
            <w:pPr>
              <w:spacing w:before="80"/>
              <w:ind w:left="113" w:right="113"/>
              <w:jc w:val="center"/>
              <w:rPr>
                <w:sz w:val="21"/>
              </w:rPr>
            </w:pPr>
            <w:r>
              <w:rPr>
                <w:rFonts w:hint="eastAsia"/>
                <w:sz w:val="21"/>
              </w:rPr>
              <w:t>一九九四至九五年度</w:t>
            </w:r>
            <w:r>
              <w:rPr>
                <w:sz w:val="21"/>
              </w:rPr>
              <w:br/>
            </w:r>
            <w:r>
              <w:rPr>
                <w:rFonts w:hint="eastAsia"/>
                <w:sz w:val="21"/>
              </w:rPr>
              <w:t>的提供情况</w:t>
            </w:r>
          </w:p>
        </w:tc>
        <w:tc>
          <w:tcPr>
            <w:tcW w:w="3137" w:type="dxa"/>
          </w:tcPr>
          <w:p w:rsidR="00000000" w:rsidRDefault="00000000">
            <w:pPr>
              <w:spacing w:before="80"/>
              <w:ind w:left="113" w:right="113"/>
              <w:jc w:val="center"/>
              <w:rPr>
                <w:sz w:val="21"/>
              </w:rPr>
            </w:pPr>
            <w:r>
              <w:rPr>
                <w:rFonts w:hint="eastAsia"/>
                <w:sz w:val="21"/>
              </w:rPr>
              <w:t>一九九七至九八年度</w:t>
            </w:r>
            <w:r>
              <w:rPr>
                <w:sz w:val="21"/>
              </w:rPr>
              <w:br/>
            </w:r>
            <w:r>
              <w:rPr>
                <w:rFonts w:hint="eastAsia"/>
                <w:sz w:val="21"/>
              </w:rPr>
              <w:t>的提供情况</w:t>
            </w:r>
          </w:p>
        </w:tc>
      </w:tr>
      <w:tr w:rsidR="00000000">
        <w:tblPrEx>
          <w:tblCellMar>
            <w:top w:w="0" w:type="dxa"/>
            <w:bottom w:w="0" w:type="dxa"/>
          </w:tblCellMar>
        </w:tblPrEx>
        <w:tc>
          <w:tcPr>
            <w:tcW w:w="3137" w:type="dxa"/>
          </w:tcPr>
          <w:p w:rsidR="00000000" w:rsidRDefault="00000000">
            <w:pPr>
              <w:spacing w:before="80"/>
              <w:ind w:left="113" w:right="113"/>
              <w:rPr>
                <w:sz w:val="21"/>
              </w:rPr>
            </w:pPr>
            <w:r>
              <w:rPr>
                <w:rFonts w:hint="eastAsia"/>
                <w:sz w:val="21"/>
              </w:rPr>
              <w:t>政府及资助日间托儿所名额</w:t>
            </w:r>
          </w:p>
        </w:tc>
        <w:tc>
          <w:tcPr>
            <w:tcW w:w="3137" w:type="dxa"/>
          </w:tcPr>
          <w:p w:rsidR="00000000" w:rsidRDefault="00000000">
            <w:pPr>
              <w:spacing w:before="80"/>
              <w:ind w:left="113" w:right="113"/>
              <w:jc w:val="center"/>
              <w:rPr>
                <w:sz w:val="21"/>
              </w:rPr>
            </w:pPr>
            <w:r>
              <w:rPr>
                <w:sz w:val="21"/>
              </w:rPr>
              <w:t>23,768</w:t>
            </w:r>
            <w:r>
              <w:rPr>
                <w:rFonts w:hint="eastAsia"/>
                <w:sz w:val="21"/>
              </w:rPr>
              <w:t>个</w:t>
            </w:r>
          </w:p>
        </w:tc>
        <w:tc>
          <w:tcPr>
            <w:tcW w:w="3137" w:type="dxa"/>
          </w:tcPr>
          <w:p w:rsidR="00000000" w:rsidRDefault="00000000">
            <w:pPr>
              <w:spacing w:before="80"/>
              <w:ind w:left="113" w:right="113"/>
              <w:jc w:val="center"/>
              <w:rPr>
                <w:sz w:val="21"/>
              </w:rPr>
            </w:pPr>
            <w:r>
              <w:rPr>
                <w:sz w:val="21"/>
              </w:rPr>
              <w:t>25,941</w:t>
            </w:r>
            <w:r>
              <w:rPr>
                <w:rFonts w:hint="eastAsia"/>
                <w:sz w:val="21"/>
              </w:rPr>
              <w:t>个</w:t>
            </w:r>
          </w:p>
        </w:tc>
      </w:tr>
      <w:tr w:rsidR="00000000">
        <w:tblPrEx>
          <w:tblCellMar>
            <w:top w:w="0" w:type="dxa"/>
            <w:bottom w:w="0" w:type="dxa"/>
          </w:tblCellMar>
        </w:tblPrEx>
        <w:tc>
          <w:tcPr>
            <w:tcW w:w="3137" w:type="dxa"/>
          </w:tcPr>
          <w:p w:rsidR="00000000" w:rsidRDefault="00000000">
            <w:pPr>
              <w:spacing w:before="80"/>
              <w:ind w:left="113" w:right="113"/>
              <w:rPr>
                <w:sz w:val="21"/>
              </w:rPr>
            </w:pPr>
            <w:r>
              <w:rPr>
                <w:rFonts w:hint="eastAsia"/>
                <w:sz w:val="21"/>
              </w:rPr>
              <w:t>资助日间育婴园名额</w:t>
            </w:r>
          </w:p>
        </w:tc>
        <w:tc>
          <w:tcPr>
            <w:tcW w:w="3137" w:type="dxa"/>
          </w:tcPr>
          <w:p w:rsidR="00000000" w:rsidRDefault="00000000">
            <w:pPr>
              <w:spacing w:before="80"/>
              <w:ind w:left="113" w:right="113"/>
              <w:jc w:val="center"/>
              <w:rPr>
                <w:sz w:val="21"/>
              </w:rPr>
            </w:pPr>
            <w:r>
              <w:rPr>
                <w:sz w:val="21"/>
              </w:rPr>
              <w:t xml:space="preserve"> 1,440</w:t>
            </w:r>
            <w:r>
              <w:rPr>
                <w:rFonts w:hint="eastAsia"/>
                <w:sz w:val="21"/>
              </w:rPr>
              <w:t>个</w:t>
            </w:r>
          </w:p>
        </w:tc>
        <w:tc>
          <w:tcPr>
            <w:tcW w:w="3137" w:type="dxa"/>
          </w:tcPr>
          <w:p w:rsidR="00000000" w:rsidRDefault="00000000">
            <w:pPr>
              <w:spacing w:before="80"/>
              <w:ind w:left="113" w:right="113"/>
              <w:jc w:val="center"/>
              <w:rPr>
                <w:sz w:val="21"/>
              </w:rPr>
            </w:pPr>
            <w:r>
              <w:rPr>
                <w:sz w:val="21"/>
              </w:rPr>
              <w:t xml:space="preserve"> 1,479</w:t>
            </w:r>
            <w:r>
              <w:rPr>
                <w:rFonts w:hint="eastAsia"/>
                <w:sz w:val="21"/>
              </w:rPr>
              <w:t>个</w:t>
            </w:r>
          </w:p>
        </w:tc>
      </w:tr>
      <w:tr w:rsidR="00000000">
        <w:tblPrEx>
          <w:tblCellMar>
            <w:top w:w="0" w:type="dxa"/>
            <w:bottom w:w="0" w:type="dxa"/>
          </w:tblCellMar>
        </w:tblPrEx>
        <w:tc>
          <w:tcPr>
            <w:tcW w:w="3137" w:type="dxa"/>
          </w:tcPr>
          <w:p w:rsidR="00000000" w:rsidRDefault="00000000">
            <w:pPr>
              <w:spacing w:before="120"/>
              <w:ind w:left="113" w:right="113"/>
              <w:rPr>
                <w:sz w:val="21"/>
              </w:rPr>
            </w:pPr>
            <w:r>
              <w:rPr>
                <w:rFonts w:hint="eastAsia"/>
                <w:sz w:val="21"/>
              </w:rPr>
              <w:t>暂托幼儿服务单位</w:t>
            </w:r>
            <w:r>
              <w:rPr>
                <w:sz w:val="21"/>
              </w:rPr>
              <w:br/>
              <w:t xml:space="preserve"> (</w:t>
            </w:r>
            <w:r>
              <w:rPr>
                <w:rFonts w:hint="eastAsia"/>
                <w:sz w:val="21"/>
              </w:rPr>
              <w:t>每单位三个名额</w:t>
            </w:r>
            <w:r>
              <w:rPr>
                <w:sz w:val="21"/>
              </w:rPr>
              <w:t>)</w:t>
            </w:r>
          </w:p>
        </w:tc>
        <w:tc>
          <w:tcPr>
            <w:tcW w:w="3137" w:type="dxa"/>
          </w:tcPr>
          <w:p w:rsidR="00000000" w:rsidRDefault="00000000">
            <w:pPr>
              <w:spacing w:before="120"/>
              <w:ind w:left="113" w:right="113"/>
              <w:jc w:val="center"/>
              <w:rPr>
                <w:sz w:val="21"/>
              </w:rPr>
            </w:pPr>
            <w:r>
              <w:rPr>
                <w:sz w:val="21"/>
              </w:rPr>
              <w:t xml:space="preserve">  135</w:t>
            </w:r>
            <w:r>
              <w:rPr>
                <w:rFonts w:hint="eastAsia"/>
                <w:sz w:val="21"/>
              </w:rPr>
              <w:t>个</w:t>
            </w:r>
            <w:r>
              <w:rPr>
                <w:sz w:val="21"/>
              </w:rPr>
              <w:br/>
              <w:t>(405</w:t>
            </w:r>
            <w:r>
              <w:rPr>
                <w:rFonts w:hint="eastAsia"/>
                <w:sz w:val="21"/>
              </w:rPr>
              <w:t>个名额</w:t>
            </w:r>
            <w:r>
              <w:rPr>
                <w:sz w:val="21"/>
              </w:rPr>
              <w:t>)</w:t>
            </w:r>
          </w:p>
        </w:tc>
        <w:tc>
          <w:tcPr>
            <w:tcW w:w="3137" w:type="dxa"/>
          </w:tcPr>
          <w:p w:rsidR="00000000" w:rsidRDefault="00000000">
            <w:pPr>
              <w:spacing w:before="120"/>
              <w:ind w:left="113" w:right="113"/>
              <w:jc w:val="center"/>
              <w:rPr>
                <w:sz w:val="21"/>
              </w:rPr>
            </w:pPr>
            <w:r>
              <w:rPr>
                <w:sz w:val="21"/>
              </w:rPr>
              <w:t xml:space="preserve">   230</w:t>
            </w:r>
            <w:r>
              <w:rPr>
                <w:rFonts w:hint="eastAsia"/>
                <w:sz w:val="21"/>
              </w:rPr>
              <w:t>个</w:t>
            </w:r>
            <w:r>
              <w:rPr>
                <w:sz w:val="21"/>
              </w:rPr>
              <w:br/>
              <w:t>(690</w:t>
            </w:r>
            <w:r>
              <w:rPr>
                <w:rFonts w:hint="eastAsia"/>
                <w:sz w:val="21"/>
              </w:rPr>
              <w:t>个名额</w:t>
            </w:r>
            <w:r>
              <w:rPr>
                <w:sz w:val="21"/>
              </w:rPr>
              <w:t>)</w:t>
            </w:r>
          </w:p>
        </w:tc>
      </w:tr>
      <w:tr w:rsidR="00000000">
        <w:tblPrEx>
          <w:tblCellMar>
            <w:top w:w="0" w:type="dxa"/>
            <w:bottom w:w="0" w:type="dxa"/>
          </w:tblCellMar>
        </w:tblPrEx>
        <w:tc>
          <w:tcPr>
            <w:tcW w:w="3137" w:type="dxa"/>
          </w:tcPr>
          <w:p w:rsidR="00000000" w:rsidRDefault="00000000">
            <w:pPr>
              <w:spacing w:before="120"/>
              <w:ind w:left="113" w:right="113"/>
              <w:rPr>
                <w:sz w:val="21"/>
              </w:rPr>
            </w:pPr>
            <w:r>
              <w:rPr>
                <w:rFonts w:hint="eastAsia"/>
                <w:sz w:val="21"/>
              </w:rPr>
              <w:t>家务助理队</w:t>
            </w:r>
          </w:p>
        </w:tc>
        <w:tc>
          <w:tcPr>
            <w:tcW w:w="3137" w:type="dxa"/>
          </w:tcPr>
          <w:p w:rsidR="00000000" w:rsidRDefault="00000000">
            <w:pPr>
              <w:spacing w:before="120"/>
              <w:ind w:left="113" w:right="113"/>
              <w:jc w:val="center"/>
              <w:rPr>
                <w:sz w:val="21"/>
              </w:rPr>
            </w:pPr>
            <w:r>
              <w:rPr>
                <w:sz w:val="21"/>
              </w:rPr>
              <w:t xml:space="preserve">  100</w:t>
            </w:r>
            <w:r>
              <w:rPr>
                <w:rFonts w:hint="eastAsia"/>
                <w:sz w:val="21"/>
              </w:rPr>
              <w:t>队</w:t>
            </w:r>
          </w:p>
        </w:tc>
        <w:tc>
          <w:tcPr>
            <w:tcW w:w="3137" w:type="dxa"/>
          </w:tcPr>
          <w:p w:rsidR="00000000" w:rsidRDefault="00000000">
            <w:pPr>
              <w:spacing w:before="120"/>
              <w:ind w:left="113" w:right="113"/>
              <w:jc w:val="center"/>
              <w:rPr>
                <w:sz w:val="21"/>
              </w:rPr>
            </w:pPr>
            <w:r>
              <w:rPr>
                <w:sz w:val="21"/>
              </w:rPr>
              <w:t xml:space="preserve">   126</w:t>
            </w:r>
            <w:r>
              <w:rPr>
                <w:rFonts w:hint="eastAsia"/>
                <w:sz w:val="21"/>
              </w:rPr>
              <w:t>队</w:t>
            </w:r>
          </w:p>
        </w:tc>
      </w:tr>
      <w:tr w:rsidR="00000000">
        <w:tblPrEx>
          <w:tblCellMar>
            <w:top w:w="0" w:type="dxa"/>
            <w:bottom w:w="0" w:type="dxa"/>
          </w:tblCellMar>
        </w:tblPrEx>
        <w:tc>
          <w:tcPr>
            <w:tcW w:w="3137" w:type="dxa"/>
          </w:tcPr>
          <w:p w:rsidR="00000000" w:rsidRDefault="00000000">
            <w:pPr>
              <w:spacing w:before="120"/>
              <w:ind w:left="113" w:right="113"/>
              <w:rPr>
                <w:sz w:val="21"/>
              </w:rPr>
            </w:pPr>
            <w:r>
              <w:rPr>
                <w:rFonts w:hint="eastAsia"/>
                <w:sz w:val="21"/>
              </w:rPr>
              <w:t>家务指导员</w:t>
            </w:r>
          </w:p>
        </w:tc>
        <w:tc>
          <w:tcPr>
            <w:tcW w:w="3137" w:type="dxa"/>
          </w:tcPr>
          <w:p w:rsidR="00000000" w:rsidRDefault="00000000">
            <w:pPr>
              <w:spacing w:before="120"/>
              <w:ind w:left="113" w:right="113"/>
              <w:jc w:val="center"/>
              <w:rPr>
                <w:sz w:val="21"/>
              </w:rPr>
            </w:pPr>
            <w:r>
              <w:rPr>
                <w:sz w:val="21"/>
              </w:rPr>
              <w:t xml:space="preserve">   23</w:t>
            </w:r>
            <w:r>
              <w:rPr>
                <w:rFonts w:hint="eastAsia"/>
                <w:sz w:val="21"/>
              </w:rPr>
              <w:t>名</w:t>
            </w:r>
          </w:p>
        </w:tc>
        <w:tc>
          <w:tcPr>
            <w:tcW w:w="3137" w:type="dxa"/>
          </w:tcPr>
          <w:p w:rsidR="00000000" w:rsidRDefault="00000000">
            <w:pPr>
              <w:spacing w:before="120"/>
              <w:ind w:left="113" w:right="113"/>
              <w:jc w:val="center"/>
              <w:rPr>
                <w:sz w:val="21"/>
              </w:rPr>
            </w:pPr>
            <w:r>
              <w:rPr>
                <w:sz w:val="21"/>
              </w:rPr>
              <w:t xml:space="preserve">    52</w:t>
            </w:r>
            <w:r>
              <w:rPr>
                <w:rFonts w:hint="eastAsia"/>
                <w:sz w:val="21"/>
              </w:rPr>
              <w:t>名</w:t>
            </w:r>
          </w:p>
        </w:tc>
      </w:tr>
    </w:tbl>
    <w:p w:rsidR="00000000" w:rsidRDefault="00000000">
      <w:pPr>
        <w:spacing w:before="240"/>
      </w:pPr>
      <w:r>
        <w:rPr>
          <w:rFonts w:hint="eastAsia"/>
        </w:rPr>
        <w:t>我们将会在一九九八至九九年度增设</w:t>
      </w:r>
      <w:r>
        <w:t>1,882</w:t>
      </w:r>
      <w:r>
        <w:rPr>
          <w:rFonts w:hint="eastAsia"/>
        </w:rPr>
        <w:t>个资助日间托儿所名额、</w:t>
      </w:r>
      <w:r>
        <w:t>142</w:t>
      </w:r>
      <w:r>
        <w:rPr>
          <w:rFonts w:hint="eastAsia"/>
        </w:rPr>
        <w:t>个资助日间育婴园名额、六个暂托幼儿服务单位，以及</w:t>
      </w:r>
      <w:r>
        <w:t>23</w:t>
      </w:r>
      <w:r>
        <w:rPr>
          <w:rFonts w:hint="eastAsia"/>
        </w:rPr>
        <w:t>队家务助理队。</w:t>
      </w:r>
    </w:p>
    <w:p w:rsidR="00000000" w:rsidRDefault="00000000">
      <w:r>
        <w:tab/>
        <w:t xml:space="preserve">225.  </w:t>
      </w:r>
      <w:r>
        <w:rPr>
          <w:rFonts w:hint="eastAsia"/>
        </w:rPr>
        <w:t>政府向不能负担日间托儿所和育婴园费用的家长提供资助。截至一九九八年六月三十日，约有</w:t>
      </w:r>
      <w:r>
        <w:t>19,000</w:t>
      </w:r>
      <w:r>
        <w:rPr>
          <w:rFonts w:hint="eastAsia"/>
        </w:rPr>
        <w:t>名儿童领取这项资助。</w:t>
      </w:r>
    </w:p>
    <w:p w:rsidR="00000000" w:rsidRDefault="00000000">
      <w:pPr>
        <w:spacing w:after="160"/>
        <w:textAlignment w:val="center"/>
      </w:pPr>
      <w:r>
        <w:tab/>
        <w:t xml:space="preserve">226.  </w:t>
      </w:r>
      <w:r>
        <w:rPr>
          <w:rFonts w:hint="eastAsia"/>
        </w:rPr>
        <w:t>如上次报告第</w:t>
      </w:r>
      <w:r>
        <w:t>101(c)</w:t>
      </w:r>
      <w:r>
        <w:rPr>
          <w:rFonts w:hint="eastAsia"/>
        </w:rPr>
        <w:t>段所述，现时有多项服务帮助出现严重问题的家庭。又如前所述，这些服务包括家庭个案服务、临床心理服务、学校社工服务及医务社会工作服务。无法与父母同住的儿童，仍会获得临时住宿照顾</w:t>
      </w:r>
      <w:r>
        <w:t>(</w:t>
      </w:r>
      <w:r>
        <w:rPr>
          <w:rFonts w:hint="eastAsia"/>
        </w:rPr>
        <w:t>包括安排寄养、儿童之家、留宿托儿所及育婴园，以及住宿院舍</w:t>
      </w:r>
      <w:r>
        <w:t>)</w:t>
      </w:r>
      <w:r>
        <w:rPr>
          <w:rFonts w:hint="eastAsia"/>
        </w:rPr>
        <w:t>。这些服务的整体需求日益增加，为此，服务名额已由一九九四至九五年度的</w:t>
      </w:r>
      <w:r>
        <w:t>3,260</w:t>
      </w:r>
      <w:r>
        <w:rPr>
          <w:rFonts w:hint="eastAsia"/>
        </w:rPr>
        <w:t>个增加至一九九七至九八年度的</w:t>
      </w:r>
      <w:r>
        <w:t>3,309</w:t>
      </w:r>
      <w:r>
        <w:rPr>
          <w:rFonts w:hint="eastAsia"/>
        </w:rPr>
        <w:t>个，详情如下：</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Pr>
          <w:p w:rsidR="00000000" w:rsidRDefault="00000000">
            <w:pPr>
              <w:spacing w:before="60"/>
              <w:ind w:left="113" w:right="113"/>
              <w:rPr>
                <w:sz w:val="21"/>
              </w:rPr>
            </w:pPr>
          </w:p>
        </w:tc>
        <w:tc>
          <w:tcPr>
            <w:tcW w:w="3137" w:type="dxa"/>
          </w:tcPr>
          <w:p w:rsidR="00000000" w:rsidRDefault="00000000">
            <w:pPr>
              <w:spacing w:before="60"/>
              <w:ind w:left="113" w:right="113"/>
              <w:jc w:val="center"/>
              <w:rPr>
                <w:sz w:val="21"/>
              </w:rPr>
            </w:pPr>
            <w:r>
              <w:rPr>
                <w:rFonts w:hint="eastAsia"/>
                <w:sz w:val="21"/>
              </w:rPr>
              <w:t>一九九四至九五年度</w:t>
            </w:r>
            <w:r>
              <w:rPr>
                <w:sz w:val="21"/>
              </w:rPr>
              <w:br/>
            </w:r>
            <w:r>
              <w:rPr>
                <w:rFonts w:hint="eastAsia"/>
                <w:sz w:val="21"/>
              </w:rPr>
              <w:t>的提供情况</w:t>
            </w:r>
          </w:p>
        </w:tc>
        <w:tc>
          <w:tcPr>
            <w:tcW w:w="3137" w:type="dxa"/>
          </w:tcPr>
          <w:p w:rsidR="00000000" w:rsidRDefault="00000000">
            <w:pPr>
              <w:spacing w:before="60"/>
              <w:ind w:left="113" w:right="113"/>
              <w:jc w:val="center"/>
              <w:rPr>
                <w:sz w:val="21"/>
              </w:rPr>
            </w:pPr>
            <w:r>
              <w:rPr>
                <w:rFonts w:hint="eastAsia"/>
                <w:sz w:val="21"/>
              </w:rPr>
              <w:t>一九九七至九八年度</w:t>
            </w:r>
            <w:r>
              <w:rPr>
                <w:sz w:val="21"/>
              </w:rPr>
              <w:br/>
            </w:r>
            <w:r>
              <w:rPr>
                <w:rFonts w:hint="eastAsia"/>
                <w:sz w:val="21"/>
              </w:rPr>
              <w:t>的提供情况</w:t>
            </w:r>
          </w:p>
        </w:tc>
      </w:tr>
      <w:tr w:rsidR="00000000">
        <w:tblPrEx>
          <w:tblCellMar>
            <w:top w:w="0" w:type="dxa"/>
            <w:bottom w:w="0" w:type="dxa"/>
          </w:tblCellMar>
        </w:tblPrEx>
        <w:tc>
          <w:tcPr>
            <w:tcW w:w="3137" w:type="dxa"/>
          </w:tcPr>
          <w:p w:rsidR="00000000" w:rsidRDefault="00000000">
            <w:pPr>
              <w:spacing w:before="60"/>
              <w:ind w:left="113" w:right="113"/>
              <w:rPr>
                <w:sz w:val="21"/>
              </w:rPr>
            </w:pPr>
            <w:r>
              <w:rPr>
                <w:rFonts w:hint="eastAsia"/>
                <w:sz w:val="21"/>
              </w:rPr>
              <w:t>家庭个案工作者</w:t>
            </w:r>
          </w:p>
        </w:tc>
        <w:tc>
          <w:tcPr>
            <w:tcW w:w="3137" w:type="dxa"/>
          </w:tcPr>
          <w:p w:rsidR="00000000" w:rsidRDefault="00000000">
            <w:pPr>
              <w:spacing w:before="60"/>
              <w:ind w:left="113" w:right="113"/>
              <w:jc w:val="center"/>
              <w:rPr>
                <w:sz w:val="21"/>
              </w:rPr>
            </w:pPr>
            <w:r>
              <w:rPr>
                <w:sz w:val="21"/>
              </w:rPr>
              <w:t>491</w:t>
            </w:r>
            <w:r>
              <w:rPr>
                <w:rFonts w:hint="eastAsia"/>
                <w:sz w:val="21"/>
              </w:rPr>
              <w:t>人</w:t>
            </w:r>
          </w:p>
        </w:tc>
        <w:tc>
          <w:tcPr>
            <w:tcW w:w="3137" w:type="dxa"/>
          </w:tcPr>
          <w:p w:rsidR="00000000" w:rsidRDefault="00000000">
            <w:pPr>
              <w:spacing w:before="60"/>
              <w:ind w:left="113" w:right="113"/>
              <w:jc w:val="center"/>
              <w:rPr>
                <w:sz w:val="21"/>
              </w:rPr>
            </w:pPr>
            <w:r>
              <w:rPr>
                <w:sz w:val="21"/>
              </w:rPr>
              <w:t>706</w:t>
            </w:r>
            <w:r>
              <w:rPr>
                <w:rFonts w:hint="eastAsia"/>
                <w:sz w:val="21"/>
              </w:rPr>
              <w:t>人</w:t>
            </w:r>
          </w:p>
        </w:tc>
      </w:tr>
      <w:tr w:rsidR="00000000">
        <w:tblPrEx>
          <w:tblCellMar>
            <w:top w:w="0" w:type="dxa"/>
            <w:bottom w:w="0" w:type="dxa"/>
          </w:tblCellMar>
        </w:tblPrEx>
        <w:tc>
          <w:tcPr>
            <w:tcW w:w="3137" w:type="dxa"/>
          </w:tcPr>
          <w:p w:rsidR="00000000" w:rsidRDefault="00000000">
            <w:pPr>
              <w:spacing w:before="60"/>
              <w:ind w:left="113" w:right="113"/>
              <w:rPr>
                <w:sz w:val="21"/>
              </w:rPr>
            </w:pPr>
            <w:r>
              <w:rPr>
                <w:rFonts w:hint="eastAsia"/>
                <w:sz w:val="21"/>
              </w:rPr>
              <w:t>临床心理学家</w:t>
            </w:r>
          </w:p>
        </w:tc>
        <w:tc>
          <w:tcPr>
            <w:tcW w:w="3137" w:type="dxa"/>
          </w:tcPr>
          <w:p w:rsidR="00000000" w:rsidRDefault="00000000">
            <w:pPr>
              <w:spacing w:before="60"/>
              <w:ind w:left="113" w:right="113"/>
              <w:jc w:val="center"/>
              <w:rPr>
                <w:sz w:val="21"/>
              </w:rPr>
            </w:pPr>
            <w:r>
              <w:rPr>
                <w:sz w:val="21"/>
              </w:rPr>
              <w:t>32</w:t>
            </w:r>
            <w:r>
              <w:rPr>
                <w:rFonts w:hint="eastAsia"/>
                <w:sz w:val="21"/>
              </w:rPr>
              <w:t>人</w:t>
            </w:r>
          </w:p>
        </w:tc>
        <w:tc>
          <w:tcPr>
            <w:tcW w:w="3137" w:type="dxa"/>
          </w:tcPr>
          <w:p w:rsidR="00000000" w:rsidRDefault="00000000">
            <w:pPr>
              <w:spacing w:before="60"/>
              <w:ind w:left="113" w:right="113"/>
              <w:jc w:val="center"/>
              <w:rPr>
                <w:sz w:val="21"/>
              </w:rPr>
            </w:pPr>
            <w:r>
              <w:rPr>
                <w:sz w:val="21"/>
              </w:rPr>
              <w:t>59</w:t>
            </w:r>
            <w:r>
              <w:rPr>
                <w:rFonts w:hint="eastAsia"/>
                <w:sz w:val="21"/>
              </w:rPr>
              <w:t>人</w:t>
            </w:r>
          </w:p>
        </w:tc>
      </w:tr>
      <w:tr w:rsidR="00000000">
        <w:tblPrEx>
          <w:tblCellMar>
            <w:top w:w="0" w:type="dxa"/>
            <w:bottom w:w="0" w:type="dxa"/>
          </w:tblCellMar>
        </w:tblPrEx>
        <w:tc>
          <w:tcPr>
            <w:tcW w:w="3137" w:type="dxa"/>
          </w:tcPr>
          <w:p w:rsidR="00000000" w:rsidRDefault="00000000">
            <w:pPr>
              <w:spacing w:before="60"/>
              <w:ind w:left="113" w:right="113"/>
              <w:rPr>
                <w:sz w:val="21"/>
              </w:rPr>
            </w:pPr>
            <w:r>
              <w:rPr>
                <w:rFonts w:hint="eastAsia"/>
                <w:sz w:val="21"/>
              </w:rPr>
              <w:t>学校社会工作者</w:t>
            </w:r>
          </w:p>
        </w:tc>
        <w:tc>
          <w:tcPr>
            <w:tcW w:w="3137" w:type="dxa"/>
          </w:tcPr>
          <w:p w:rsidR="00000000" w:rsidRDefault="00000000">
            <w:pPr>
              <w:spacing w:before="60"/>
              <w:ind w:left="113" w:right="113"/>
              <w:jc w:val="center"/>
              <w:rPr>
                <w:sz w:val="21"/>
              </w:rPr>
            </w:pPr>
            <w:r>
              <w:rPr>
                <w:sz w:val="21"/>
              </w:rPr>
              <w:t>227</w:t>
            </w:r>
            <w:r>
              <w:rPr>
                <w:rFonts w:hint="eastAsia"/>
                <w:sz w:val="21"/>
              </w:rPr>
              <w:t>人</w:t>
            </w:r>
          </w:p>
        </w:tc>
        <w:tc>
          <w:tcPr>
            <w:tcW w:w="3137" w:type="dxa"/>
          </w:tcPr>
          <w:p w:rsidR="00000000" w:rsidRDefault="00000000">
            <w:pPr>
              <w:spacing w:before="60"/>
              <w:ind w:left="113" w:right="113"/>
              <w:jc w:val="center"/>
              <w:rPr>
                <w:sz w:val="21"/>
              </w:rPr>
            </w:pPr>
            <w:r>
              <w:rPr>
                <w:sz w:val="21"/>
              </w:rPr>
              <w:t>286</w:t>
            </w:r>
            <w:r>
              <w:rPr>
                <w:rFonts w:hint="eastAsia"/>
                <w:sz w:val="21"/>
              </w:rPr>
              <w:t>人</w:t>
            </w:r>
          </w:p>
        </w:tc>
      </w:tr>
      <w:tr w:rsidR="00000000">
        <w:tblPrEx>
          <w:tblCellMar>
            <w:top w:w="0" w:type="dxa"/>
            <w:bottom w:w="0" w:type="dxa"/>
          </w:tblCellMar>
        </w:tblPrEx>
        <w:tc>
          <w:tcPr>
            <w:tcW w:w="3137" w:type="dxa"/>
          </w:tcPr>
          <w:p w:rsidR="00000000" w:rsidRDefault="00000000">
            <w:pPr>
              <w:spacing w:before="60"/>
              <w:ind w:left="113" w:right="113"/>
              <w:rPr>
                <w:sz w:val="21"/>
              </w:rPr>
            </w:pPr>
            <w:r>
              <w:rPr>
                <w:rFonts w:hint="eastAsia"/>
                <w:sz w:val="21"/>
              </w:rPr>
              <w:t>医务社会工作者</w:t>
            </w:r>
          </w:p>
        </w:tc>
        <w:tc>
          <w:tcPr>
            <w:tcW w:w="3137" w:type="dxa"/>
          </w:tcPr>
          <w:p w:rsidR="00000000" w:rsidRDefault="00000000">
            <w:pPr>
              <w:spacing w:before="60"/>
              <w:ind w:left="113" w:right="113"/>
              <w:jc w:val="center"/>
              <w:rPr>
                <w:sz w:val="21"/>
              </w:rPr>
            </w:pPr>
            <w:r>
              <w:rPr>
                <w:sz w:val="21"/>
              </w:rPr>
              <w:t>318</w:t>
            </w:r>
            <w:r>
              <w:rPr>
                <w:rFonts w:hint="eastAsia"/>
                <w:sz w:val="21"/>
              </w:rPr>
              <w:t>人</w:t>
            </w:r>
          </w:p>
        </w:tc>
        <w:tc>
          <w:tcPr>
            <w:tcW w:w="3137" w:type="dxa"/>
          </w:tcPr>
          <w:p w:rsidR="00000000" w:rsidRDefault="00000000">
            <w:pPr>
              <w:spacing w:before="60"/>
              <w:ind w:left="113" w:right="113"/>
              <w:jc w:val="center"/>
              <w:rPr>
                <w:sz w:val="21"/>
              </w:rPr>
            </w:pPr>
            <w:r>
              <w:rPr>
                <w:sz w:val="21"/>
              </w:rPr>
              <w:t>372</w:t>
            </w:r>
            <w:r>
              <w:rPr>
                <w:rFonts w:hint="eastAsia"/>
                <w:sz w:val="21"/>
              </w:rPr>
              <w:t>人</w:t>
            </w:r>
          </w:p>
        </w:tc>
      </w:tr>
      <w:tr w:rsidR="00000000">
        <w:tblPrEx>
          <w:tblCellMar>
            <w:top w:w="0" w:type="dxa"/>
            <w:bottom w:w="0" w:type="dxa"/>
          </w:tblCellMar>
        </w:tblPrEx>
        <w:tc>
          <w:tcPr>
            <w:tcW w:w="3137" w:type="dxa"/>
          </w:tcPr>
          <w:p w:rsidR="00000000" w:rsidRDefault="00000000">
            <w:pPr>
              <w:spacing w:before="60"/>
              <w:ind w:left="113" w:right="113"/>
              <w:rPr>
                <w:sz w:val="21"/>
              </w:rPr>
            </w:pPr>
            <w:r>
              <w:rPr>
                <w:rFonts w:hint="eastAsia"/>
                <w:sz w:val="21"/>
              </w:rPr>
              <w:t>寄养名额</w:t>
            </w:r>
          </w:p>
        </w:tc>
        <w:tc>
          <w:tcPr>
            <w:tcW w:w="3137" w:type="dxa"/>
          </w:tcPr>
          <w:p w:rsidR="00000000" w:rsidRDefault="00000000">
            <w:pPr>
              <w:spacing w:before="60"/>
              <w:ind w:left="113" w:right="113"/>
              <w:jc w:val="center"/>
              <w:rPr>
                <w:sz w:val="21"/>
              </w:rPr>
            </w:pPr>
            <w:r>
              <w:rPr>
                <w:sz w:val="21"/>
              </w:rPr>
              <w:t>560</w:t>
            </w:r>
            <w:r>
              <w:rPr>
                <w:rFonts w:hint="eastAsia"/>
                <w:sz w:val="21"/>
              </w:rPr>
              <w:t>个</w:t>
            </w:r>
          </w:p>
        </w:tc>
        <w:tc>
          <w:tcPr>
            <w:tcW w:w="3137" w:type="dxa"/>
          </w:tcPr>
          <w:p w:rsidR="00000000" w:rsidRDefault="00000000">
            <w:pPr>
              <w:spacing w:before="60"/>
              <w:ind w:left="113" w:right="113"/>
              <w:jc w:val="center"/>
              <w:rPr>
                <w:sz w:val="21"/>
              </w:rPr>
            </w:pPr>
            <w:r>
              <w:rPr>
                <w:sz w:val="21"/>
              </w:rPr>
              <w:t>600</w:t>
            </w:r>
            <w:r>
              <w:rPr>
                <w:rFonts w:hint="eastAsia"/>
                <w:sz w:val="21"/>
              </w:rPr>
              <w:t>个</w:t>
            </w:r>
          </w:p>
        </w:tc>
      </w:tr>
      <w:tr w:rsidR="00000000">
        <w:tblPrEx>
          <w:tblCellMar>
            <w:top w:w="0" w:type="dxa"/>
            <w:bottom w:w="0" w:type="dxa"/>
          </w:tblCellMar>
        </w:tblPrEx>
        <w:tc>
          <w:tcPr>
            <w:tcW w:w="3137" w:type="dxa"/>
          </w:tcPr>
          <w:p w:rsidR="00000000" w:rsidRDefault="00000000">
            <w:pPr>
              <w:spacing w:before="60"/>
              <w:ind w:left="113" w:right="113"/>
              <w:rPr>
                <w:sz w:val="21"/>
              </w:rPr>
            </w:pPr>
            <w:r>
              <w:rPr>
                <w:rFonts w:hint="eastAsia"/>
                <w:sz w:val="21"/>
              </w:rPr>
              <w:t>儿童之家</w:t>
            </w:r>
          </w:p>
        </w:tc>
        <w:tc>
          <w:tcPr>
            <w:tcW w:w="3137" w:type="dxa"/>
          </w:tcPr>
          <w:p w:rsidR="00000000" w:rsidRDefault="00000000">
            <w:pPr>
              <w:spacing w:before="60"/>
              <w:ind w:left="113" w:right="113"/>
              <w:jc w:val="center"/>
              <w:rPr>
                <w:sz w:val="21"/>
              </w:rPr>
            </w:pPr>
            <w:r>
              <w:rPr>
                <w:sz w:val="21"/>
              </w:rPr>
              <w:t>86</w:t>
            </w:r>
            <w:r>
              <w:rPr>
                <w:rFonts w:hint="eastAsia"/>
                <w:sz w:val="21"/>
              </w:rPr>
              <w:t>个</w:t>
            </w:r>
          </w:p>
        </w:tc>
        <w:tc>
          <w:tcPr>
            <w:tcW w:w="3137" w:type="dxa"/>
          </w:tcPr>
          <w:p w:rsidR="00000000" w:rsidRDefault="00000000">
            <w:pPr>
              <w:spacing w:before="60"/>
              <w:ind w:left="113" w:right="113"/>
              <w:jc w:val="center"/>
              <w:rPr>
                <w:sz w:val="21"/>
              </w:rPr>
            </w:pPr>
            <w:r>
              <w:rPr>
                <w:sz w:val="21"/>
              </w:rPr>
              <w:t>113</w:t>
            </w:r>
            <w:r>
              <w:rPr>
                <w:rFonts w:hint="eastAsia"/>
                <w:sz w:val="21"/>
              </w:rPr>
              <w:t>个</w:t>
            </w:r>
          </w:p>
        </w:tc>
      </w:tr>
    </w:tbl>
    <w:p w:rsidR="00000000" w:rsidRDefault="00000000">
      <w:pPr>
        <w:spacing w:before="240"/>
      </w:pPr>
      <w:r>
        <w:tab/>
        <w:t xml:space="preserve">227.  </w:t>
      </w:r>
      <w:r>
        <w:rPr>
          <w:rFonts w:hint="eastAsia"/>
        </w:rPr>
        <w:t>当局密切监察以上服务的使用情况，以评估持续需求和以制定未来计划。目前的数据显示，当局现时提供的服务已属足够。</w:t>
      </w:r>
    </w:p>
    <w:p w:rsidR="00000000" w:rsidRDefault="00000000">
      <w:pPr>
        <w:spacing w:after="240"/>
      </w:pPr>
      <w:r>
        <w:tab/>
        <w:t xml:space="preserve">228.  </w:t>
      </w:r>
      <w:r>
        <w:rPr>
          <w:rFonts w:hint="eastAsia"/>
        </w:rPr>
        <w:t>政府仍然认为，寄养及儿童之家能让与父母分开的儿童在自然的家庭环境中获得照顾，对儿童最为合适。为了应付日益增加的需求及改善服务质素，我们会在一九九八至九九年度增聘</w:t>
      </w:r>
      <w:r>
        <w:t>26</w:t>
      </w:r>
      <w:r>
        <w:rPr>
          <w:rFonts w:hint="eastAsia"/>
        </w:rPr>
        <w:t>名家庭个案工作者。此外，我们还会增聘八名临床心理学家。</w:t>
      </w:r>
    </w:p>
    <w:p w:rsidR="00000000" w:rsidRDefault="00000000">
      <w:pPr>
        <w:pStyle w:val="Heading4"/>
      </w:pPr>
      <w:r>
        <w:rPr>
          <w:rFonts w:hint="eastAsia"/>
        </w:rPr>
        <w:t>课余托管</w:t>
      </w:r>
    </w:p>
    <w:p w:rsidR="00000000" w:rsidRDefault="00000000">
      <w:r>
        <w:tab/>
        <w:t xml:space="preserve">229.  </w:t>
      </w:r>
      <w:r>
        <w:rPr>
          <w:rFonts w:hint="eastAsia"/>
        </w:rPr>
        <w:t>如上次报告第</w:t>
      </w:r>
      <w:r>
        <w:t>102</w:t>
      </w:r>
      <w:r>
        <w:rPr>
          <w:rFonts w:hint="eastAsia"/>
        </w:rPr>
        <w:t>段所述，课余托管计划为下课后无法获得父母适当管教的</w:t>
      </w:r>
      <w:r>
        <w:t>6</w:t>
      </w:r>
      <w:r>
        <w:rPr>
          <w:rFonts w:hint="eastAsia"/>
        </w:rPr>
        <w:t>至</w:t>
      </w:r>
      <w:r>
        <w:t>12</w:t>
      </w:r>
      <w:r>
        <w:rPr>
          <w:rFonts w:hint="eastAsia"/>
        </w:rPr>
        <w:t>岁儿童提供照顾和其他支援服务</w:t>
      </w:r>
      <w:r>
        <w:t xml:space="preserve"> </w:t>
      </w:r>
      <w:r>
        <w:rPr>
          <w:rStyle w:val="FootnoteReference"/>
        </w:rPr>
        <w:footnoteReference w:id="56"/>
      </w:r>
      <w:r>
        <w:rPr>
          <w:rFonts w:hint="eastAsia"/>
        </w:rPr>
        <w:t>。截至一九九八年三月三十一日，当局共举办了约</w:t>
      </w:r>
      <w:r>
        <w:t>126</w:t>
      </w:r>
      <w:r>
        <w:rPr>
          <w:rFonts w:hint="eastAsia"/>
        </w:rPr>
        <w:t>项课余托管计划，为超过</w:t>
      </w:r>
      <w:r>
        <w:t>5,700</w:t>
      </w:r>
      <w:r>
        <w:rPr>
          <w:rFonts w:hint="eastAsia"/>
        </w:rPr>
        <w:t>名小学生提供服务</w:t>
      </w:r>
      <w:r>
        <w:t>(</w:t>
      </w:r>
      <w:r>
        <w:rPr>
          <w:rFonts w:hint="eastAsia"/>
        </w:rPr>
        <w:t>一九九四年十二月的相应数字分别为</w:t>
      </w:r>
      <w:r>
        <w:t>118</w:t>
      </w:r>
      <w:r>
        <w:rPr>
          <w:rFonts w:hint="eastAsia"/>
        </w:rPr>
        <w:t>项和</w:t>
      </w:r>
      <w:r>
        <w:t>4,600</w:t>
      </w:r>
      <w:r>
        <w:rPr>
          <w:rFonts w:hint="eastAsia"/>
        </w:rPr>
        <w:t>名</w:t>
      </w:r>
      <w:r>
        <w:t>)</w:t>
      </w:r>
      <w:r>
        <w:rPr>
          <w:rFonts w:hint="eastAsia"/>
        </w:rPr>
        <w:t>。</w:t>
      </w:r>
    </w:p>
    <w:p w:rsidR="00000000" w:rsidRDefault="00000000">
      <w:pPr>
        <w:spacing w:after="320"/>
        <w:textAlignment w:val="center"/>
      </w:pPr>
      <w:r>
        <w:tab/>
        <w:t xml:space="preserve">230.  </w:t>
      </w:r>
      <w:r>
        <w:rPr>
          <w:rFonts w:hint="eastAsia"/>
        </w:rPr>
        <w:t>如上次报告第</w:t>
      </w:r>
      <w:r>
        <w:t>103</w:t>
      </w:r>
      <w:r>
        <w:rPr>
          <w:rFonts w:hint="eastAsia"/>
        </w:rPr>
        <w:t>段所述，课余托管计划是由非政府机构提供的非牟利服务。由于服务是以自负盈亏方式办理，所以必须收取费用。每个中心所收取的费用因个别中心的实际营运开支而有所不同</w:t>
      </w:r>
      <w:r>
        <w:t>(</w:t>
      </w:r>
      <w:r>
        <w:rPr>
          <w:rFonts w:hint="eastAsia"/>
        </w:rPr>
        <w:t>视中心的规模及地点而定</w:t>
      </w:r>
      <w:r>
        <w:t>)</w:t>
      </w:r>
      <w:r>
        <w:rPr>
          <w:rFonts w:hint="eastAsia"/>
        </w:rPr>
        <w:t>。政府提供的租金及差饷资助，帮助减低这些中心的开支，从而减低收费。截至一九九八年三月三十一日，每月平均收费为</w:t>
      </w:r>
      <w:r>
        <w:t>1,100</w:t>
      </w:r>
      <w:r>
        <w:rPr>
          <w:rFonts w:hint="eastAsia"/>
        </w:rPr>
        <w:t>港元。</w:t>
      </w:r>
    </w:p>
    <w:p w:rsidR="00000000" w:rsidRDefault="00000000">
      <w:pPr>
        <w:pStyle w:val="Heading4"/>
      </w:pPr>
      <w:r>
        <w:rPr>
          <w:rFonts w:hint="eastAsia"/>
        </w:rPr>
        <w:t>家庭暴力</w:t>
      </w:r>
    </w:p>
    <w:p w:rsidR="00000000" w:rsidRDefault="00000000">
      <w:pPr>
        <w:pStyle w:val="Heading4"/>
      </w:pPr>
      <w:r>
        <w:rPr>
          <w:u w:val="none"/>
        </w:rPr>
        <w:tab/>
      </w:r>
      <w:r>
        <w:rPr>
          <w:rFonts w:hint="eastAsia"/>
          <w:u w:val="none"/>
        </w:rPr>
        <w:t>《</w:t>
      </w:r>
      <w:r>
        <w:rPr>
          <w:rFonts w:hint="eastAsia"/>
        </w:rPr>
        <w:t>家庭暴力条例》</w:t>
      </w:r>
      <w:r>
        <w:t>(</w:t>
      </w:r>
      <w:r>
        <w:rPr>
          <w:rFonts w:hint="eastAsia"/>
        </w:rPr>
        <w:t>第</w:t>
      </w:r>
      <w:r>
        <w:t>189</w:t>
      </w:r>
      <w:r>
        <w:rPr>
          <w:rFonts w:hint="eastAsia"/>
        </w:rPr>
        <w:t>章</w:t>
      </w:r>
      <w:r>
        <w:t>)</w:t>
      </w:r>
      <w:r>
        <w:rPr>
          <w:rFonts w:hint="eastAsia"/>
        </w:rPr>
        <w:t>所提供的保障</w:t>
      </w:r>
    </w:p>
    <w:p w:rsidR="00000000" w:rsidRDefault="00000000">
      <w:r>
        <w:tab/>
        <w:t xml:space="preserve">231.  </w:t>
      </w:r>
      <w:r>
        <w:rPr>
          <w:rFonts w:hint="eastAsia"/>
        </w:rPr>
        <w:t>家庭暴力事件仍是社会关注的问题，当中最常见的是虐待配偶</w:t>
      </w:r>
      <w:r>
        <w:t xml:space="preserve"> </w:t>
      </w:r>
      <w:r>
        <w:rPr>
          <w:rStyle w:val="FootnoteReference"/>
        </w:rPr>
        <w:footnoteReference w:id="57"/>
      </w:r>
      <w:r>
        <w:rPr>
          <w:rFonts w:hint="eastAsia"/>
        </w:rPr>
        <w:t>。政府的策略是：</w:t>
      </w:r>
    </w:p>
    <w:p w:rsidR="00000000" w:rsidRDefault="00000000">
      <w:pPr>
        <w:pStyle w:val="a0"/>
        <w:numPr>
          <w:ilvl w:val="0"/>
          <w:numId w:val="15"/>
        </w:numPr>
        <w:ind w:left="1531" w:hanging="510"/>
      </w:pPr>
      <w:r>
        <w:rPr>
          <w:rFonts w:hint="eastAsia"/>
        </w:rPr>
        <w:t>通过家庭生活教育和宣传，防止家庭暴力事件发生；</w:t>
      </w:r>
    </w:p>
    <w:p w:rsidR="00000000" w:rsidRDefault="00000000">
      <w:pPr>
        <w:pStyle w:val="a0"/>
        <w:numPr>
          <w:ilvl w:val="0"/>
          <w:numId w:val="15"/>
        </w:numPr>
        <w:ind w:left="1531" w:hanging="510"/>
      </w:pPr>
      <w:r>
        <w:rPr>
          <w:rFonts w:hint="eastAsia"/>
        </w:rPr>
        <w:t>逮捕施暴者，将他们绳之于法；及</w:t>
      </w:r>
    </w:p>
    <w:p w:rsidR="00000000" w:rsidRDefault="00000000">
      <w:pPr>
        <w:pStyle w:val="a0"/>
        <w:numPr>
          <w:ilvl w:val="0"/>
          <w:numId w:val="15"/>
        </w:numPr>
        <w:ind w:left="1531" w:hanging="510"/>
      </w:pPr>
      <w:r>
        <w:rPr>
          <w:rFonts w:hint="eastAsia"/>
        </w:rPr>
        <w:t>通过辅导来帮助受害人。</w:t>
      </w:r>
    </w:p>
    <w:p w:rsidR="00000000" w:rsidRDefault="00000000">
      <w:r>
        <w:tab/>
        <w:t xml:space="preserve">232.  </w:t>
      </w:r>
      <w:r>
        <w:rPr>
          <w:rFonts w:hint="eastAsia"/>
        </w:rPr>
        <w:t>政府于一九八六年制定《家庭暴力条例》，以保障家庭暴力受害人。受害人若受配偶或父母骚扰，可向区域法院申请强制令</w:t>
      </w:r>
      <w:r>
        <w:t xml:space="preserve"> </w:t>
      </w:r>
      <w:r>
        <w:rPr>
          <w:rStyle w:val="FootnoteReference"/>
        </w:rPr>
        <w:footnoteReference w:id="58"/>
      </w:r>
      <w:r>
        <w:rPr>
          <w:rFonts w:hint="eastAsia"/>
        </w:rPr>
        <w:t>，以</w:t>
      </w:r>
    </w:p>
    <w:p w:rsidR="00000000" w:rsidRDefault="00000000">
      <w:pPr>
        <w:pStyle w:val="a0"/>
        <w:numPr>
          <w:ilvl w:val="0"/>
          <w:numId w:val="16"/>
        </w:numPr>
        <w:ind w:left="1531" w:hanging="510"/>
      </w:pPr>
      <w:r>
        <w:rPr>
          <w:rFonts w:hint="eastAsia"/>
        </w:rPr>
        <w:t>禁制另一方骚扰申请人；</w:t>
      </w:r>
    </w:p>
    <w:p w:rsidR="00000000" w:rsidRDefault="00000000">
      <w:pPr>
        <w:pStyle w:val="a0"/>
        <w:numPr>
          <w:ilvl w:val="0"/>
          <w:numId w:val="16"/>
        </w:numPr>
        <w:ind w:left="1531" w:hanging="510"/>
      </w:pPr>
      <w:r>
        <w:rPr>
          <w:rFonts w:hint="eastAsia"/>
        </w:rPr>
        <w:t>禁制另一方骚扰与申请人同住的儿童；</w:t>
      </w:r>
    </w:p>
    <w:p w:rsidR="00000000" w:rsidRDefault="00000000">
      <w:pPr>
        <w:pStyle w:val="a0"/>
        <w:numPr>
          <w:ilvl w:val="0"/>
          <w:numId w:val="16"/>
        </w:numPr>
        <w:ind w:left="1531" w:hanging="510"/>
      </w:pPr>
      <w:r>
        <w:rPr>
          <w:rFonts w:hint="eastAsia"/>
        </w:rPr>
        <w:t>禁止另一方进入其婚姻居所；或</w:t>
      </w:r>
    </w:p>
    <w:p w:rsidR="00000000" w:rsidRDefault="00000000">
      <w:pPr>
        <w:pStyle w:val="a0"/>
        <w:numPr>
          <w:ilvl w:val="0"/>
          <w:numId w:val="16"/>
        </w:numPr>
        <w:ind w:left="1531" w:hanging="510"/>
      </w:pPr>
      <w:r>
        <w:rPr>
          <w:rFonts w:hint="eastAsia"/>
        </w:rPr>
        <w:t>规定另一方必须容许申请人进入并留在其婚姻居所。</w:t>
      </w:r>
    </w:p>
    <w:p w:rsidR="00000000" w:rsidRDefault="00000000">
      <w:pPr>
        <w:spacing w:after="320"/>
        <w:textAlignment w:val="center"/>
      </w:pPr>
      <w:r>
        <w:rPr>
          <w:rFonts w:hint="eastAsia"/>
        </w:rPr>
        <w:t>《家庭暴力条例》第</w:t>
      </w:r>
      <w:r>
        <w:t>5</w:t>
      </w:r>
      <w:r>
        <w:rPr>
          <w:rFonts w:hint="eastAsia"/>
        </w:rPr>
        <w:t>条订明，警务人员毋需授权令，即可逮捕任何他合理地怀疑违反该强制令的人。</w:t>
      </w:r>
    </w:p>
    <w:p w:rsidR="00000000" w:rsidRDefault="00000000">
      <w:pPr>
        <w:pStyle w:val="Heading4"/>
      </w:pPr>
      <w:r>
        <w:rPr>
          <w:u w:val="none"/>
        </w:rPr>
        <w:tab/>
      </w:r>
      <w:r>
        <w:rPr>
          <w:rFonts w:hint="eastAsia"/>
        </w:rPr>
        <w:t>其他法律保障</w:t>
      </w:r>
    </w:p>
    <w:p w:rsidR="00000000" w:rsidRDefault="00000000">
      <w:pPr>
        <w:spacing w:after="320"/>
        <w:textAlignment w:val="center"/>
      </w:pPr>
      <w:r>
        <w:tab/>
        <w:t xml:space="preserve">233.  </w:t>
      </w:r>
      <w:r>
        <w:rPr>
          <w:rFonts w:hint="eastAsia"/>
        </w:rPr>
        <w:t>根据《侵害人身罪条例》</w:t>
      </w:r>
      <w:r>
        <w:t>(</w:t>
      </w:r>
      <w:r>
        <w:rPr>
          <w:rFonts w:hint="eastAsia"/>
        </w:rPr>
        <w:t>第</w:t>
      </w:r>
      <w:r>
        <w:t>212</w:t>
      </w:r>
      <w:r>
        <w:rPr>
          <w:rFonts w:hint="eastAsia"/>
        </w:rPr>
        <w:t>章</w:t>
      </w:r>
      <w:r>
        <w:t>)</w:t>
      </w:r>
      <w:r>
        <w:rPr>
          <w:rFonts w:hint="eastAsia"/>
        </w:rPr>
        <w:t>，伤人、使他人身体受到严重伤害，或袭击他人致造成身体伤害等均属刑事罪行。此外，《刑事罪行条例》</w:t>
      </w:r>
      <w:r>
        <w:t>(</w:t>
      </w:r>
      <w:r>
        <w:rPr>
          <w:rFonts w:hint="eastAsia"/>
        </w:rPr>
        <w:t>第</w:t>
      </w:r>
      <w:r>
        <w:t>200</w:t>
      </w:r>
      <w:r>
        <w:rPr>
          <w:rFonts w:hint="eastAsia"/>
        </w:rPr>
        <w:t>章</w:t>
      </w:r>
      <w:r>
        <w:t>)</w:t>
      </w:r>
      <w:r>
        <w:rPr>
          <w:rFonts w:hint="eastAsia"/>
        </w:rPr>
        <w:t>载有保护儿童免受性侵犯的条文。</w:t>
      </w:r>
    </w:p>
    <w:p w:rsidR="00000000" w:rsidRDefault="00000000">
      <w:pPr>
        <w:pStyle w:val="Heading4"/>
      </w:pPr>
      <w:r>
        <w:rPr>
          <w:u w:val="none"/>
        </w:rPr>
        <w:tab/>
      </w:r>
      <w:r>
        <w:rPr>
          <w:rFonts w:hint="eastAsia"/>
        </w:rPr>
        <w:t>给家庭暴力受害人的照顾</w:t>
      </w:r>
    </w:p>
    <w:p w:rsidR="00000000" w:rsidRDefault="00000000">
      <w:pPr>
        <w:spacing w:after="320"/>
        <w:textAlignment w:val="center"/>
      </w:pPr>
      <w:r>
        <w:tab/>
        <w:t xml:space="preserve">234.  </w:t>
      </w:r>
      <w:r>
        <w:rPr>
          <w:rFonts w:hint="eastAsia"/>
        </w:rPr>
        <w:t>警方与社会工作者及临床心理学家紧密合作，为暴力受害人提供创伤后照顾和辅导服务。儿童初次叙述受侵犯的经过时，会由受过专门训练的人员把叙述过程录影下来。年幼受害人的录影证供可作为呈堂证供，他们也可通过电视直播联系方式，在法庭提供证据或接受提问，从而避免亲自出庭作证所造成的创伤。当局又不断为警务人员举办培训课程，使他们掌握有关处理家庭暴力事件的最新程序和发展，知道在处理这类事件时，必须更加细心。</w:t>
      </w:r>
    </w:p>
    <w:p w:rsidR="00000000" w:rsidRDefault="00000000">
      <w:pPr>
        <w:pStyle w:val="Heading4"/>
      </w:pPr>
      <w:r>
        <w:rPr>
          <w:u w:val="none"/>
        </w:rPr>
        <w:tab/>
      </w:r>
      <w:r>
        <w:rPr>
          <w:rFonts w:hint="eastAsia"/>
        </w:rPr>
        <w:t>受害人是施暴者的配偶或同居伴侣的个案：统计数字</w:t>
      </w:r>
    </w:p>
    <w:p w:rsidR="00000000" w:rsidRDefault="00000000">
      <w:pPr>
        <w:spacing w:after="120"/>
      </w:pPr>
      <w:r>
        <w:tab/>
        <w:t xml:space="preserve">235.  </w:t>
      </w:r>
      <w:r>
        <w:rPr>
          <w:rFonts w:hint="eastAsia"/>
        </w:rPr>
        <w:t>过去三年录得的个案数字如下：</w:t>
      </w:r>
    </w:p>
    <w:tbl>
      <w:tblPr>
        <w:tblW w:w="0" w:type="auto"/>
        <w:tblInd w:w="-26" w:type="dxa"/>
        <w:tblLayout w:type="fixed"/>
        <w:tblCellMar>
          <w:left w:w="28" w:type="dxa"/>
          <w:right w:w="28" w:type="dxa"/>
        </w:tblCellMar>
        <w:tblLook w:val="0000" w:firstRow="0" w:lastRow="0" w:firstColumn="0" w:lastColumn="0" w:noHBand="0" w:noVBand="0"/>
      </w:tblPr>
      <w:tblGrid>
        <w:gridCol w:w="1344"/>
        <w:gridCol w:w="1344"/>
        <w:gridCol w:w="1344"/>
        <w:gridCol w:w="1344"/>
        <w:gridCol w:w="1344"/>
        <w:gridCol w:w="1344"/>
        <w:gridCol w:w="1344"/>
      </w:tblGrid>
      <w:tr w:rsidR="00000000">
        <w:tblPrEx>
          <w:tblCellMar>
            <w:top w:w="0" w:type="dxa"/>
            <w:bottom w:w="0" w:type="dxa"/>
          </w:tblCellMar>
        </w:tblPrEx>
        <w:tc>
          <w:tcPr>
            <w:tcW w:w="1344" w:type="dxa"/>
            <w:tcBorders>
              <w:top w:val="single" w:sz="6" w:space="0" w:color="auto"/>
              <w:left w:val="single" w:sz="6" w:space="0" w:color="auto"/>
            </w:tcBorders>
          </w:tcPr>
          <w:p w:rsidR="00000000" w:rsidRDefault="00000000">
            <w:pPr>
              <w:ind w:left="113"/>
              <w:rPr>
                <w:sz w:val="21"/>
              </w:rPr>
            </w:pPr>
          </w:p>
        </w:tc>
        <w:tc>
          <w:tcPr>
            <w:tcW w:w="268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jc w:val="center"/>
              <w:rPr>
                <w:sz w:val="21"/>
              </w:rPr>
            </w:pPr>
            <w:r>
              <w:rPr>
                <w:sz w:val="21"/>
              </w:rPr>
              <w:t>1995</w:t>
            </w:r>
            <w:r>
              <w:rPr>
                <w:rFonts w:hint="eastAsia"/>
                <w:sz w:val="21"/>
              </w:rPr>
              <w:t>年</w:t>
            </w:r>
          </w:p>
        </w:tc>
        <w:tc>
          <w:tcPr>
            <w:tcW w:w="268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jc w:val="center"/>
              <w:rPr>
                <w:sz w:val="21"/>
              </w:rPr>
            </w:pPr>
            <w:r>
              <w:rPr>
                <w:sz w:val="21"/>
              </w:rPr>
              <w:t>1996</w:t>
            </w:r>
            <w:r>
              <w:rPr>
                <w:rFonts w:hint="eastAsia"/>
                <w:sz w:val="21"/>
              </w:rPr>
              <w:t>年</w:t>
            </w:r>
          </w:p>
        </w:tc>
        <w:tc>
          <w:tcPr>
            <w:tcW w:w="2688"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40"/>
              <w:jc w:val="center"/>
              <w:rPr>
                <w:sz w:val="21"/>
              </w:rPr>
            </w:pPr>
            <w:r>
              <w:rPr>
                <w:sz w:val="21"/>
              </w:rPr>
              <w:t>1997</w:t>
            </w:r>
            <w:r>
              <w:rPr>
                <w:rFonts w:hint="eastAsia"/>
                <w:sz w:val="21"/>
              </w:rPr>
              <w:t>年</w:t>
            </w:r>
          </w:p>
        </w:tc>
      </w:tr>
      <w:tr w:rsidR="00000000">
        <w:tblPrEx>
          <w:tblCellMar>
            <w:top w:w="0" w:type="dxa"/>
            <w:bottom w:w="0" w:type="dxa"/>
          </w:tblCellMar>
        </w:tblPrEx>
        <w:tc>
          <w:tcPr>
            <w:tcW w:w="1344" w:type="dxa"/>
            <w:tcBorders>
              <w:left w:val="single" w:sz="6" w:space="0" w:color="auto"/>
            </w:tcBorders>
          </w:tcPr>
          <w:p w:rsidR="00000000" w:rsidRDefault="00000000">
            <w:pPr>
              <w:ind w:left="113"/>
              <w:jc w:val="center"/>
              <w:rPr>
                <w:sz w:val="21"/>
              </w:rPr>
            </w:pPr>
            <w:r>
              <w:rPr>
                <w:rFonts w:hint="eastAsia"/>
                <w:sz w:val="21"/>
              </w:rPr>
              <w:t>罪行种类</w:t>
            </w:r>
          </w:p>
        </w:tc>
        <w:tc>
          <w:tcPr>
            <w:tcW w:w="1344" w:type="dxa"/>
            <w:tcBorders>
              <w:top w:val="single" w:sz="6" w:space="0" w:color="auto"/>
              <w:left w:val="single" w:sz="6" w:space="0" w:color="auto"/>
              <w:right w:val="single" w:sz="6" w:space="0" w:color="auto"/>
            </w:tcBorders>
          </w:tcPr>
          <w:p w:rsidR="00000000" w:rsidRDefault="00000000">
            <w:pPr>
              <w:spacing w:before="20"/>
              <w:jc w:val="center"/>
              <w:rPr>
                <w:sz w:val="21"/>
              </w:rPr>
            </w:pPr>
            <w:r>
              <w:rPr>
                <w:rFonts w:hint="eastAsia"/>
                <w:sz w:val="21"/>
              </w:rPr>
              <w:t>男性受害人</w:t>
            </w:r>
          </w:p>
        </w:tc>
        <w:tc>
          <w:tcPr>
            <w:tcW w:w="1344" w:type="dxa"/>
            <w:tcBorders>
              <w:top w:val="single" w:sz="6" w:space="0" w:color="auto"/>
              <w:left w:val="single" w:sz="6" w:space="0" w:color="auto"/>
              <w:right w:val="single" w:sz="6" w:space="0" w:color="auto"/>
            </w:tcBorders>
          </w:tcPr>
          <w:p w:rsidR="00000000" w:rsidRDefault="00000000">
            <w:pPr>
              <w:spacing w:before="20"/>
              <w:jc w:val="center"/>
              <w:rPr>
                <w:sz w:val="21"/>
              </w:rPr>
            </w:pPr>
            <w:r>
              <w:rPr>
                <w:rFonts w:hint="eastAsia"/>
                <w:sz w:val="21"/>
              </w:rPr>
              <w:t>女性受害人</w:t>
            </w:r>
          </w:p>
        </w:tc>
        <w:tc>
          <w:tcPr>
            <w:tcW w:w="1344" w:type="dxa"/>
            <w:tcBorders>
              <w:top w:val="single" w:sz="6" w:space="0" w:color="auto"/>
              <w:left w:val="single" w:sz="6" w:space="0" w:color="auto"/>
              <w:right w:val="single" w:sz="6" w:space="0" w:color="auto"/>
            </w:tcBorders>
          </w:tcPr>
          <w:p w:rsidR="00000000" w:rsidRDefault="00000000">
            <w:pPr>
              <w:spacing w:before="20"/>
              <w:jc w:val="center"/>
              <w:rPr>
                <w:sz w:val="21"/>
              </w:rPr>
            </w:pPr>
            <w:r>
              <w:rPr>
                <w:rFonts w:hint="eastAsia"/>
                <w:sz w:val="21"/>
              </w:rPr>
              <w:t>男性受害人</w:t>
            </w:r>
          </w:p>
        </w:tc>
        <w:tc>
          <w:tcPr>
            <w:tcW w:w="1344" w:type="dxa"/>
            <w:tcBorders>
              <w:top w:val="single" w:sz="6" w:space="0" w:color="auto"/>
              <w:left w:val="single" w:sz="6" w:space="0" w:color="auto"/>
              <w:right w:val="single" w:sz="6" w:space="0" w:color="auto"/>
            </w:tcBorders>
          </w:tcPr>
          <w:p w:rsidR="00000000" w:rsidRDefault="00000000">
            <w:pPr>
              <w:spacing w:before="20"/>
              <w:jc w:val="center"/>
              <w:rPr>
                <w:sz w:val="21"/>
              </w:rPr>
            </w:pPr>
            <w:r>
              <w:rPr>
                <w:rFonts w:hint="eastAsia"/>
                <w:sz w:val="21"/>
              </w:rPr>
              <w:t>女性受害人</w:t>
            </w:r>
          </w:p>
        </w:tc>
        <w:tc>
          <w:tcPr>
            <w:tcW w:w="1344" w:type="dxa"/>
            <w:tcBorders>
              <w:top w:val="single" w:sz="6" w:space="0" w:color="auto"/>
              <w:left w:val="single" w:sz="6" w:space="0" w:color="auto"/>
              <w:right w:val="single" w:sz="6" w:space="0" w:color="auto"/>
            </w:tcBorders>
          </w:tcPr>
          <w:p w:rsidR="00000000" w:rsidRDefault="00000000">
            <w:pPr>
              <w:spacing w:before="20"/>
              <w:jc w:val="center"/>
              <w:rPr>
                <w:sz w:val="21"/>
              </w:rPr>
            </w:pPr>
            <w:r>
              <w:rPr>
                <w:rFonts w:hint="eastAsia"/>
                <w:sz w:val="21"/>
              </w:rPr>
              <w:t>男性受害人</w:t>
            </w:r>
          </w:p>
        </w:tc>
        <w:tc>
          <w:tcPr>
            <w:tcW w:w="1344" w:type="dxa"/>
            <w:tcBorders>
              <w:top w:val="single" w:sz="6" w:space="0" w:color="auto"/>
              <w:left w:val="single" w:sz="6" w:space="0" w:color="auto"/>
              <w:right w:val="single" w:sz="6" w:space="0" w:color="auto"/>
            </w:tcBorders>
          </w:tcPr>
          <w:p w:rsidR="00000000" w:rsidRDefault="00000000">
            <w:pPr>
              <w:spacing w:before="20"/>
              <w:jc w:val="center"/>
              <w:rPr>
                <w:sz w:val="21"/>
              </w:rPr>
            </w:pPr>
            <w:r>
              <w:rPr>
                <w:rFonts w:hint="eastAsia"/>
                <w:sz w:val="21"/>
              </w:rPr>
              <w:t>女性受害人</w:t>
            </w:r>
          </w:p>
        </w:tc>
      </w:tr>
      <w:tr w:rsidR="00000000">
        <w:tblPrEx>
          <w:tblCellMar>
            <w:top w:w="0" w:type="dxa"/>
            <w:bottom w:w="0" w:type="dxa"/>
          </w:tblCellMar>
        </w:tblPrEx>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left="113"/>
              <w:rPr>
                <w:sz w:val="21"/>
              </w:rPr>
            </w:pPr>
            <w:r>
              <w:rPr>
                <w:rFonts w:hint="eastAsia"/>
                <w:sz w:val="21"/>
              </w:rPr>
              <w:t>谋</w:t>
            </w:r>
            <w:r>
              <w:rPr>
                <w:sz w:val="21"/>
              </w:rPr>
              <w:t xml:space="preserve">  </w:t>
            </w:r>
            <w:r>
              <w:rPr>
                <w:rFonts w:hint="eastAsia"/>
                <w:sz w:val="21"/>
              </w:rPr>
              <w:t>杀</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624"/>
              <w:jc w:val="right"/>
              <w:rPr>
                <w:sz w:val="21"/>
              </w:rPr>
            </w:pPr>
            <w:r>
              <w:rPr>
                <w:sz w:val="21"/>
              </w:rPr>
              <w:t>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5</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3</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6</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3</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8</w:t>
            </w:r>
          </w:p>
        </w:tc>
      </w:tr>
      <w:tr w:rsidR="00000000">
        <w:tblPrEx>
          <w:tblCellMar>
            <w:top w:w="0" w:type="dxa"/>
            <w:bottom w:w="0" w:type="dxa"/>
          </w:tblCellMar>
        </w:tblPrEx>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left="113"/>
              <w:rPr>
                <w:sz w:val="21"/>
              </w:rPr>
            </w:pPr>
            <w:r>
              <w:rPr>
                <w:rFonts w:hint="eastAsia"/>
                <w:sz w:val="21"/>
              </w:rPr>
              <w:t>伤</w:t>
            </w:r>
            <w:r>
              <w:rPr>
                <w:sz w:val="21"/>
              </w:rPr>
              <w:t xml:space="preserve">  </w:t>
            </w:r>
            <w:r>
              <w:rPr>
                <w:rFonts w:hint="eastAsia"/>
                <w:sz w:val="21"/>
              </w:rPr>
              <w:t>人</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624"/>
              <w:jc w:val="right"/>
              <w:rPr>
                <w:sz w:val="21"/>
              </w:rPr>
            </w:pPr>
            <w:r>
              <w:rPr>
                <w:sz w:val="21"/>
              </w:rPr>
              <w:t>16</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38</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17</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30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19</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44</w:t>
            </w:r>
          </w:p>
        </w:tc>
      </w:tr>
      <w:tr w:rsidR="00000000">
        <w:tblPrEx>
          <w:tblCellMar>
            <w:top w:w="0" w:type="dxa"/>
            <w:bottom w:w="0" w:type="dxa"/>
          </w:tblCellMar>
        </w:tblPrEx>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left="113"/>
              <w:rPr>
                <w:sz w:val="21"/>
              </w:rPr>
            </w:pPr>
            <w:r>
              <w:rPr>
                <w:rFonts w:hint="eastAsia"/>
                <w:sz w:val="21"/>
              </w:rPr>
              <w:t>严重袭击</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624"/>
              <w:jc w:val="right"/>
              <w:rPr>
                <w:sz w:val="21"/>
              </w:rPr>
            </w:pPr>
            <w:r>
              <w:rPr>
                <w:sz w:val="21"/>
              </w:rPr>
              <w:t>32</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231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36</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206</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35</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215</w:t>
            </w:r>
          </w:p>
        </w:tc>
      </w:tr>
      <w:tr w:rsidR="00000000">
        <w:tblPrEx>
          <w:tblCellMar>
            <w:top w:w="0" w:type="dxa"/>
            <w:bottom w:w="0" w:type="dxa"/>
          </w:tblCellMar>
        </w:tblPrEx>
        <w:tc>
          <w:tcPr>
            <w:tcW w:w="1344" w:type="dxa"/>
            <w:tcBorders>
              <w:top w:val="single" w:sz="6" w:space="0" w:color="auto"/>
              <w:left w:val="single" w:sz="6" w:space="0" w:color="auto"/>
              <w:right w:val="single" w:sz="6" w:space="0" w:color="auto"/>
            </w:tcBorders>
          </w:tcPr>
          <w:p w:rsidR="00000000" w:rsidRDefault="00000000">
            <w:pPr>
              <w:spacing w:before="40" w:line="264" w:lineRule="auto"/>
              <w:ind w:left="113"/>
              <w:rPr>
                <w:sz w:val="21"/>
              </w:rPr>
            </w:pPr>
            <w:r>
              <w:rPr>
                <w:rFonts w:hint="eastAsia"/>
                <w:sz w:val="21"/>
              </w:rPr>
              <w:t>强</w:t>
            </w:r>
            <w:r>
              <w:rPr>
                <w:sz w:val="21"/>
              </w:rPr>
              <w:t xml:space="preserve">  </w:t>
            </w:r>
            <w:r>
              <w:rPr>
                <w:rFonts w:hint="eastAsia"/>
                <w:sz w:val="21"/>
              </w:rPr>
              <w:t>奸</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624"/>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w:t>
            </w:r>
          </w:p>
        </w:tc>
      </w:tr>
      <w:tr w:rsidR="00000000">
        <w:tblPrEx>
          <w:tblCellMar>
            <w:top w:w="0" w:type="dxa"/>
            <w:bottom w:w="0" w:type="dxa"/>
          </w:tblCellMar>
        </w:tblPrEx>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left="113"/>
              <w:rPr>
                <w:sz w:val="21"/>
              </w:rPr>
            </w:pPr>
            <w:r>
              <w:rPr>
                <w:rFonts w:hint="eastAsia"/>
                <w:sz w:val="21"/>
              </w:rPr>
              <w:t>非</w:t>
            </w:r>
            <w:r>
              <w:rPr>
                <w:sz w:val="21"/>
              </w:rPr>
              <w:t xml:space="preserve">  </w:t>
            </w:r>
            <w:r>
              <w:rPr>
                <w:rFonts w:hint="eastAsia"/>
                <w:sz w:val="21"/>
              </w:rPr>
              <w:t>礼</w:t>
            </w:r>
          </w:p>
        </w:tc>
        <w:tc>
          <w:tcPr>
            <w:tcW w:w="1344" w:type="dxa"/>
            <w:tcBorders>
              <w:top w:val="single" w:sz="6" w:space="0" w:color="auto"/>
              <w:left w:val="single" w:sz="6" w:space="0" w:color="auto"/>
              <w:right w:val="single" w:sz="6" w:space="0" w:color="auto"/>
            </w:tcBorders>
          </w:tcPr>
          <w:p w:rsidR="00000000" w:rsidRDefault="00000000">
            <w:pPr>
              <w:spacing w:before="40" w:line="264" w:lineRule="auto"/>
              <w:ind w:right="624"/>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before="40" w:line="264" w:lineRule="auto"/>
              <w:ind w:right="510"/>
              <w:jc w:val="right"/>
              <w:rPr>
                <w:sz w:val="21"/>
              </w:rPr>
            </w:pPr>
            <w:r>
              <w:rPr>
                <w:sz w:val="21"/>
              </w:rPr>
              <w:t>1</w:t>
            </w:r>
          </w:p>
        </w:tc>
      </w:tr>
      <w:tr w:rsidR="00000000">
        <w:tblPrEx>
          <w:tblCellMar>
            <w:top w:w="0" w:type="dxa"/>
            <w:bottom w:w="0" w:type="dxa"/>
          </w:tblCellMar>
        </w:tblPrEx>
        <w:tc>
          <w:tcPr>
            <w:tcW w:w="1344" w:type="dxa"/>
            <w:tcBorders>
              <w:left w:val="single" w:sz="6" w:space="0" w:color="auto"/>
              <w:bottom w:val="single" w:sz="6" w:space="0" w:color="auto"/>
            </w:tcBorders>
          </w:tcPr>
          <w:p w:rsidR="00000000" w:rsidRDefault="00000000">
            <w:pPr>
              <w:spacing w:line="264" w:lineRule="auto"/>
              <w:ind w:left="113"/>
              <w:rPr>
                <w:sz w:val="21"/>
              </w:rPr>
            </w:pPr>
            <w:r>
              <w:rPr>
                <w:rFonts w:hint="eastAsia"/>
                <w:sz w:val="21"/>
              </w:rPr>
              <w:t>非法性次</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line="264" w:lineRule="auto"/>
              <w:ind w:right="624"/>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line="264" w:lineRule="auto"/>
              <w:ind w:right="510"/>
              <w:jc w:val="right"/>
              <w:rPr>
                <w:sz w:val="21"/>
              </w:rPr>
            </w:pPr>
            <w:r>
              <w:rPr>
                <w:sz w:val="21"/>
              </w:rPr>
              <w:t>5</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line="264" w:lineRule="auto"/>
              <w:ind w:right="510"/>
              <w:jc w:val="right"/>
              <w:rPr>
                <w:sz w:val="21"/>
              </w:rPr>
            </w:pPr>
            <w:r>
              <w:rPr>
                <w:sz w:val="21"/>
              </w:rPr>
              <w:t>7</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line="264" w:lineRule="auto"/>
              <w:ind w:right="510"/>
              <w:jc w:val="right"/>
              <w:rPr>
                <w:sz w:val="21"/>
              </w:rPr>
            </w:pPr>
            <w:r>
              <w:rPr>
                <w:sz w:val="21"/>
              </w:rPr>
              <w:t>0</w:t>
            </w:r>
          </w:p>
        </w:tc>
        <w:tc>
          <w:tcPr>
            <w:tcW w:w="1344" w:type="dxa"/>
            <w:tcBorders>
              <w:top w:val="single" w:sz="6" w:space="0" w:color="auto"/>
              <w:left w:val="single" w:sz="6" w:space="0" w:color="auto"/>
              <w:bottom w:val="single" w:sz="6" w:space="0" w:color="auto"/>
              <w:right w:val="single" w:sz="6" w:space="0" w:color="auto"/>
            </w:tcBorders>
          </w:tcPr>
          <w:p w:rsidR="00000000" w:rsidRDefault="00000000">
            <w:pPr>
              <w:spacing w:line="264" w:lineRule="auto"/>
              <w:ind w:right="510"/>
              <w:jc w:val="right"/>
              <w:rPr>
                <w:sz w:val="21"/>
              </w:rPr>
            </w:pPr>
            <w:r>
              <w:rPr>
                <w:sz w:val="21"/>
              </w:rPr>
              <w:t>1</w:t>
            </w:r>
          </w:p>
        </w:tc>
      </w:tr>
    </w:tbl>
    <w:p w:rsidR="00000000" w:rsidRDefault="00000000">
      <w:pPr>
        <w:pStyle w:val="Heading4"/>
      </w:pPr>
      <w:r>
        <w:rPr>
          <w:u w:val="none"/>
        </w:rPr>
        <w:tab/>
      </w:r>
      <w:r>
        <w:rPr>
          <w:rFonts w:hint="eastAsia"/>
        </w:rPr>
        <w:t>为家庭暴力受害人提供的服务</w:t>
      </w:r>
    </w:p>
    <w:p w:rsidR="00000000" w:rsidRDefault="00000000">
      <w:r>
        <w:tab/>
        <w:t xml:space="preserve">236.  </w:t>
      </w:r>
      <w:r>
        <w:rPr>
          <w:rFonts w:hint="eastAsia"/>
        </w:rPr>
        <w:t>非政府机构和社会福利署为家庭暴力受害人提供的服务，载于附件</w:t>
      </w:r>
      <w:r>
        <w:t>19</w:t>
      </w:r>
      <w:r>
        <w:rPr>
          <w:rFonts w:hint="eastAsia"/>
        </w:rPr>
        <w:t>。</w:t>
      </w:r>
    </w:p>
    <w:p w:rsidR="00000000" w:rsidRDefault="00000000">
      <w:pPr>
        <w:spacing w:after="320"/>
        <w:textAlignment w:val="center"/>
      </w:pPr>
      <w:r>
        <w:tab/>
        <w:t xml:space="preserve">237.  </w:t>
      </w:r>
      <w:r>
        <w:rPr>
          <w:rFonts w:hint="eastAsia"/>
        </w:rPr>
        <w:t>如上次报告第</w:t>
      </w:r>
      <w:r>
        <w:t>110</w:t>
      </w:r>
      <w:r>
        <w:rPr>
          <w:rFonts w:hint="eastAsia"/>
        </w:rPr>
        <w:t>段所述，政府成立了“防止虐待配偶工作小组”，成员包括有关政府部门和非政府机构人员，以加强专业人员在处理虐待配偶问题上的互相协调工作。其后，工作小组制订了一套《综合专业处理虐待配偶个案工作程序指引》，并展开了多项工作</w:t>
      </w:r>
      <w:r>
        <w:t xml:space="preserve"> </w:t>
      </w:r>
      <w:r>
        <w:rPr>
          <w:rStyle w:val="FootnoteReference"/>
        </w:rPr>
        <w:footnoteReference w:id="59"/>
      </w:r>
      <w:r>
        <w:rPr>
          <w:rFonts w:hint="eastAsia"/>
        </w:rPr>
        <w:t>，教导市民认识家庭暴力的祸害。工作小组希望通过这些工作，鼓励有问题的家庭及早寻求专业辅导。一九九七年四年，政府应工作小组的建议，设立了中央统计资料系统，收集由非政府机构、政府部门和医院管理局处理的虐待配偶个案资料。工作小组在这方面的工作，仍会继续下去。</w:t>
      </w:r>
    </w:p>
    <w:p w:rsidR="00000000" w:rsidRDefault="00000000">
      <w:pPr>
        <w:pStyle w:val="Heading4"/>
      </w:pPr>
      <w:r>
        <w:rPr>
          <w:rFonts w:hint="eastAsia"/>
        </w:rPr>
        <w:t>组织家庭：婚姻</w:t>
      </w:r>
    </w:p>
    <w:p w:rsidR="00000000" w:rsidRDefault="00000000">
      <w:pPr>
        <w:spacing w:after="320"/>
        <w:textAlignment w:val="center"/>
      </w:pPr>
      <w:r>
        <w:tab/>
        <w:t xml:space="preserve">238.  </w:t>
      </w:r>
      <w:r>
        <w:rPr>
          <w:rFonts w:hint="eastAsia"/>
        </w:rPr>
        <w:t>如上次报告第</w:t>
      </w:r>
      <w:r>
        <w:t>112</w:t>
      </w:r>
      <w:r>
        <w:rPr>
          <w:rFonts w:hint="eastAsia"/>
        </w:rPr>
        <w:t>段所述，《婚姻条例》保证男女有权在完全自由同意下，自愿缔结一夫一妻制的婚姻。有关婚姻的问题已在《公民和政治权利报告一》第</w:t>
      </w:r>
      <w:r>
        <w:t>405</w:t>
      </w:r>
      <w:r>
        <w:rPr>
          <w:rFonts w:hint="eastAsia"/>
        </w:rPr>
        <w:t>至</w:t>
      </w:r>
      <w:r>
        <w:t>416</w:t>
      </w:r>
      <w:r>
        <w:rPr>
          <w:rFonts w:hint="eastAsia"/>
        </w:rPr>
        <w:t>段针对公约第二十三条论述。</w:t>
      </w:r>
    </w:p>
    <w:p w:rsidR="00000000" w:rsidRDefault="00000000">
      <w:pPr>
        <w:pStyle w:val="Heading4"/>
      </w:pPr>
      <w:r>
        <w:rPr>
          <w:rFonts w:hint="eastAsia"/>
        </w:rPr>
        <w:t>分娩保障</w:t>
      </w:r>
    </w:p>
    <w:p w:rsidR="00000000" w:rsidRDefault="00000000">
      <w:pPr>
        <w:spacing w:after="320"/>
        <w:textAlignment w:val="center"/>
      </w:pPr>
      <w:r>
        <w:tab/>
        <w:t xml:space="preserve">239.  </w:t>
      </w:r>
      <w:r>
        <w:rPr>
          <w:rFonts w:hint="eastAsia"/>
        </w:rPr>
        <w:t>如上次报告第</w:t>
      </w:r>
      <w:r>
        <w:t>113</w:t>
      </w:r>
      <w:r>
        <w:rPr>
          <w:rFonts w:hint="eastAsia"/>
        </w:rPr>
        <w:t>段所述，《雇佣条例》规定女性雇员符合某些条件，可享有产假。当时，女性雇员如果为同一雇主连续工作不少于</w:t>
      </w:r>
      <w:r>
        <w:t>26</w:t>
      </w:r>
      <w:r>
        <w:rPr>
          <w:rFonts w:hint="eastAsia"/>
        </w:rPr>
        <w:t>星期，便可享有产假，但只有在合约上注明她可享有有薪产假的情况下，才能领取假期工资。女性雇员若在开始休产假前已为同一雇主连续工作不少于</w:t>
      </w:r>
      <w:r>
        <w:t>40</w:t>
      </w:r>
      <w:r>
        <w:rPr>
          <w:rFonts w:hint="eastAsia"/>
        </w:rPr>
        <w:t>星期，而且有不多于两名尚存子女，则可取得不少于正常工资的五分之四的薪金，作为假期工资。产假通常由预产日期前</w:t>
      </w:r>
      <w:r>
        <w:t>4</w:t>
      </w:r>
      <w:r>
        <w:rPr>
          <w:rFonts w:hint="eastAsia"/>
        </w:rPr>
        <w:t>星期开始，而在实际分娩日期后六星期结束。雇员在获证明确实怀孕后的任何时间，可通知其雇主，表示她将休产假。雇员若在发出通知前已为雇主工作不少于</w:t>
      </w:r>
      <w:r>
        <w:t>12</w:t>
      </w:r>
      <w:r>
        <w:rPr>
          <w:rFonts w:hint="eastAsia"/>
        </w:rPr>
        <w:t>星期，则可由发出通知当日至返回工作岗位的期间，受到免遭解雇的保障。这些条文已于一九九七年六月作大幅修订。</w:t>
      </w:r>
    </w:p>
    <w:p w:rsidR="00000000" w:rsidRDefault="00000000">
      <w:pPr>
        <w:pStyle w:val="Heading4"/>
        <w:rPr>
          <w:u w:val="none"/>
        </w:rPr>
      </w:pPr>
      <w:r>
        <w:rPr>
          <w:u w:val="none"/>
        </w:rPr>
        <w:tab/>
      </w:r>
      <w:r>
        <w:rPr>
          <w:rFonts w:hint="eastAsia"/>
          <w:u w:val="none"/>
        </w:rPr>
        <w:t>《</w:t>
      </w:r>
      <w:r>
        <w:rPr>
          <w:rFonts w:hint="eastAsia"/>
        </w:rPr>
        <w:t>雇佣</w:t>
      </w:r>
      <w:r>
        <w:t>(</w:t>
      </w:r>
      <w:r>
        <w:rPr>
          <w:rFonts w:hint="eastAsia"/>
        </w:rPr>
        <w:t>修订</w:t>
      </w:r>
      <w:r>
        <w:t>)</w:t>
      </w:r>
      <w:r>
        <w:rPr>
          <w:rFonts w:hint="eastAsia"/>
        </w:rPr>
        <w:t>条例》</w:t>
      </w:r>
      <w:r>
        <w:t>(</w:t>
      </w:r>
      <w:r>
        <w:rPr>
          <w:rFonts w:hint="eastAsia"/>
        </w:rPr>
        <w:t>一九九七年六月</w:t>
      </w:r>
      <w:r>
        <w:t>)</w:t>
      </w:r>
    </w:p>
    <w:p w:rsidR="00000000" w:rsidRDefault="00000000">
      <w:r>
        <w:tab/>
        <w:t xml:space="preserve">240.  </w:t>
      </w:r>
      <w:r>
        <w:rPr>
          <w:rFonts w:hint="eastAsia"/>
        </w:rPr>
        <w:t>《雇佣</w:t>
      </w:r>
      <w:r>
        <w:t>(</w:t>
      </w:r>
      <w:r>
        <w:rPr>
          <w:rFonts w:hint="eastAsia"/>
        </w:rPr>
        <w:t>修订</w:t>
      </w:r>
      <w:r>
        <w:t>)</w:t>
      </w:r>
      <w:r>
        <w:rPr>
          <w:rFonts w:hint="eastAsia"/>
        </w:rPr>
        <w:t>条例》就有关休产假的资格、休产假的弹性安排、支取产假工资的资格、怀孕雇员的雇佣保障，以及指派粗重、危险或有害工作的规定等条文，作出了修订。修订详情如下：</w:t>
      </w:r>
    </w:p>
    <w:p w:rsidR="00000000" w:rsidRDefault="00000000">
      <w:pPr>
        <w:pStyle w:val="a0"/>
        <w:numPr>
          <w:ilvl w:val="0"/>
          <w:numId w:val="17"/>
        </w:numPr>
        <w:ind w:left="1531" w:hanging="510"/>
      </w:pPr>
      <w:r>
        <w:rPr>
          <w:rFonts w:hint="eastAsia"/>
        </w:rPr>
        <w:t>休产假的资格：符合休产假资格的</w:t>
      </w:r>
      <w:r>
        <w:t>26</w:t>
      </w:r>
      <w:r>
        <w:rPr>
          <w:rFonts w:hint="eastAsia"/>
        </w:rPr>
        <w:t>星期服务期规定已经废除。现时，女性雇员于开始休产假前，若已根据连续性合约受雇，便可享有产假；</w:t>
      </w:r>
    </w:p>
    <w:p w:rsidR="00000000" w:rsidRDefault="00000000">
      <w:pPr>
        <w:pStyle w:val="a0"/>
        <w:numPr>
          <w:ilvl w:val="0"/>
          <w:numId w:val="17"/>
        </w:numPr>
        <w:ind w:left="1531" w:hanging="510"/>
      </w:pPr>
      <w:r>
        <w:rPr>
          <w:rFonts w:hint="eastAsia"/>
        </w:rPr>
        <w:t>弹性安排：怀孕雇员若得雇主同意，可在预计分娩日期两至四星期前开始休产假，十个星期产假由商定的开始休产假日期起计算。雇员若在预计分娩日期后分娩，可享有相等于由预计分娩日期翌日起至确实分娩日期止之间日数的另一段产假。此外，她们若因怀孕或分娩引致疾病或无工作能力，更可享有多达四星期的另一段产假；</w:t>
      </w:r>
    </w:p>
    <w:p w:rsidR="00000000" w:rsidRDefault="00000000">
      <w:pPr>
        <w:pStyle w:val="a0"/>
        <w:numPr>
          <w:ilvl w:val="0"/>
          <w:numId w:val="17"/>
        </w:numPr>
        <w:ind w:left="1531" w:hanging="510"/>
      </w:pPr>
      <w:r>
        <w:rPr>
          <w:rFonts w:hint="eastAsia"/>
        </w:rPr>
        <w:t>资格：有关怀孕雇员不应有超过两名尚存子女的条件已经废除；</w:t>
      </w:r>
    </w:p>
    <w:p w:rsidR="00000000" w:rsidRDefault="00000000">
      <w:pPr>
        <w:pStyle w:val="a0"/>
        <w:numPr>
          <w:ilvl w:val="0"/>
          <w:numId w:val="17"/>
        </w:numPr>
        <w:ind w:left="1531" w:hanging="510"/>
      </w:pPr>
      <w:r>
        <w:rPr>
          <w:rFonts w:hint="eastAsia"/>
        </w:rPr>
        <w:t>终止雇用：有关</w:t>
      </w:r>
      <w:r>
        <w:t>12</w:t>
      </w:r>
      <w:r>
        <w:rPr>
          <w:rFonts w:hint="eastAsia"/>
        </w:rPr>
        <w:t>星期服务期的规定</w:t>
      </w:r>
      <w:r>
        <w:t>(</w:t>
      </w:r>
      <w:r>
        <w:rPr>
          <w:rFonts w:hint="eastAsia"/>
        </w:rPr>
        <w:t>见上文第</w:t>
      </w:r>
      <w:r>
        <w:t>239</w:t>
      </w:r>
      <w:r>
        <w:rPr>
          <w:rFonts w:hint="eastAsia"/>
        </w:rPr>
        <w:t>段</w:t>
      </w:r>
      <w:r>
        <w:t>)</w:t>
      </w:r>
      <w:r>
        <w:rPr>
          <w:rFonts w:hint="eastAsia"/>
        </w:rPr>
        <w:t>已经废除。除因例外情况</w:t>
      </w:r>
      <w:r>
        <w:t xml:space="preserve"> </w:t>
      </w:r>
      <w:r>
        <w:rPr>
          <w:rStyle w:val="FootnoteReference"/>
        </w:rPr>
        <w:footnoteReference w:id="60"/>
      </w:r>
      <w:r>
        <w:t xml:space="preserve"> </w:t>
      </w:r>
      <w:r>
        <w:rPr>
          <w:rFonts w:hint="eastAsia"/>
        </w:rPr>
        <w:t>而作别论外，在雇员证实已怀孕并向雇主送达怀孕通知后，雇主不得终止怀孕雇员的连续性雇佣合约。若怀孕雇员在接获雇主解雇通知后，随即向雇主送达怀孕通知，雇主必须撤回解雇决定；及</w:t>
      </w:r>
    </w:p>
    <w:p w:rsidR="00000000" w:rsidRDefault="00000000">
      <w:pPr>
        <w:pStyle w:val="a0"/>
        <w:numPr>
          <w:ilvl w:val="0"/>
          <w:numId w:val="17"/>
        </w:numPr>
        <w:ind w:left="1531" w:hanging="510"/>
      </w:pPr>
      <w:r>
        <w:rPr>
          <w:rFonts w:hint="eastAsia"/>
        </w:rPr>
        <w:t>粗重、危险或有害工作：怀孕雇员在交出载有不宜处理这类工作的医生证明书后，雇主不应指派该雇员从事该等工作。</w:t>
      </w:r>
    </w:p>
    <w:p w:rsidR="00000000" w:rsidRDefault="00000000">
      <w:pPr>
        <w:spacing w:after="320"/>
        <w:textAlignment w:val="center"/>
      </w:pPr>
      <w:r>
        <w:tab/>
        <w:t xml:space="preserve">241.  </w:t>
      </w:r>
      <w:r>
        <w:rPr>
          <w:rFonts w:hint="eastAsia"/>
        </w:rPr>
        <w:t>雇主不给予产假或不支付产假薪酬给合资格的雇员，均属违法，一经定罪，最高可被判罚款</w:t>
      </w:r>
      <w:r>
        <w:t>50,000</w:t>
      </w:r>
      <w:r>
        <w:rPr>
          <w:rFonts w:hint="eastAsia"/>
        </w:rPr>
        <w:t>港元。雇主若违反终止雇佣条文的规定，也属违法，一经定罪，最高可被判罚款</w:t>
      </w:r>
      <w:r>
        <w:t>100,000</w:t>
      </w:r>
      <w:r>
        <w:rPr>
          <w:rFonts w:hint="eastAsia"/>
        </w:rPr>
        <w:t>港元，同时，雇主必须向有关雇员支付《雇佣条例》订明应该付予该雇员的款项。此外，雇员也可就雇主非法解雇而提出申索，要求作出补偿。若雇主未能证明是以《雇佣条例》认可的正当理由解雇该雇员，劳资审裁处可于劳资双方同意下作出复职或再次聘用的命令。如果劳资审裁处认为该个案的情况不宜作出复职或再次聘用的命令，或劳资任何一方不同意复职或再次聘用的安排，劳资审裁处便可判令雇主支付终止雇佣金。如果劳资审裁处没有作出复职或再次聘用的命令，则不论有否判给终止雇佣金，审裁处可在其认为公正和恰当的情况下，判令雇员获得一笔补偿金，款额上限为</w:t>
      </w:r>
      <w:r>
        <w:t>150,000</w:t>
      </w:r>
      <w:r>
        <w:rPr>
          <w:rFonts w:hint="eastAsia"/>
        </w:rPr>
        <w:t>港元。</w:t>
      </w:r>
    </w:p>
    <w:p w:rsidR="00000000" w:rsidRDefault="00000000">
      <w:pPr>
        <w:pStyle w:val="Heading4"/>
      </w:pPr>
      <w:r>
        <w:rPr>
          <w:u w:val="none"/>
        </w:rPr>
        <w:tab/>
      </w:r>
      <w:r>
        <w:rPr>
          <w:rFonts w:hint="eastAsia"/>
        </w:rPr>
        <w:t>怀孕女囚犯的分娩保障</w:t>
      </w:r>
    </w:p>
    <w:p w:rsidR="00000000" w:rsidRDefault="00000000">
      <w:r>
        <w:tab/>
        <w:t xml:space="preserve">242.  </w:t>
      </w:r>
      <w:r>
        <w:rPr>
          <w:rFonts w:hint="eastAsia"/>
        </w:rPr>
        <w:t>如果有女囚犯怀孕或怀疑怀孕，有关惩教机构会立即通知驻监狱的医生。一旦证实怀孕，女囚犯即获得日夜特别照顾，并获安排每隔适当的时间或在有需要时，前往监狱以外的政府医院接受产科医生检查。医生会指示额外分配适当的营养食物，确保母亲本身和胎儿健康。</w:t>
      </w:r>
    </w:p>
    <w:p w:rsidR="00000000" w:rsidRDefault="00000000">
      <w:r>
        <w:tab/>
        <w:t xml:space="preserve">243.  </w:t>
      </w:r>
      <w:r>
        <w:rPr>
          <w:rFonts w:hint="eastAsia"/>
        </w:rPr>
        <w:t>怀孕的女囚犯会被安排在政府医院分娩，并入住院内的开放式病房。一九九六年有</w:t>
      </w:r>
      <w:r>
        <w:t>11</w:t>
      </w:r>
      <w:r>
        <w:rPr>
          <w:rFonts w:hint="eastAsia"/>
        </w:rPr>
        <w:t>宗女囚犯分娩个案，而一九九七年则有</w:t>
      </w:r>
      <w:r>
        <w:t>8</w:t>
      </w:r>
      <w:r>
        <w:rPr>
          <w:rFonts w:hint="eastAsia"/>
        </w:rPr>
        <w:t>宗。</w:t>
      </w:r>
    </w:p>
    <w:p w:rsidR="00000000" w:rsidRDefault="00000000">
      <w:r>
        <w:tab/>
        <w:t xml:space="preserve">244.  </w:t>
      </w:r>
      <w:r>
        <w:rPr>
          <w:rFonts w:hint="eastAsia"/>
        </w:rPr>
        <w:t>《监狱规则》第</w:t>
      </w:r>
      <w:r>
        <w:t>21</w:t>
      </w:r>
      <w:r>
        <w:rPr>
          <w:rFonts w:hint="eastAsia"/>
        </w:rPr>
        <w:t>条</w:t>
      </w:r>
      <w:r>
        <w:t xml:space="preserve"> </w:t>
      </w:r>
      <w:r>
        <w:rPr>
          <w:rStyle w:val="FootnoteReference"/>
        </w:rPr>
        <w:footnoteReference w:id="61"/>
      </w:r>
      <w:r>
        <w:t xml:space="preserve"> </w:t>
      </w:r>
      <w:r>
        <w:rPr>
          <w:rFonts w:hint="eastAsia"/>
        </w:rPr>
        <w:t>订明，女囚犯的子女可随同母亲收留狱中，并在其母亲正常哺乳期间留在狱中。一九九六年，因这个原因而“获准留在狱中”的婴儿有</w:t>
      </w:r>
      <w:r>
        <w:t>21</w:t>
      </w:r>
      <w:r>
        <w:rPr>
          <w:rFonts w:hint="eastAsia"/>
        </w:rPr>
        <w:t>名，而一九九七年则有</w:t>
      </w:r>
      <w:r>
        <w:t>25</w:t>
      </w:r>
      <w:r>
        <w:rPr>
          <w:rFonts w:hint="eastAsia"/>
        </w:rPr>
        <w:t>名。婴儿如果超过九个月大，或在狱中到达这个岁数，医生会向惩教署署长提供意见，说明是否适宜把婴儿留在狱中。即使医生认为婴儿不宜留在狱中，署长仍可批准其留在狱中，直至该囚犯刑期届满或其子女年满三岁为止</w:t>
      </w:r>
      <w:r>
        <w:t>(</w:t>
      </w:r>
      <w:r>
        <w:rPr>
          <w:rFonts w:hint="eastAsia"/>
        </w:rPr>
        <w:t>以较先者为准</w:t>
      </w:r>
      <w:r>
        <w:t>)</w:t>
      </w:r>
      <w:r>
        <w:rPr>
          <w:rFonts w:hint="eastAsia"/>
        </w:rPr>
        <w:t>。</w:t>
      </w:r>
    </w:p>
    <w:p w:rsidR="00000000" w:rsidRDefault="00000000">
      <w:pPr>
        <w:spacing w:after="320"/>
        <w:textAlignment w:val="center"/>
      </w:pPr>
      <w:r>
        <w:tab/>
        <w:t xml:space="preserve">245.  </w:t>
      </w:r>
      <w:r>
        <w:rPr>
          <w:rFonts w:hint="eastAsia"/>
        </w:rPr>
        <w:t>有子女陪同留在狱中的女囚犯，可获豁免担任日常的监狱工作，以便照顾孩子。如果医生认为有需要，她们可接受职业治疗。婴儿会有奶粉、食物、日用品等供应，并获安排接受免疫注射和其他形式的儿科护理。医生会为这些儿童建议适当的饮食。亲友探访时，可给狱中的儿童携带日用品如衣物和玩具。这些儿童满三岁时，便会视情况交由亲人或社会福利署照顾。</w:t>
      </w:r>
    </w:p>
    <w:p w:rsidR="00000000" w:rsidRDefault="00000000">
      <w:pPr>
        <w:pStyle w:val="Heading4"/>
      </w:pPr>
      <w:r>
        <w:rPr>
          <w:u w:val="none"/>
        </w:rPr>
        <w:tab/>
      </w:r>
      <w:r>
        <w:rPr>
          <w:rFonts w:hint="eastAsia"/>
        </w:rPr>
        <w:t>非法入境孕妇的分娩问题</w:t>
      </w:r>
    </w:p>
    <w:p w:rsidR="00000000" w:rsidRDefault="00000000">
      <w:r>
        <w:tab/>
        <w:t xml:space="preserve">246.  </w:t>
      </w:r>
      <w:r>
        <w:rPr>
          <w:rFonts w:hint="eastAsia"/>
        </w:rPr>
        <w:t>很多非法入境妇女</w:t>
      </w:r>
      <w:r>
        <w:t>(</w:t>
      </w:r>
      <w:r>
        <w:rPr>
          <w:rFonts w:hint="eastAsia"/>
        </w:rPr>
        <w:t>大部分来自内地</w:t>
      </w:r>
      <w:r>
        <w:t>)</w:t>
      </w:r>
      <w:r>
        <w:rPr>
          <w:rFonts w:hint="eastAsia"/>
        </w:rPr>
        <w:t>偷渡来港分娩，因为在香港特区出生的婴儿，只要他们是中国公民，而在其出生时或其后任何时间内父母其中一方已在香港定居或已享有香港居留权，则无论母亲是否合法入境，均拥有香港特区的居留权</w:t>
      </w:r>
      <w:r>
        <w:t xml:space="preserve"> </w:t>
      </w:r>
      <w:r>
        <w:rPr>
          <w:rStyle w:val="FootnoteReference"/>
        </w:rPr>
        <w:footnoteReference w:id="62"/>
      </w:r>
      <w:r>
        <w:rPr>
          <w:rFonts w:hint="eastAsia"/>
        </w:rPr>
        <w:t>。过去三年，这类非法入境妇女产下了共约</w:t>
      </w:r>
      <w:r>
        <w:t>2,000</w:t>
      </w:r>
      <w:r>
        <w:rPr>
          <w:rFonts w:hint="eastAsia"/>
        </w:rPr>
        <w:t>至</w:t>
      </w:r>
      <w:r>
        <w:t>3,000</w:t>
      </w:r>
      <w:r>
        <w:rPr>
          <w:rFonts w:hint="eastAsia"/>
        </w:rPr>
        <w:t>名婴儿：在香港特区出生的存活婴儿中，每</w:t>
      </w:r>
      <w:r>
        <w:t>20</w:t>
      </w:r>
      <w:r>
        <w:rPr>
          <w:rFonts w:hint="eastAsia"/>
        </w:rPr>
        <w:t>至</w:t>
      </w:r>
      <w:r>
        <w:t>30</w:t>
      </w:r>
      <w:r>
        <w:rPr>
          <w:rFonts w:hint="eastAsia"/>
        </w:rPr>
        <w:t>名便有一名属于这类婴儿。</w:t>
      </w:r>
    </w:p>
    <w:p w:rsidR="00000000" w:rsidRDefault="00000000">
      <w:pPr>
        <w:spacing w:after="320"/>
        <w:textAlignment w:val="center"/>
      </w:pPr>
      <w:r>
        <w:tab/>
        <w:t xml:space="preserve">247.  </w:t>
      </w:r>
      <w:r>
        <w:rPr>
          <w:rFonts w:hint="eastAsia"/>
        </w:rPr>
        <w:t>基于人道理由，政府不会把那些怀孕已达后期</w:t>
      </w:r>
      <w:r>
        <w:t>(</w:t>
      </w:r>
      <w:r>
        <w:rPr>
          <w:rFonts w:hint="eastAsia"/>
        </w:rPr>
        <w:t>怀孕八个月</w:t>
      </w:r>
      <w:r>
        <w:t>)</w:t>
      </w:r>
      <w:r>
        <w:rPr>
          <w:rFonts w:hint="eastAsia"/>
        </w:rPr>
        <w:t>的非法入境孕妇送返内地。这些孕妇在分娩后，通常都会自愿返回内地。若有妇女不愿返回内地，政府便会依法把她们遣返。不过，政府通常会延至这些妇女分娩后四个星期才把她们遣返，但仍须视她们的身体状况是否适宜舟车劳顿而定。她们有权向独立的审裁处提出上诉，反对把她们遣返内地。期间，她们可留在香港等候上诉的结果。她们的子女大多会留在香港由父亲或其他亲属照顾。</w:t>
      </w:r>
    </w:p>
    <w:p w:rsidR="00000000" w:rsidRDefault="00000000">
      <w:pPr>
        <w:pStyle w:val="Heading4"/>
      </w:pPr>
      <w:r>
        <w:rPr>
          <w:rFonts w:hint="eastAsia"/>
        </w:rPr>
        <w:t>对儿童和少年的保护</w:t>
      </w:r>
    </w:p>
    <w:p w:rsidR="00000000" w:rsidRDefault="00000000">
      <w:pPr>
        <w:pStyle w:val="Heading4"/>
      </w:pPr>
      <w:r>
        <w:rPr>
          <w:u w:val="none"/>
        </w:rPr>
        <w:tab/>
      </w:r>
      <w:r>
        <w:rPr>
          <w:rFonts w:hint="eastAsia"/>
          <w:u w:val="none"/>
        </w:rPr>
        <w:t>《</w:t>
      </w:r>
      <w:r>
        <w:rPr>
          <w:rFonts w:hint="eastAsia"/>
        </w:rPr>
        <w:t>儿童权利公约</w:t>
      </w:r>
      <w:r>
        <w:rPr>
          <w:rFonts w:hint="eastAsia"/>
          <w:u w:val="none"/>
        </w:rPr>
        <w:t>》</w:t>
      </w:r>
    </w:p>
    <w:p w:rsidR="00000000" w:rsidRDefault="00000000">
      <w:pPr>
        <w:spacing w:after="320"/>
        <w:textAlignment w:val="center"/>
      </w:pPr>
      <w:r>
        <w:tab/>
        <w:t xml:space="preserve">248.  </w:t>
      </w:r>
      <w:r>
        <w:rPr>
          <w:rFonts w:hint="eastAsia"/>
        </w:rPr>
        <w:t>一九九七年六月，中国通知联合国秘书长，表示由一九九七年七月一日起，这条公约会继续适用于香港特区，而中国会承担公约在香港适用所产生的责任。</w:t>
      </w:r>
    </w:p>
    <w:p w:rsidR="00000000" w:rsidRDefault="00000000">
      <w:pPr>
        <w:pStyle w:val="Heading4"/>
      </w:pPr>
      <w:r>
        <w:rPr>
          <w:u w:val="none"/>
        </w:rPr>
        <w:tab/>
      </w:r>
      <w:r>
        <w:rPr>
          <w:rFonts w:hint="eastAsia"/>
        </w:rPr>
        <w:t>防止虐待儿童的综合措施</w:t>
      </w:r>
    </w:p>
    <w:p w:rsidR="00000000" w:rsidRDefault="00000000">
      <w:r>
        <w:tab/>
        <w:t xml:space="preserve">249.  </w:t>
      </w:r>
      <w:r>
        <w:rPr>
          <w:rFonts w:hint="eastAsia"/>
        </w:rPr>
        <w:t>委员会在上次报告的审议结论第</w:t>
      </w:r>
      <w:r>
        <w:t>27</w:t>
      </w:r>
      <w:r>
        <w:rPr>
          <w:rFonts w:hint="eastAsia"/>
        </w:rPr>
        <w:t>段中，关注到“香港并无一个周全的儿童政策，以保障儿童免受各种形式的虐待”。本地论者也表示了同样的关注，而联合国儿童权利委员会就英国根据《儿童权利公约》提交有关香港的第一次报告所作的审议结论</w:t>
      </w:r>
      <w:r>
        <w:t xml:space="preserve"> </w:t>
      </w:r>
      <w:r>
        <w:rPr>
          <w:rStyle w:val="FootnoteReference"/>
        </w:rPr>
        <w:footnoteReference w:id="63"/>
      </w:r>
      <w:r>
        <w:t xml:space="preserve"> </w:t>
      </w:r>
      <w:r>
        <w:rPr>
          <w:rFonts w:hint="eastAsia"/>
        </w:rPr>
        <w:t>中，也提出了同样的关注。</w:t>
      </w:r>
    </w:p>
    <w:p w:rsidR="00000000" w:rsidRDefault="00000000">
      <w:pPr>
        <w:spacing w:after="320"/>
        <w:textAlignment w:val="center"/>
      </w:pPr>
      <w:r>
        <w:tab/>
        <w:t xml:space="preserve">250.  </w:t>
      </w:r>
      <w:r>
        <w:rPr>
          <w:rFonts w:hint="eastAsia"/>
        </w:rPr>
        <w:t>政府目前的立场，与一九九七年五月提交联合国儿童权利委员会的“补充报告”第</w:t>
      </w:r>
      <w:r>
        <w:t>10</w:t>
      </w:r>
      <w:r>
        <w:rPr>
          <w:rFonts w:hint="eastAsia"/>
        </w:rPr>
        <w:t>至</w:t>
      </w:r>
      <w:r>
        <w:t>13</w:t>
      </w:r>
      <w:r>
        <w:rPr>
          <w:rFonts w:hint="eastAsia"/>
        </w:rPr>
        <w:t>段所述相同。换言之，公约涵盖政府多个不同政策局所负责的政策范畴。这些政策局在拟订政策和决策的过程中，均得到各非政府机构和咨询委员会的协助。如果某一政策范畴涉及多于一个政策局，各有关政策局便会作出妥善的协调安排。政府无论在考虑有关的政策或立法建议时，均会以保障儿童和“儿童的最大利益”为主要的考虑因素，而这两个因素也是在作出一切有关决定时所必须考虑的。公约内不同方面的条文，均有具体的法律去处理。法例所造成的影响和政策的执行情况，会受到立法会、申诉专员、新闻界和有关政策局的监察。通过这些安排，政府得以对不断变化的情况和市民关注的问题作出灵活而迅速的回应。政府认为，若以划一的行政制度、单一的儿童条例或单一的监察制度来取代现行的安排，没有任何好处。</w:t>
      </w:r>
    </w:p>
    <w:p w:rsidR="00000000" w:rsidRDefault="00000000">
      <w:pPr>
        <w:pStyle w:val="Heading4"/>
      </w:pPr>
      <w:r>
        <w:rPr>
          <w:u w:val="none"/>
        </w:rPr>
        <w:tab/>
      </w:r>
      <w:r>
        <w:rPr>
          <w:rFonts w:hint="eastAsia"/>
        </w:rPr>
        <w:t>建制内的协调</w:t>
      </w:r>
    </w:p>
    <w:p w:rsidR="00000000" w:rsidRDefault="00000000">
      <w:r>
        <w:tab/>
        <w:t xml:space="preserve">251.  </w:t>
      </w:r>
      <w:r>
        <w:rPr>
          <w:rFonts w:hint="eastAsia"/>
        </w:rPr>
        <w:t>联合国儿童权利委员会进一步建议</w:t>
      </w:r>
      <w:r>
        <w:t>(</w:t>
      </w:r>
      <w:r>
        <w:rPr>
          <w:rFonts w:hint="eastAsia"/>
        </w:rPr>
        <w:t>审议结论第</w:t>
      </w:r>
      <w:r>
        <w:t>22</w:t>
      </w:r>
      <w:r>
        <w:rPr>
          <w:rFonts w:hint="eastAsia"/>
        </w:rPr>
        <w:t>段</w:t>
      </w:r>
      <w:r>
        <w:t>)</w:t>
      </w:r>
      <w:r>
        <w:rPr>
          <w:rFonts w:hint="eastAsia"/>
        </w:rPr>
        <w:t>，政府应该就儿童权利，特别是在虐待儿童方面评估各项现行政策和计划的协调制度的成效。正如上文所述，如果政策局所负责的政策范畴有所重叠，各政策局便会作出协调安排。“牵头”的政策局在考虑和处理有关问题时，当会征询其他政策局和政府部门的意见。由各有关政策局首长组成的政务司司长委员会辖下各政策小组，是政府当局的最高层面合作组织。民政事务局</w:t>
      </w:r>
      <w:r>
        <w:t>(</w:t>
      </w:r>
      <w:r>
        <w:rPr>
          <w:rFonts w:hint="eastAsia"/>
        </w:rPr>
        <w:t>负责根据各条人权公约的规定而草拟报告</w:t>
      </w:r>
      <w:r>
        <w:t>)</w:t>
      </w:r>
      <w:r>
        <w:rPr>
          <w:rFonts w:hint="eastAsia"/>
        </w:rPr>
        <w:t>则充当政府与立法会和市民</w:t>
      </w:r>
      <w:r>
        <w:t>(</w:t>
      </w:r>
      <w:r>
        <w:rPr>
          <w:rFonts w:hint="eastAsia"/>
        </w:rPr>
        <w:t>包括非政府机构</w:t>
      </w:r>
      <w:r>
        <w:t>)</w:t>
      </w:r>
      <w:r>
        <w:rPr>
          <w:rFonts w:hint="eastAsia"/>
        </w:rPr>
        <w:t>之间的沟通桥梁。如有需要，民政事务局会征询政府的人权及国际法专家的意见，确保公约的规定得到遵守。政府认为现行建制内的协调安排已足以应付香港的需要。</w:t>
      </w:r>
    </w:p>
    <w:p w:rsidR="00000000" w:rsidRDefault="00000000">
      <w:pPr>
        <w:spacing w:after="320"/>
        <w:textAlignment w:val="center"/>
      </w:pPr>
      <w:r>
        <w:tab/>
        <w:t xml:space="preserve">252.  </w:t>
      </w:r>
      <w:r>
        <w:rPr>
          <w:rFonts w:hint="eastAsia"/>
        </w:rPr>
        <w:t>因此，政府仍然认为，通过有关非政府机构和政府专业人员的互补分工和紧密合作，最能够照顾到处境不幸儿童的需要。不过，我们知道也有论者认为其他方法会更能够照顾和保护这些儿童，但我们尚未发现任何足以支持这个看法的有力证据。</w:t>
      </w:r>
    </w:p>
    <w:p w:rsidR="00000000" w:rsidRDefault="00000000">
      <w:pPr>
        <w:pStyle w:val="Heading4"/>
      </w:pPr>
      <w:r>
        <w:rPr>
          <w:u w:val="none"/>
        </w:rPr>
        <w:tab/>
      </w:r>
      <w:r>
        <w:rPr>
          <w:rFonts w:hint="eastAsia"/>
        </w:rPr>
        <w:t>防止虐待儿童工作小组</w:t>
      </w:r>
    </w:p>
    <w:p w:rsidR="00000000" w:rsidRDefault="00000000">
      <w:pPr>
        <w:spacing w:after="320"/>
        <w:textAlignment w:val="center"/>
      </w:pPr>
      <w:r>
        <w:tab/>
        <w:t xml:space="preserve">253.  </w:t>
      </w:r>
      <w:r>
        <w:rPr>
          <w:rFonts w:hint="eastAsia"/>
        </w:rPr>
        <w:t>我们已在上次报告第</w:t>
      </w:r>
      <w:r>
        <w:t>122</w:t>
      </w:r>
      <w:r>
        <w:rPr>
          <w:rFonts w:hint="eastAsia"/>
        </w:rPr>
        <w:t>段说明了防止虐待儿童工作小组的角色和成员组合。工作小组由政府部门和福利机构代表组成，负责协调不同界别专业人员处理虐儿问题的工作。我们还指出，“屯门区综合专业关注虐儿问题议会”试验计划十分成功，鼓舞其他地区成立了五个同类型的议会</w:t>
      </w:r>
      <w:r>
        <w:t>/</w:t>
      </w:r>
      <w:r>
        <w:rPr>
          <w:rFonts w:hint="eastAsia"/>
        </w:rPr>
        <w:t>委员会，以促进地区层面上负责处理虐儿事件的专业人士之间的了解和合作。现时，全港共有</w:t>
      </w:r>
      <w:r>
        <w:t>13</w:t>
      </w:r>
      <w:r>
        <w:rPr>
          <w:rFonts w:hint="eastAsia"/>
        </w:rPr>
        <w:t>个同类型组织致力处理虐儿问题。在一九九六年一月至一九九八年六月期间，这些组织举办了超过</w:t>
      </w:r>
      <w:r>
        <w:t>210</w:t>
      </w:r>
      <w:r>
        <w:rPr>
          <w:rFonts w:hint="eastAsia"/>
        </w:rPr>
        <w:t>项地区教育和宣传活动，吸引了约</w:t>
      </w:r>
      <w:r>
        <w:t>270,000</w:t>
      </w:r>
      <w:r>
        <w:rPr>
          <w:rFonts w:hint="eastAsia"/>
        </w:rPr>
        <w:t>人参加。</w:t>
      </w:r>
    </w:p>
    <w:p w:rsidR="00000000" w:rsidRDefault="00000000">
      <w:pPr>
        <w:pStyle w:val="Heading4"/>
      </w:pPr>
      <w:r>
        <w:rPr>
          <w:u w:val="none"/>
        </w:rPr>
        <w:tab/>
      </w:r>
      <w:r>
        <w:rPr>
          <w:rFonts w:hint="eastAsia"/>
        </w:rPr>
        <w:t>防止虐待儿童的措施</w:t>
      </w:r>
    </w:p>
    <w:p w:rsidR="00000000" w:rsidRDefault="00000000">
      <w:r>
        <w:tab/>
        <w:t xml:space="preserve">254.  </w:t>
      </w:r>
      <w:r>
        <w:rPr>
          <w:rFonts w:hint="eastAsia"/>
        </w:rPr>
        <w:t>以下各段所载资料，与《公民和政治权利报告一》第</w:t>
      </w:r>
      <w:r>
        <w:t>436</w:t>
      </w:r>
      <w:r>
        <w:rPr>
          <w:rFonts w:hint="eastAsia"/>
        </w:rPr>
        <w:t>至</w:t>
      </w:r>
      <w:r>
        <w:t>442</w:t>
      </w:r>
      <w:r>
        <w:rPr>
          <w:rFonts w:hint="eastAsia"/>
        </w:rPr>
        <w:t>段所载与公约第二十四条相关的内容大致相同。我们也把这些资料纳入本报告内，以便参考，而且我们认为这些资料与《经济、社会、文化权利国际公约》第十条所载权利有关。</w:t>
      </w:r>
    </w:p>
    <w:p w:rsidR="00000000" w:rsidRDefault="00000000">
      <w:r>
        <w:tab/>
        <w:t xml:space="preserve">255.  </w:t>
      </w:r>
      <w:r>
        <w:rPr>
          <w:rFonts w:hint="eastAsia"/>
        </w:rPr>
        <w:t>在接获虐儿事件报告后，当局便会召开综合专业个案会议，以便为有关儿童商定一个长远福利计划。参加会议的人士包括社会工作者、医生、教师和警务人员。假如评估结果显示有关家庭不能提供照顾，或该名儿童在家中会有危险，则该名儿童便会获得住宿照顾。当局在向法庭申请照顾令或保护令时，会将个案会议所批准的福利计划提交法庭考虑。</w:t>
      </w:r>
    </w:p>
    <w:p w:rsidR="00000000" w:rsidRDefault="00000000">
      <w:r>
        <w:tab/>
        <w:t xml:space="preserve">256.  </w:t>
      </w:r>
      <w:r>
        <w:rPr>
          <w:rFonts w:hint="eastAsia"/>
        </w:rPr>
        <w:t>一九九六年，我们引入了一套专门处理儿童受性侵犯个案的新程序，以弥补处理一切形式虐儿的“虐待儿童个案处理程序”的不足。为改善各有关机构和专业人士之间的协调，当局正对两套程序作出修订。然后会将两套程序合而为一。预计这项工作可于一九九八年内完成。</w:t>
      </w:r>
    </w:p>
    <w:p w:rsidR="00000000" w:rsidRDefault="00000000">
      <w:pPr>
        <w:spacing w:after="320"/>
        <w:textAlignment w:val="center"/>
      </w:pPr>
      <w:r>
        <w:tab/>
        <w:t xml:space="preserve">257.  </w:t>
      </w:r>
      <w:r>
        <w:rPr>
          <w:rFonts w:hint="eastAsia"/>
        </w:rPr>
        <w:t>政府不断进行公众教育运动，以加深公众认识虐儿问题和处理虐儿事件的方法。政府的目的是鼓励人们提高警觉，留意虐待儿童的迹象，并协助政府防止虐待儿童事件发生。</w:t>
      </w:r>
    </w:p>
    <w:p w:rsidR="00000000" w:rsidRDefault="00000000">
      <w:pPr>
        <w:pStyle w:val="Heading4"/>
        <w:rPr>
          <w:u w:val="none"/>
        </w:rPr>
      </w:pPr>
      <w:r>
        <w:rPr>
          <w:u w:val="none"/>
        </w:rPr>
        <w:tab/>
      </w:r>
      <w:r>
        <w:rPr>
          <w:rFonts w:hint="eastAsia"/>
          <w:u w:val="none"/>
        </w:rPr>
        <w:t>《</w:t>
      </w:r>
      <w:r>
        <w:rPr>
          <w:rFonts w:hint="eastAsia"/>
        </w:rPr>
        <w:t>幼儿服务条例</w:t>
      </w:r>
      <w:r>
        <w:rPr>
          <w:rFonts w:hint="eastAsia"/>
          <w:u w:val="none"/>
        </w:rPr>
        <w:t>》</w:t>
      </w:r>
    </w:p>
    <w:p w:rsidR="00000000" w:rsidRDefault="00000000">
      <w:pPr>
        <w:spacing w:after="320"/>
        <w:textAlignment w:val="center"/>
      </w:pPr>
      <w:r>
        <w:tab/>
        <w:t xml:space="preserve">258.  </w:t>
      </w:r>
      <w:r>
        <w:rPr>
          <w:rFonts w:hint="eastAsia"/>
        </w:rPr>
        <w:t>对于家境贫困和亟需照顾而父母又无法加以照料的儿童，法津已就照顾、教育及保护他们几方面订定了最基本的标准。举例来说，《保护儿童及少年条例》</w:t>
      </w:r>
      <w:r>
        <w:t>(</w:t>
      </w:r>
      <w:r>
        <w:rPr>
          <w:rFonts w:hint="eastAsia"/>
        </w:rPr>
        <w:t>第</w:t>
      </w:r>
      <w:r>
        <w:t>213</w:t>
      </w:r>
      <w:r>
        <w:rPr>
          <w:rFonts w:hint="eastAsia"/>
        </w:rPr>
        <w:t>章</w:t>
      </w:r>
      <w:r>
        <w:t>)</w:t>
      </w:r>
      <w:r>
        <w:rPr>
          <w:rFonts w:hint="eastAsia"/>
        </w:rPr>
        <w:t>界定在什么情况下，儿童被视为需要获得照顾或保护；而《幼儿服务条例》</w:t>
      </w:r>
      <w:r>
        <w:t>(</w:t>
      </w:r>
      <w:r>
        <w:rPr>
          <w:rFonts w:hint="eastAsia"/>
        </w:rPr>
        <w:t>第</w:t>
      </w:r>
      <w:r>
        <w:t>243</w:t>
      </w:r>
      <w:r>
        <w:rPr>
          <w:rFonts w:hint="eastAsia"/>
        </w:rPr>
        <w:t>章</w:t>
      </w:r>
      <w:r>
        <w:t>)</w:t>
      </w:r>
      <w:r>
        <w:rPr>
          <w:rFonts w:hint="eastAsia"/>
          <w:spacing w:val="-40"/>
        </w:rPr>
        <w:t>——</w:t>
      </w:r>
      <w:r>
        <w:t xml:space="preserve"> </w:t>
      </w:r>
      <w:r>
        <w:rPr>
          <w:rFonts w:hint="eastAsia"/>
        </w:rPr>
        <w:t>前称《幼儿中心条例》</w:t>
      </w:r>
      <w:r>
        <w:rPr>
          <w:rFonts w:hint="eastAsia"/>
          <w:spacing w:val="-40"/>
        </w:rPr>
        <w:t>——</w:t>
      </w:r>
      <w:r>
        <w:t xml:space="preserve"> </w:t>
      </w:r>
      <w:r>
        <w:rPr>
          <w:rFonts w:hint="eastAsia"/>
        </w:rPr>
        <w:t>则订明幼儿中心所提供的服务应该符合的标准和规定。法例第</w:t>
      </w:r>
      <w:r>
        <w:t>243</w:t>
      </w:r>
      <w:r>
        <w:rPr>
          <w:rFonts w:hint="eastAsia"/>
        </w:rPr>
        <w:t>章于一九九七年九月易名；当时政府修订这条条例，让互助幼儿小组得以设立，禁止不适合人士担任幼儿托管人，并改善幼儿中心的托管质素。</w:t>
      </w:r>
    </w:p>
    <w:p w:rsidR="00000000" w:rsidRDefault="00000000">
      <w:pPr>
        <w:pStyle w:val="Heading4"/>
      </w:pPr>
      <w:r>
        <w:rPr>
          <w:u w:val="none"/>
        </w:rPr>
        <w:tab/>
      </w:r>
      <w:r>
        <w:rPr>
          <w:rFonts w:hint="eastAsia"/>
        </w:rPr>
        <w:t>虐儿罪行：法律体制</w:t>
      </w:r>
    </w:p>
    <w:p w:rsidR="00000000" w:rsidRDefault="00000000">
      <w:r>
        <w:tab/>
        <w:t xml:space="preserve">259.  </w:t>
      </w:r>
      <w:r>
        <w:rPr>
          <w:rFonts w:hint="eastAsia"/>
        </w:rPr>
        <w:t>政府致力保护受虐待的儿童，并将施虐者绳之于法。目前这方面的法例包括：</w:t>
      </w:r>
    </w:p>
    <w:p w:rsidR="00000000" w:rsidRDefault="00000000">
      <w:pPr>
        <w:pStyle w:val="a0"/>
        <w:numPr>
          <w:ilvl w:val="0"/>
          <w:numId w:val="18"/>
        </w:numPr>
        <w:ind w:left="1531" w:hanging="510"/>
      </w:pPr>
      <w:r>
        <w:rPr>
          <w:rFonts w:hint="eastAsia"/>
        </w:rPr>
        <w:t>《侵害人身罪条例》</w:t>
      </w:r>
      <w:r>
        <w:t>(</w:t>
      </w:r>
      <w:r>
        <w:rPr>
          <w:rFonts w:hint="eastAsia"/>
        </w:rPr>
        <w:t>第</w:t>
      </w:r>
      <w:r>
        <w:t>212</w:t>
      </w:r>
      <w:r>
        <w:rPr>
          <w:rFonts w:hint="eastAsia"/>
        </w:rPr>
        <w:t>章</w:t>
      </w:r>
      <w:r>
        <w:t>)</w:t>
      </w:r>
      <w:r>
        <w:rPr>
          <w:rFonts w:hint="eastAsia"/>
        </w:rPr>
        <w:t>：这条条例载有关于遗弃儿童以致生命受危害、对所看管儿童或少年虐待或忽略，以及其他导致或会导致生命和肢体受危害的暴力行为等条文；及</w:t>
      </w:r>
    </w:p>
    <w:p w:rsidR="00000000" w:rsidRDefault="00000000">
      <w:pPr>
        <w:pStyle w:val="a0"/>
        <w:numPr>
          <w:ilvl w:val="0"/>
          <w:numId w:val="18"/>
        </w:numPr>
        <w:ind w:left="1531" w:hanging="510"/>
      </w:pPr>
      <w:r>
        <w:rPr>
          <w:rFonts w:hint="eastAsia"/>
        </w:rPr>
        <w:t>《刑事罪行条例》</w:t>
      </w:r>
      <w:r>
        <w:t>(</w:t>
      </w:r>
      <w:r>
        <w:rPr>
          <w:rFonts w:hint="eastAsia"/>
        </w:rPr>
        <w:t>第</w:t>
      </w:r>
      <w:r>
        <w:t>200</w:t>
      </w:r>
      <w:r>
        <w:rPr>
          <w:rFonts w:hint="eastAsia"/>
        </w:rPr>
        <w:t>章</w:t>
      </w:r>
      <w:r>
        <w:t>)</w:t>
      </w:r>
      <w:r>
        <w:rPr>
          <w:rFonts w:hint="eastAsia"/>
        </w:rPr>
        <w:t>：第</w:t>
      </w:r>
      <w:r>
        <w:t>VI</w:t>
      </w:r>
      <w:r>
        <w:rPr>
          <w:rFonts w:hint="eastAsia"/>
        </w:rPr>
        <w:t>及</w:t>
      </w:r>
      <w:r>
        <w:t>VII</w:t>
      </w:r>
      <w:r>
        <w:rPr>
          <w:rFonts w:hint="eastAsia"/>
        </w:rPr>
        <w:t>部载有关于保护儿童免受性侵犯的条文。</w:t>
      </w:r>
    </w:p>
    <w:p w:rsidR="00000000" w:rsidRDefault="00000000">
      <w:pPr>
        <w:spacing w:after="320"/>
        <w:textAlignment w:val="center"/>
      </w:pPr>
      <w:r>
        <w:tab/>
        <w:t xml:space="preserve">260.  </w:t>
      </w:r>
      <w:r>
        <w:rPr>
          <w:rFonts w:hint="eastAsia"/>
        </w:rPr>
        <w:t>由于向受虐儿童录取证供和整理受虐儿童作供的资料必须十分细心，并需要特别技巧，所以警方已设立专责小组，即保护儿童政策组和虐儿案件调查组，负责处理这类虐儿案件。这些专责小组以跨界别的方法去处理问题，由警方、社会工作者和临床心理学家紧密合作，在调查案件的同时，设法减轻受害儿童和其家人的创伤。受害儿童初次叙述受虐待经过的过程有时会被录影下来，而进行问话的人员均受过专门训练。此外，年幼受害人的录影证供可作为呈堂的主问证供，而他们也可通过电视直播联系方式，向法庭作供及接受讯问，从而减低在亲自出庭时所造成的创伤。当局又不断为警务人员开办培训课程，使他们掌握处理虐儿个案的最新程序和发展，并教导他们细心体察受害儿童的特别需要。</w:t>
      </w:r>
    </w:p>
    <w:p w:rsidR="00000000" w:rsidRDefault="00000000">
      <w:pPr>
        <w:pStyle w:val="Heading4"/>
        <w:rPr>
          <w:u w:val="none"/>
        </w:rPr>
      </w:pPr>
      <w:r>
        <w:rPr>
          <w:u w:val="none"/>
        </w:rPr>
        <w:tab/>
      </w:r>
      <w:r>
        <w:rPr>
          <w:rFonts w:hint="eastAsia"/>
        </w:rPr>
        <w:t>以儿童为题材的色情作品和涉及儿童卖淫的旅游活动</w:t>
      </w:r>
    </w:p>
    <w:p w:rsidR="00000000" w:rsidRDefault="00000000">
      <w:pPr>
        <w:spacing w:after="320"/>
        <w:textAlignment w:val="center"/>
      </w:pPr>
      <w:r>
        <w:tab/>
        <w:t xml:space="preserve">261.  </w:t>
      </w:r>
      <w:r>
        <w:rPr>
          <w:rFonts w:hint="eastAsia"/>
        </w:rPr>
        <w:t>在香港，以商业手法利用儿童提供性服务的问题并不严重：到目前为止，只有六宗检控涉及制作和分发以儿童为题材的色情作品。香港也不是涉及儿童卖淫的旅游点，不过警方注意到香港约有</w:t>
      </w:r>
      <w:r>
        <w:t>16</w:t>
      </w:r>
      <w:r>
        <w:rPr>
          <w:rFonts w:hint="eastAsia"/>
        </w:rPr>
        <w:t>名已知的恋童癖者定期到其他亚洲国家旅游。尽管如此，对于本地人士和国际社会所表示的关注，政府也抱同样态度，认为这类活动即使只属个别事件，也不可接受。对于以上所述和香港在《儿童权利公约》</w:t>
      </w:r>
    </w:p>
    <w:p w:rsidR="00000000" w:rsidRDefault="00000000">
      <w:pPr>
        <w:spacing w:after="320"/>
        <w:textAlignment w:val="center"/>
      </w:pPr>
      <w:r>
        <w:br w:type="page"/>
      </w:r>
      <w:r>
        <w:rPr>
          <w:rFonts w:hint="eastAsia"/>
        </w:rPr>
        <w:t>第</w:t>
      </w:r>
      <w:r>
        <w:t>34</w:t>
      </w:r>
      <w:r>
        <w:rPr>
          <w:rFonts w:hint="eastAsia"/>
        </w:rPr>
        <w:t>条</w:t>
      </w:r>
      <w:r>
        <w:t xml:space="preserve"> </w:t>
      </w:r>
      <w:r>
        <w:rPr>
          <w:rStyle w:val="FootnoteReference"/>
        </w:rPr>
        <w:footnoteReference w:id="64"/>
      </w:r>
      <w:r>
        <w:t xml:space="preserve"> </w:t>
      </w:r>
      <w:r>
        <w:rPr>
          <w:rFonts w:hint="eastAsia"/>
        </w:rPr>
        <w:t>下的义务，政府正草拟法例，把管有、分发和宣传以儿童为题材的色情作品，以及促致或雇用儿童作这类题材的活动，定为违法，并使现时《刑事罪行条例》</w:t>
      </w:r>
      <w:r>
        <w:t>(</w:t>
      </w:r>
      <w:r>
        <w:rPr>
          <w:rFonts w:hint="eastAsia"/>
        </w:rPr>
        <w:t>第</w:t>
      </w:r>
      <w:r>
        <w:t>200</w:t>
      </w:r>
      <w:r>
        <w:rPr>
          <w:rFonts w:hint="eastAsia"/>
        </w:rPr>
        <w:t>章</w:t>
      </w:r>
      <w:r>
        <w:t>)</w:t>
      </w:r>
      <w:r>
        <w:rPr>
          <w:rFonts w:hint="eastAsia"/>
        </w:rPr>
        <w:t>中防止儿童受性侵犯的措施得以在境外实施。我们希望于一九九八至九九年度立法会会期内向立法会提交条例草案。</w:t>
      </w:r>
    </w:p>
    <w:p w:rsidR="00000000" w:rsidRDefault="00000000">
      <w:pPr>
        <w:pStyle w:val="Heading4"/>
      </w:pPr>
      <w:r>
        <w:rPr>
          <w:u w:val="none"/>
        </w:rPr>
        <w:tab/>
      </w:r>
      <w:r>
        <w:rPr>
          <w:rFonts w:hint="eastAsia"/>
          <w:u w:val="none"/>
        </w:rPr>
        <w:t>《</w:t>
      </w:r>
      <w:r>
        <w:rPr>
          <w:rFonts w:hint="eastAsia"/>
        </w:rPr>
        <w:t>保护儿童及少年条例》</w:t>
      </w:r>
      <w:r>
        <w:t>(</w:t>
      </w:r>
      <w:r>
        <w:rPr>
          <w:rFonts w:hint="eastAsia"/>
        </w:rPr>
        <w:t>第</w:t>
      </w:r>
      <w:r>
        <w:t>213</w:t>
      </w:r>
      <w:r>
        <w:rPr>
          <w:rFonts w:hint="eastAsia"/>
        </w:rPr>
        <w:t>章</w:t>
      </w:r>
      <w:r>
        <w:t>)</w:t>
      </w:r>
    </w:p>
    <w:p w:rsidR="00000000" w:rsidRDefault="00000000">
      <w:r>
        <w:tab/>
        <w:t xml:space="preserve">262.  </w:t>
      </w:r>
      <w:r>
        <w:rPr>
          <w:rFonts w:hint="eastAsia"/>
        </w:rPr>
        <w:t>《保护儿童及少年条例》订明，法庭可就下述儿童或少年发出照顾或保护的监管令：受到虐待的儿童或少年；或不受控制的程度达至可能令他本人或其他人受到伤害的儿童或少年；或其健康、成长或福利一直或现正在受到忽略的儿童或少年。截至一九九八年六月三十日为止，约有</w:t>
      </w:r>
      <w:r>
        <w:t>1,879</w:t>
      </w:r>
      <w:r>
        <w:rPr>
          <w:rFonts w:hint="eastAsia"/>
        </w:rPr>
        <w:t>名儿童或少年受到上述监管令的照顾或保护。</w:t>
      </w:r>
    </w:p>
    <w:p w:rsidR="00000000" w:rsidRDefault="00000000">
      <w:r>
        <w:tab/>
        <w:t xml:space="preserve">263.  </w:t>
      </w:r>
      <w:r>
        <w:rPr>
          <w:rFonts w:hint="eastAsia"/>
        </w:rPr>
        <w:t>法庭可根据监管令委任社会福利署署长为有关儿童或少年的法定监护人。该名儿童或少年会付托予适合照顾他的人士或机构，或交由一名社会工作主任监管。此外，法庭也可命令该儿童或少年的父母或监护人办理担保手续，保证对他作出适当的照顾和监护。</w:t>
      </w:r>
    </w:p>
    <w:p w:rsidR="00000000" w:rsidRDefault="00000000">
      <w:pPr>
        <w:spacing w:after="320"/>
        <w:textAlignment w:val="center"/>
      </w:pPr>
      <w:r>
        <w:tab/>
        <w:t xml:space="preserve">264.  </w:t>
      </w:r>
      <w:r>
        <w:rPr>
          <w:rFonts w:hint="eastAsia"/>
        </w:rPr>
        <w:t>条例亦订明，社会福利署署长或获其授权的任何人员，均可进入任何场所，把看来需要照顾或保护的儿童或少年带走，以便其接受体格、心理或社会背景评估。</w:t>
      </w:r>
    </w:p>
    <w:p w:rsidR="00000000" w:rsidRDefault="00000000">
      <w:pPr>
        <w:pStyle w:val="Heading4"/>
      </w:pPr>
      <w:r>
        <w:rPr>
          <w:u w:val="none"/>
        </w:rPr>
        <w:tab/>
      </w:r>
      <w:r>
        <w:rPr>
          <w:rFonts w:hint="eastAsia"/>
        </w:rPr>
        <w:t>在海牙签订的《国际掳拐儿童民事方面公约》</w:t>
      </w:r>
    </w:p>
    <w:p w:rsidR="00000000" w:rsidRDefault="00000000">
      <w:pPr>
        <w:spacing w:after="320"/>
        <w:textAlignment w:val="center"/>
      </w:pPr>
      <w:r>
        <w:tab/>
        <w:t xml:space="preserve">265.  </w:t>
      </w:r>
      <w:r>
        <w:rPr>
          <w:rFonts w:hint="eastAsia"/>
        </w:rPr>
        <w:t>这条公约由一九九七年九月一日起在香港实施。公约提供了一个有效的国际机制，确保当儿童在有关人士</w:t>
      </w:r>
      <w:r>
        <w:t>/</w:t>
      </w:r>
      <w:r>
        <w:rPr>
          <w:rFonts w:hint="eastAsia"/>
        </w:rPr>
        <w:t>机构</w:t>
      </w:r>
      <w:r>
        <w:t>/</w:t>
      </w:r>
      <w:r>
        <w:rPr>
          <w:rFonts w:hint="eastAsia"/>
        </w:rPr>
        <w:t>团体的管养权遭侵犯的情况下，在惯常居住地被不当迁移或扣留时，当局可安排把该儿童迅速交还。《掠拐和管养儿童条例》</w:t>
      </w:r>
      <w:r>
        <w:t>(</w:t>
      </w:r>
      <w:r>
        <w:rPr>
          <w:rFonts w:hint="eastAsia"/>
        </w:rPr>
        <w:t>第</w:t>
      </w:r>
      <w:r>
        <w:t>512</w:t>
      </w:r>
      <w:r>
        <w:rPr>
          <w:rFonts w:hint="eastAsia"/>
        </w:rPr>
        <w:t>章</w:t>
      </w:r>
      <w:r>
        <w:t>)</w:t>
      </w:r>
      <w:r>
        <w:rPr>
          <w:rFonts w:hint="eastAsia"/>
        </w:rPr>
        <w:t>已于一九九七年九月制定，使公约得以在香港实施。</w:t>
      </w:r>
    </w:p>
    <w:p w:rsidR="00000000" w:rsidRDefault="00000000">
      <w:pPr>
        <w:pStyle w:val="Heading4"/>
        <w:ind w:left="498"/>
      </w:pPr>
      <w:r>
        <w:rPr>
          <w:rFonts w:hint="eastAsia"/>
        </w:rPr>
        <w:t>边缘青少年服务工作小组</w:t>
      </w:r>
    </w:p>
    <w:p w:rsidR="00000000" w:rsidRDefault="00000000">
      <w:r>
        <w:tab/>
        <w:t xml:space="preserve">266.  </w:t>
      </w:r>
      <w:r>
        <w:rPr>
          <w:rFonts w:hint="eastAsia"/>
        </w:rPr>
        <w:t>如上次报告第</w:t>
      </w:r>
      <w:r>
        <w:t>146</w:t>
      </w:r>
      <w:r>
        <w:rPr>
          <w:rFonts w:hint="eastAsia"/>
        </w:rPr>
        <w:t>段所述，儿童及青年福利服务统筹委员会</w:t>
      </w:r>
      <w:r>
        <w:t xml:space="preserve"> </w:t>
      </w:r>
      <w:r>
        <w:rPr>
          <w:rStyle w:val="FootnoteReference"/>
        </w:rPr>
        <w:footnoteReference w:id="65"/>
      </w:r>
      <w:r>
        <w:t xml:space="preserve"> </w:t>
      </w:r>
      <w:r>
        <w:rPr>
          <w:rFonts w:hint="eastAsia"/>
        </w:rPr>
        <w:t>辖下的边缘青少年服务工作小组，最近完成了一项有关青少年非法使用药物的研究。工作小组已向儿童及青年福利服务统筹委员会及禁毒常务委员会提出若干建议，以供考虑。其后，工作小组更研究了目下其他青少年问题，包括青少年自杀、青少年性问题、青少年离家出走和童党问题。</w:t>
      </w:r>
    </w:p>
    <w:p w:rsidR="00000000" w:rsidRDefault="00000000">
      <w:r>
        <w:tab/>
        <w:t xml:space="preserve">267.  </w:t>
      </w:r>
      <w:r>
        <w:rPr>
          <w:rFonts w:hint="eastAsia"/>
        </w:rPr>
        <w:t>工作小组继续统筹预防滥用药物的宣传和其他公众教育活动。一九九八年一月，工作小组制作和派发了一套为家长而设的性教育教材。在独立研究小组的协助下，工作小组发展了一套旨在帮助边缘学生的预防计划</w:t>
      </w:r>
      <w:r>
        <w:t>(</w:t>
      </w:r>
      <w:r>
        <w:rPr>
          <w:rFonts w:hint="eastAsia"/>
        </w:rPr>
        <w:t>见下文第</w:t>
      </w:r>
      <w:r>
        <w:t>269</w:t>
      </w:r>
      <w:r>
        <w:rPr>
          <w:rFonts w:hint="eastAsia"/>
        </w:rPr>
        <w:t>段</w:t>
      </w:r>
      <w:r>
        <w:t>)</w:t>
      </w:r>
      <w:r>
        <w:rPr>
          <w:rFonts w:hint="eastAsia"/>
        </w:rPr>
        <w:t>，以及完成探讨香港边缘青少年沦为童党和</w:t>
      </w:r>
      <w:r>
        <w:t>/</w:t>
      </w:r>
      <w:r>
        <w:rPr>
          <w:rFonts w:hint="eastAsia"/>
        </w:rPr>
        <w:t>或离家出走的因素。这些因素包括受不住朋辈压力、学业成绩差、反社会行为、与父母关系恶劣、家人和朋友曾经犯罪等。</w:t>
      </w:r>
    </w:p>
    <w:p w:rsidR="00000000" w:rsidRDefault="00000000">
      <w:r>
        <w:tab/>
        <w:t xml:space="preserve">268.  </w:t>
      </w:r>
      <w:r>
        <w:rPr>
          <w:rFonts w:hint="eastAsia"/>
        </w:rPr>
        <w:t>政府为协助边缘青少年成为成熟、对社会有贡献的一员，特别设计了多项活动让他们参与，避免他们受到不良影响。“青少年”一词，在本文是指那些年龄介乎</w:t>
      </w:r>
      <w:r>
        <w:t>6</w:t>
      </w:r>
      <w:r>
        <w:rPr>
          <w:rFonts w:hint="eastAsia"/>
        </w:rPr>
        <w:t>至</w:t>
      </w:r>
      <w:r>
        <w:t>18</w:t>
      </w:r>
      <w:r>
        <w:rPr>
          <w:rFonts w:hint="eastAsia"/>
        </w:rPr>
        <w:t>岁的未成年人士及</w:t>
      </w:r>
      <w:r>
        <w:t>18</w:t>
      </w:r>
      <w:r>
        <w:rPr>
          <w:rFonts w:hint="eastAsia"/>
        </w:rPr>
        <w:t>至</w:t>
      </w:r>
      <w:r>
        <w:t>24</w:t>
      </w:r>
      <w:r>
        <w:rPr>
          <w:rFonts w:hint="eastAsia"/>
        </w:rPr>
        <w:t>岁的青年。</w:t>
      </w:r>
    </w:p>
    <w:p w:rsidR="00000000" w:rsidRDefault="00000000">
      <w:r>
        <w:tab/>
        <w:t xml:space="preserve">269.  </w:t>
      </w:r>
      <w:r>
        <w:rPr>
          <w:rFonts w:hint="eastAsia"/>
        </w:rPr>
        <w:t>政府在这方面所推出的服务，包括：</w:t>
      </w:r>
    </w:p>
    <w:p w:rsidR="00000000" w:rsidRDefault="00000000">
      <w:pPr>
        <w:pStyle w:val="a0"/>
        <w:numPr>
          <w:ilvl w:val="0"/>
          <w:numId w:val="20"/>
        </w:numPr>
        <w:ind w:left="1531" w:hanging="510"/>
      </w:pPr>
      <w:r>
        <w:rPr>
          <w:rFonts w:hint="eastAsia"/>
        </w:rPr>
        <w:t>儿童及青年中心服务：这是一项以中心为本的服务，目的在于协助青少年，特别是生活环境欠佳的青少年，促进他们的个人发展；</w:t>
      </w:r>
    </w:p>
    <w:p w:rsidR="00000000" w:rsidRDefault="00000000">
      <w:pPr>
        <w:pStyle w:val="a0"/>
        <w:numPr>
          <w:ilvl w:val="0"/>
          <w:numId w:val="20"/>
        </w:numPr>
        <w:ind w:left="1531" w:hanging="510"/>
      </w:pPr>
      <w:r>
        <w:rPr>
          <w:rFonts w:hint="eastAsia"/>
        </w:rPr>
        <w:t>外展社会工作：受过专门训练的社会工作者会到服务对象</w:t>
      </w:r>
      <w:r>
        <w:t>(</w:t>
      </w:r>
      <w:r>
        <w:rPr>
          <w:rFonts w:hint="eastAsia"/>
        </w:rPr>
        <w:t>例如童党及离家出走的青少年</w:t>
      </w:r>
      <w:r>
        <w:t>)</w:t>
      </w:r>
      <w:r>
        <w:rPr>
          <w:rFonts w:hint="eastAsia"/>
        </w:rPr>
        <w:t>经常流连的地方，例如街头、游戏机中心等，直接与青少年接触，从而协助有适应困难或有行为问题的青少年重返校园、重建与家人的关系或重新投入工作；及</w:t>
      </w:r>
    </w:p>
    <w:p w:rsidR="00000000" w:rsidRDefault="00000000">
      <w:pPr>
        <w:pStyle w:val="a0"/>
        <w:numPr>
          <w:ilvl w:val="0"/>
          <w:numId w:val="20"/>
        </w:numPr>
        <w:spacing w:after="320"/>
        <w:ind w:left="1531" w:hanging="510"/>
        <w:textAlignment w:val="center"/>
      </w:pPr>
      <w:r>
        <w:rPr>
          <w:rFonts w:hint="eastAsia"/>
        </w:rPr>
        <w:t>学校社会工作服务：顾名思义，这是一项驻校服务，旨在找出和协助因有学业、社交及情绪问题而成为，或有可能成为边缘青少年的学生。基于一九九七年完成的一项研究，政府建议一系列措施，以改善这项服务。</w:t>
      </w:r>
    </w:p>
    <w:p w:rsidR="00000000" w:rsidRDefault="00000000">
      <w:pPr>
        <w:pStyle w:val="Heading4"/>
      </w:pPr>
      <w:r>
        <w:rPr>
          <w:u w:val="none"/>
        </w:rPr>
        <w:tab/>
      </w:r>
      <w:r>
        <w:rPr>
          <w:rFonts w:hint="eastAsia"/>
        </w:rPr>
        <w:t>少年罪犯和边缘青少年的训练及自新</w:t>
      </w:r>
    </w:p>
    <w:p w:rsidR="00000000" w:rsidRDefault="00000000">
      <w:r>
        <w:tab/>
        <w:t xml:space="preserve">270.  </w:t>
      </w:r>
      <w:r>
        <w:rPr>
          <w:rFonts w:hint="eastAsia"/>
        </w:rPr>
        <w:t>上次报告第</w:t>
      </w:r>
      <w:r>
        <w:t>125</w:t>
      </w:r>
      <w:r>
        <w:rPr>
          <w:rFonts w:hint="eastAsia"/>
        </w:rPr>
        <w:t>段提到，一九九四年十月，非政府机构和社会福利署合作，一同推行一项试验性质的［社区支援服务计划］，通过有系统、以社区为本的计划及加强督导服务，协助少年罪犯和边缘青少年改过自新。一九九六年年底完成的独立评估显示，该项试验计划已见成效。一九九八年四月起，该项计划转为长期推行。该项计划旨在帮助少年罪犯和边缘青少年融入主流教育或为就业作准备，提供有系统的日间训练，包括：</w:t>
      </w:r>
    </w:p>
    <w:p w:rsidR="00000000" w:rsidRDefault="00000000">
      <w:pPr>
        <w:pStyle w:val="a0"/>
        <w:numPr>
          <w:ilvl w:val="0"/>
          <w:numId w:val="21"/>
        </w:numPr>
        <w:ind w:left="1531" w:hanging="510"/>
      </w:pPr>
      <w:r>
        <w:rPr>
          <w:rFonts w:hint="eastAsia"/>
        </w:rPr>
        <w:t>社交小组工作；</w:t>
      </w:r>
    </w:p>
    <w:p w:rsidR="00000000" w:rsidRDefault="00000000">
      <w:pPr>
        <w:pStyle w:val="a0"/>
        <w:numPr>
          <w:ilvl w:val="0"/>
          <w:numId w:val="21"/>
        </w:numPr>
        <w:ind w:left="1531" w:hanging="510"/>
      </w:pPr>
      <w:r>
        <w:rPr>
          <w:rFonts w:hint="eastAsia"/>
        </w:rPr>
        <w:t>社区服务计划；</w:t>
      </w:r>
    </w:p>
    <w:p w:rsidR="00000000" w:rsidRDefault="00000000">
      <w:pPr>
        <w:pStyle w:val="a0"/>
        <w:numPr>
          <w:ilvl w:val="0"/>
          <w:numId w:val="21"/>
        </w:numPr>
        <w:ind w:left="1531" w:hanging="510"/>
      </w:pPr>
      <w:r>
        <w:rPr>
          <w:rFonts w:hint="eastAsia"/>
        </w:rPr>
        <w:t>职业训练计划；及</w:t>
      </w:r>
    </w:p>
    <w:p w:rsidR="00000000" w:rsidRDefault="00000000">
      <w:pPr>
        <w:pStyle w:val="a0"/>
        <w:numPr>
          <w:ilvl w:val="0"/>
          <w:numId w:val="21"/>
        </w:numPr>
        <w:spacing w:after="320"/>
        <w:ind w:left="1531" w:hanging="510"/>
        <w:textAlignment w:val="center"/>
      </w:pPr>
      <w:r>
        <w:rPr>
          <w:rFonts w:hint="eastAsia"/>
        </w:rPr>
        <w:t>辅导小组。</w:t>
      </w:r>
    </w:p>
    <w:p w:rsidR="00000000" w:rsidRDefault="00000000">
      <w:pPr>
        <w:pStyle w:val="Heading4"/>
      </w:pPr>
      <w:r>
        <w:rPr>
          <w:u w:val="none"/>
        </w:rPr>
        <w:tab/>
      </w:r>
      <w:r>
        <w:rPr>
          <w:rFonts w:hint="eastAsia"/>
        </w:rPr>
        <w:t>青年事务委员会</w:t>
      </w:r>
    </w:p>
    <w:p w:rsidR="00000000" w:rsidRDefault="00000000">
      <w:r>
        <w:tab/>
        <w:t xml:space="preserve">271.  </w:t>
      </w:r>
      <w:r>
        <w:rPr>
          <w:rFonts w:hint="eastAsia"/>
        </w:rPr>
        <w:t>如上次报告第</w:t>
      </w:r>
      <w:r>
        <w:t>127</w:t>
      </w:r>
      <w:r>
        <w:rPr>
          <w:rFonts w:hint="eastAsia"/>
        </w:rPr>
        <w:t>段所述，青年事务委员会负责就推广青年福利的措施，向政府提供意见。该委员会于一九九三年制订了《青年约章》，阐明青年发展的原则和理想。签署了《青年约章》的团体，承诺会尽其所能实践约章的原则。政府是首个约章签署者。截至一九九八年六月三十日为止，约有</w:t>
      </w:r>
      <w:r>
        <w:t>400</w:t>
      </w:r>
      <w:r>
        <w:rPr>
          <w:rFonts w:hint="eastAsia"/>
        </w:rPr>
        <w:t>个团体和</w:t>
      </w:r>
      <w:r>
        <w:t>2,000</w:t>
      </w:r>
      <w:r>
        <w:rPr>
          <w:rFonts w:hint="eastAsia"/>
        </w:rPr>
        <w:t>名个别人士加入约章签署者的行列。该委员会每两年检讨《青年约章》的实践情况，最近一次检讨于一九九七年十二月进行。</w:t>
      </w:r>
    </w:p>
    <w:p w:rsidR="00000000" w:rsidRDefault="00000000">
      <w:r>
        <w:tab/>
        <w:t xml:space="preserve">272.  </w:t>
      </w:r>
      <w:r>
        <w:rPr>
          <w:rFonts w:hint="eastAsia"/>
        </w:rPr>
        <w:t>委员会除研究一些直接与青少年有关的问题外，还研究青少年对大众所关注问题的态度。此外，委员会也会和其他与青年发展有关的机构保持紧密联络。委员会最近曾就以下方面进行研究：</w:t>
      </w:r>
    </w:p>
    <w:p w:rsidR="00000000" w:rsidRDefault="00000000">
      <w:pPr>
        <w:pStyle w:val="a8"/>
        <w:numPr>
          <w:ilvl w:val="0"/>
          <w:numId w:val="0"/>
        </w:numPr>
        <w:ind w:left="1036"/>
      </w:pPr>
      <w:r>
        <w:rPr>
          <w:rFonts w:hint="eastAsia"/>
        </w:rPr>
        <w:t>传媒对青少年的影响；</w:t>
      </w:r>
    </w:p>
    <w:p w:rsidR="00000000" w:rsidRDefault="00000000">
      <w:pPr>
        <w:pStyle w:val="a8"/>
        <w:numPr>
          <w:ilvl w:val="0"/>
          <w:numId w:val="0"/>
        </w:numPr>
        <w:ind w:left="1036"/>
      </w:pPr>
      <w:r>
        <w:rPr>
          <w:rFonts w:hint="eastAsia"/>
        </w:rPr>
        <w:t>新来港定居青少年的支援系统；及</w:t>
      </w:r>
    </w:p>
    <w:p w:rsidR="00000000" w:rsidRDefault="00000000">
      <w:pPr>
        <w:pStyle w:val="a8"/>
        <w:numPr>
          <w:ilvl w:val="0"/>
          <w:numId w:val="0"/>
        </w:numPr>
        <w:ind w:left="1036"/>
      </w:pPr>
      <w:r>
        <w:rPr>
          <w:rFonts w:hint="eastAsia"/>
        </w:rPr>
        <w:t>青少年的道德价值观和公民意识。</w:t>
      </w:r>
    </w:p>
    <w:p w:rsidR="00000000" w:rsidRDefault="00000000">
      <w:pPr>
        <w:spacing w:after="320"/>
        <w:textAlignment w:val="center"/>
      </w:pPr>
      <w:r>
        <w:rPr>
          <w:rFonts w:hint="eastAsia"/>
        </w:rPr>
        <w:t>上述及其他方面的研究，将有助当局制定各项政策。</w:t>
      </w:r>
    </w:p>
    <w:p w:rsidR="00000000" w:rsidRDefault="00000000">
      <w:pPr>
        <w:pStyle w:val="Heading4"/>
      </w:pPr>
      <w:r>
        <w:rPr>
          <w:u w:val="none"/>
        </w:rPr>
        <w:tab/>
      </w:r>
      <w:r>
        <w:rPr>
          <w:rFonts w:hint="eastAsia"/>
        </w:rPr>
        <w:t>儿童自杀个案</w:t>
      </w:r>
    </w:p>
    <w:p w:rsidR="00000000" w:rsidRDefault="00000000">
      <w:r>
        <w:tab/>
        <w:t xml:space="preserve">273.  </w:t>
      </w:r>
      <w:r>
        <w:rPr>
          <w:rFonts w:hint="eastAsia"/>
        </w:rPr>
        <w:t>我们在上次报告第</w:t>
      </w:r>
      <w:r>
        <w:t>132</w:t>
      </w:r>
      <w:r>
        <w:rPr>
          <w:rFonts w:hint="eastAsia"/>
        </w:rPr>
        <w:t>至</w:t>
      </w:r>
      <w:r>
        <w:t>135</w:t>
      </w:r>
      <w:r>
        <w:rPr>
          <w:rFonts w:hint="eastAsia"/>
        </w:rPr>
        <w:t>段说明，儿童自杀问题多年来备受关注。我们又述明当局已采取的措施和当时正开始实施的措施，包括：</w:t>
      </w:r>
    </w:p>
    <w:p w:rsidR="00000000" w:rsidRDefault="00000000">
      <w:pPr>
        <w:pStyle w:val="a0"/>
        <w:numPr>
          <w:ilvl w:val="0"/>
          <w:numId w:val="23"/>
        </w:numPr>
        <w:ind w:left="1531" w:hanging="510"/>
      </w:pPr>
      <w:r>
        <w:rPr>
          <w:rFonts w:hint="eastAsia"/>
        </w:rPr>
        <w:t>政府在传媒展开宣传运动，向家长和学生灌输爱惜生命的观念，并向他们强调家长与子女之间沟通的重要性；</w:t>
      </w:r>
    </w:p>
    <w:p w:rsidR="00000000" w:rsidRDefault="00000000">
      <w:pPr>
        <w:pStyle w:val="a0"/>
        <w:numPr>
          <w:ilvl w:val="0"/>
          <w:numId w:val="23"/>
        </w:numPr>
        <w:ind w:left="1531" w:hanging="510"/>
      </w:pPr>
      <w:r>
        <w:rPr>
          <w:rFonts w:hint="eastAsia"/>
        </w:rPr>
        <w:t>为教师提供所需判断技巧的训练；</w:t>
      </w:r>
    </w:p>
    <w:p w:rsidR="00000000" w:rsidRDefault="00000000">
      <w:pPr>
        <w:pStyle w:val="a0"/>
        <w:numPr>
          <w:ilvl w:val="0"/>
          <w:numId w:val="23"/>
        </w:numPr>
        <w:ind w:left="1531" w:hanging="510"/>
      </w:pPr>
      <w:r>
        <w:rPr>
          <w:rFonts w:hint="eastAsia"/>
        </w:rPr>
        <w:t>为学校提供一套了解学生自杀问题的指引；及</w:t>
      </w:r>
    </w:p>
    <w:p w:rsidR="00000000" w:rsidRDefault="00000000">
      <w:pPr>
        <w:pStyle w:val="a0"/>
        <w:numPr>
          <w:ilvl w:val="0"/>
          <w:numId w:val="23"/>
        </w:numPr>
        <w:ind w:left="1531" w:hanging="510"/>
      </w:pPr>
      <w:r>
        <w:rPr>
          <w:rFonts w:hint="eastAsia"/>
        </w:rPr>
        <w:t>为学生讲解有关精神健康的问题和应付压力的方法。</w:t>
      </w:r>
    </w:p>
    <w:p w:rsidR="00000000" w:rsidRDefault="00000000">
      <w:r>
        <w:tab/>
        <w:t xml:space="preserve">274.  </w:t>
      </w:r>
      <w:r>
        <w:rPr>
          <w:rFonts w:hint="eastAsia"/>
        </w:rPr>
        <w:t>我们在上次报告中还指出，政府的儿童及青年福利服务统筹委员会委聘请了专业人士进行研究，以便制订一套检查方法，及早发现那些有自杀倾向的儿童和青少年。研究小组于一九九七年完成有关工作，建议当局推行计划，教导可能会出现问题的学生应付行为和情绪问题的技巧和知识，并协助他们建立正确的自我形象。这些计划现已推行，内容包括人际沟通、亲子关系和社区服务等。</w:t>
      </w:r>
    </w:p>
    <w:p w:rsidR="00000000" w:rsidRDefault="00000000">
      <w:r>
        <w:tab/>
        <w:t xml:space="preserve">275.  </w:t>
      </w:r>
      <w:r>
        <w:rPr>
          <w:rFonts w:hint="eastAsia"/>
        </w:rPr>
        <w:t>该委员会当时正在推行的其他措施还包括：</w:t>
      </w:r>
    </w:p>
    <w:p w:rsidR="00000000" w:rsidRDefault="00000000">
      <w:pPr>
        <w:pStyle w:val="a0"/>
        <w:numPr>
          <w:ilvl w:val="0"/>
          <w:numId w:val="24"/>
        </w:numPr>
        <w:ind w:left="1531" w:hanging="510"/>
      </w:pPr>
      <w:r>
        <w:rPr>
          <w:rFonts w:hint="eastAsia"/>
        </w:rPr>
        <w:t>由委员会辖下边缘青少年服务工作小组评估能否改善现有青少年热线服务。有关调查已于一九九五年五月展开。同年八月，社会福利署根据工作小组的建议，同意资助两条新的青少年热线，让感到困扰的青少年可向曾受训练、关怀同情他们而又不相识的人士倾诉；及</w:t>
      </w:r>
    </w:p>
    <w:p w:rsidR="00000000" w:rsidRDefault="00000000">
      <w:pPr>
        <w:pStyle w:val="a0"/>
        <w:numPr>
          <w:ilvl w:val="0"/>
          <w:numId w:val="24"/>
        </w:numPr>
        <w:ind w:left="1531" w:hanging="510"/>
      </w:pPr>
      <w:r>
        <w:rPr>
          <w:rFonts w:hint="eastAsia"/>
        </w:rPr>
        <w:t>推广朋辈群体支援网络的概念，协助青少年建立正确的自我形象和人生价值观，并改善他们应付危机的技巧。这类网络现已在各项青少年服务中设立。</w:t>
      </w:r>
    </w:p>
    <w:p w:rsidR="00000000" w:rsidRDefault="00000000">
      <w:r>
        <w:tab/>
        <w:t xml:space="preserve">276.  </w:t>
      </w:r>
      <w:r>
        <w:rPr>
          <w:rFonts w:hint="eastAsia"/>
        </w:rPr>
        <w:t>该委员会继续致力于各项工作。一九九七年一月，委员会完成有关儿童及青年中心设施的检讨，建议更新中心的设施，以吸引青少年使用中心的服务，从而令他们参与有益身心的活动。</w:t>
      </w:r>
    </w:p>
    <w:p w:rsidR="00000000" w:rsidRDefault="00000000">
      <w:pPr>
        <w:spacing w:after="160"/>
        <w:textAlignment w:val="center"/>
      </w:pPr>
      <w:r>
        <w:br w:type="page"/>
      </w:r>
      <w:r>
        <w:tab/>
        <w:t xml:space="preserve">277.  </w:t>
      </w:r>
      <w:r>
        <w:rPr>
          <w:rFonts w:hint="eastAsia"/>
        </w:rPr>
        <w:t>上述措施看来已收效。企图自杀的个案数字有下降趋势：</w:t>
      </w:r>
    </w:p>
    <w:tbl>
      <w:tblPr>
        <w:tblW w:w="0" w:type="auto"/>
        <w:tblInd w:w="-26" w:type="dxa"/>
        <w:tblLayout w:type="fixed"/>
        <w:tblCellMar>
          <w:left w:w="28" w:type="dxa"/>
          <w:right w:w="28" w:type="dxa"/>
        </w:tblCellMar>
        <w:tblLook w:val="0000" w:firstRow="0" w:lastRow="0" w:firstColumn="0" w:lastColumn="0" w:noHBand="0" w:noVBand="0"/>
      </w:tblPr>
      <w:tblGrid>
        <w:gridCol w:w="3137"/>
        <w:gridCol w:w="3137"/>
        <w:gridCol w:w="3137"/>
      </w:tblGrid>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ind w:left="170"/>
              <w:jc w:val="center"/>
              <w:textAlignment w:val="center"/>
              <w:rPr>
                <w:sz w:val="21"/>
              </w:rPr>
            </w:pPr>
            <w:r>
              <w:br w:type="page"/>
            </w:r>
            <w:r>
              <w:br w:type="page"/>
            </w:r>
            <w:r>
              <w:br w:type="page"/>
            </w:r>
            <w:r>
              <w:br w:type="page"/>
            </w:r>
            <w:r>
              <w:rPr>
                <w:rFonts w:hint="eastAsia"/>
                <w:sz w:val="21"/>
              </w:rPr>
              <w:t>学</w:t>
            </w:r>
            <w:r>
              <w:rPr>
                <w:sz w:val="21"/>
              </w:rPr>
              <w:t xml:space="preserve">  </w:t>
            </w:r>
            <w:r>
              <w:rPr>
                <w:rFonts w:hint="eastAsia"/>
                <w:sz w:val="21"/>
              </w:rPr>
              <w:t>年</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rFonts w:hint="eastAsia"/>
                <w:sz w:val="21"/>
              </w:rPr>
              <w:t>自杀身亡个案</w:t>
            </w:r>
            <w:r>
              <w:rPr>
                <w:sz w:val="21"/>
              </w:rPr>
              <w:t>(</w:t>
            </w:r>
            <w:r>
              <w:rPr>
                <w:rFonts w:hint="eastAsia"/>
                <w:sz w:val="21"/>
              </w:rPr>
              <w:t>宗</w:t>
            </w:r>
            <w:r>
              <w:rPr>
                <w:sz w:val="21"/>
              </w:rPr>
              <w:t>)</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rFonts w:hint="eastAsia"/>
                <w:sz w:val="21"/>
              </w:rPr>
              <w:t>企图自杀个案</w:t>
            </w:r>
            <w:r>
              <w:rPr>
                <w:sz w:val="21"/>
              </w:rPr>
              <w:t>(</w:t>
            </w:r>
            <w:r>
              <w:rPr>
                <w:rFonts w:hint="eastAsia"/>
                <w:sz w:val="21"/>
              </w:rPr>
              <w:t>宗</w:t>
            </w:r>
            <w:r>
              <w:rPr>
                <w:sz w:val="21"/>
              </w:rPr>
              <w:t>)</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ind w:left="170"/>
              <w:jc w:val="center"/>
              <w:textAlignment w:val="center"/>
              <w:rPr>
                <w:sz w:val="21"/>
              </w:rPr>
            </w:pPr>
            <w:r>
              <w:rPr>
                <w:sz w:val="21"/>
              </w:rPr>
              <w:t>1993 - 94</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22</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88</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ind w:left="170"/>
              <w:jc w:val="center"/>
              <w:textAlignment w:val="center"/>
              <w:rPr>
                <w:sz w:val="21"/>
              </w:rPr>
            </w:pPr>
            <w:r>
              <w:rPr>
                <w:sz w:val="21"/>
              </w:rPr>
              <w:t>1994 - 95</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14</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42</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ind w:left="170"/>
              <w:jc w:val="center"/>
              <w:textAlignment w:val="center"/>
              <w:rPr>
                <w:sz w:val="21"/>
              </w:rPr>
            </w:pPr>
            <w:r>
              <w:rPr>
                <w:sz w:val="21"/>
              </w:rPr>
              <w:t>1995 - 96</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17</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28</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ind w:left="170"/>
              <w:jc w:val="center"/>
              <w:textAlignment w:val="center"/>
              <w:rPr>
                <w:sz w:val="21"/>
              </w:rPr>
            </w:pPr>
            <w:r>
              <w:rPr>
                <w:sz w:val="21"/>
              </w:rPr>
              <w:t>1996 - 97</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20</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21</w:t>
            </w:r>
          </w:p>
        </w:tc>
      </w:tr>
      <w:tr w:rsidR="00000000">
        <w:tblPrEx>
          <w:tblCellMar>
            <w:top w:w="0" w:type="dxa"/>
            <w:bottom w:w="0" w:type="dxa"/>
          </w:tblCellMar>
        </w:tblPrEx>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ind w:left="170"/>
              <w:jc w:val="center"/>
              <w:textAlignment w:val="center"/>
              <w:rPr>
                <w:sz w:val="21"/>
              </w:rPr>
            </w:pPr>
            <w:r>
              <w:rPr>
                <w:sz w:val="21"/>
              </w:rPr>
              <w:t>1997 - 98</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11</w:t>
            </w:r>
          </w:p>
        </w:tc>
        <w:tc>
          <w:tcPr>
            <w:tcW w:w="3137" w:type="dxa"/>
            <w:tcBorders>
              <w:top w:val="single" w:sz="6" w:space="0" w:color="auto"/>
              <w:left w:val="single" w:sz="6" w:space="0" w:color="auto"/>
              <w:bottom w:val="single" w:sz="6" w:space="0" w:color="auto"/>
              <w:right w:val="single" w:sz="6" w:space="0" w:color="auto"/>
            </w:tcBorders>
          </w:tcPr>
          <w:p w:rsidR="00000000" w:rsidRDefault="00000000">
            <w:pPr>
              <w:spacing w:before="60"/>
              <w:jc w:val="center"/>
              <w:textAlignment w:val="center"/>
              <w:rPr>
                <w:sz w:val="21"/>
              </w:rPr>
            </w:pPr>
            <w:r>
              <w:rPr>
                <w:sz w:val="21"/>
              </w:rPr>
              <w:t>15</w:t>
            </w:r>
          </w:p>
        </w:tc>
      </w:tr>
      <w:tr w:rsidR="00000000">
        <w:tblPrEx>
          <w:tblCellMar>
            <w:top w:w="0" w:type="dxa"/>
            <w:bottom w:w="0" w:type="dxa"/>
          </w:tblCellMar>
        </w:tblPrEx>
        <w:tc>
          <w:tcPr>
            <w:tcW w:w="3137" w:type="dxa"/>
          </w:tcPr>
          <w:p w:rsidR="00000000" w:rsidRDefault="00000000">
            <w:pPr>
              <w:ind w:left="170"/>
              <w:jc w:val="center"/>
              <w:textAlignment w:val="center"/>
              <w:rPr>
                <w:sz w:val="21"/>
              </w:rPr>
            </w:pPr>
          </w:p>
        </w:tc>
        <w:tc>
          <w:tcPr>
            <w:tcW w:w="3137" w:type="dxa"/>
          </w:tcPr>
          <w:p w:rsidR="00000000" w:rsidRDefault="00000000">
            <w:pPr>
              <w:jc w:val="center"/>
              <w:textAlignment w:val="center"/>
              <w:rPr>
                <w:sz w:val="21"/>
              </w:rPr>
            </w:pPr>
          </w:p>
        </w:tc>
        <w:tc>
          <w:tcPr>
            <w:tcW w:w="3137" w:type="dxa"/>
          </w:tcPr>
          <w:p w:rsidR="00000000" w:rsidRDefault="00000000">
            <w:pPr>
              <w:jc w:val="center"/>
              <w:textAlignment w:val="center"/>
              <w:rPr>
                <w:sz w:val="21"/>
              </w:rPr>
            </w:pPr>
          </w:p>
        </w:tc>
      </w:tr>
    </w:tbl>
    <w:p w:rsidR="00000000" w:rsidRDefault="00000000">
      <w:pPr>
        <w:pStyle w:val="Heading4"/>
        <w:spacing w:before="120"/>
      </w:pPr>
      <w:r>
        <w:rPr>
          <w:sz w:val="21"/>
          <w:u w:val="none"/>
        </w:rPr>
        <w:tab/>
      </w:r>
      <w:r>
        <w:rPr>
          <w:rFonts w:hint="eastAsia"/>
        </w:rPr>
        <w:t>雇用儿童及青少年</w:t>
      </w:r>
    </w:p>
    <w:p w:rsidR="00000000" w:rsidRDefault="00000000">
      <w:pPr>
        <w:spacing w:after="320"/>
        <w:textAlignment w:val="center"/>
      </w:pPr>
      <w:r>
        <w:tab/>
        <w:t xml:space="preserve">278.  </w:t>
      </w:r>
      <w:r>
        <w:rPr>
          <w:rFonts w:hint="eastAsia"/>
        </w:rPr>
        <w:t>虽然部分法例条文已经过修订，但有关情况仍与上次报告第</w:t>
      </w:r>
      <w:r>
        <w:t>128</w:t>
      </w:r>
      <w:r>
        <w:rPr>
          <w:rFonts w:hint="eastAsia"/>
        </w:rPr>
        <w:t>至</w:t>
      </w:r>
      <w:r>
        <w:t>131</w:t>
      </w:r>
      <w:r>
        <w:rPr>
          <w:rFonts w:hint="eastAsia"/>
        </w:rPr>
        <w:t>段所述大致相同，详情请参阅附件</w:t>
      </w:r>
      <w:r>
        <w:t>21</w:t>
      </w:r>
      <w:r>
        <w:rPr>
          <w:rFonts w:hint="eastAsia"/>
        </w:rPr>
        <w:t>。</w:t>
      </w:r>
    </w:p>
    <w:p w:rsidR="00000000" w:rsidRDefault="00000000">
      <w:pPr>
        <w:pStyle w:val="Heading4"/>
      </w:pPr>
      <w:r>
        <w:rPr>
          <w:u w:val="none"/>
        </w:rPr>
        <w:tab/>
      </w:r>
      <w:r>
        <w:rPr>
          <w:rFonts w:hint="eastAsia"/>
        </w:rPr>
        <w:t>滥用药物</w:t>
      </w:r>
    </w:p>
    <w:p w:rsidR="00000000" w:rsidRDefault="00000000">
      <w:pPr>
        <w:spacing w:after="320"/>
        <w:textAlignment w:val="center"/>
      </w:pPr>
      <w:r>
        <w:tab/>
        <w:t xml:space="preserve">279.  </w:t>
      </w:r>
      <w:r>
        <w:rPr>
          <w:rFonts w:hint="eastAsia"/>
        </w:rPr>
        <w:t>在上次报告第</w:t>
      </w:r>
      <w:r>
        <w:t>136</w:t>
      </w:r>
      <w:r>
        <w:rPr>
          <w:rFonts w:hint="eastAsia"/>
        </w:rPr>
        <w:t>段，我们指出</w:t>
      </w:r>
      <w:r>
        <w:t>21</w:t>
      </w:r>
      <w:r>
        <w:rPr>
          <w:rFonts w:hint="eastAsia"/>
        </w:rPr>
        <w:t>岁以下的滥用药物人数仍属偏低，但过去五年来，这个数字有上升趋势：在</w:t>
      </w:r>
      <w:r>
        <w:t>11</w:t>
      </w:r>
      <w:r>
        <w:rPr>
          <w:rFonts w:hint="eastAsia"/>
        </w:rPr>
        <w:t>至</w:t>
      </w:r>
      <w:r>
        <w:t>17</w:t>
      </w:r>
      <w:r>
        <w:rPr>
          <w:rFonts w:hint="eastAsia"/>
        </w:rPr>
        <w:t>岁年龄组别的人口中，滥用药物的人数，由一九八九年的每</w:t>
      </w:r>
      <w:r>
        <w:t>1,000</w:t>
      </w:r>
      <w:r>
        <w:rPr>
          <w:rFonts w:hint="eastAsia"/>
        </w:rPr>
        <w:t>人有</w:t>
      </w:r>
      <w:r>
        <w:t>0.96</w:t>
      </w:r>
      <w:r>
        <w:rPr>
          <w:rFonts w:hint="eastAsia"/>
        </w:rPr>
        <w:t>人增至一九九四年的每</w:t>
      </w:r>
      <w:r>
        <w:t>1,000</w:t>
      </w:r>
      <w:r>
        <w:rPr>
          <w:rFonts w:hint="eastAsia"/>
        </w:rPr>
        <w:t>人有</w:t>
      </w:r>
      <w:r>
        <w:t>3.78</w:t>
      </w:r>
      <w:r>
        <w:rPr>
          <w:rFonts w:hint="eastAsia"/>
        </w:rPr>
        <w:t>人。新报个案的数字由一九八九年的</w:t>
      </w:r>
      <w:r>
        <w:t>484</w:t>
      </w:r>
      <w:r>
        <w:rPr>
          <w:rFonts w:hint="eastAsia"/>
        </w:rPr>
        <w:t>宗增至一九九四年的</w:t>
      </w:r>
      <w:r>
        <w:t>1,654</w:t>
      </w:r>
      <w:r>
        <w:rPr>
          <w:rFonts w:hint="eastAsia"/>
        </w:rPr>
        <w:t>宗，不过，这个趋势已有改善的迹象：一九九五年，每</w:t>
      </w:r>
      <w:r>
        <w:t>1,000</w:t>
      </w:r>
      <w:r>
        <w:rPr>
          <w:rFonts w:hint="eastAsia"/>
        </w:rPr>
        <w:t>名青少年有</w:t>
      </w:r>
      <w:r>
        <w:t>3.02</w:t>
      </w:r>
      <w:r>
        <w:rPr>
          <w:rFonts w:hint="eastAsia"/>
        </w:rPr>
        <w:t>名滥用药物；一九九六年有</w:t>
      </w:r>
      <w:r>
        <w:t>2.57</w:t>
      </w:r>
      <w:r>
        <w:rPr>
          <w:rFonts w:hint="eastAsia"/>
        </w:rPr>
        <w:t>名，一九九七年</w:t>
      </w:r>
      <w:r>
        <w:t xml:space="preserve"> </w:t>
      </w:r>
      <w:r>
        <w:rPr>
          <w:rStyle w:val="FootnoteReference"/>
        </w:rPr>
        <w:footnoteReference w:id="66"/>
      </w:r>
      <w:r>
        <w:t xml:space="preserve"> </w:t>
      </w:r>
      <w:r>
        <w:rPr>
          <w:rFonts w:hint="eastAsia"/>
        </w:rPr>
        <w:t>则有</w:t>
      </w:r>
      <w:r>
        <w:t>2.03</w:t>
      </w:r>
      <w:r>
        <w:rPr>
          <w:rFonts w:hint="eastAsia"/>
        </w:rPr>
        <w:t>名。同样，新报个案的数字亦告下降，由一九九五年的</w:t>
      </w:r>
      <w:r>
        <w:t>1,151</w:t>
      </w:r>
      <w:r>
        <w:rPr>
          <w:rFonts w:hint="eastAsia"/>
        </w:rPr>
        <w:t>宗减至一九九六年的</w:t>
      </w:r>
      <w:r>
        <w:t>1,012</w:t>
      </w:r>
      <w:r>
        <w:rPr>
          <w:rFonts w:hint="eastAsia"/>
        </w:rPr>
        <w:t>宗和一九九七年的</w:t>
      </w:r>
      <w:r>
        <w:t>775</w:t>
      </w:r>
      <w:r>
        <w:rPr>
          <w:rFonts w:hint="eastAsia"/>
        </w:rPr>
        <w:t>宗。</w:t>
      </w:r>
    </w:p>
    <w:p w:rsidR="00000000" w:rsidRDefault="00000000">
      <w:pPr>
        <w:pStyle w:val="Heading4"/>
      </w:pPr>
      <w:r>
        <w:rPr>
          <w:u w:val="none"/>
        </w:rPr>
        <w:tab/>
      </w:r>
      <w:r>
        <w:rPr>
          <w:rFonts w:hint="eastAsia"/>
        </w:rPr>
        <w:t>滥用药物的青少年概况</w:t>
      </w:r>
    </w:p>
    <w:p w:rsidR="00000000" w:rsidRDefault="00000000">
      <w:r>
        <w:tab/>
        <w:t xml:space="preserve">280.  </w:t>
      </w:r>
      <w:r>
        <w:rPr>
          <w:rFonts w:hint="eastAsia"/>
        </w:rPr>
        <w:t>一九九七年，在</w:t>
      </w:r>
      <w:r>
        <w:t>1,227</w:t>
      </w:r>
      <w:r>
        <w:rPr>
          <w:rFonts w:hint="eastAsia"/>
        </w:rPr>
        <w:t>名被举报滥用药物的青少年当中，约有</w:t>
      </w:r>
      <w:r>
        <w:t>70.8%</w:t>
      </w:r>
      <w:r>
        <w:rPr>
          <w:rFonts w:hint="eastAsia"/>
        </w:rPr>
        <w:t>属男性，平均年龄</w:t>
      </w:r>
      <w:r>
        <w:t>16</w:t>
      </w:r>
      <w:r>
        <w:rPr>
          <w:rFonts w:hint="eastAsia"/>
        </w:rPr>
        <w:t>岁。他们当中约有</w:t>
      </w:r>
      <w:r>
        <w:t>49.4%</w:t>
      </w:r>
      <w:r>
        <w:rPr>
          <w:rFonts w:hint="eastAsia"/>
        </w:rPr>
        <w:t>吸食海洛英，</w:t>
      </w:r>
      <w:r>
        <w:t>29.2%</w:t>
      </w:r>
      <w:r>
        <w:rPr>
          <w:rFonts w:hint="eastAsia"/>
        </w:rPr>
        <w:t>吸食大麻，</w:t>
      </w:r>
      <w:r>
        <w:t>22.0%</w:t>
      </w:r>
      <w:r>
        <w:rPr>
          <w:rFonts w:hint="eastAsia"/>
        </w:rPr>
        <w:t>服用安非他明。此外，约</w:t>
      </w:r>
      <w:r>
        <w:t>40%</w:t>
      </w:r>
      <w:r>
        <w:rPr>
          <w:rFonts w:hint="eastAsia"/>
        </w:rPr>
        <w:t>有犯罪纪录，</w:t>
      </w:r>
      <w:r>
        <w:t>37.3%</w:t>
      </w:r>
      <w:r>
        <w:rPr>
          <w:rFonts w:hint="eastAsia"/>
        </w:rPr>
        <w:t>有工作；</w:t>
      </w:r>
      <w:r>
        <w:t>19.6%</w:t>
      </w:r>
      <w:r>
        <w:rPr>
          <w:rFonts w:hint="eastAsia"/>
        </w:rPr>
        <w:t>则仍在求学阶段。</w:t>
      </w:r>
    </w:p>
    <w:p w:rsidR="00000000" w:rsidRDefault="00000000">
      <w:pPr>
        <w:spacing w:after="240"/>
      </w:pPr>
      <w:r>
        <w:tab/>
        <w:t xml:space="preserve">281.  </w:t>
      </w:r>
      <w:r>
        <w:rPr>
          <w:rFonts w:hint="eastAsia"/>
        </w:rPr>
        <w:t>与一九九五年的情况一样</w:t>
      </w:r>
      <w:r>
        <w:t>(</w:t>
      </w:r>
      <w:r>
        <w:rPr>
          <w:rFonts w:hint="eastAsia"/>
        </w:rPr>
        <w:t>见上次报告第</w:t>
      </w:r>
      <w:r>
        <w:t>138</w:t>
      </w:r>
      <w:r>
        <w:rPr>
          <w:rFonts w:hint="eastAsia"/>
        </w:rPr>
        <w:t>段</w:t>
      </w:r>
      <w:r>
        <w:t>)</w:t>
      </w:r>
      <w:r>
        <w:rPr>
          <w:rFonts w:hint="eastAsia"/>
        </w:rPr>
        <w:t>，新个案大致与一般趋势相符。在这些个案中，约有</w:t>
      </w:r>
      <w:r>
        <w:t>68.3%</w:t>
      </w:r>
      <w:r>
        <w:rPr>
          <w:rFonts w:hint="eastAsia"/>
        </w:rPr>
        <w:t>属男性，平均年龄</w:t>
      </w:r>
      <w:r>
        <w:t>15.7</w:t>
      </w:r>
      <w:r>
        <w:rPr>
          <w:rFonts w:hint="eastAsia"/>
        </w:rPr>
        <w:t>岁。海洛英是最普遍的毒品</w:t>
      </w:r>
      <w:r>
        <w:t>(</w:t>
      </w:r>
      <w:r>
        <w:rPr>
          <w:rFonts w:hint="eastAsia"/>
        </w:rPr>
        <w:t>占</w:t>
      </w:r>
      <w:r>
        <w:t>41.5%)</w:t>
      </w:r>
      <w:r>
        <w:rPr>
          <w:rFonts w:hint="eastAsia"/>
        </w:rPr>
        <w:t>，其次是大麻</w:t>
      </w:r>
      <w:r>
        <w:t>(</w:t>
      </w:r>
      <w:r>
        <w:rPr>
          <w:rFonts w:hint="eastAsia"/>
        </w:rPr>
        <w:t>占</w:t>
      </w:r>
      <w:r>
        <w:t>34.0%)</w:t>
      </w:r>
      <w:r>
        <w:rPr>
          <w:rFonts w:hint="eastAsia"/>
        </w:rPr>
        <w:t>和安非他明</w:t>
      </w:r>
      <w:r>
        <w:t>(</w:t>
      </w:r>
      <w:r>
        <w:rPr>
          <w:rFonts w:hint="eastAsia"/>
        </w:rPr>
        <w:t>占</w:t>
      </w:r>
      <w:r>
        <w:t>24.2%)</w:t>
      </w:r>
      <w:r>
        <w:rPr>
          <w:rFonts w:hint="eastAsia"/>
        </w:rPr>
        <w:t>：曾在一九九四至九五年度排第三位的咳药水，现在只占被举报滥用药物者的</w:t>
      </w:r>
      <w:r>
        <w:t>7%</w:t>
      </w:r>
      <w:r>
        <w:rPr>
          <w:rFonts w:hint="eastAsia"/>
        </w:rPr>
        <w:t>。约有</w:t>
      </w:r>
      <w:r>
        <w:t>34.1%</w:t>
      </w:r>
      <w:r>
        <w:rPr>
          <w:rFonts w:hint="eastAsia"/>
        </w:rPr>
        <w:t>的滥用药物者有犯罪纪录，</w:t>
      </w:r>
      <w:r>
        <w:t>32.9%</w:t>
      </w:r>
      <w:r>
        <w:rPr>
          <w:rFonts w:hint="eastAsia"/>
        </w:rPr>
        <w:t>有工作，超过</w:t>
      </w:r>
      <w:r>
        <w:t>95%</w:t>
      </w:r>
      <w:r>
        <w:rPr>
          <w:rFonts w:hint="eastAsia"/>
        </w:rPr>
        <w:t>的人最少曾接受中学教育。</w:t>
      </w:r>
    </w:p>
    <w:p w:rsidR="00000000" w:rsidRDefault="00000000">
      <w:pPr>
        <w:pStyle w:val="Heading4"/>
      </w:pPr>
      <w:r>
        <w:rPr>
          <w:u w:val="none"/>
        </w:rPr>
        <w:tab/>
      </w:r>
      <w:r>
        <w:rPr>
          <w:rFonts w:hint="eastAsia"/>
        </w:rPr>
        <w:t>政府所采取的措施</w:t>
      </w:r>
    </w:p>
    <w:p w:rsidR="00000000" w:rsidRDefault="00000000">
      <w:pPr>
        <w:spacing w:after="320"/>
        <w:textAlignment w:val="center"/>
      </w:pPr>
      <w:r>
        <w:tab/>
        <w:t xml:space="preserve">282.  </w:t>
      </w:r>
      <w:r>
        <w:rPr>
          <w:rFonts w:hint="eastAsia"/>
        </w:rPr>
        <w:t>政府仍继续如上次报告第</w:t>
      </w:r>
      <w:r>
        <w:t>139</w:t>
      </w:r>
      <w:r>
        <w:rPr>
          <w:rFonts w:hint="eastAsia"/>
        </w:rPr>
        <w:t>段所述，采取“多管齐下”的策略。政府在跟进一九九五和九六年两次毒品问题高峰会议所公布的各项措施方面，进展良好，在所提出的</w:t>
      </w:r>
      <w:r>
        <w:t>125</w:t>
      </w:r>
      <w:r>
        <w:rPr>
          <w:rFonts w:hint="eastAsia"/>
        </w:rPr>
        <w:t>项措施</w:t>
      </w:r>
      <w:r>
        <w:t xml:space="preserve"> </w:t>
      </w:r>
      <w:r>
        <w:rPr>
          <w:rStyle w:val="FootnoteReference"/>
        </w:rPr>
        <w:footnoteReference w:id="67"/>
      </w:r>
      <w:r>
        <w:t xml:space="preserve"> </w:t>
      </w:r>
      <w:r>
        <w:rPr>
          <w:rFonts w:hint="eastAsia"/>
        </w:rPr>
        <w:t>当中，有</w:t>
      </w:r>
      <w:r>
        <w:t>121</w:t>
      </w:r>
      <w:r>
        <w:rPr>
          <w:rFonts w:hint="eastAsia"/>
        </w:rPr>
        <w:t>项已告落实，余下的四项也取得一定进展</w:t>
      </w:r>
      <w:r>
        <w:t>(</w:t>
      </w:r>
      <w:r>
        <w:rPr>
          <w:rFonts w:hint="eastAsia"/>
        </w:rPr>
        <w:t>见附件</w:t>
      </w:r>
      <w:r>
        <w:t>22)</w:t>
      </w:r>
      <w:r>
        <w:rPr>
          <w:rFonts w:hint="eastAsia"/>
        </w:rPr>
        <w:t>。政府每季均向出席高峰会议的人士派发进度报告。</w:t>
      </w:r>
    </w:p>
    <w:p w:rsidR="00000000" w:rsidRDefault="00000000">
      <w:pPr>
        <w:pStyle w:val="Heading4"/>
      </w:pPr>
      <w:r>
        <w:rPr>
          <w:u w:val="none"/>
        </w:rPr>
        <w:tab/>
      </w:r>
      <w:r>
        <w:rPr>
          <w:rFonts w:hint="eastAsia"/>
        </w:rPr>
        <w:t>药物管制</w:t>
      </w:r>
    </w:p>
    <w:p w:rsidR="00000000" w:rsidRDefault="00000000">
      <w:r>
        <w:tab/>
        <w:t xml:space="preserve">283.  </w:t>
      </w:r>
      <w:r>
        <w:rPr>
          <w:rFonts w:hint="eastAsia"/>
        </w:rPr>
        <w:t>如上次报告第</w:t>
      </w:r>
      <w:r>
        <w:t>140</w:t>
      </w:r>
      <w:r>
        <w:rPr>
          <w:rFonts w:hint="eastAsia"/>
        </w:rPr>
        <w:t>段所述，《危险药物条例》</w:t>
      </w:r>
      <w:r>
        <w:t>(</w:t>
      </w:r>
      <w:r>
        <w:rPr>
          <w:rFonts w:hint="eastAsia"/>
        </w:rPr>
        <w:t>第</w:t>
      </w:r>
      <w:r>
        <w:t>134</w:t>
      </w:r>
      <w:r>
        <w:rPr>
          <w:rFonts w:hint="eastAsia"/>
        </w:rPr>
        <w:t>章</w:t>
      </w:r>
      <w:r>
        <w:t>)</w:t>
      </w:r>
      <w:r>
        <w:rPr>
          <w:rFonts w:hint="eastAsia"/>
        </w:rPr>
        <w:t>规定，医生及认可药房必须遵守有关管制购买及供应危险药物的严格规例。同样，《药剂及毒药条例》</w:t>
      </w:r>
      <w:r>
        <w:t>(</w:t>
      </w:r>
      <w:r>
        <w:rPr>
          <w:rFonts w:hint="eastAsia"/>
        </w:rPr>
        <w:t>第</w:t>
      </w:r>
      <w:r>
        <w:t>138</w:t>
      </w:r>
      <w:r>
        <w:rPr>
          <w:rFonts w:hint="eastAsia"/>
        </w:rPr>
        <w:t>章</w:t>
      </w:r>
      <w:r>
        <w:t>)</w:t>
      </w:r>
      <w:r>
        <w:rPr>
          <w:rFonts w:hint="eastAsia"/>
        </w:rPr>
        <w:t>亦管制药剂产品的供应。当局仍一如以往，定期检讨上述法例，确保法例能切合时宜而且有效。举例来说，政府在一九九七年三月修订了《危险药物条例》对利用</w:t>
      </w:r>
      <w:r>
        <w:t>18</w:t>
      </w:r>
      <w:r>
        <w:rPr>
          <w:rFonts w:hint="eastAsia"/>
        </w:rPr>
        <w:t>岁以下人士进行毒品交易的成年人施以更重的刑罚。</w:t>
      </w:r>
    </w:p>
    <w:p w:rsidR="00000000" w:rsidRDefault="00000000">
      <w:r>
        <w:tab/>
        <w:t xml:space="preserve">284.  </w:t>
      </w:r>
      <w:r>
        <w:rPr>
          <w:rFonts w:hint="eastAsia"/>
        </w:rPr>
        <w:t>警务处、海关和卫生署继续全力打击那些供应违禁药物的不法之徒。为加强该三个部门在这方面的管制工作，当局在一九九六年规定，另外</w:t>
      </w:r>
      <w:r>
        <w:t>21</w:t>
      </w:r>
      <w:r>
        <w:rPr>
          <w:rFonts w:hint="eastAsia"/>
        </w:rPr>
        <w:t>种可用于制造违禁药物的化学品原料也须申领牌照。香港海关已增加人手，成立调查和情报单</w:t>
      </w:r>
    </w:p>
    <w:p w:rsidR="00000000" w:rsidRDefault="00000000">
      <w:r>
        <w:br w:type="page"/>
      </w:r>
      <w:r>
        <w:rPr>
          <w:rFonts w:hint="eastAsia"/>
        </w:rPr>
        <w:t>位，确保有关管制措施得以有效执行，而卫生署亦于一九九七年增加人手，借以加紧巡查药房。</w:t>
      </w:r>
    </w:p>
    <w:p w:rsidR="00000000" w:rsidRDefault="00000000">
      <w:pPr>
        <w:spacing w:after="320"/>
        <w:textAlignment w:val="center"/>
      </w:pPr>
      <w:r>
        <w:tab/>
        <w:t xml:space="preserve">285.  </w:t>
      </w:r>
      <w:r>
        <w:rPr>
          <w:rFonts w:hint="eastAsia"/>
        </w:rPr>
        <w:t>政府继续参与所有从事禁毒工作的国际组织，包括联合国麻醉药品委员会，并一直与其他国家和地区的政府保持紧密双边合作。随着《联合国禁止非法贩运麻醉药品和精神药物公约》于一九九七年五月引进香港，我们在打击国际贩毒活动方面的能力更得以大大提高。</w:t>
      </w:r>
    </w:p>
    <w:p w:rsidR="00000000" w:rsidRDefault="00000000">
      <w:pPr>
        <w:pStyle w:val="Heading4"/>
      </w:pPr>
      <w:r>
        <w:rPr>
          <w:rFonts w:hint="eastAsia"/>
        </w:rPr>
        <w:t>禁毒教育和宣传</w:t>
      </w:r>
    </w:p>
    <w:p w:rsidR="00000000" w:rsidRDefault="00000000">
      <w:pPr>
        <w:spacing w:after="320"/>
        <w:textAlignment w:val="center"/>
      </w:pPr>
      <w:r>
        <w:tab/>
        <w:t xml:space="preserve">286.  </w:t>
      </w:r>
      <w:r>
        <w:rPr>
          <w:rFonts w:hint="eastAsia"/>
        </w:rPr>
        <w:t>政府按照禁毒常务委员会的意见，制定和推行禁毒教育和宣传计划。在一九九六至九八年期间，禁毒教育和宣传活动仍然以青少年为重点，宣传的重要主题包括传达毒品无分“软”“硬”，同样祸害无穷的信息；以及家长在教导子女远离毒品和过健康生活方面所担当的角色。在一九九六至九八年期间，政府动用了约</w:t>
      </w:r>
      <w:r>
        <w:t>750</w:t>
      </w:r>
      <w:r>
        <w:rPr>
          <w:rFonts w:hint="eastAsia"/>
        </w:rPr>
        <w:t>万港元，推行一连串用以推广上述主题的计划。这些计划包括：举办学校讲座、为教师和社工安排研讨会和讲习班、推行社区参与计划、设立电话咨询热线服务、通过传媒进行教育和宣传工作等。此外，当局还推出了一些新措施，例如，在互联网上设立禁毒网页，于在职青年的工作地点举办讲座，以及到各学校巡回表演话剧。</w:t>
      </w:r>
    </w:p>
    <w:p w:rsidR="00000000" w:rsidRDefault="00000000">
      <w:pPr>
        <w:pStyle w:val="Heading4"/>
      </w:pPr>
      <w:r>
        <w:rPr>
          <w:u w:val="none"/>
        </w:rPr>
        <w:tab/>
      </w:r>
      <w:r>
        <w:rPr>
          <w:rFonts w:hint="eastAsia"/>
        </w:rPr>
        <w:t>学</w:t>
      </w:r>
      <w:r>
        <w:t xml:space="preserve">  </w:t>
      </w:r>
      <w:r>
        <w:rPr>
          <w:rFonts w:hint="eastAsia"/>
        </w:rPr>
        <w:t>校</w:t>
      </w:r>
    </w:p>
    <w:p w:rsidR="00000000" w:rsidRDefault="00000000">
      <w:pPr>
        <w:textAlignment w:val="center"/>
      </w:pPr>
      <w:r>
        <w:tab/>
        <w:t xml:space="preserve">287.  </w:t>
      </w:r>
      <w:r>
        <w:rPr>
          <w:rFonts w:hint="eastAsia"/>
        </w:rPr>
        <w:t>禁毒教育是整体学校课程的一个部分。教师向学生讲解滥用药物常识及其影响。政府定期为中学、工业学院及即将毕业的小学生举办讲座。以加强上述信息。当局在一九九七年共举办了</w:t>
      </w:r>
      <w:r>
        <w:t>458</w:t>
      </w:r>
      <w:r>
        <w:rPr>
          <w:rFonts w:hint="eastAsia"/>
        </w:rPr>
        <w:t>次学校讲座。</w:t>
      </w:r>
    </w:p>
    <w:p w:rsidR="00000000" w:rsidRDefault="00000000">
      <w:pPr>
        <w:textAlignment w:val="center"/>
      </w:pPr>
      <w:r>
        <w:tab/>
        <w:t xml:space="preserve">288.  </w:t>
      </w:r>
      <w:r>
        <w:rPr>
          <w:rFonts w:hint="eastAsia"/>
        </w:rPr>
        <w:t>一九九五至九七年间，青少年滥用精神科药物的人数由</w:t>
      </w:r>
      <w:r>
        <w:t>1,209</w:t>
      </w:r>
      <w:r>
        <w:rPr>
          <w:rFonts w:hint="eastAsia"/>
        </w:rPr>
        <w:t>宗增至</w:t>
      </w:r>
      <w:r>
        <w:t>1,280</w:t>
      </w:r>
      <w:r>
        <w:rPr>
          <w:rFonts w:hint="eastAsia"/>
        </w:rPr>
        <w:t>宗。有见及此，政府修订为初中学生而设的讲座内容，加入新的部分，以说明这类药物的不良影响，以及指导学生如何拒绝接受这类药物和其他违禁药物。此外，政府向学校派发资料单张，为学生提供这类药物的资料及志愿机构的禁毒服务，以加强上述信息。在草拟本报告的时候，当局正着手修订为小学低年级学生和高中学生而设的讲座内容，以切合他们的需要。</w:t>
      </w:r>
    </w:p>
    <w:p w:rsidR="00000000" w:rsidRDefault="00000000">
      <w:pPr>
        <w:spacing w:after="320"/>
        <w:textAlignment w:val="center"/>
      </w:pPr>
      <w:r>
        <w:tab/>
        <w:t xml:space="preserve">289.  </w:t>
      </w:r>
      <w:r>
        <w:rPr>
          <w:rFonts w:hint="eastAsia"/>
        </w:rPr>
        <w:t>学生家长也是我们的目标对象。一九九七年，当局与家长教师会合作举行了</w:t>
      </w:r>
      <w:r>
        <w:t>33</w:t>
      </w:r>
      <w:r>
        <w:rPr>
          <w:rFonts w:hint="eastAsia"/>
        </w:rPr>
        <w:t>个讲座，共有</w:t>
      </w:r>
      <w:r>
        <w:t>1,718</w:t>
      </w:r>
      <w:r>
        <w:rPr>
          <w:rFonts w:hint="eastAsia"/>
        </w:rPr>
        <w:t>名中学生家长参加。最近，当局在家长的工作地点举行讲座，内容包括如何辨认滥用药物的迹象、家长在引导子女远离毒品所担当的角色，以及为有子女滥用药物的家长提供的资源等。当局亦派发有关上述问题的家长指引，作为补充材料。</w:t>
      </w:r>
    </w:p>
    <w:p w:rsidR="00000000" w:rsidRDefault="00000000">
      <w:pPr>
        <w:pStyle w:val="Heading4"/>
      </w:pPr>
      <w:r>
        <w:rPr>
          <w:u w:val="none"/>
        </w:rPr>
        <w:tab/>
      </w:r>
      <w:r>
        <w:rPr>
          <w:rFonts w:hint="eastAsia"/>
          <w:u w:val="none"/>
        </w:rPr>
        <w:t>“</w:t>
      </w:r>
      <w:r>
        <w:rPr>
          <w:rFonts w:hint="eastAsia"/>
        </w:rPr>
        <w:t>禁毒基金</w:t>
      </w:r>
      <w:r>
        <w:rPr>
          <w:rFonts w:hint="eastAsia"/>
          <w:u w:val="none"/>
        </w:rPr>
        <w:t>”</w:t>
      </w:r>
    </w:p>
    <w:p w:rsidR="00000000" w:rsidRDefault="00000000">
      <w:pPr>
        <w:spacing w:after="320"/>
        <w:textAlignment w:val="center"/>
      </w:pPr>
      <w:r>
        <w:tab/>
        <w:t xml:space="preserve">290.  </w:t>
      </w:r>
      <w:r>
        <w:rPr>
          <w:rFonts w:hint="eastAsia"/>
        </w:rPr>
        <w:t>这个</w:t>
      </w:r>
      <w:r>
        <w:t>3.5</w:t>
      </w:r>
      <w:r>
        <w:rPr>
          <w:rFonts w:hint="eastAsia"/>
        </w:rPr>
        <w:t>亿港元的基金于一九九六年三月设立，旨在支持推广减少滥用药物的活动</w:t>
      </w:r>
      <w:r>
        <w:t>(</w:t>
      </w:r>
      <w:r>
        <w:rPr>
          <w:rFonts w:hint="eastAsia"/>
        </w:rPr>
        <w:t>特别是以青少年为对象的活动</w:t>
      </w:r>
      <w:r>
        <w:t>)</w:t>
      </w:r>
      <w:r>
        <w:rPr>
          <w:rFonts w:hint="eastAsia"/>
        </w:rPr>
        <w:t>。当局通过传媒邀请各界人士向基金提出申请，结果反应非常踊跃。在一九九六至一九九八年间，基金共拨出</w:t>
      </w:r>
      <w:r>
        <w:t>3,850</w:t>
      </w:r>
      <w:r>
        <w:rPr>
          <w:rFonts w:hint="eastAsia"/>
        </w:rPr>
        <w:t>万港元资助</w:t>
      </w:r>
      <w:r>
        <w:t>98</w:t>
      </w:r>
      <w:r>
        <w:rPr>
          <w:rFonts w:hint="eastAsia"/>
        </w:rPr>
        <w:t>项计划。计划的范畴包括预防教育、治疗和康复以及研究工作等。</w:t>
      </w:r>
    </w:p>
    <w:p w:rsidR="00000000" w:rsidRDefault="00000000">
      <w:pPr>
        <w:pStyle w:val="Heading4"/>
      </w:pPr>
      <w:r>
        <w:rPr>
          <w:u w:val="none"/>
        </w:rPr>
        <w:tab/>
      </w:r>
      <w:r>
        <w:rPr>
          <w:rFonts w:hint="eastAsia"/>
        </w:rPr>
        <w:t>为滥用药物的青少年提供的服务</w:t>
      </w:r>
    </w:p>
    <w:p w:rsidR="00000000" w:rsidRDefault="00000000">
      <w:r>
        <w:tab/>
        <w:t xml:space="preserve">291.  </w:t>
      </w:r>
      <w:r>
        <w:rPr>
          <w:rFonts w:hint="eastAsia"/>
        </w:rPr>
        <w:t>当局于一九九五年十月推出了“健康新一代”计划。该计划初期派出一支经过特别训练的社工队，协助非经常滥用药物的青少年。一九九六年十月，当局再成立另一支社工队。“健康新一代”计划举办密集式的小组活动，教导滥用药物的青少年认识毒品的祸害，协助他们掌握“生活技巧”，抗拒滥用药物，并培养健康的生活方式。此外，社工队亦组织义工、自助小组、朋辈辅导小组，以及家长小组等，协助滥用药物的青少年重新融入社会。</w:t>
      </w:r>
    </w:p>
    <w:p w:rsidR="00000000" w:rsidRDefault="00000000">
      <w:pPr>
        <w:spacing w:after="320"/>
        <w:textAlignment w:val="center"/>
      </w:pPr>
      <w:r>
        <w:tab/>
        <w:t xml:space="preserve">292.  </w:t>
      </w:r>
      <w:r>
        <w:rPr>
          <w:rFonts w:hint="eastAsia"/>
        </w:rPr>
        <w:t>在一九九七年五月完成的独立评估，肯定了“健康新一代”计划的作用。该项评估显示，计划的参加者大幅减少滥用药物，而且，他们对学校、工作和法纪的态度亦大为改善。</w:t>
      </w:r>
    </w:p>
    <w:p w:rsidR="00000000" w:rsidRDefault="00000000">
      <w:pPr>
        <w:pStyle w:val="Heading4"/>
      </w:pPr>
      <w:r>
        <w:rPr>
          <w:u w:val="none"/>
        </w:rPr>
        <w:tab/>
      </w:r>
      <w:r>
        <w:rPr>
          <w:rFonts w:hint="eastAsia"/>
        </w:rPr>
        <w:t>为滥用药物的青少年提供的教育服务</w:t>
      </w:r>
    </w:p>
    <w:p w:rsidR="00000000" w:rsidRDefault="00000000">
      <w:pPr>
        <w:spacing w:after="320"/>
        <w:textAlignment w:val="center"/>
      </w:pPr>
      <w:r>
        <w:tab/>
        <w:t xml:space="preserve">293.  </w:t>
      </w:r>
      <w:r>
        <w:rPr>
          <w:rFonts w:hint="eastAsia"/>
        </w:rPr>
        <w:t>政府资助非牟利的戒毒治疗</w:t>
      </w:r>
      <w:r>
        <w:t>/</w:t>
      </w:r>
      <w:r>
        <w:rPr>
          <w:rFonts w:hint="eastAsia"/>
        </w:rPr>
        <w:t>康复中心，让滥用药物的青少年在接受治疗</w:t>
      </w:r>
      <w:r>
        <w:t>/</w:t>
      </w:r>
      <w:r>
        <w:rPr>
          <w:rFonts w:hint="eastAsia"/>
        </w:rPr>
        <w:t>康复服务期间有机会受教育。中心可将该笔资助款项用以支付教师薪金，购买课室家私、用具、及学习教材等。</w:t>
      </w:r>
    </w:p>
    <w:p w:rsidR="00000000" w:rsidRDefault="00000000">
      <w:pPr>
        <w:pStyle w:val="Heading4"/>
      </w:pPr>
      <w:r>
        <w:rPr>
          <w:u w:val="none"/>
        </w:rPr>
        <w:tab/>
      </w:r>
      <w:r>
        <w:rPr>
          <w:rFonts w:hint="eastAsia"/>
        </w:rPr>
        <w:t>治疗和康复工作</w:t>
      </w:r>
    </w:p>
    <w:p w:rsidR="00000000" w:rsidRDefault="00000000">
      <w:r>
        <w:tab/>
        <w:t xml:space="preserve">294.  </w:t>
      </w:r>
      <w:r>
        <w:rPr>
          <w:rFonts w:hint="eastAsia"/>
        </w:rPr>
        <w:t>政府资助的计划包括：</w:t>
      </w:r>
    </w:p>
    <w:p w:rsidR="00000000" w:rsidRDefault="00000000">
      <w:pPr>
        <w:pStyle w:val="a0"/>
        <w:numPr>
          <w:ilvl w:val="0"/>
          <w:numId w:val="25"/>
        </w:numPr>
        <w:ind w:left="1531" w:hanging="510"/>
      </w:pPr>
      <w:r>
        <w:rPr>
          <w:rFonts w:hint="eastAsia"/>
        </w:rPr>
        <w:t>卫生署的美沙酮自愿门诊计划；</w:t>
      </w:r>
    </w:p>
    <w:p w:rsidR="00000000" w:rsidRDefault="00000000">
      <w:pPr>
        <w:pStyle w:val="a0"/>
        <w:numPr>
          <w:ilvl w:val="0"/>
          <w:numId w:val="25"/>
        </w:numPr>
        <w:ind w:left="1531" w:hanging="510"/>
      </w:pPr>
      <w:r>
        <w:rPr>
          <w:rFonts w:hint="eastAsia"/>
        </w:rPr>
        <w:t>香港戒毒会举办的自愿住院戒毒计划；</w:t>
      </w:r>
    </w:p>
    <w:p w:rsidR="00000000" w:rsidRDefault="00000000">
      <w:pPr>
        <w:pStyle w:val="a0"/>
        <w:numPr>
          <w:ilvl w:val="0"/>
          <w:numId w:val="25"/>
        </w:numPr>
        <w:ind w:left="1531" w:hanging="510"/>
      </w:pPr>
      <w:r>
        <w:rPr>
          <w:rFonts w:hint="eastAsia"/>
        </w:rPr>
        <w:t>医院管理局辖下的药物滥用诊疗所；及</w:t>
      </w:r>
    </w:p>
    <w:p w:rsidR="00000000" w:rsidRDefault="00000000">
      <w:pPr>
        <w:pStyle w:val="a0"/>
        <w:numPr>
          <w:ilvl w:val="0"/>
          <w:numId w:val="25"/>
        </w:numPr>
        <w:ind w:left="1531" w:hanging="510"/>
      </w:pPr>
      <w:r>
        <w:rPr>
          <w:rFonts w:hint="eastAsia"/>
        </w:rPr>
        <w:t>香港基督教服务处及明爱中心办理的辅导中心。</w:t>
      </w:r>
    </w:p>
    <w:p w:rsidR="00000000" w:rsidRDefault="00000000">
      <w:r>
        <w:rPr>
          <w:rFonts w:hint="eastAsia"/>
        </w:rPr>
        <w:t>政府于一九九六至九八年期间在治疗和康复工作的支出为</w:t>
      </w:r>
      <w:r>
        <w:t>5.5</w:t>
      </w:r>
      <w:r>
        <w:rPr>
          <w:rFonts w:hint="eastAsia"/>
        </w:rPr>
        <w:t>亿港元。</w:t>
      </w:r>
    </w:p>
    <w:p w:rsidR="00000000" w:rsidRDefault="00000000">
      <w:r>
        <w:tab/>
        <w:t xml:space="preserve">295.  </w:t>
      </w:r>
      <w:r>
        <w:rPr>
          <w:rFonts w:hint="eastAsia"/>
        </w:rPr>
        <w:t>有毒癖的囚犯须参与一项强制性的入院计划。若干志愿机构亦为年轻的滥用药物者提供治疗计划，为现时及曾经滥用药物者提供康复、善后辅导及辅导服务。</w:t>
      </w:r>
    </w:p>
    <w:p w:rsidR="00000000" w:rsidRDefault="00000000">
      <w:r>
        <w:tab/>
        <w:t xml:space="preserve">296.  </w:t>
      </w:r>
      <w:r>
        <w:rPr>
          <w:rFonts w:hint="eastAsia"/>
        </w:rPr>
        <w:t>政府在一九九八年为以下项目提供资助：</w:t>
      </w:r>
    </w:p>
    <w:p w:rsidR="00000000" w:rsidRDefault="00000000">
      <w:pPr>
        <w:pStyle w:val="a0"/>
        <w:numPr>
          <w:ilvl w:val="0"/>
          <w:numId w:val="26"/>
        </w:numPr>
        <w:ind w:left="1531" w:hanging="510"/>
      </w:pPr>
      <w:r>
        <w:rPr>
          <w:rFonts w:hint="eastAsia"/>
        </w:rPr>
        <w:t>香港戒毒会为滥用鸦片剂药物的青少年增设的戒毒治疗和康复中心；</w:t>
      </w:r>
    </w:p>
    <w:p w:rsidR="00000000" w:rsidRDefault="00000000">
      <w:pPr>
        <w:pStyle w:val="a0"/>
        <w:numPr>
          <w:ilvl w:val="0"/>
          <w:numId w:val="26"/>
        </w:numPr>
        <w:ind w:left="1531" w:hanging="510"/>
      </w:pPr>
      <w:r>
        <w:rPr>
          <w:rFonts w:hint="eastAsia"/>
        </w:rPr>
        <w:t>为滥用药物的青少年增设两所由非政府机构管理的戒毒治疗和康复中心；及</w:t>
      </w:r>
    </w:p>
    <w:p w:rsidR="00000000" w:rsidRDefault="00000000">
      <w:pPr>
        <w:pStyle w:val="a0"/>
        <w:numPr>
          <w:ilvl w:val="0"/>
          <w:numId w:val="26"/>
        </w:numPr>
        <w:ind w:left="1531" w:hanging="510"/>
      </w:pPr>
      <w:r>
        <w:rPr>
          <w:rFonts w:hint="eastAsia"/>
        </w:rPr>
        <w:t>为滥用精神科药物者增设一所辅导中心。该中心主要提供康复服务，并为边缘的滥用药物人士提供早期辅导。</w:t>
      </w:r>
    </w:p>
    <w:p w:rsidR="00000000" w:rsidRDefault="00000000">
      <w:r>
        <w:tab/>
        <w:t xml:space="preserve">297.  </w:t>
      </w:r>
      <w:r>
        <w:rPr>
          <w:rFonts w:hint="eastAsia"/>
        </w:rPr>
        <w:t>由志愿机构所举办而无直接资助的治疗和康复计划，政府亦有给予辅助，辅助方式包括以象征式租金租出房舍；宽减差饷；向合资格的受助人发放综援，以支付住宿计划的膳宿费用，和每月向上述机构发放整笔补助金，以助其招聘住宿计划教师，为受助人提供教育。</w:t>
      </w:r>
    </w:p>
    <w:p w:rsidR="00000000" w:rsidRDefault="00000000">
      <w:pPr>
        <w:spacing w:after="320"/>
        <w:textAlignment w:val="center"/>
      </w:pPr>
      <w:r>
        <w:tab/>
        <w:t xml:space="preserve">298.  </w:t>
      </w:r>
      <w:r>
        <w:rPr>
          <w:rFonts w:hint="eastAsia"/>
        </w:rPr>
        <w:t>一九九七年，政府对非受资助机构的工作成效进行评估后，邀请所举办的计划证明有效的机构申请直接资助，以改善他们的服务。</w:t>
      </w:r>
    </w:p>
    <w:p w:rsidR="00000000" w:rsidRDefault="00000000">
      <w:pPr>
        <w:pStyle w:val="Heading4"/>
      </w:pPr>
      <w:r>
        <w:rPr>
          <w:rFonts w:hint="eastAsia"/>
        </w:rPr>
        <w:t>照顾长者</w:t>
      </w:r>
    </w:p>
    <w:p w:rsidR="00000000" w:rsidRDefault="00000000">
      <w:pPr>
        <w:pStyle w:val="Heading4"/>
      </w:pPr>
      <w:r>
        <w:rPr>
          <w:u w:val="none"/>
        </w:rPr>
        <w:tab/>
      </w:r>
      <w:r>
        <w:rPr>
          <w:rFonts w:hint="eastAsia"/>
        </w:rPr>
        <w:t>安老事务委员会</w:t>
      </w:r>
    </w:p>
    <w:p w:rsidR="00000000" w:rsidRDefault="00000000">
      <w:r>
        <w:tab/>
        <w:t xml:space="preserve">299.  </w:t>
      </w:r>
      <w:r>
        <w:rPr>
          <w:rFonts w:hint="eastAsia"/>
        </w:rPr>
        <w:t>安老事务委员会于一九九七年七月成立，是政府安老政策和老人服务的主要咨询组织，委员会的职权范围如下：</w:t>
      </w:r>
    </w:p>
    <w:p w:rsidR="00000000" w:rsidRDefault="00000000">
      <w:pPr>
        <w:pStyle w:val="a0"/>
        <w:numPr>
          <w:ilvl w:val="0"/>
          <w:numId w:val="27"/>
        </w:numPr>
        <w:ind w:left="1531" w:hanging="510"/>
      </w:pPr>
      <w:r>
        <w:rPr>
          <w:rFonts w:hint="eastAsia"/>
        </w:rPr>
        <w:t>就制定全面的安老政策，包括与长者在护理、住屋、经济保障、医疗卫生、心理、就业，以及康乐等方面的需要有关的事宜，向政府提供意见；</w:t>
      </w:r>
    </w:p>
    <w:p w:rsidR="00000000" w:rsidRDefault="00000000">
      <w:pPr>
        <w:pStyle w:val="a0"/>
        <w:numPr>
          <w:ilvl w:val="0"/>
          <w:numId w:val="27"/>
        </w:numPr>
        <w:ind w:left="1531" w:hanging="510"/>
      </w:pPr>
      <w:r>
        <w:rPr>
          <w:rFonts w:hint="eastAsia"/>
        </w:rPr>
        <w:t>统筹各项安老计划和服务的策划和发展工作，并在考虑人手，财政和其他资源后，向政府建议实施的先后次序；及</w:t>
      </w:r>
    </w:p>
    <w:p w:rsidR="00000000" w:rsidRDefault="00000000">
      <w:pPr>
        <w:pStyle w:val="a0"/>
        <w:numPr>
          <w:ilvl w:val="0"/>
          <w:numId w:val="27"/>
        </w:numPr>
        <w:ind w:left="1531" w:hanging="510"/>
      </w:pPr>
      <w:r>
        <w:rPr>
          <w:rFonts w:hint="eastAsia"/>
        </w:rPr>
        <w:t>在落实各项安老政策和计划时进行监察，并向政府提出建议，确保达到既定目标。</w:t>
      </w:r>
    </w:p>
    <w:p w:rsidR="00000000" w:rsidRDefault="00000000">
      <w:r>
        <w:tab/>
        <w:t xml:space="preserve">300.  </w:t>
      </w:r>
      <w:r>
        <w:rPr>
          <w:rFonts w:hint="eastAsia"/>
        </w:rPr>
        <w:t>该委员会有</w:t>
      </w:r>
      <w:r>
        <w:t>11</w:t>
      </w:r>
      <w:r>
        <w:rPr>
          <w:rFonts w:hint="eastAsia"/>
        </w:rPr>
        <w:t>名非公职委员和七名当然委员，并由其中一名非公职委员担任主席。非公职委员从各有关行业中委出，当然委员则来自政府相关的政策局和部门，以及医院管理局。</w:t>
      </w:r>
    </w:p>
    <w:p w:rsidR="00000000" w:rsidRDefault="00000000">
      <w:pPr>
        <w:spacing w:after="320"/>
        <w:textAlignment w:val="center"/>
      </w:pPr>
      <w:r>
        <w:tab/>
        <w:t xml:space="preserve">301.  </w:t>
      </w:r>
      <w:r>
        <w:rPr>
          <w:rFonts w:hint="eastAsia"/>
        </w:rPr>
        <w:t>自该委员会成立以来，政府曾就多项属于该委员会职权范围以内的事宜征询其意见。当中最艰巨的任务，大概是就长者对住所院舍服务的长远需求进行全面检讨，并制定策略，以满足长者的需要。委员会已完成这项行政长官要求进行的研究</w:t>
      </w:r>
      <w:r>
        <w:t xml:space="preserve"> </w:t>
      </w:r>
      <w:r>
        <w:rPr>
          <w:rStyle w:val="FootnoteReference"/>
        </w:rPr>
        <w:footnoteReference w:id="68"/>
      </w:r>
      <w:r>
        <w:rPr>
          <w:rFonts w:hint="eastAsia"/>
        </w:rPr>
        <w:t>，并于一九九八年九月向行政长官提交了有关的报告。</w:t>
      </w:r>
    </w:p>
    <w:p w:rsidR="00000000" w:rsidRDefault="00000000">
      <w:pPr>
        <w:pStyle w:val="Heading4"/>
      </w:pPr>
      <w:r>
        <w:rPr>
          <w:u w:val="none"/>
        </w:rPr>
        <w:tab/>
      </w:r>
      <w:r>
        <w:rPr>
          <w:rFonts w:hint="eastAsia"/>
        </w:rPr>
        <w:t>为需要照顾长者的家庭提供支援</w:t>
      </w:r>
    </w:p>
    <w:p w:rsidR="00000000" w:rsidRDefault="00000000">
      <w:r>
        <w:tab/>
        <w:t xml:space="preserve">302.  </w:t>
      </w:r>
      <w:r>
        <w:rPr>
          <w:rFonts w:hint="eastAsia"/>
        </w:rPr>
        <w:t>政府一向致力协助长者与家人同住，为此政府须为长者本身及其家人提供支援服务。</w:t>
      </w:r>
    </w:p>
    <w:p w:rsidR="00000000" w:rsidRDefault="00000000">
      <w:r>
        <w:tab/>
        <w:t xml:space="preserve">303.  </w:t>
      </w:r>
      <w:r>
        <w:rPr>
          <w:rFonts w:hint="eastAsia"/>
        </w:rPr>
        <w:t>行政长官在《一九九七年施政报告》中，宣布成立两个护老者支援和资源中心。首个中心将于一九九八年十二月启用，第二个中心则在一九九九年三月启用。这两个中心除会指导护老者照顾长者所需的知识和技巧外，亦会在有需要时，给予护老者精神和情绪方面的支援。此外，家庭服务中心也有为护老者提供辅导服务。</w:t>
      </w:r>
    </w:p>
    <w:p w:rsidR="00000000" w:rsidRDefault="00000000">
      <w:r>
        <w:tab/>
        <w:t xml:space="preserve">304.  </w:t>
      </w:r>
      <w:r>
        <w:rPr>
          <w:rFonts w:hint="eastAsia"/>
        </w:rPr>
        <w:t>在家中照顾长者的人士可获得政府资助的家务助理队支援。家务助理队由非政府机构营办，所提供的服务包括：“上门”送饭、一般起居照顾、家务料理和接送等服务。政府现正检讨这项服务，以期进一步改善和扩展这项服务。</w:t>
      </w:r>
    </w:p>
    <w:p w:rsidR="00000000" w:rsidRDefault="00000000">
      <w:r>
        <w:tab/>
        <w:t xml:space="preserve">305.  </w:t>
      </w:r>
      <w:r>
        <w:rPr>
          <w:rFonts w:hint="eastAsia"/>
        </w:rPr>
        <w:t>至于不能全日照顾长者的家庭，则可利用日间护理中心提供的服务。这些中心在日间开放，为健康情况渐走下坡的长者提供起居照顾和有限的护理服务。这类中心也是由非政府机构营办，并由政府资助。</w:t>
      </w:r>
    </w:p>
    <w:p w:rsidR="00000000" w:rsidRDefault="00000000">
      <w:pPr>
        <w:spacing w:after="320"/>
        <w:textAlignment w:val="center"/>
      </w:pPr>
      <w:r>
        <w:tab/>
        <w:t xml:space="preserve">306.  </w:t>
      </w:r>
      <w:r>
        <w:rPr>
          <w:rFonts w:hint="eastAsia"/>
        </w:rPr>
        <w:t>遇有不可预见的情况，或当护老者有需要暂时停止照顾家中的长者，可以安排长者接受短期住院服务。为此，我们将在短期内试行推出“日间暂托服务”。</w:t>
      </w:r>
    </w:p>
    <w:p w:rsidR="00000000" w:rsidRDefault="00000000">
      <w:pPr>
        <w:pStyle w:val="Heading4"/>
      </w:pPr>
      <w:r>
        <w:rPr>
          <w:u w:val="none"/>
        </w:rPr>
        <w:tab/>
      </w:r>
      <w:r>
        <w:rPr>
          <w:rFonts w:hint="eastAsia"/>
        </w:rPr>
        <w:t>为居于社区内的长者提供的服务</w:t>
      </w:r>
    </w:p>
    <w:p w:rsidR="00000000" w:rsidRDefault="00000000">
      <w:pPr>
        <w:spacing w:after="320"/>
        <w:textAlignment w:val="center"/>
      </w:pPr>
      <w:r>
        <w:tab/>
        <w:t xml:space="preserve">307.  </w:t>
      </w:r>
      <w:r>
        <w:rPr>
          <w:rFonts w:hint="eastAsia"/>
        </w:rPr>
        <w:t>政府为居于社区内的长者提供多项社会服务，包括设立以地区为本的老人服务中心和以邻舍为本的老人中心。这些中心提供各式各样的服务，以满足长者的社交、康乐和其他日常需要。由一九九八年十月起，政府将在全港</w:t>
      </w:r>
      <w:r>
        <w:t>36</w:t>
      </w:r>
      <w:r>
        <w:rPr>
          <w:rFonts w:hint="eastAsia"/>
        </w:rPr>
        <w:t>个老人服务中心内设立长者支援服务队，为区内困乏的独居长者提供专门社区支援网络和外展服务。</w:t>
      </w:r>
    </w:p>
    <w:p w:rsidR="00000000" w:rsidRDefault="00000000">
      <w:pPr>
        <w:pStyle w:val="Heading4"/>
      </w:pPr>
      <w:r>
        <w:rPr>
          <w:u w:val="none"/>
        </w:rPr>
        <w:tab/>
      </w:r>
      <w:r>
        <w:rPr>
          <w:rFonts w:hint="eastAsia"/>
        </w:rPr>
        <w:t>为居于社区内的长者提供的健康护理服务</w:t>
      </w:r>
    </w:p>
    <w:p w:rsidR="00000000" w:rsidRDefault="00000000">
      <w:r>
        <w:tab/>
        <w:t xml:space="preserve">308.  </w:t>
      </w:r>
      <w:r>
        <w:rPr>
          <w:rFonts w:hint="eastAsia"/>
        </w:rPr>
        <w:t>主要服务如下：</w:t>
      </w:r>
    </w:p>
    <w:p w:rsidR="00000000" w:rsidRDefault="00000000">
      <w:pPr>
        <w:pStyle w:val="a0"/>
        <w:numPr>
          <w:ilvl w:val="0"/>
          <w:numId w:val="28"/>
        </w:numPr>
        <w:ind w:left="1531" w:hanging="510"/>
      </w:pPr>
      <w:r>
        <w:rPr>
          <w:rFonts w:hint="eastAsia"/>
        </w:rPr>
        <w:t>老人健康中心：一如上次报告第</w:t>
      </w:r>
      <w:r>
        <w:t>278</w:t>
      </w:r>
      <w:r>
        <w:rPr>
          <w:rFonts w:hint="eastAsia"/>
        </w:rPr>
        <w:t>段所述，这类中心为</w:t>
      </w:r>
      <w:r>
        <w:t>65</w:t>
      </w:r>
      <w:r>
        <w:rPr>
          <w:rFonts w:hint="eastAsia"/>
        </w:rPr>
        <w:t>岁或以上的长者提供防治服务。中心内派驻了各类医护人员，包括医生、护士、营养学家、临床心理学家、物理治疗师和职业病治疗师，并且配备了各种器材，用以照顾长者多方面的需要。我们已在上次报告第</w:t>
      </w:r>
      <w:r>
        <w:t>278</w:t>
      </w:r>
      <w:r>
        <w:rPr>
          <w:rFonts w:hint="eastAsia"/>
        </w:rPr>
        <w:t>段向委员会表示，我们打算在一九九五年至一九九七年期间增设六个老人健康中心。目前，我们已有七个这类健康中心。我们会在一九九八至九九年度结束前再开办五个这类中心，并在一九九九至二○○○财政年度再开办另外六个。换句话说，老人健康中心的数目届时将达到</w:t>
      </w:r>
      <w:r>
        <w:t>18</w:t>
      </w:r>
      <w:r>
        <w:rPr>
          <w:rFonts w:hint="eastAsia"/>
        </w:rPr>
        <w:t>个；及</w:t>
      </w:r>
    </w:p>
    <w:p w:rsidR="00000000" w:rsidRDefault="00000000">
      <w:pPr>
        <w:pStyle w:val="a0"/>
        <w:numPr>
          <w:ilvl w:val="0"/>
          <w:numId w:val="28"/>
        </w:numPr>
        <w:ind w:left="1531" w:hanging="510"/>
      </w:pPr>
      <w:r>
        <w:rPr>
          <w:rFonts w:hint="eastAsia"/>
        </w:rPr>
        <w:t>在卫生署辖下普通科门诊诊疗所优先获得医护服务：</w:t>
      </w:r>
      <w:r>
        <w:t>65</w:t>
      </w:r>
      <w:r>
        <w:rPr>
          <w:rFonts w:hint="eastAsia"/>
        </w:rPr>
        <w:t>岁或以上的长者可获得优先诊治和配药。</w:t>
      </w:r>
    </w:p>
    <w:p w:rsidR="00000000" w:rsidRDefault="00000000">
      <w:pPr>
        <w:spacing w:after="320"/>
        <w:textAlignment w:val="center"/>
      </w:pPr>
      <w:r>
        <w:tab/>
        <w:t xml:space="preserve">309.  </w:t>
      </w:r>
      <w:r>
        <w:rPr>
          <w:rFonts w:hint="eastAsia"/>
        </w:rPr>
        <w:t>当局将于一九九八年年中推出一项新的服务：“外展医疗队”。医疗队将探访各老人中心和安老院舍，以向长者提供晚年保健的知识；给予提供服务人士专业意见；向护老者提供支援和训练，以及为在安老院舍居住的长者进行防疫注射。政府计划在一九九八至二○○○年期间设立</w:t>
      </w:r>
      <w:r>
        <w:t>18</w:t>
      </w:r>
      <w:r>
        <w:rPr>
          <w:rFonts w:hint="eastAsia"/>
        </w:rPr>
        <w:t>支外展医疗队</w:t>
      </w:r>
      <w:r>
        <w:t>(</w:t>
      </w:r>
      <w:r>
        <w:rPr>
          <w:rFonts w:hint="eastAsia"/>
        </w:rPr>
        <w:t>一九九八至九九年度设立</w:t>
      </w:r>
      <w:r>
        <w:t>12</w:t>
      </w:r>
      <w:r>
        <w:rPr>
          <w:rFonts w:hint="eastAsia"/>
        </w:rPr>
        <w:t>支；一九九九至二○○○年度设立六支。</w:t>
      </w:r>
      <w:r>
        <w:t>)</w:t>
      </w:r>
    </w:p>
    <w:p w:rsidR="00000000" w:rsidRDefault="00000000">
      <w:pPr>
        <w:pStyle w:val="Heading4"/>
      </w:pPr>
      <w:r>
        <w:rPr>
          <w:u w:val="none"/>
        </w:rPr>
        <w:tab/>
      </w:r>
      <w:r>
        <w:rPr>
          <w:rFonts w:hint="eastAsia"/>
        </w:rPr>
        <w:t>协助长者过积极和有为的生活</w:t>
      </w:r>
    </w:p>
    <w:p w:rsidR="00000000" w:rsidRDefault="00000000">
      <w:r>
        <w:tab/>
        <w:t xml:space="preserve">310.  </w:t>
      </w:r>
      <w:r>
        <w:rPr>
          <w:rFonts w:hint="eastAsia"/>
        </w:rPr>
        <w:t>这是政府安老政策的基本原则，目的是为长者提供各种机会，使他们能过正常的社交生活、积极参与各项康乐活动、继续接受教育和谋求就业。</w:t>
      </w:r>
    </w:p>
    <w:p w:rsidR="00000000" w:rsidRDefault="00000000">
      <w:r>
        <w:tab/>
        <w:t xml:space="preserve">311.  </w:t>
      </w:r>
      <w:r>
        <w:rPr>
          <w:rFonts w:hint="eastAsia"/>
        </w:rPr>
        <w:t>现时全港</w:t>
      </w:r>
      <w:r>
        <w:t>250</w:t>
      </w:r>
      <w:r>
        <w:rPr>
          <w:rFonts w:hint="eastAsia"/>
        </w:rPr>
        <w:t>个老人中心均设于交通便利的地点，方便长者前往进行社交和消闲活动。这些中心所举办的活动种类繁多，包括退休前</w:t>
      </w:r>
      <w:r>
        <w:t>/</w:t>
      </w:r>
      <w:r>
        <w:rPr>
          <w:rFonts w:hint="eastAsia"/>
        </w:rPr>
        <w:t>退休课程、烹饪班、识字班、郊游、参观、健康讲座</w:t>
      </w:r>
      <w:r>
        <w:t>/</w:t>
      </w:r>
      <w:r>
        <w:rPr>
          <w:rFonts w:hint="eastAsia"/>
        </w:rPr>
        <w:t>检查、兴趣小组和互助</w:t>
      </w:r>
      <w:r>
        <w:t>/</w:t>
      </w:r>
      <w:r>
        <w:rPr>
          <w:rFonts w:hint="eastAsia"/>
        </w:rPr>
        <w:t>支援小组等。此外，还有一所度假中心，让长者</w:t>
      </w:r>
      <w:r>
        <w:t>(</w:t>
      </w:r>
      <w:r>
        <w:rPr>
          <w:rFonts w:hint="eastAsia"/>
        </w:rPr>
        <w:t>包括需要长期护理服务的长者</w:t>
      </w:r>
      <w:r>
        <w:t>)</w:t>
      </w:r>
      <w:r>
        <w:rPr>
          <w:rFonts w:hint="eastAsia"/>
        </w:rPr>
        <w:t>到效外小住数天，舒展身心。另有由政府资助并由非政府机构营办的巴士服务，为长者提供接载服务，方便他们参与户外康乐活动。</w:t>
      </w:r>
    </w:p>
    <w:p w:rsidR="00000000" w:rsidRDefault="00000000">
      <w:pPr>
        <w:spacing w:after="320"/>
        <w:textAlignment w:val="center"/>
      </w:pPr>
      <w:r>
        <w:tab/>
        <w:t xml:space="preserve">312.  </w:t>
      </w:r>
      <w:r>
        <w:rPr>
          <w:rFonts w:hint="eastAsia"/>
        </w:rPr>
        <w:t>市政总署和区域市政总署为长者举办多种免费康体娱乐活动。长者如果参加为一般市民举办的活动，或在非繁忙时间使用康体娱乐设施，最高可以享有半价优惠。</w:t>
      </w:r>
    </w:p>
    <w:p w:rsidR="00000000" w:rsidRDefault="00000000">
      <w:pPr>
        <w:pStyle w:val="Heading4"/>
      </w:pPr>
      <w:r>
        <w:rPr>
          <w:u w:val="none"/>
        </w:rPr>
        <w:tab/>
      </w:r>
      <w:r>
        <w:rPr>
          <w:rFonts w:hint="eastAsia"/>
        </w:rPr>
        <w:t>就</w:t>
      </w:r>
      <w:r>
        <w:t xml:space="preserve">  </w:t>
      </w:r>
      <w:r>
        <w:rPr>
          <w:rFonts w:hint="eastAsia"/>
        </w:rPr>
        <w:t>业</w:t>
      </w:r>
    </w:p>
    <w:p w:rsidR="00000000" w:rsidRDefault="00000000">
      <w:pPr>
        <w:spacing w:after="320"/>
        <w:textAlignment w:val="center"/>
      </w:pPr>
      <w:r>
        <w:tab/>
        <w:t xml:space="preserve">313.  </w:t>
      </w:r>
      <w:r>
        <w:rPr>
          <w:rFonts w:hint="eastAsia"/>
        </w:rPr>
        <w:t>获政府拨款资助的非政府机构，为</w:t>
      </w:r>
      <w:r>
        <w:t>50</w:t>
      </w:r>
      <w:r>
        <w:rPr>
          <w:rFonts w:hint="eastAsia"/>
        </w:rPr>
        <w:t>岁或以上的人士举办再培训课程，协助他们掌握或重新掌握所需的技能。此外，劳工处亦为求职的长者优先提供辅导和就业选配服务。</w:t>
      </w:r>
    </w:p>
    <w:p w:rsidR="00000000" w:rsidRDefault="00000000">
      <w:pPr>
        <w:pStyle w:val="Heading4"/>
      </w:pPr>
      <w:r>
        <w:rPr>
          <w:u w:val="none"/>
        </w:rPr>
        <w:tab/>
      </w:r>
      <w:r>
        <w:rPr>
          <w:rFonts w:hint="eastAsia"/>
        </w:rPr>
        <w:t>优</w:t>
      </w:r>
      <w:r>
        <w:t xml:space="preserve">  </w:t>
      </w:r>
      <w:r>
        <w:rPr>
          <w:rFonts w:hint="eastAsia"/>
        </w:rPr>
        <w:t>惠</w:t>
      </w:r>
    </w:p>
    <w:p w:rsidR="00000000" w:rsidRDefault="00000000">
      <w:pPr>
        <w:spacing w:after="320"/>
        <w:textAlignment w:val="center"/>
      </w:pPr>
      <w:r>
        <w:tab/>
        <w:t xml:space="preserve">314.  </w:t>
      </w:r>
      <w:r>
        <w:rPr>
          <w:rFonts w:hint="eastAsia"/>
        </w:rPr>
        <w:t>长者咭计划于一九九四年推出，目的是鼓励公营部门和商业机构给予长者优惠和</w:t>
      </w:r>
      <w:r>
        <w:t>/</w:t>
      </w:r>
      <w:r>
        <w:rPr>
          <w:rFonts w:hint="eastAsia"/>
        </w:rPr>
        <w:t>或优先服务，并间接鼓励长者继续过积极的生活。迄今，已发出的长者咭超过</w:t>
      </w:r>
      <w:r>
        <w:t>540,000</w:t>
      </w:r>
      <w:r>
        <w:rPr>
          <w:rFonts w:hint="eastAsia"/>
        </w:rPr>
        <w:t>张，参与的公司</w:t>
      </w:r>
      <w:r>
        <w:t>/</w:t>
      </w:r>
      <w:r>
        <w:rPr>
          <w:rFonts w:hint="eastAsia"/>
        </w:rPr>
        <w:t>机构亦有千多家</w:t>
      </w:r>
      <w:r>
        <w:t>(</w:t>
      </w:r>
      <w:r>
        <w:rPr>
          <w:rFonts w:hint="eastAsia"/>
        </w:rPr>
        <w:t>包括</w:t>
      </w:r>
      <w:r>
        <w:t>3,000</w:t>
      </w:r>
      <w:r>
        <w:rPr>
          <w:rFonts w:hint="eastAsia"/>
        </w:rPr>
        <w:t>多个门市部</w:t>
      </w:r>
      <w:r>
        <w:t>)</w:t>
      </w:r>
      <w:r>
        <w:rPr>
          <w:rFonts w:hint="eastAsia"/>
        </w:rPr>
        <w:t>。当局已委托顾问进行研究，以探讨如何再改进和推广这项计划。</w:t>
      </w:r>
    </w:p>
    <w:p w:rsidR="00000000" w:rsidRDefault="00000000">
      <w:pPr>
        <w:pStyle w:val="Heading4"/>
      </w:pPr>
      <w:r>
        <w:rPr>
          <w:u w:val="none"/>
        </w:rPr>
        <w:tab/>
      </w:r>
      <w:r>
        <w:rPr>
          <w:rFonts w:hint="eastAsia"/>
        </w:rPr>
        <w:t>人生新挑战：服务社会的机会</w:t>
      </w:r>
    </w:p>
    <w:p w:rsidR="00000000" w:rsidRDefault="00000000">
      <w:pPr>
        <w:spacing w:after="320"/>
        <w:textAlignment w:val="center"/>
      </w:pPr>
      <w:r>
        <w:tab/>
        <w:t xml:space="preserve">315.  </w:t>
      </w:r>
      <w:r>
        <w:rPr>
          <w:rFonts w:hint="eastAsia"/>
        </w:rPr>
        <w:t>一九九五年十月，社会福利署试行推出“长者义工计划”，招募和培训长者成为义工。这个计划的成绩相当理想。当局正着手把这个计划与其他外展服务合并，以组成“支援服务队”</w:t>
      </w:r>
      <w:r>
        <w:t>(</w:t>
      </w:r>
      <w:r>
        <w:rPr>
          <w:rFonts w:hint="eastAsia"/>
        </w:rPr>
        <w:t>详见上文第</w:t>
      </w:r>
      <w:r>
        <w:t>307</w:t>
      </w:r>
      <w:r>
        <w:rPr>
          <w:rFonts w:hint="eastAsia"/>
        </w:rPr>
        <w:t>段</w:t>
      </w:r>
      <w:r>
        <w:t>)</w:t>
      </w:r>
      <w:r>
        <w:rPr>
          <w:rFonts w:hint="eastAsia"/>
        </w:rPr>
        <w:t>。</w:t>
      </w:r>
    </w:p>
    <w:p w:rsidR="00000000" w:rsidRDefault="00000000">
      <w:pPr>
        <w:pStyle w:val="Heading4"/>
      </w:pPr>
      <w:r>
        <w:rPr>
          <w:u w:val="none"/>
        </w:rPr>
        <w:tab/>
      </w:r>
      <w:r>
        <w:rPr>
          <w:rFonts w:hint="eastAsia"/>
        </w:rPr>
        <w:t>为有需要的长者提供经济援助</w:t>
      </w:r>
    </w:p>
    <w:p w:rsidR="00000000" w:rsidRDefault="00000000">
      <w:pPr>
        <w:spacing w:after="320"/>
        <w:textAlignment w:val="center"/>
      </w:pPr>
      <w:r>
        <w:tab/>
        <w:t xml:space="preserve">316.  </w:t>
      </w:r>
      <w:r>
        <w:rPr>
          <w:rFonts w:hint="eastAsia"/>
        </w:rPr>
        <w:t>这点已在上文第九条项下第</w:t>
      </w:r>
      <w:r>
        <w:t>156</w:t>
      </w:r>
      <w:r>
        <w:rPr>
          <w:rFonts w:hint="eastAsia"/>
        </w:rPr>
        <w:t>至</w:t>
      </w:r>
      <w:r>
        <w:t>160</w:t>
      </w:r>
      <w:r>
        <w:rPr>
          <w:rFonts w:hint="eastAsia"/>
        </w:rPr>
        <w:t>段论述。</w:t>
      </w:r>
    </w:p>
    <w:p w:rsidR="00000000" w:rsidRDefault="00000000">
      <w:pPr>
        <w:pStyle w:val="Heading4"/>
      </w:pPr>
      <w:r>
        <w:rPr>
          <w:u w:val="none"/>
        </w:rPr>
        <w:tab/>
      </w:r>
      <w:r>
        <w:rPr>
          <w:rFonts w:hint="eastAsia"/>
        </w:rPr>
        <w:t>长者住院照顾服务</w:t>
      </w:r>
    </w:p>
    <w:p w:rsidR="00000000" w:rsidRDefault="00000000">
      <w:r>
        <w:tab/>
        <w:t xml:space="preserve">317.  </w:t>
      </w:r>
      <w:r>
        <w:rPr>
          <w:rFonts w:hint="eastAsia"/>
        </w:rPr>
        <w:t>当局为在家中不能获得足够照顾的长者提供多项服务，包括：</w:t>
      </w:r>
    </w:p>
    <w:p w:rsidR="00000000" w:rsidRDefault="00000000">
      <w:pPr>
        <w:pStyle w:val="a0"/>
        <w:numPr>
          <w:ilvl w:val="0"/>
          <w:numId w:val="29"/>
        </w:numPr>
        <w:ind w:left="1531" w:hanging="510"/>
      </w:pPr>
      <w:r>
        <w:rPr>
          <w:rFonts w:hint="eastAsia"/>
        </w:rPr>
        <w:t>“安老院”：提供基本护理服务。目前有</w:t>
      </w:r>
      <w:r>
        <w:t>6,800</w:t>
      </w:r>
      <w:r>
        <w:rPr>
          <w:rFonts w:hint="eastAsia"/>
        </w:rPr>
        <w:t>个受资助的安老院宿位和</w:t>
      </w:r>
      <w:r>
        <w:t>1,300</w:t>
      </w:r>
      <w:r>
        <w:rPr>
          <w:rFonts w:hint="eastAsia"/>
        </w:rPr>
        <w:t>个自负盈亏的安老院宿位；</w:t>
      </w:r>
    </w:p>
    <w:p w:rsidR="00000000" w:rsidRDefault="00000000">
      <w:pPr>
        <w:pStyle w:val="a0"/>
        <w:numPr>
          <w:ilvl w:val="0"/>
          <w:numId w:val="29"/>
        </w:numPr>
        <w:ind w:left="1531" w:hanging="510"/>
      </w:pPr>
      <w:r>
        <w:rPr>
          <w:rFonts w:hint="eastAsia"/>
        </w:rPr>
        <w:t>“护理安老院”：提供起居照顾和有限的护理服务。目前有</w:t>
      </w:r>
      <w:r>
        <w:t>8,000</w:t>
      </w:r>
      <w:r>
        <w:rPr>
          <w:rFonts w:hint="eastAsia"/>
        </w:rPr>
        <w:t>个受资助的护理安老院宿位和</w:t>
      </w:r>
      <w:r>
        <w:t>800</w:t>
      </w:r>
      <w:r>
        <w:rPr>
          <w:rFonts w:hint="eastAsia"/>
        </w:rPr>
        <w:t>个自负盈亏的护理安老院宿位；</w:t>
      </w:r>
    </w:p>
    <w:p w:rsidR="00000000" w:rsidRDefault="00000000">
      <w:pPr>
        <w:pStyle w:val="a0"/>
        <w:numPr>
          <w:ilvl w:val="0"/>
          <w:numId w:val="29"/>
        </w:numPr>
        <w:ind w:left="1531" w:hanging="510"/>
      </w:pPr>
      <w:r>
        <w:rPr>
          <w:rFonts w:hint="eastAsia"/>
        </w:rPr>
        <w:t>新开设的“护养院”：为体弱的长者提供更全面的护理；</w:t>
      </w:r>
    </w:p>
    <w:p w:rsidR="00000000" w:rsidRDefault="00000000">
      <w:pPr>
        <w:pStyle w:val="a0"/>
        <w:numPr>
          <w:ilvl w:val="0"/>
          <w:numId w:val="29"/>
        </w:numPr>
        <w:ind w:left="1531" w:hanging="510"/>
      </w:pPr>
      <w:r>
        <w:rPr>
          <w:rFonts w:hint="eastAsia"/>
        </w:rPr>
        <w:t>护养病床：为长者提供医疗护理；及</w:t>
      </w:r>
    </w:p>
    <w:p w:rsidR="00000000" w:rsidRDefault="00000000">
      <w:pPr>
        <w:pStyle w:val="a0"/>
        <w:numPr>
          <w:ilvl w:val="0"/>
          <w:numId w:val="29"/>
        </w:numPr>
        <w:ind w:left="1531" w:hanging="510"/>
      </w:pPr>
      <w:r>
        <w:rPr>
          <w:rFonts w:hint="eastAsia"/>
        </w:rPr>
        <w:t>私营安老院：目前全港有</w:t>
      </w:r>
      <w:r>
        <w:t>400</w:t>
      </w:r>
      <w:r>
        <w:rPr>
          <w:rFonts w:hint="eastAsia"/>
        </w:rPr>
        <w:t>多间私营安老院，为</w:t>
      </w:r>
      <w:r>
        <w:t>22,000</w:t>
      </w:r>
      <w:r>
        <w:rPr>
          <w:rFonts w:hint="eastAsia"/>
        </w:rPr>
        <w:t>位长者提供护理服务。政府会通过“买位计划”向私营安老院购买宿位，以弥补受资助安老院宿位的不足，截至一九九八年六月三十日为止，政府已通过这项计划，向私营安老院购买了</w:t>
      </w:r>
      <w:r>
        <w:t>1,200</w:t>
      </w:r>
      <w:r>
        <w:rPr>
          <w:rFonts w:hint="eastAsia"/>
        </w:rPr>
        <w:t>个宿位。</w:t>
      </w:r>
    </w:p>
    <w:p w:rsidR="00000000" w:rsidRDefault="00000000">
      <w:pPr>
        <w:spacing w:after="320"/>
        <w:textAlignment w:val="center"/>
      </w:pPr>
      <w:r>
        <w:tab/>
        <w:t xml:space="preserve">318.  </w:t>
      </w:r>
      <w:r>
        <w:rPr>
          <w:rFonts w:hint="eastAsia"/>
        </w:rPr>
        <w:t>一九九八年二月，政府开办了一个专门护养院，提供宿位</w:t>
      </w:r>
      <w:r>
        <w:t>200</w:t>
      </w:r>
      <w:r>
        <w:rPr>
          <w:rFonts w:hint="eastAsia"/>
        </w:rPr>
        <w:t>个，为体弱的长者提供更全面的护理。到六月三十日，另有两个这类护养院投入服务，增加了宿位</w:t>
      </w:r>
      <w:r>
        <w:t>500</w:t>
      </w:r>
      <w:r>
        <w:rPr>
          <w:rFonts w:hint="eastAsia"/>
        </w:rPr>
        <w:t>个。当局将于一九九九年三月前，再增设三个护养院，以便再提供</w:t>
      </w:r>
      <w:r>
        <w:t>700</w:t>
      </w:r>
      <w:r>
        <w:rPr>
          <w:rFonts w:hint="eastAsia"/>
        </w:rPr>
        <w:t>个宿位，届时，</w:t>
      </w:r>
      <w:r>
        <w:t xml:space="preserve"> </w:t>
      </w:r>
      <w:r>
        <w:rPr>
          <w:rFonts w:hint="eastAsia"/>
        </w:rPr>
        <w:t>护养院宿位的总数将达到</w:t>
      </w:r>
      <w:r>
        <w:t>1,400</w:t>
      </w:r>
      <w:r>
        <w:rPr>
          <w:rFonts w:hint="eastAsia"/>
        </w:rPr>
        <w:t>个。</w:t>
      </w:r>
    </w:p>
    <w:p w:rsidR="00000000" w:rsidRDefault="00000000">
      <w:pPr>
        <w:pStyle w:val="Heading4"/>
      </w:pPr>
      <w:r>
        <w:rPr>
          <w:rFonts w:hint="eastAsia"/>
        </w:rPr>
        <w:t>面临的困难</w:t>
      </w:r>
    </w:p>
    <w:p w:rsidR="00000000" w:rsidRDefault="00000000">
      <w:pPr>
        <w:spacing w:after="320"/>
        <w:textAlignment w:val="center"/>
      </w:pPr>
      <w:r>
        <w:tab/>
        <w:t xml:space="preserve">319.  </w:t>
      </w:r>
      <w:r>
        <w:rPr>
          <w:rFonts w:hint="eastAsia"/>
        </w:rPr>
        <w:t>随着人口逐渐老化，安老院舍服务的需求日趋殷切。目前，约有</w:t>
      </w:r>
      <w:r>
        <w:t>35,000</w:t>
      </w:r>
      <w:r>
        <w:rPr>
          <w:rFonts w:hint="eastAsia"/>
        </w:rPr>
        <w:t>名老人在轮候受资助安老院舍宿位</w:t>
      </w:r>
      <w:r>
        <w:t>(</w:t>
      </w:r>
      <w:r>
        <w:rPr>
          <w:rFonts w:hint="eastAsia"/>
        </w:rPr>
        <w:t>当中</w:t>
      </w:r>
      <w:r>
        <w:t>19,000</w:t>
      </w:r>
      <w:r>
        <w:rPr>
          <w:rFonts w:hint="eastAsia"/>
        </w:rPr>
        <w:t>位长者在轮候护理安老院；</w:t>
      </w:r>
      <w:r>
        <w:t>7,600</w:t>
      </w:r>
      <w:r>
        <w:rPr>
          <w:rFonts w:hint="eastAsia"/>
        </w:rPr>
        <w:t>位长者在轮候疗养院</w:t>
      </w:r>
      <w:r>
        <w:t xml:space="preserve">) </w:t>
      </w:r>
      <w:r>
        <w:rPr>
          <w:rStyle w:val="FootnoteReference"/>
        </w:rPr>
        <w:footnoteReference w:id="69"/>
      </w:r>
      <w:r>
        <w:rPr>
          <w:rFonts w:hint="eastAsia"/>
        </w:rPr>
        <w:t>。为缩短轮候时间，政府承诺在二○○一至○二年度前增加</w:t>
      </w:r>
      <w:r>
        <w:t>3,300</w:t>
      </w:r>
      <w:r>
        <w:rPr>
          <w:rFonts w:hint="eastAsia"/>
        </w:rPr>
        <w:t>个宿位，并向私营机构再购买</w:t>
      </w:r>
      <w:r>
        <w:t>2,400</w:t>
      </w:r>
      <w:r>
        <w:rPr>
          <w:rFonts w:hint="eastAsia"/>
        </w:rPr>
        <w:t>个宿位</w:t>
      </w:r>
      <w:r>
        <w:t xml:space="preserve"> </w:t>
      </w:r>
      <w:r>
        <w:rPr>
          <w:rStyle w:val="FootnoteReference"/>
        </w:rPr>
        <w:footnoteReference w:id="70"/>
      </w:r>
      <w:r>
        <w:rPr>
          <w:rFonts w:hint="eastAsia"/>
        </w:rPr>
        <w:t>。</w:t>
      </w:r>
    </w:p>
    <w:p w:rsidR="00000000" w:rsidRDefault="00000000">
      <w:pPr>
        <w:pStyle w:val="Heading4"/>
      </w:pPr>
      <w:r>
        <w:rPr>
          <w:u w:val="none"/>
        </w:rPr>
        <w:tab/>
      </w:r>
      <w:r>
        <w:rPr>
          <w:rFonts w:hint="eastAsia"/>
        </w:rPr>
        <w:t>未来路向</w:t>
      </w:r>
      <w:r>
        <w:t>(</w:t>
      </w:r>
      <w:r>
        <w:rPr>
          <w:rFonts w:hint="eastAsia"/>
        </w:rPr>
        <w:t>院舍服务</w:t>
      </w:r>
      <w:r>
        <w:t>)</w:t>
      </w:r>
    </w:p>
    <w:p w:rsidR="00000000" w:rsidRDefault="00000000">
      <w:r>
        <w:tab/>
        <w:t xml:space="preserve">320.  </w:t>
      </w:r>
      <w:r>
        <w:rPr>
          <w:rFonts w:hint="eastAsia"/>
        </w:rPr>
        <w:t>扩展服务固然重要。然而，我们亦意识到有需要改善服务质素。为此，我们在一九九六年推出了一项名为“疗养院照顾补助金”的资助计划，让院舍得以加强护理服务，使在院舍内居住的长者假如需要接受更深切的护理，仍可留在原来的院舍居住。此外，由一九九八年起，我们将再推出一项补助金，使安老院舍内患有老人痴呆症的长者可得到更完善的服务。</w:t>
      </w:r>
    </w:p>
    <w:p w:rsidR="00000000" w:rsidRDefault="00000000">
      <w:pPr>
        <w:spacing w:after="320"/>
        <w:textAlignment w:val="center"/>
      </w:pPr>
      <w:r>
        <w:tab/>
        <w:t xml:space="preserve">321.  </w:t>
      </w:r>
      <w:r>
        <w:rPr>
          <w:rFonts w:hint="eastAsia"/>
        </w:rPr>
        <w:t>现时不同类别的院舍大体上各提供不同层次的专门护理，以因应长者各种健康状况的需要。换句话说，健康状况转差的长者可能需要迁往提供更深切护理的院舍接受照顾。这种安排不但扰人，而且往往使他们承受不少压力。因此，最理想的安排，显然是让长者在熟悉的环境中安享晚年。要做到这一点，我们必须确保安老院舍所提供的服务具有必要的弹性，以便照顾不同健康状况的长者。为此，我们正计划开办一种可同时照顾不同健康状况的长者的安老院舍，首家这类院舍会在一九九九年以试验计划的方式开办，试验期为两年、试验期满后，我们会根据从试验计划所汲取的经验，找出把这个方式推广至所有安老院舍的最佳办法。</w:t>
      </w:r>
    </w:p>
    <w:p w:rsidR="00000000" w:rsidRDefault="00000000">
      <w:pPr>
        <w:pStyle w:val="Heading4"/>
      </w:pPr>
      <w:r>
        <w:rPr>
          <w:u w:val="none"/>
        </w:rPr>
        <w:tab/>
      </w:r>
      <w:r>
        <w:rPr>
          <w:rFonts w:hint="eastAsia"/>
        </w:rPr>
        <w:t>长者住屋</w:t>
      </w:r>
    </w:p>
    <w:p w:rsidR="00000000" w:rsidRDefault="00000000">
      <w:pPr>
        <w:spacing w:after="320"/>
        <w:textAlignment w:val="center"/>
      </w:pPr>
      <w:r>
        <w:tab/>
        <w:t xml:space="preserve">322.  </w:t>
      </w:r>
      <w:r>
        <w:rPr>
          <w:rFonts w:hint="eastAsia"/>
        </w:rPr>
        <w:t>这点将在下文第十一条项下第</w:t>
      </w:r>
      <w:r>
        <w:t>373</w:t>
      </w:r>
      <w:r>
        <w:rPr>
          <w:rFonts w:hint="eastAsia"/>
        </w:rPr>
        <w:t>至</w:t>
      </w:r>
      <w:r>
        <w:t>380</w:t>
      </w:r>
      <w:r>
        <w:rPr>
          <w:rFonts w:hint="eastAsia"/>
        </w:rPr>
        <w:t>段论述。</w:t>
      </w:r>
    </w:p>
    <w:p w:rsidR="00000000" w:rsidRDefault="00000000">
      <w:pPr>
        <w:pStyle w:val="Heading3"/>
      </w:pPr>
      <w:r>
        <w:rPr>
          <w:rFonts w:hint="eastAsia"/>
        </w:rPr>
        <w:t>第十一条</w:t>
      </w:r>
      <w:r>
        <w:t xml:space="preserve">.  </w:t>
      </w:r>
      <w:r>
        <w:rPr>
          <w:rFonts w:hint="eastAsia"/>
        </w:rPr>
        <w:t>享受适当生活水平的权利</w:t>
      </w:r>
    </w:p>
    <w:p w:rsidR="00000000" w:rsidRDefault="00000000">
      <w:pPr>
        <w:pStyle w:val="Heading4"/>
      </w:pPr>
      <w:r>
        <w:rPr>
          <w:rFonts w:hint="eastAsia"/>
        </w:rPr>
        <w:t>经济指标</w:t>
      </w:r>
    </w:p>
    <w:p w:rsidR="00000000" w:rsidRDefault="00000000">
      <w:r>
        <w:tab/>
        <w:t xml:space="preserve">323.  </w:t>
      </w:r>
      <w:r>
        <w:rPr>
          <w:rFonts w:hint="eastAsia"/>
        </w:rPr>
        <w:t>一九九七年，香港的本地生产总值实质增长为</w:t>
      </w:r>
      <w:r>
        <w:t>5.3%</w:t>
      </w:r>
      <w:r>
        <w:rPr>
          <w:rFonts w:hint="eastAsia"/>
        </w:rPr>
        <w:t>。这数字大致与一九八八至九七年期间录得的</w:t>
      </w:r>
      <w:r>
        <w:t>5%</w:t>
      </w:r>
      <w:r>
        <w:rPr>
          <w:rFonts w:hint="eastAsia"/>
        </w:rPr>
        <w:t>每年平均增长率相若，并超越了经济合作及发展组织各国在过去十年的</w:t>
      </w:r>
      <w:r>
        <w:t>2.6%</w:t>
      </w:r>
      <w:r>
        <w:rPr>
          <w:rFonts w:hint="eastAsia"/>
        </w:rPr>
        <w:t>平均增长率。一九九七年，香港人均本地生产总值以货币计算为</w:t>
      </w:r>
      <w:r>
        <w:t>206,000</w:t>
      </w:r>
      <w:r>
        <w:rPr>
          <w:rFonts w:hint="eastAsia"/>
        </w:rPr>
        <w:t>港元</w:t>
      </w:r>
      <w:r>
        <w:t>(26,600</w:t>
      </w:r>
      <w:r>
        <w:rPr>
          <w:rFonts w:hint="eastAsia"/>
        </w:rPr>
        <w:t>美元</w:t>
      </w:r>
      <w:r>
        <w:t>)</w:t>
      </w:r>
      <w:r>
        <w:rPr>
          <w:rFonts w:hint="eastAsia"/>
        </w:rPr>
        <w:t>，居亚洲最高之列。而消费物价膨胀则由一九九五年的</w:t>
      </w:r>
      <w:r>
        <w:t>9.1%</w:t>
      </w:r>
      <w:r>
        <w:rPr>
          <w:rFonts w:hint="eastAsia"/>
        </w:rPr>
        <w:t>和一九九六年的</w:t>
      </w:r>
      <w:r>
        <w:t>6.3%</w:t>
      </w:r>
      <w:r>
        <w:rPr>
          <w:rFonts w:hint="eastAsia"/>
        </w:rPr>
        <w:t>，放缓至一九九七年的</w:t>
      </w:r>
      <w:r>
        <w:t>5.8%</w:t>
      </w:r>
      <w:r>
        <w:rPr>
          <w:rFonts w:hint="eastAsia"/>
        </w:rPr>
        <w:t>。</w:t>
      </w:r>
    </w:p>
    <w:p w:rsidR="00000000" w:rsidRDefault="00000000">
      <w:r>
        <w:tab/>
        <w:t xml:space="preserve">324.  </w:t>
      </w:r>
      <w:r>
        <w:rPr>
          <w:rFonts w:hint="eastAsia"/>
        </w:rPr>
        <w:t>香港家庭的每月收入中位数，在一九九七年以货币计算达</w:t>
      </w:r>
      <w:r>
        <w:t>19,000</w:t>
      </w:r>
      <w:r>
        <w:rPr>
          <w:rFonts w:hint="eastAsia"/>
        </w:rPr>
        <w:t>港元</w:t>
      </w:r>
      <w:r>
        <w:t>(2,500</w:t>
      </w:r>
      <w:r>
        <w:rPr>
          <w:rFonts w:hint="eastAsia"/>
        </w:rPr>
        <w:t>美元</w:t>
      </w:r>
      <w:r>
        <w:t>)</w:t>
      </w:r>
      <w:r>
        <w:rPr>
          <w:rFonts w:hint="eastAsia"/>
        </w:rPr>
        <w:t>，增幅为</w:t>
      </w:r>
      <w:r>
        <w:t>8.6%</w:t>
      </w:r>
      <w:r>
        <w:rPr>
          <w:rFonts w:hint="eastAsia"/>
        </w:rPr>
        <w:t>。过去十年间，香港家庭收入中位数的总增幅为</w:t>
      </w:r>
      <w:r>
        <w:t>211%</w:t>
      </w:r>
      <w:r>
        <w:rPr>
          <w:rFonts w:hint="eastAsia"/>
        </w:rPr>
        <w:t>，较同期的消费物价膨胀高</w:t>
      </w:r>
      <w:r>
        <w:t>34%</w:t>
      </w:r>
      <w:r>
        <w:rPr>
          <w:rFonts w:hint="eastAsia"/>
        </w:rPr>
        <w:t>。</w:t>
      </w:r>
    </w:p>
    <w:p w:rsidR="00000000" w:rsidRDefault="00000000">
      <w:r>
        <w:tab/>
        <w:t xml:space="preserve">325.  </w:t>
      </w:r>
      <w:r>
        <w:rPr>
          <w:rFonts w:hint="eastAsia"/>
        </w:rPr>
        <w:t>一九八八至九七年期间，以货币计算的工人工资每年显著增加达</w:t>
      </w:r>
      <w:r>
        <w:t>10%</w:t>
      </w:r>
      <w:r>
        <w:rPr>
          <w:rFonts w:hint="eastAsia"/>
        </w:rPr>
        <w:t>，减去消费物价膨胀后，实质增长</w:t>
      </w:r>
      <w:r>
        <w:t>1%</w:t>
      </w:r>
      <w:r>
        <w:rPr>
          <w:rFonts w:hint="eastAsia"/>
        </w:rPr>
        <w:t>。在各主要经济环节中，金融、保险、地产及商用服务业的工资增长最迅速，每年平均实质增长</w:t>
      </w:r>
      <w:r>
        <w:t>3%</w:t>
      </w:r>
      <w:r>
        <w:rPr>
          <w:rFonts w:hint="eastAsia"/>
        </w:rPr>
        <w:t>。其次是个人服务业</w:t>
      </w:r>
      <w:r>
        <w:t>(3%)</w:t>
      </w:r>
      <w:r>
        <w:rPr>
          <w:rFonts w:hint="eastAsia"/>
        </w:rPr>
        <w:t>；运输业</w:t>
      </w:r>
      <w:r>
        <w:t>(2%)</w:t>
      </w:r>
      <w:r>
        <w:rPr>
          <w:rFonts w:hint="eastAsia"/>
        </w:rPr>
        <w:t>；批发、零售、进出口贸易、饮食及酒店业</w:t>
      </w:r>
      <w:r>
        <w:t>(1%)</w:t>
      </w:r>
      <w:r>
        <w:rPr>
          <w:rFonts w:hint="eastAsia"/>
        </w:rPr>
        <w:t>；以及制造业</w:t>
      </w:r>
      <w:r>
        <w:t>(0.5%)</w:t>
      </w:r>
      <w:r>
        <w:rPr>
          <w:rFonts w:hint="eastAsia"/>
        </w:rPr>
        <w:t>。</w:t>
      </w:r>
    </w:p>
    <w:p w:rsidR="00000000" w:rsidRDefault="00000000">
      <w:r>
        <w:tab/>
        <w:t xml:space="preserve">326.  </w:t>
      </w:r>
      <w:r>
        <w:rPr>
          <w:rFonts w:hint="eastAsia"/>
        </w:rPr>
        <w:t>受到东亚地区多国货币大幅贬值和金融风暴的严重影响，香港经济于一九九七年第四季后显著滑落。为反映区内的高风险溢价，香港利率上升，使股票和物业市场急速调整。本地需求显著放缓，其中对消费需求的影响尤为明显。由一九九八年年初开始，本地出口亦因区内需求下降而大幅放缓。这些因素导致一九九八年上半年的实质本地生产总值较一九九七年同期缩减了</w:t>
      </w:r>
      <w:r>
        <w:t>4%</w:t>
      </w:r>
      <w:r>
        <w:rPr>
          <w:rFonts w:hint="eastAsia"/>
        </w:rPr>
        <w:t>，跌幅相当明显：一九九七年第四季的增长为</w:t>
      </w:r>
      <w:r>
        <w:t>2.8%</w:t>
      </w:r>
      <w:r>
        <w:rPr>
          <w:rFonts w:hint="eastAsia"/>
        </w:rPr>
        <w:t>，而一九九七年全年的增长则为</w:t>
      </w:r>
      <w:r>
        <w:t>5.3%</w:t>
      </w:r>
      <w:r>
        <w:rPr>
          <w:rFonts w:hint="eastAsia"/>
        </w:rPr>
        <w:t>。尽管如此，在稳固的联系汇率制度支持下，加上香港有一个监管完善和整体健全的银行体系、严格的财政纪律和丰厚的储备，港元兑美元的汇率仍保持稳定。</w:t>
      </w:r>
    </w:p>
    <w:p w:rsidR="00000000" w:rsidRDefault="00000000">
      <w:r>
        <w:tab/>
        <w:t xml:space="preserve">327.  </w:t>
      </w:r>
      <w:r>
        <w:rPr>
          <w:rFonts w:hint="eastAsia"/>
        </w:rPr>
        <w:t>由于市场情绪受到压抑，利率偏高，业务前景也变得更加不明朗，预计本地需求在一九九八年余下的时间仍会相当疲弱。对外贸易亦会因区内入口需求大降而持续减缩。以一九九八年全年来说，香港的实质本地生产总值预计会下降约</w:t>
      </w:r>
      <w:r>
        <w:t>5%</w:t>
      </w:r>
      <w:r>
        <w:rPr>
          <w:rFonts w:hint="eastAsia"/>
        </w:rPr>
        <w:t>。同时，消费物价膨胀预计会大幅回落至</w:t>
      </w:r>
      <w:r>
        <w:t>3.5%</w:t>
      </w:r>
      <w:r>
        <w:rPr>
          <w:rFonts w:hint="eastAsia"/>
        </w:rPr>
        <w:t>，成为</w:t>
      </w:r>
      <w:r>
        <w:t>13</w:t>
      </w:r>
      <w:r>
        <w:rPr>
          <w:rFonts w:hint="eastAsia"/>
        </w:rPr>
        <w:t>年来所录得的最低数字。这反映出成本</w:t>
      </w:r>
      <w:r>
        <w:t>/</w:t>
      </w:r>
      <w:r>
        <w:rPr>
          <w:rFonts w:hint="eastAsia"/>
        </w:rPr>
        <w:t>价格迅速作出调整，以抵抗区内金融风暴。</w:t>
      </w:r>
    </w:p>
    <w:p w:rsidR="00000000" w:rsidRDefault="00000000">
      <w:pPr>
        <w:spacing w:after="320"/>
        <w:textAlignment w:val="center"/>
      </w:pPr>
      <w:r>
        <w:tab/>
        <w:t xml:space="preserve">328.  </w:t>
      </w:r>
      <w:r>
        <w:rPr>
          <w:rFonts w:hint="eastAsia"/>
        </w:rPr>
        <w:t>最近，香港经济渐露曙光。本地银行同业拆息已大幅回落；物业市场交投转趋活跃，楼价跌势似已稳定下来；港股回升；访港旅客连续三个月有所增加；失业率渐趋稳定；外围环境方面，随着日元反弹，亚洲其他地区的经济情况亦变得较为平稳。当然，从曙光初露至各行各业出现明显的复苏，还需要一段时间。</w:t>
      </w:r>
    </w:p>
    <w:p w:rsidR="00000000" w:rsidRDefault="00000000">
      <w:pPr>
        <w:pStyle w:val="Heading4"/>
      </w:pPr>
      <w:r>
        <w:rPr>
          <w:rFonts w:hint="eastAsia"/>
        </w:rPr>
        <w:t>收入分配</w:t>
      </w:r>
    </w:p>
    <w:p w:rsidR="00000000" w:rsidRDefault="00000000">
      <w:r>
        <w:tab/>
        <w:t xml:space="preserve">329.  </w:t>
      </w:r>
      <w:r>
        <w:rPr>
          <w:rFonts w:hint="eastAsia"/>
        </w:rPr>
        <w:t>一九九六年，本港的坚尼系数估计为</w:t>
      </w:r>
      <w:r>
        <w:t xml:space="preserve">0.518 </w:t>
      </w:r>
      <w:r>
        <w:rPr>
          <w:rStyle w:val="FootnoteReference"/>
        </w:rPr>
        <w:footnoteReference w:id="71"/>
      </w:r>
      <w:r>
        <w:rPr>
          <w:rFonts w:hint="eastAsia"/>
        </w:rPr>
        <w:t>，较一九八六年的</w:t>
      </w:r>
      <w:r>
        <w:t>0.453</w:t>
      </w:r>
      <w:r>
        <w:rPr>
          <w:rFonts w:hint="eastAsia"/>
        </w:rPr>
        <w:t>和一九九一年的</w:t>
      </w:r>
      <w:r>
        <w:t>0.476</w:t>
      </w:r>
      <w:r>
        <w:rPr>
          <w:rFonts w:hint="eastAsia"/>
        </w:rPr>
        <w:t>为高</w:t>
      </w:r>
      <w:r>
        <w:t xml:space="preserve"> </w:t>
      </w:r>
      <w:r>
        <w:rPr>
          <w:rStyle w:val="FootnoteReference"/>
        </w:rPr>
        <w:footnoteReference w:id="72"/>
      </w:r>
      <w:r>
        <w:rPr>
          <w:rFonts w:hint="eastAsia"/>
        </w:rPr>
        <w:t>。这情况部分是由于香港在过去十年来的经济结构转型，由依赖制造业转为主要依赖服务业，使香港不断对专业、管理、督导和技术人员有强大的需求，以致这些职位的工资比知识技术要求较低的职位有较快速的增长。</w:t>
      </w:r>
    </w:p>
    <w:p w:rsidR="00000000" w:rsidRDefault="00000000">
      <w:r>
        <w:tab/>
        <w:t xml:space="preserve">330.  </w:t>
      </w:r>
      <w:r>
        <w:rPr>
          <w:rFonts w:hint="eastAsia"/>
        </w:rPr>
        <w:t>上述发展正好符合库茨涅兹</w:t>
      </w:r>
      <w:r>
        <w:t>(Kuznet)</w:t>
      </w:r>
      <w:r>
        <w:rPr>
          <w:rFonts w:hint="eastAsia"/>
        </w:rPr>
        <w:t>理论的预测。根据该理论，当经济经历蓬勃增长和转型，收入差距通常便会拉阔；但当经济渐趋成熟稳定时，收入分配便会趋向平均发展</w:t>
      </w:r>
      <w:r>
        <w:t xml:space="preserve"> </w:t>
      </w:r>
      <w:r>
        <w:rPr>
          <w:rStyle w:val="FootnoteReference"/>
        </w:rPr>
        <w:footnoteReference w:id="73"/>
      </w:r>
      <w:r>
        <w:rPr>
          <w:rFonts w:hint="eastAsia"/>
        </w:rPr>
        <w:t>。</w:t>
      </w:r>
    </w:p>
    <w:p w:rsidR="00000000" w:rsidRDefault="00000000">
      <w:r>
        <w:tab/>
        <w:t xml:space="preserve">331.  </w:t>
      </w:r>
      <w:r>
        <w:rPr>
          <w:rFonts w:hint="eastAsia"/>
        </w:rPr>
        <w:t>不过，更重要的是，香港经济体系不会造成不变的收入差距。香港是一个自由市场，投身任何行业</w:t>
      </w:r>
      <w:r>
        <w:t>/</w:t>
      </w:r>
      <w:r>
        <w:rPr>
          <w:rFonts w:hint="eastAsia"/>
        </w:rPr>
        <w:t>职业</w:t>
      </w:r>
      <w:r>
        <w:t>/</w:t>
      </w:r>
      <w:r>
        <w:rPr>
          <w:rFonts w:hint="eastAsia"/>
        </w:rPr>
        <w:t>专业，都不会受到妨碍。只要尽力发挥所长，勤奋工作，所有人都可提高收入，改善生活水平。香港在教育、培训和再培训方面，已作出大量投资，协助工人适应不断转变的市场情况，并提高其谋生能力。香港仍会在这方面不断努力。</w:t>
      </w:r>
    </w:p>
    <w:p w:rsidR="00000000" w:rsidRDefault="00000000">
      <w:pPr>
        <w:spacing w:after="320"/>
        <w:textAlignment w:val="center"/>
      </w:pPr>
      <w:r>
        <w:tab/>
        <w:t xml:space="preserve">332.  </w:t>
      </w:r>
      <w:r>
        <w:rPr>
          <w:rFonts w:hint="eastAsia"/>
        </w:rPr>
        <w:t>关于收入差距和贫穷的问题，我们必须在概念上将两者区分。坚尼系数只反映某个特定时间内收入分配的概况；但从较广泛的角度来看，香港过去十年来，较低收入人士一直能够分享经济繁荣的成果。期间，这些家庭的名义及实质工资均有增长。举例来说，每月收入少于</w:t>
      </w:r>
      <w:r>
        <w:t>8,000</w:t>
      </w:r>
      <w:r>
        <w:rPr>
          <w:rFonts w:hint="eastAsia"/>
        </w:rPr>
        <w:t>元</w:t>
      </w:r>
      <w:r>
        <w:t>(</w:t>
      </w:r>
      <w:r>
        <w:rPr>
          <w:rFonts w:hint="eastAsia"/>
        </w:rPr>
        <w:t>以一九九六年固定价格计算</w:t>
      </w:r>
      <w:r>
        <w:t>)</w:t>
      </w:r>
      <w:r>
        <w:rPr>
          <w:rFonts w:hint="eastAsia"/>
        </w:rPr>
        <w:t>的家庭比率，由一九八六年的</w:t>
      </w:r>
      <w:r>
        <w:t>31%</w:t>
      </w:r>
      <w:r>
        <w:rPr>
          <w:rFonts w:hint="eastAsia"/>
        </w:rPr>
        <w:t>下降至一九九六年的</w:t>
      </w:r>
      <w:r>
        <w:t>16.5%</w:t>
      </w:r>
      <w:r>
        <w:rPr>
          <w:rFonts w:hint="eastAsia"/>
        </w:rPr>
        <w:t>。此外，香港还推行各项社会福利计划，主要范围包括公共房屋和社会保障援助，为低收入人士提供额外支援，借以缩小不同收入组别家庭的实际收入差距。</w:t>
      </w:r>
    </w:p>
    <w:p w:rsidR="00000000" w:rsidRDefault="00000000">
      <w:pPr>
        <w:pStyle w:val="Heading4"/>
      </w:pPr>
      <w:r>
        <w:rPr>
          <w:rFonts w:hint="eastAsia"/>
        </w:rPr>
        <w:t>经济转型</w:t>
      </w:r>
    </w:p>
    <w:p w:rsidR="00000000" w:rsidRDefault="00000000">
      <w:r>
        <w:tab/>
        <w:t xml:space="preserve">333.  </w:t>
      </w:r>
      <w:r>
        <w:rPr>
          <w:rFonts w:hint="eastAsia"/>
        </w:rPr>
        <w:t>过去十年，香港经济已发展成为以服务业为主。一九八七年，服务业整体占香港本地生产总值的</w:t>
      </w:r>
      <w:r>
        <w:t>70%</w:t>
      </w:r>
      <w:r>
        <w:rPr>
          <w:rFonts w:hint="eastAsia"/>
        </w:rPr>
        <w:t>；一九九六年更上升至</w:t>
      </w:r>
      <w:r>
        <w:t>84%</w:t>
      </w:r>
      <w:r>
        <w:rPr>
          <w:rFonts w:hint="eastAsia"/>
        </w:rPr>
        <w:t>。虽然政府奉行市场主导的经济政策，但亦同时推出各种措施，以期营造一个更适宜营商的环境，确保仍可继续吸引投资者前来。有关措施包括：鼓励企业发展高增值工业和服务；推行“方便营商计划”和“推广服务业计划”等措施，减少繁琐的手续；以及维持一贯简单审慎的财政政策。</w:t>
      </w:r>
    </w:p>
    <w:p w:rsidR="00000000" w:rsidRDefault="00000000">
      <w:pPr>
        <w:spacing w:after="320"/>
        <w:textAlignment w:val="center"/>
      </w:pPr>
      <w:r>
        <w:tab/>
        <w:t xml:space="preserve">334.  </w:t>
      </w:r>
      <w:r>
        <w:rPr>
          <w:rFonts w:hint="eastAsia"/>
        </w:rPr>
        <w:t>上述措施将有助维持现有的就业机会和创造新职位。另一方面，如上文第六条下第</w:t>
      </w:r>
      <w:r>
        <w:t>58</w:t>
      </w:r>
      <w:r>
        <w:rPr>
          <w:rFonts w:hint="eastAsia"/>
        </w:rPr>
        <w:t>至</w:t>
      </w:r>
      <w:r>
        <w:t>60</w:t>
      </w:r>
      <w:r>
        <w:rPr>
          <w:rFonts w:hint="eastAsia"/>
        </w:rPr>
        <w:t>段所述，政府也有推行各项相应计划，通过教育、培训和再培训，提高香港工作人口的质素，为他们日后投身新兴行业作好准备。</w:t>
      </w:r>
    </w:p>
    <w:p w:rsidR="00000000" w:rsidRDefault="00000000">
      <w:pPr>
        <w:pStyle w:val="Heading4"/>
      </w:pPr>
      <w:r>
        <w:rPr>
          <w:rFonts w:hint="eastAsia"/>
        </w:rPr>
        <w:t>食物供应</w:t>
      </w:r>
    </w:p>
    <w:p w:rsidR="00000000" w:rsidRDefault="00000000">
      <w:r>
        <w:tab/>
        <w:t xml:space="preserve">335.  </w:t>
      </w:r>
      <w:r>
        <w:rPr>
          <w:rFonts w:hint="eastAsia"/>
        </w:rPr>
        <w:t>如上次报告第</w:t>
      </w:r>
      <w:r>
        <w:t>164</w:t>
      </w:r>
      <w:r>
        <w:rPr>
          <w:rFonts w:hint="eastAsia"/>
        </w:rPr>
        <w:t>段所述，政府明白，市民有得到温饱的权利。香港一直进口食物，同时又是食物的原产地，有能力确保整个社会得到充足的食物供应。由于可耕种的土地日渐减少，政府须不断进行研究，以确保耕地的用途最符合经济及生产效益。政府致力维持下列承诺：</w:t>
      </w:r>
    </w:p>
    <w:p w:rsidR="00000000" w:rsidRDefault="00000000">
      <w:pPr>
        <w:pStyle w:val="a0"/>
        <w:numPr>
          <w:ilvl w:val="0"/>
          <w:numId w:val="30"/>
        </w:numPr>
        <w:ind w:left="1531" w:hanging="510"/>
      </w:pPr>
      <w:r>
        <w:rPr>
          <w:rFonts w:hint="eastAsia"/>
        </w:rPr>
        <w:t>提供有效率、有秩序及卫生的新鲜原产食物批发市场；</w:t>
      </w:r>
    </w:p>
    <w:p w:rsidR="00000000" w:rsidRDefault="00000000">
      <w:pPr>
        <w:pStyle w:val="a0"/>
        <w:numPr>
          <w:ilvl w:val="0"/>
          <w:numId w:val="30"/>
        </w:numPr>
        <w:ind w:left="1531" w:hanging="510"/>
      </w:pPr>
      <w:r>
        <w:rPr>
          <w:rFonts w:hint="eastAsia"/>
        </w:rPr>
        <w:t>实施所需的最低限度管制，以维持有充足的主要食粮入口。其中主要的管制措施，最确保香港食米存量能维持</w:t>
      </w:r>
      <w:r>
        <w:t>45</w:t>
      </w:r>
      <w:r>
        <w:rPr>
          <w:rFonts w:hint="eastAsia"/>
        </w:rPr>
        <w:t>天供应。因此，只有有能力维持这个食米存量的米商，才可登记为食米入口商；</w:t>
      </w:r>
    </w:p>
    <w:p w:rsidR="00000000" w:rsidRDefault="00000000">
      <w:pPr>
        <w:pStyle w:val="a0"/>
        <w:numPr>
          <w:ilvl w:val="0"/>
          <w:numId w:val="30"/>
        </w:numPr>
        <w:ind w:left="1531" w:hanging="510"/>
      </w:pPr>
      <w:r>
        <w:rPr>
          <w:rFonts w:hint="eastAsia"/>
        </w:rPr>
        <w:t>促进经济上可行而又能增加食物供应的农业和渔业发展并提高其产量；</w:t>
      </w:r>
    </w:p>
    <w:p w:rsidR="00000000" w:rsidRDefault="00000000">
      <w:pPr>
        <w:pStyle w:val="a0"/>
        <w:numPr>
          <w:ilvl w:val="0"/>
          <w:numId w:val="30"/>
        </w:numPr>
        <w:ind w:left="1531" w:hanging="510"/>
      </w:pPr>
      <w:r>
        <w:rPr>
          <w:rFonts w:hint="eastAsia"/>
        </w:rPr>
        <w:t>维持和实施法例以防治牲口及农作物的病害；及</w:t>
      </w:r>
    </w:p>
    <w:p w:rsidR="00000000" w:rsidRDefault="00000000">
      <w:pPr>
        <w:pStyle w:val="a0"/>
        <w:numPr>
          <w:ilvl w:val="0"/>
          <w:numId w:val="30"/>
        </w:numPr>
        <w:spacing w:after="240"/>
        <w:ind w:left="1531" w:hanging="510"/>
      </w:pPr>
      <w:r>
        <w:rPr>
          <w:rFonts w:hint="eastAsia"/>
        </w:rPr>
        <w:t>在食物供应出现短缺时，协助物色其他供应来源。</w:t>
      </w:r>
    </w:p>
    <w:p w:rsidR="00000000" w:rsidRDefault="00000000">
      <w:pPr>
        <w:pStyle w:val="Heading4"/>
        <w:ind w:left="518"/>
      </w:pPr>
      <w:r>
        <w:rPr>
          <w:rFonts w:hint="eastAsia"/>
        </w:rPr>
        <w:t>农产品</w:t>
      </w:r>
    </w:p>
    <w:p w:rsidR="00000000" w:rsidRDefault="00000000">
      <w:r>
        <w:tab/>
        <w:t xml:space="preserve">336.  </w:t>
      </w:r>
      <w:r>
        <w:rPr>
          <w:rFonts w:hint="eastAsia"/>
        </w:rPr>
        <w:t>一九八一、一九九一和一九九七年的本地农产品统计数字表列如下：</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08"/>
        <w:gridCol w:w="2160"/>
        <w:gridCol w:w="2280"/>
        <w:gridCol w:w="2061"/>
      </w:tblGrid>
      <w:tr w:rsidR="00000000">
        <w:tblPrEx>
          <w:tblCellMar>
            <w:top w:w="0" w:type="dxa"/>
            <w:bottom w:w="0" w:type="dxa"/>
          </w:tblCellMar>
        </w:tblPrEx>
        <w:tc>
          <w:tcPr>
            <w:tcW w:w="2908" w:type="dxa"/>
            <w:tcBorders>
              <w:top w:val="single" w:sz="6" w:space="0" w:color="auto"/>
              <w:bottom w:val="nil"/>
              <w:right w:val="single" w:sz="6" w:space="0" w:color="auto"/>
            </w:tcBorders>
          </w:tcPr>
          <w:p w:rsidR="00000000" w:rsidRDefault="00000000">
            <w:pPr>
              <w:jc w:val="center"/>
            </w:pPr>
            <w:r>
              <w:rPr>
                <w:rFonts w:hint="eastAsia"/>
              </w:rPr>
              <w:t>农产品</w:t>
            </w:r>
          </w:p>
        </w:tc>
        <w:tc>
          <w:tcPr>
            <w:tcW w:w="2160" w:type="dxa"/>
            <w:tcBorders>
              <w:top w:val="single" w:sz="6" w:space="0" w:color="auto"/>
              <w:left w:val="nil"/>
              <w:bottom w:val="nil"/>
              <w:right w:val="single" w:sz="6" w:space="0" w:color="auto"/>
            </w:tcBorders>
          </w:tcPr>
          <w:p w:rsidR="00000000" w:rsidRDefault="00000000">
            <w:pPr>
              <w:jc w:val="center"/>
            </w:pPr>
            <w:r>
              <w:rPr>
                <w:rFonts w:hint="eastAsia"/>
              </w:rPr>
              <w:t>一九八一年</w:t>
            </w:r>
          </w:p>
        </w:tc>
        <w:tc>
          <w:tcPr>
            <w:tcW w:w="2280" w:type="dxa"/>
            <w:tcBorders>
              <w:top w:val="single" w:sz="6" w:space="0" w:color="auto"/>
              <w:left w:val="nil"/>
              <w:bottom w:val="single" w:sz="6" w:space="0" w:color="auto"/>
              <w:right w:val="single" w:sz="6" w:space="0" w:color="auto"/>
            </w:tcBorders>
          </w:tcPr>
          <w:p w:rsidR="00000000" w:rsidRDefault="00000000">
            <w:pPr>
              <w:jc w:val="center"/>
            </w:pPr>
            <w:r>
              <w:rPr>
                <w:rFonts w:hint="eastAsia"/>
              </w:rPr>
              <w:t>一九九一年</w:t>
            </w:r>
          </w:p>
        </w:tc>
        <w:tc>
          <w:tcPr>
            <w:tcW w:w="2061" w:type="dxa"/>
            <w:tcBorders>
              <w:top w:val="single" w:sz="6" w:space="0" w:color="auto"/>
              <w:left w:val="nil"/>
              <w:bottom w:val="single" w:sz="6" w:space="0" w:color="auto"/>
            </w:tcBorders>
          </w:tcPr>
          <w:p w:rsidR="00000000" w:rsidRDefault="00000000">
            <w:pPr>
              <w:jc w:val="center"/>
            </w:pPr>
            <w:r>
              <w:rPr>
                <w:rFonts w:hint="eastAsia"/>
              </w:rPr>
              <w:t>一九九七年</w:t>
            </w:r>
          </w:p>
        </w:tc>
      </w:tr>
      <w:tr w:rsidR="00000000">
        <w:tblPrEx>
          <w:tblCellMar>
            <w:top w:w="0" w:type="dxa"/>
            <w:bottom w:w="0" w:type="dxa"/>
          </w:tblCellMar>
        </w:tblPrEx>
        <w:tc>
          <w:tcPr>
            <w:tcW w:w="2908" w:type="dxa"/>
            <w:tcBorders>
              <w:top w:val="single" w:sz="6" w:space="0" w:color="auto"/>
              <w:bottom w:val="nil"/>
              <w:right w:val="single" w:sz="6" w:space="0" w:color="auto"/>
            </w:tcBorders>
          </w:tcPr>
          <w:p w:rsidR="00000000" w:rsidRDefault="00000000">
            <w:pPr>
              <w:ind w:left="120"/>
            </w:pPr>
            <w:r>
              <w:rPr>
                <w:rFonts w:hint="eastAsia"/>
              </w:rPr>
              <w:t>蔬菜</w:t>
            </w:r>
            <w:r>
              <w:t>(</w:t>
            </w:r>
            <w:r>
              <w:rPr>
                <w:rFonts w:hint="eastAsia"/>
              </w:rPr>
              <w:t>吨</w:t>
            </w:r>
            <w:r>
              <w:t>)</w:t>
            </w:r>
          </w:p>
        </w:tc>
        <w:tc>
          <w:tcPr>
            <w:tcW w:w="2160" w:type="dxa"/>
            <w:tcBorders>
              <w:top w:val="single" w:sz="6" w:space="0" w:color="auto"/>
              <w:left w:val="nil"/>
              <w:bottom w:val="nil"/>
              <w:right w:val="single" w:sz="6" w:space="0" w:color="auto"/>
            </w:tcBorders>
          </w:tcPr>
          <w:p w:rsidR="00000000" w:rsidRDefault="00000000">
            <w:pPr>
              <w:ind w:right="539"/>
              <w:jc w:val="right"/>
            </w:pPr>
            <w:r>
              <w:t>176,000</w:t>
            </w:r>
          </w:p>
        </w:tc>
        <w:tc>
          <w:tcPr>
            <w:tcW w:w="2280" w:type="dxa"/>
            <w:tcBorders>
              <w:top w:val="nil"/>
              <w:left w:val="nil"/>
              <w:right w:val="single" w:sz="6" w:space="0" w:color="auto"/>
            </w:tcBorders>
          </w:tcPr>
          <w:p w:rsidR="00000000" w:rsidRDefault="00000000">
            <w:pPr>
              <w:tabs>
                <w:tab w:val="clear" w:pos="1531"/>
                <w:tab w:val="clear" w:pos="2041"/>
              </w:tabs>
              <w:ind w:right="506"/>
              <w:jc w:val="right"/>
            </w:pPr>
            <w:r>
              <w:t>105,000</w:t>
            </w:r>
          </w:p>
        </w:tc>
        <w:tc>
          <w:tcPr>
            <w:tcW w:w="2061" w:type="dxa"/>
            <w:tcBorders>
              <w:top w:val="nil"/>
              <w:left w:val="nil"/>
            </w:tcBorders>
          </w:tcPr>
          <w:p w:rsidR="00000000" w:rsidRDefault="00000000">
            <w:pPr>
              <w:ind w:right="473"/>
              <w:jc w:val="right"/>
            </w:pPr>
            <w:r>
              <w:t>64,000</w:t>
            </w:r>
          </w:p>
        </w:tc>
      </w:tr>
      <w:tr w:rsidR="00000000">
        <w:tblPrEx>
          <w:tblCellMar>
            <w:top w:w="0" w:type="dxa"/>
            <w:bottom w:w="0" w:type="dxa"/>
          </w:tblCellMar>
        </w:tblPrEx>
        <w:tc>
          <w:tcPr>
            <w:tcW w:w="2908" w:type="dxa"/>
            <w:tcBorders>
              <w:top w:val="nil"/>
              <w:bottom w:val="nil"/>
              <w:right w:val="single" w:sz="6" w:space="0" w:color="auto"/>
            </w:tcBorders>
          </w:tcPr>
          <w:p w:rsidR="00000000" w:rsidRDefault="00000000">
            <w:pPr>
              <w:ind w:left="120"/>
            </w:pPr>
            <w:r>
              <w:rPr>
                <w:rFonts w:hint="eastAsia"/>
              </w:rPr>
              <w:t>种植蔬菜的耕地</w:t>
            </w:r>
            <w:r>
              <w:t>(</w:t>
            </w:r>
            <w:r>
              <w:rPr>
                <w:rFonts w:hint="eastAsia"/>
              </w:rPr>
              <w:t>公顷</w:t>
            </w:r>
            <w:r>
              <w:t>)</w:t>
            </w:r>
          </w:p>
        </w:tc>
        <w:tc>
          <w:tcPr>
            <w:tcW w:w="2160" w:type="dxa"/>
            <w:tcBorders>
              <w:top w:val="nil"/>
              <w:left w:val="nil"/>
              <w:bottom w:val="nil"/>
              <w:right w:val="single" w:sz="6" w:space="0" w:color="auto"/>
            </w:tcBorders>
          </w:tcPr>
          <w:p w:rsidR="00000000" w:rsidRDefault="00000000">
            <w:pPr>
              <w:ind w:right="539"/>
              <w:jc w:val="right"/>
            </w:pPr>
            <w:r>
              <w:t>2,630</w:t>
            </w:r>
          </w:p>
        </w:tc>
        <w:tc>
          <w:tcPr>
            <w:tcW w:w="2280" w:type="dxa"/>
            <w:tcBorders>
              <w:left w:val="nil"/>
              <w:right w:val="single" w:sz="6" w:space="0" w:color="auto"/>
            </w:tcBorders>
          </w:tcPr>
          <w:p w:rsidR="00000000" w:rsidRDefault="00000000">
            <w:pPr>
              <w:tabs>
                <w:tab w:val="clear" w:pos="1531"/>
                <w:tab w:val="clear" w:pos="2041"/>
              </w:tabs>
              <w:ind w:right="506"/>
              <w:jc w:val="right"/>
            </w:pPr>
            <w:r>
              <w:t>1,640</w:t>
            </w:r>
          </w:p>
        </w:tc>
        <w:tc>
          <w:tcPr>
            <w:tcW w:w="2061" w:type="dxa"/>
            <w:tcBorders>
              <w:left w:val="nil"/>
            </w:tcBorders>
          </w:tcPr>
          <w:p w:rsidR="00000000" w:rsidRDefault="00000000">
            <w:pPr>
              <w:ind w:right="473"/>
              <w:jc w:val="right"/>
            </w:pPr>
            <w:r>
              <w:t>790</w:t>
            </w:r>
          </w:p>
        </w:tc>
      </w:tr>
      <w:tr w:rsidR="00000000">
        <w:tblPrEx>
          <w:tblCellMar>
            <w:top w:w="0" w:type="dxa"/>
            <w:bottom w:w="0" w:type="dxa"/>
          </w:tblCellMar>
        </w:tblPrEx>
        <w:tc>
          <w:tcPr>
            <w:tcW w:w="2908" w:type="dxa"/>
            <w:tcBorders>
              <w:top w:val="nil"/>
              <w:bottom w:val="nil"/>
              <w:right w:val="single" w:sz="6" w:space="0" w:color="auto"/>
            </w:tcBorders>
          </w:tcPr>
          <w:p w:rsidR="00000000" w:rsidRDefault="00000000">
            <w:pPr>
              <w:ind w:left="120"/>
            </w:pPr>
            <w:r>
              <w:rPr>
                <w:rFonts w:hint="eastAsia"/>
              </w:rPr>
              <w:t>猪</w:t>
            </w:r>
            <w:r>
              <w:t>(</w:t>
            </w:r>
            <w:r>
              <w:rPr>
                <w:rFonts w:hint="eastAsia"/>
              </w:rPr>
              <w:t>只</w:t>
            </w:r>
            <w:r>
              <w:t>)</w:t>
            </w:r>
          </w:p>
        </w:tc>
        <w:tc>
          <w:tcPr>
            <w:tcW w:w="2160" w:type="dxa"/>
            <w:tcBorders>
              <w:top w:val="nil"/>
              <w:left w:val="nil"/>
              <w:bottom w:val="nil"/>
              <w:right w:val="single" w:sz="6" w:space="0" w:color="auto"/>
            </w:tcBorders>
          </w:tcPr>
          <w:p w:rsidR="00000000" w:rsidRDefault="00000000">
            <w:pPr>
              <w:ind w:right="539"/>
              <w:jc w:val="right"/>
            </w:pPr>
            <w:r>
              <w:t>797,030</w:t>
            </w:r>
          </w:p>
        </w:tc>
        <w:tc>
          <w:tcPr>
            <w:tcW w:w="2280" w:type="dxa"/>
            <w:tcBorders>
              <w:left w:val="nil"/>
              <w:right w:val="single" w:sz="6" w:space="0" w:color="auto"/>
            </w:tcBorders>
          </w:tcPr>
          <w:p w:rsidR="00000000" w:rsidRDefault="00000000">
            <w:pPr>
              <w:tabs>
                <w:tab w:val="clear" w:pos="1531"/>
                <w:tab w:val="clear" w:pos="2041"/>
              </w:tabs>
              <w:ind w:right="506"/>
              <w:jc w:val="right"/>
            </w:pPr>
            <w:r>
              <w:t>313,420</w:t>
            </w:r>
          </w:p>
        </w:tc>
        <w:tc>
          <w:tcPr>
            <w:tcW w:w="2061" w:type="dxa"/>
            <w:tcBorders>
              <w:left w:val="nil"/>
            </w:tcBorders>
          </w:tcPr>
          <w:p w:rsidR="00000000" w:rsidRDefault="00000000">
            <w:pPr>
              <w:ind w:right="473"/>
              <w:jc w:val="right"/>
            </w:pPr>
            <w:r>
              <w:t>305,600</w:t>
            </w:r>
          </w:p>
        </w:tc>
      </w:tr>
      <w:tr w:rsidR="00000000">
        <w:tblPrEx>
          <w:tblCellMar>
            <w:top w:w="0" w:type="dxa"/>
            <w:bottom w:w="0" w:type="dxa"/>
          </w:tblCellMar>
        </w:tblPrEx>
        <w:tc>
          <w:tcPr>
            <w:tcW w:w="2908" w:type="dxa"/>
            <w:tcBorders>
              <w:top w:val="nil"/>
              <w:bottom w:val="single" w:sz="6" w:space="0" w:color="auto"/>
              <w:right w:val="single" w:sz="6" w:space="0" w:color="auto"/>
            </w:tcBorders>
          </w:tcPr>
          <w:p w:rsidR="00000000" w:rsidRDefault="00000000">
            <w:pPr>
              <w:ind w:firstLine="120"/>
            </w:pPr>
            <w:r>
              <w:rPr>
                <w:rFonts w:hint="eastAsia"/>
              </w:rPr>
              <w:t>鸡</w:t>
            </w:r>
            <w:r>
              <w:t>(</w:t>
            </w:r>
            <w:r>
              <w:rPr>
                <w:rFonts w:hint="eastAsia"/>
              </w:rPr>
              <w:t>只</w:t>
            </w:r>
            <w:r>
              <w:t>)</w:t>
            </w:r>
          </w:p>
        </w:tc>
        <w:tc>
          <w:tcPr>
            <w:tcW w:w="2160" w:type="dxa"/>
            <w:tcBorders>
              <w:top w:val="nil"/>
              <w:left w:val="nil"/>
              <w:bottom w:val="single" w:sz="6" w:space="0" w:color="auto"/>
              <w:right w:val="single" w:sz="6" w:space="0" w:color="auto"/>
            </w:tcBorders>
          </w:tcPr>
          <w:p w:rsidR="00000000" w:rsidRDefault="00000000">
            <w:pPr>
              <w:ind w:right="539"/>
              <w:jc w:val="right"/>
            </w:pPr>
            <w:r>
              <w:t>17,388,000</w:t>
            </w:r>
          </w:p>
        </w:tc>
        <w:tc>
          <w:tcPr>
            <w:tcW w:w="2280" w:type="dxa"/>
            <w:tcBorders>
              <w:left w:val="nil"/>
              <w:bottom w:val="single" w:sz="6" w:space="0" w:color="auto"/>
              <w:right w:val="single" w:sz="6" w:space="0" w:color="auto"/>
            </w:tcBorders>
          </w:tcPr>
          <w:p w:rsidR="00000000" w:rsidRDefault="00000000">
            <w:pPr>
              <w:tabs>
                <w:tab w:val="clear" w:pos="1531"/>
                <w:tab w:val="clear" w:pos="2041"/>
              </w:tabs>
              <w:ind w:right="506"/>
              <w:jc w:val="right"/>
            </w:pPr>
            <w:r>
              <w:t>13,082,000</w:t>
            </w:r>
          </w:p>
        </w:tc>
        <w:tc>
          <w:tcPr>
            <w:tcW w:w="2061" w:type="dxa"/>
            <w:tcBorders>
              <w:left w:val="nil"/>
            </w:tcBorders>
          </w:tcPr>
          <w:p w:rsidR="00000000" w:rsidRDefault="00000000">
            <w:pPr>
              <w:ind w:right="473"/>
              <w:jc w:val="right"/>
            </w:pPr>
            <w:r>
              <w:t>7,450,000</w:t>
            </w:r>
          </w:p>
        </w:tc>
      </w:tr>
    </w:tbl>
    <w:p w:rsidR="00000000" w:rsidRDefault="00000000">
      <w:pPr>
        <w:spacing w:before="320"/>
      </w:pPr>
      <w:r>
        <w:tab/>
        <w:t xml:space="preserve">337.  </w:t>
      </w:r>
      <w:r>
        <w:rPr>
          <w:rFonts w:hint="eastAsia"/>
        </w:rPr>
        <w:t>由于农地不断用于发展公共工程，加上新界郊区日趋都市化，导致蔬菜的产量持续下降。一九九七年，香港特区市民食用的蔬菜，有</w:t>
      </w:r>
      <w:r>
        <w:t>67%</w:t>
      </w:r>
      <w:r>
        <w:rPr>
          <w:rFonts w:hint="eastAsia"/>
        </w:rPr>
        <w:t>从中国内地入口。政府在入口、批发和零售这几个层面，都实施检查制度，确保入口蔬菜不含残余农药。</w:t>
      </w:r>
    </w:p>
    <w:p w:rsidR="00000000" w:rsidRDefault="00000000">
      <w:r>
        <w:tab/>
        <w:t xml:space="preserve">338.  </w:t>
      </w:r>
      <w:r>
        <w:rPr>
          <w:rFonts w:hint="eastAsia"/>
        </w:rPr>
        <w:t>在上次报告第</w:t>
      </w:r>
      <w:r>
        <w:t>167</w:t>
      </w:r>
      <w:r>
        <w:rPr>
          <w:rFonts w:hint="eastAsia"/>
        </w:rPr>
        <w:t>段，我们曾指出，由于政府实施禽畜废物管制计划，以控制水质污染，导致小规模的农场纷纷停产，猪和鸡的养殖数量下降。不过，这情况现已稳定下来，因为余下的农场规模较大，并具备较佳的经济条件，能符合有关禽畜废物管制的规定。不过，本地鸡场须面对中国内地输入鸡只更为激烈的竞争，仍出现陆续结业的情况。到一九九七年十二月底，本地鸡场面对了最严峻的情况。当时，为了杜绝</w:t>
      </w:r>
      <w:r>
        <w:t>H5N1</w:t>
      </w:r>
      <w:r>
        <w:rPr>
          <w:rFonts w:hint="eastAsia"/>
        </w:rPr>
        <w:t>型禽流感蔓延，所有本地鸡只须予销毁，而所有鸡场亦须关闭</w:t>
      </w:r>
      <w:r>
        <w:t>(</w:t>
      </w:r>
      <w:r>
        <w:rPr>
          <w:rFonts w:hint="eastAsia"/>
        </w:rPr>
        <w:t>请参阅下文第十二条下第</w:t>
      </w:r>
      <w:r>
        <w:t>424</w:t>
      </w:r>
      <w:r>
        <w:rPr>
          <w:rFonts w:hint="eastAsia"/>
        </w:rPr>
        <w:t>至</w:t>
      </w:r>
      <w:r>
        <w:t>429</w:t>
      </w:r>
      <w:r>
        <w:rPr>
          <w:rFonts w:hint="eastAsia"/>
        </w:rPr>
        <w:t>段</w:t>
      </w:r>
      <w:r>
        <w:t>)</w:t>
      </w:r>
      <w:r>
        <w:rPr>
          <w:rFonts w:hint="eastAsia"/>
        </w:rPr>
        <w:t>。经彻底清洗和消毒后，大部分鸡场已于一九九八年年中复业。</w:t>
      </w:r>
    </w:p>
    <w:p w:rsidR="00000000" w:rsidRDefault="00000000">
      <w:r>
        <w:tab/>
        <w:t xml:space="preserve">339.  </w:t>
      </w:r>
      <w:r>
        <w:rPr>
          <w:rFonts w:hint="eastAsia"/>
        </w:rPr>
        <w:t>在上次报告第</w:t>
      </w:r>
      <w:r>
        <w:t>168</w:t>
      </w:r>
      <w:r>
        <w:rPr>
          <w:rFonts w:hint="eastAsia"/>
        </w:rPr>
        <w:t>段，我们曾指出，香港特区的可耕地约有</w:t>
      </w:r>
      <w:r>
        <w:t>50%</w:t>
      </w:r>
      <w:r>
        <w:rPr>
          <w:rFonts w:hint="eastAsia"/>
        </w:rPr>
        <w:t>已经荒废。这数字现已上升至</w:t>
      </w:r>
      <w:r>
        <w:t>60%</w:t>
      </w:r>
      <w:r>
        <w:rPr>
          <w:rFonts w:hint="eastAsia"/>
        </w:rPr>
        <w:t>。这反映出可耕地的数量继续受到若干因素的影响，包括：土地因业权人离开而被“冻结”；以及土地业权人把土地租出，用作存放货柜和建筑材料，或作为拆车工场，或供重型货车停泊。政府把《城市规划条例》有关管制土地用途条文的适用范围扩大至包括乡郊土地，以及实施法定的土地用途分区制度，使我们得以把约</w:t>
      </w:r>
      <w:r>
        <w:t>3,121</w:t>
      </w:r>
      <w:r>
        <w:rPr>
          <w:rFonts w:hint="eastAsia"/>
        </w:rPr>
        <w:t>公顷的土地划作农业用途。预计这些措施可防止可耕地进一步荒废。</w:t>
      </w:r>
    </w:p>
    <w:p w:rsidR="00000000" w:rsidRDefault="00000000">
      <w:pPr>
        <w:spacing w:after="320"/>
        <w:textAlignment w:val="center"/>
      </w:pPr>
      <w:r>
        <w:tab/>
        <w:t xml:space="preserve">340.  </w:t>
      </w:r>
      <w:r>
        <w:rPr>
          <w:rFonts w:hint="eastAsia"/>
        </w:rPr>
        <w:t>在上次报告第</w:t>
      </w:r>
      <w:r>
        <w:t>171</w:t>
      </w:r>
      <w:r>
        <w:rPr>
          <w:rFonts w:hint="eastAsia"/>
        </w:rPr>
        <w:t>段，我们曾指出，政府通过推行“农地复耕计划”，帮助农民获得土地耕种，使农地恢复原来用途。自从该计划于一九八八年实施以来，至上次报告</w:t>
      </w:r>
      <w:r>
        <w:t>(</w:t>
      </w:r>
      <w:r>
        <w:rPr>
          <w:rFonts w:hint="eastAsia"/>
        </w:rPr>
        <w:t>一九九四至九五年度</w:t>
      </w:r>
      <w:r>
        <w:t>)</w:t>
      </w:r>
      <w:r>
        <w:rPr>
          <w:rFonts w:hint="eastAsia"/>
        </w:rPr>
        <w:t>为止，我们已促使约</w:t>
      </w:r>
      <w:r>
        <w:t>66</w:t>
      </w:r>
      <w:r>
        <w:rPr>
          <w:rFonts w:hint="eastAsia"/>
        </w:rPr>
        <w:t>公顷休耕地恢复为耕地。农地复耕率一直维持在每年约十公顷的水平。截至一九九八年六月三十日为止，复耕农地已累积至</w:t>
      </w:r>
      <w:r>
        <w:t>105</w:t>
      </w:r>
      <w:r>
        <w:rPr>
          <w:rFonts w:hint="eastAsia"/>
        </w:rPr>
        <w:t>公顷，超过了上次报告估计可在本世纪结束前把</w:t>
      </w:r>
      <w:r>
        <w:t>100</w:t>
      </w:r>
      <w:r>
        <w:rPr>
          <w:rFonts w:hint="eastAsia"/>
        </w:rPr>
        <w:t>公顷休耕地恢复为耕地的目标。我们会继续致力于这方面的工作。</w:t>
      </w:r>
    </w:p>
    <w:p w:rsidR="00000000" w:rsidRDefault="00000000">
      <w:pPr>
        <w:pStyle w:val="Heading4"/>
        <w:ind w:left="518"/>
      </w:pPr>
      <w:r>
        <w:rPr>
          <w:rFonts w:hint="eastAsia"/>
        </w:rPr>
        <w:t>渔</w:t>
      </w:r>
      <w:r>
        <w:t xml:space="preserve">  </w:t>
      </w:r>
      <w:r>
        <w:rPr>
          <w:rFonts w:hint="eastAsia"/>
        </w:rPr>
        <w:t>业</w:t>
      </w:r>
    </w:p>
    <w:p w:rsidR="00000000" w:rsidRDefault="00000000">
      <w:r>
        <w:tab/>
        <w:t xml:space="preserve">341.  </w:t>
      </w:r>
      <w:r>
        <w:rPr>
          <w:rFonts w:hint="eastAsia"/>
        </w:rPr>
        <w:t>由于本地以至地区性的鱼产量减少，渔民须把船驶往更远的水域以增加鱼获。为保护渔业资源，政府现动用</w:t>
      </w:r>
      <w:r>
        <w:t>1</w:t>
      </w:r>
      <w:r>
        <w:rPr>
          <w:rFonts w:hint="eastAsia"/>
        </w:rPr>
        <w:t>亿港元，在海岸公园和沿岸水域敷设渔礁。此外，我们最近已完成了港海水域渔业资源和捕鱼作业的顾问研究，并已就此咨询公众，有关结果将有助我们制定一套适当的渔业管理政策。同时，我们亦会继续通过上次报告第</w:t>
      </w:r>
      <w:r>
        <w:t>172</w:t>
      </w:r>
      <w:r>
        <w:rPr>
          <w:rFonts w:hint="eastAsia"/>
        </w:rPr>
        <w:t>段所述的措施，支援渔业发展，例如：进行应用及适应研究；设计并引进新船只、用具及设备；提供技术、管理及财务协助；以及承担具体的发展责任。</w:t>
      </w:r>
    </w:p>
    <w:p w:rsidR="00000000" w:rsidRDefault="00000000">
      <w:pPr>
        <w:spacing w:after="320"/>
        <w:textAlignment w:val="center"/>
      </w:pPr>
      <w:r>
        <w:tab/>
        <w:t xml:space="preserve">342.  </w:t>
      </w:r>
      <w:r>
        <w:rPr>
          <w:rFonts w:hint="eastAsia"/>
        </w:rPr>
        <w:t>政府亦支援海鱼养殖的发展。目前，业者在</w:t>
      </w:r>
      <w:r>
        <w:t>26</w:t>
      </w:r>
      <w:r>
        <w:rPr>
          <w:rFonts w:hint="eastAsia"/>
        </w:rPr>
        <w:t>个指定的海鱼养殖区内作业。一九九七年，海鱼的捕获量和养殖量，分别约为</w:t>
      </w:r>
      <w:r>
        <w:t>186,000</w:t>
      </w:r>
      <w:r>
        <w:rPr>
          <w:rFonts w:hint="eastAsia"/>
        </w:rPr>
        <w:t>公吨和</w:t>
      </w:r>
      <w:r>
        <w:t>2,960</w:t>
      </w:r>
      <w:r>
        <w:rPr>
          <w:rFonts w:hint="eastAsia"/>
        </w:rPr>
        <w:t>公吨。一九九八年三、四月间，香港水域出现了大量海藻</w:t>
      </w:r>
      <w:r>
        <w:t>(</w:t>
      </w:r>
      <w:r>
        <w:rPr>
          <w:rFonts w:hint="eastAsia"/>
        </w:rPr>
        <w:t>一般称为“红潮”，在世界各地均很常见</w:t>
      </w:r>
      <w:r>
        <w:t>)</w:t>
      </w:r>
      <w:r>
        <w:rPr>
          <w:rFonts w:hint="eastAsia"/>
        </w:rPr>
        <w:t>，导致渔场所养殖的海鱼大量死亡。不过，有关损失只占香港全年鱼类食用量的</w:t>
      </w:r>
      <w:r>
        <w:t>1%</w:t>
      </w:r>
      <w:r>
        <w:rPr>
          <w:rFonts w:hint="eastAsia"/>
        </w:rPr>
        <w:t>。政府已为受影响的业者提供</w:t>
      </w:r>
      <w:r>
        <w:t>2</w:t>
      </w:r>
      <w:r>
        <w:rPr>
          <w:rFonts w:hint="eastAsia"/>
        </w:rPr>
        <w:t>亿港元低息贷款，以及</w:t>
      </w:r>
      <w:r>
        <w:t>1,700</w:t>
      </w:r>
      <w:r>
        <w:rPr>
          <w:rFonts w:hint="eastAsia"/>
        </w:rPr>
        <w:t>万港元特惠金，以协助他们重新经营渔场。我们已委聘顾问建议适当的措施，以期有效监察和控制红潮的出现，并减轻它对海鱼养殖业造成的影响。</w:t>
      </w:r>
    </w:p>
    <w:p w:rsidR="00000000" w:rsidRDefault="00000000">
      <w:pPr>
        <w:pStyle w:val="Heading4"/>
        <w:ind w:left="518"/>
      </w:pPr>
      <w:r>
        <w:rPr>
          <w:rFonts w:hint="eastAsia"/>
        </w:rPr>
        <w:t>批发市场</w:t>
      </w:r>
    </w:p>
    <w:p w:rsidR="00000000" w:rsidRDefault="00000000">
      <w:pPr>
        <w:spacing w:after="320"/>
        <w:textAlignment w:val="center"/>
      </w:pPr>
      <w:r>
        <w:tab/>
        <w:t xml:space="preserve">343.  </w:t>
      </w:r>
      <w:r>
        <w:rPr>
          <w:rFonts w:hint="eastAsia"/>
        </w:rPr>
        <w:t>如上次报告第</w:t>
      </w:r>
      <w:r>
        <w:t>173</w:t>
      </w:r>
      <w:r>
        <w:rPr>
          <w:rFonts w:hint="eastAsia"/>
        </w:rPr>
        <w:t>段所述，香港新鲜原产食品的批发市场由政府管理。政府共兴建了两座综合批发市场，出售蔬菜、水果、蛋类、淡水鱼及家禽。汲取了一九九七年处理“禽流感”事件的经验，我们特别严格维持批发市场的清洁卫生标准。有关“禽流感”事件的详情，在下文第十二条下第</w:t>
      </w:r>
      <w:r>
        <w:t>424</w:t>
      </w:r>
      <w:r>
        <w:rPr>
          <w:rFonts w:hint="eastAsia"/>
        </w:rPr>
        <w:t>至</w:t>
      </w:r>
      <w:r>
        <w:t>429</w:t>
      </w:r>
      <w:r>
        <w:rPr>
          <w:rFonts w:hint="eastAsia"/>
        </w:rPr>
        <w:t>段论述。</w:t>
      </w:r>
    </w:p>
    <w:p w:rsidR="00000000" w:rsidRDefault="00000000">
      <w:pPr>
        <w:pStyle w:val="Heading4"/>
      </w:pPr>
      <w:r>
        <w:rPr>
          <w:rFonts w:hint="eastAsia"/>
        </w:rPr>
        <w:t>房</w:t>
      </w:r>
      <w:r>
        <w:t xml:space="preserve">  </w:t>
      </w:r>
      <w:r>
        <w:rPr>
          <w:rFonts w:hint="eastAsia"/>
        </w:rPr>
        <w:t>屋</w:t>
      </w:r>
    </w:p>
    <w:p w:rsidR="00000000" w:rsidRDefault="00000000">
      <w:pPr>
        <w:pStyle w:val="Heading4"/>
        <w:ind w:left="518"/>
      </w:pPr>
      <w:r>
        <w:rPr>
          <w:rFonts w:hint="eastAsia"/>
        </w:rPr>
        <w:t>需</w:t>
      </w:r>
      <w:r>
        <w:t xml:space="preserve">  </w:t>
      </w:r>
      <w:r>
        <w:rPr>
          <w:rFonts w:hint="eastAsia"/>
        </w:rPr>
        <w:t>求</w:t>
      </w:r>
    </w:p>
    <w:p w:rsidR="00000000" w:rsidRDefault="00000000">
      <w:r>
        <w:tab/>
        <w:t xml:space="preserve">344.  </w:t>
      </w:r>
      <w:r>
        <w:rPr>
          <w:rFonts w:hint="eastAsia"/>
        </w:rPr>
        <w:t>在上次报告第</w:t>
      </w:r>
      <w:r>
        <w:t>174</w:t>
      </w:r>
      <w:r>
        <w:rPr>
          <w:rFonts w:hint="eastAsia"/>
        </w:rPr>
        <w:t>段，我们曾指出，一九九五年年初，香港约有</w:t>
      </w:r>
      <w:r>
        <w:t>181,000</w:t>
      </w:r>
      <w:r>
        <w:rPr>
          <w:rFonts w:hint="eastAsia"/>
        </w:rPr>
        <w:t>个家庭</w:t>
      </w:r>
      <w:r>
        <w:t>(495,300</w:t>
      </w:r>
      <w:r>
        <w:rPr>
          <w:rFonts w:hint="eastAsia"/>
        </w:rPr>
        <w:t>人</w:t>
      </w:r>
      <w:r>
        <w:t>)</w:t>
      </w:r>
      <w:r>
        <w:rPr>
          <w:rFonts w:hint="eastAsia"/>
        </w:rPr>
        <w:t>的居住环境欠佳。根据一九九八年六月的估计，该数字已下降至</w:t>
      </w:r>
      <w:r>
        <w:t>170,000</w:t>
      </w:r>
      <w:r>
        <w:rPr>
          <w:rFonts w:hint="eastAsia"/>
        </w:rPr>
        <w:t>个家庭</w:t>
      </w:r>
      <w:r>
        <w:t>(437,000</w:t>
      </w:r>
      <w:r>
        <w:rPr>
          <w:rFonts w:hint="eastAsia"/>
        </w:rPr>
        <w:t>人</w:t>
      </w:r>
      <w:r>
        <w:t>)</w:t>
      </w:r>
      <w:r>
        <w:rPr>
          <w:rFonts w:hint="eastAsia"/>
        </w:rPr>
        <w:t>。一如以往，所谓“居住环境欠佳”的人，是指居住在政府土地上的寮屋区、临时房屋区、平房区、无独立设备单位、天台搭建物，以及私人楼宇共住单位的人士。</w:t>
      </w:r>
    </w:p>
    <w:p w:rsidR="00000000" w:rsidRDefault="00000000">
      <w:pPr>
        <w:pStyle w:val="Heading4"/>
        <w:spacing w:before="320"/>
        <w:ind w:left="518"/>
      </w:pPr>
      <w:r>
        <w:rPr>
          <w:rFonts w:hint="eastAsia"/>
        </w:rPr>
        <w:t>房屋政策—政府的承诺</w:t>
      </w:r>
    </w:p>
    <w:p w:rsidR="00000000" w:rsidRDefault="00000000">
      <w:r>
        <w:tab/>
        <w:t xml:space="preserve">345.  </w:t>
      </w:r>
      <w:r>
        <w:rPr>
          <w:rFonts w:hint="eastAsia"/>
        </w:rPr>
        <w:t>政府一向承诺为所有家庭提供适当而又负担得起的房屋，以解决香港的长远房屋需求。同时，政府亦鼓励市民自置居所，原因见下文第</w:t>
      </w:r>
      <w:r>
        <w:t>346</w:t>
      </w:r>
      <w:r>
        <w:rPr>
          <w:rFonts w:hint="eastAsia"/>
        </w:rPr>
        <w:t>段。政府的政策是平均每年兴建</w:t>
      </w:r>
      <w:r>
        <w:t>50,000</w:t>
      </w:r>
      <w:r>
        <w:rPr>
          <w:rFonts w:hint="eastAsia"/>
        </w:rPr>
        <w:t>个公营房屋单位；平整土地，提供所需的基础设施，以满足市民每年约</w:t>
      </w:r>
      <w:r>
        <w:t>35,000</w:t>
      </w:r>
      <w:r>
        <w:rPr>
          <w:rFonts w:hint="eastAsia"/>
        </w:rPr>
        <w:t>个私人单位的长远需求。这个目标已纳入下文论述的长远房屋策略内。</w:t>
      </w:r>
    </w:p>
    <w:p w:rsidR="00000000" w:rsidRDefault="00000000">
      <w:pPr>
        <w:pStyle w:val="Heading4"/>
        <w:spacing w:before="320"/>
        <w:ind w:left="518"/>
      </w:pPr>
      <w:r>
        <w:rPr>
          <w:rFonts w:hint="eastAsia"/>
        </w:rPr>
        <w:t>长远房屋战略</w:t>
      </w:r>
    </w:p>
    <w:p w:rsidR="00000000" w:rsidRDefault="00000000">
      <w:r>
        <w:tab/>
        <w:t xml:space="preserve">346.  </w:t>
      </w:r>
      <w:r>
        <w:rPr>
          <w:rFonts w:hint="eastAsia"/>
        </w:rPr>
        <w:t>一九九八年二月，政府发表了《长远房屋策略白皮书》。这份白皮书是跟进上次报告第</w:t>
      </w:r>
      <w:r>
        <w:t>183</w:t>
      </w:r>
      <w:r>
        <w:rPr>
          <w:rFonts w:hint="eastAsia"/>
        </w:rPr>
        <w:t>段所述的检讨而拟成的。它已顾及一九九七年上半年度所进行的公众咨询结果，同时基于行政长官在一九九七年七月和十月公布的各项房屋措施而成，白皮书列出了清晰的房屋目标，其中最重要者如下：</w:t>
      </w:r>
    </w:p>
    <w:p w:rsidR="00000000" w:rsidRDefault="00000000">
      <w:pPr>
        <w:pStyle w:val="a0"/>
        <w:numPr>
          <w:ilvl w:val="0"/>
          <w:numId w:val="31"/>
        </w:numPr>
        <w:ind w:left="1531" w:hanging="510"/>
      </w:pPr>
      <w:r>
        <w:rPr>
          <w:rFonts w:hint="eastAsia"/>
        </w:rPr>
        <w:t>平均每年兴建</w:t>
      </w:r>
      <w:r>
        <w:t>50,000</w:t>
      </w:r>
      <w:r>
        <w:rPr>
          <w:rFonts w:hint="eastAsia"/>
        </w:rPr>
        <w:t>个公营房屋单位，并继续平整土地和提供所需的基础设施，以满足市民对私人单位的长远需求</w:t>
      </w:r>
      <w:r>
        <w:t>(</w:t>
      </w:r>
      <w:r>
        <w:rPr>
          <w:rFonts w:hint="eastAsia"/>
        </w:rPr>
        <w:t>目前估计为每年约</w:t>
      </w:r>
      <w:r>
        <w:t>35,000</w:t>
      </w:r>
      <w:r>
        <w:rPr>
          <w:rFonts w:hint="eastAsia"/>
        </w:rPr>
        <w:t>个单位</w:t>
      </w:r>
      <w:r>
        <w:t>)</w:t>
      </w:r>
      <w:r>
        <w:rPr>
          <w:rFonts w:hint="eastAsia"/>
        </w:rPr>
        <w:t>。不过，实际建屋量将视发展商的商业决定而定；</w:t>
      </w:r>
    </w:p>
    <w:p w:rsidR="00000000" w:rsidRDefault="00000000">
      <w:pPr>
        <w:pStyle w:val="a0"/>
        <w:numPr>
          <w:ilvl w:val="0"/>
          <w:numId w:val="31"/>
        </w:numPr>
        <w:ind w:left="1531" w:hanging="510"/>
      </w:pPr>
      <w:r>
        <w:rPr>
          <w:rFonts w:hint="eastAsia"/>
        </w:rPr>
        <w:t>在二○○七年前，把自置居所比率由目前的</w:t>
      </w:r>
      <w:r>
        <w:t>52%</w:t>
      </w:r>
      <w:r>
        <w:rPr>
          <w:rFonts w:hint="eastAsia"/>
        </w:rPr>
        <w:t>提高至</w:t>
      </w:r>
      <w:r>
        <w:t>70%</w:t>
      </w:r>
      <w:r>
        <w:rPr>
          <w:rFonts w:hint="eastAsia"/>
        </w:rPr>
        <w:t>；及</w:t>
      </w:r>
    </w:p>
    <w:p w:rsidR="00000000" w:rsidRDefault="00000000">
      <w:pPr>
        <w:pStyle w:val="a0"/>
        <w:numPr>
          <w:ilvl w:val="0"/>
          <w:numId w:val="31"/>
        </w:numPr>
        <w:ind w:left="1531" w:hanging="510"/>
      </w:pPr>
      <w:r>
        <w:rPr>
          <w:rFonts w:hint="eastAsia"/>
        </w:rPr>
        <w:t>在二○○五年前，把租住公屋的平均轮候时间由目前的六年半减至三年。</w:t>
      </w:r>
    </w:p>
    <w:p w:rsidR="00000000" w:rsidRDefault="00000000">
      <w:r>
        <w:tab/>
        <w:t xml:space="preserve">347.  </w:t>
      </w:r>
      <w:r>
        <w:rPr>
          <w:rFonts w:hint="eastAsia"/>
        </w:rPr>
        <w:t>为达到上述目标，我们将采取下列措施：</w:t>
      </w:r>
    </w:p>
    <w:p w:rsidR="00000000" w:rsidRDefault="00000000">
      <w:pPr>
        <w:pStyle w:val="a0"/>
        <w:numPr>
          <w:ilvl w:val="0"/>
          <w:numId w:val="32"/>
        </w:numPr>
        <w:ind w:left="1531" w:hanging="510"/>
      </w:pPr>
      <w:r>
        <w:rPr>
          <w:rFonts w:hint="eastAsia"/>
        </w:rPr>
        <w:t>定期作出准确的房屋需求评估；</w:t>
      </w:r>
    </w:p>
    <w:p w:rsidR="00000000" w:rsidRDefault="00000000">
      <w:pPr>
        <w:pStyle w:val="a0"/>
        <w:numPr>
          <w:ilvl w:val="0"/>
          <w:numId w:val="32"/>
        </w:numPr>
        <w:ind w:left="1531" w:hanging="510"/>
      </w:pPr>
      <w:r>
        <w:rPr>
          <w:rFonts w:hint="eastAsia"/>
        </w:rPr>
        <w:t>提供足够而又具备基础设施的土地，并在不影响质素和安全的情况下，简化土地发展程序，以及纾解建造业所面对的限制；</w:t>
      </w:r>
    </w:p>
    <w:p w:rsidR="00000000" w:rsidRDefault="00000000">
      <w:pPr>
        <w:pStyle w:val="a0"/>
        <w:numPr>
          <w:ilvl w:val="0"/>
          <w:numId w:val="32"/>
        </w:numPr>
        <w:ind w:left="1531" w:hanging="510"/>
      </w:pPr>
      <w:r>
        <w:rPr>
          <w:rFonts w:hint="eastAsia"/>
        </w:rPr>
        <w:t>订定长远建屋计划，并制定有效的机制，以监察进度和解决有关问题；</w:t>
      </w:r>
    </w:p>
    <w:p w:rsidR="00000000" w:rsidRDefault="00000000">
      <w:pPr>
        <w:pStyle w:val="a0"/>
        <w:numPr>
          <w:ilvl w:val="0"/>
          <w:numId w:val="32"/>
        </w:numPr>
        <w:ind w:left="1531" w:hanging="510"/>
      </w:pPr>
      <w:r>
        <w:rPr>
          <w:rFonts w:hint="eastAsia"/>
        </w:rPr>
        <w:t>创造合适的条件，使私营机构可以在满足房屋需求方面，作出最大的贡献。同时，我们会继续监察私人物业市场，并在有需要时采取措施，防止楼价大幅波动并压抑炒卖活动；</w:t>
      </w:r>
    </w:p>
    <w:p w:rsidR="00000000" w:rsidRDefault="00000000">
      <w:pPr>
        <w:pStyle w:val="a0"/>
        <w:numPr>
          <w:ilvl w:val="0"/>
          <w:numId w:val="32"/>
        </w:numPr>
        <w:ind w:left="1531" w:hanging="510"/>
      </w:pPr>
      <w:r>
        <w:rPr>
          <w:rFonts w:hint="eastAsia"/>
        </w:rPr>
        <w:t>继续实施资助房屋计划，协助特定收入范围内的市民自置居所；</w:t>
      </w:r>
    </w:p>
    <w:p w:rsidR="00000000" w:rsidRDefault="00000000">
      <w:pPr>
        <w:pStyle w:val="a0"/>
        <w:numPr>
          <w:ilvl w:val="0"/>
          <w:numId w:val="32"/>
        </w:numPr>
        <w:ind w:left="1531" w:hanging="510"/>
      </w:pPr>
      <w:r>
        <w:rPr>
          <w:rFonts w:hint="eastAsia"/>
        </w:rPr>
        <w:t>继续以合理租金提供公共房屋，协助无法负担其他类别房屋的人士；及</w:t>
      </w:r>
    </w:p>
    <w:p w:rsidR="00000000" w:rsidRDefault="00000000">
      <w:pPr>
        <w:pStyle w:val="a0"/>
        <w:numPr>
          <w:ilvl w:val="0"/>
          <w:numId w:val="32"/>
        </w:numPr>
        <w:spacing w:after="320"/>
        <w:ind w:left="1531" w:hanging="510"/>
        <w:textAlignment w:val="center"/>
      </w:pPr>
      <w:r>
        <w:rPr>
          <w:rFonts w:hint="eastAsia"/>
        </w:rPr>
        <w:t>推行有关措施，解决有特别需要人士的住屋需求。</w:t>
      </w:r>
    </w:p>
    <w:p w:rsidR="00000000" w:rsidRDefault="00000000">
      <w:pPr>
        <w:spacing w:after="240"/>
      </w:pPr>
      <w:r>
        <w:rPr>
          <w:rFonts w:hint="eastAsia"/>
          <w:u w:val="single"/>
        </w:rPr>
        <w:t>房屋法例</w:t>
      </w:r>
    </w:p>
    <w:p w:rsidR="00000000" w:rsidRDefault="00000000">
      <w:pPr>
        <w:spacing w:after="320"/>
        <w:textAlignment w:val="center"/>
      </w:pPr>
      <w:r>
        <w:tab/>
        <w:t xml:space="preserve">348.  </w:t>
      </w:r>
      <w:r>
        <w:rPr>
          <w:rFonts w:hint="eastAsia"/>
        </w:rPr>
        <w:t>如上次报告第</w:t>
      </w:r>
      <w:r>
        <w:t>176</w:t>
      </w:r>
      <w:r>
        <w:rPr>
          <w:rFonts w:hint="eastAsia"/>
        </w:rPr>
        <w:t>段所述，居住权利由一系列法例保障，范围包括收回土地、公共房屋供应、床位寓所安全，以及地产代理的服务水准等。详情列于附件</w:t>
      </w:r>
      <w:r>
        <w:t>23</w:t>
      </w:r>
      <w:r>
        <w:rPr>
          <w:rFonts w:hint="eastAsia"/>
        </w:rPr>
        <w:t>。</w:t>
      </w:r>
    </w:p>
    <w:p w:rsidR="00000000" w:rsidRDefault="00000000">
      <w:pPr>
        <w:spacing w:after="320"/>
        <w:textAlignment w:val="center"/>
        <w:rPr>
          <w:u w:val="single"/>
        </w:rPr>
      </w:pPr>
      <w:r>
        <w:rPr>
          <w:rFonts w:hint="eastAsia"/>
          <w:u w:val="single"/>
        </w:rPr>
        <w:t>房屋政策的统筹工作</w:t>
      </w:r>
    </w:p>
    <w:p w:rsidR="00000000" w:rsidRDefault="00000000">
      <w:pPr>
        <w:pStyle w:val="Heading4"/>
        <w:ind w:left="518"/>
      </w:pPr>
      <w:r>
        <w:rPr>
          <w:rFonts w:hint="eastAsia"/>
        </w:rPr>
        <w:t>房屋局的工作</w:t>
      </w:r>
    </w:p>
    <w:p w:rsidR="00000000" w:rsidRDefault="00000000">
      <w:pPr>
        <w:spacing w:after="320"/>
        <w:textAlignment w:val="center"/>
      </w:pPr>
      <w:r>
        <w:tab/>
        <w:t xml:space="preserve">349.  </w:t>
      </w:r>
      <w:r>
        <w:rPr>
          <w:rFonts w:hint="eastAsia"/>
        </w:rPr>
        <w:t>如上次报告第</w:t>
      </w:r>
      <w:r>
        <w:t>179</w:t>
      </w:r>
      <w:r>
        <w:rPr>
          <w:rFonts w:hint="eastAsia"/>
        </w:rPr>
        <w:t>段所述，房屋科</w:t>
      </w:r>
      <w:r>
        <w:t>(</w:t>
      </w:r>
      <w:r>
        <w:rPr>
          <w:rFonts w:hint="eastAsia"/>
        </w:rPr>
        <w:t>现称房屋局</w:t>
      </w:r>
      <w:r>
        <w:t>)</w:t>
      </w:r>
      <w:r>
        <w:rPr>
          <w:rFonts w:hint="eastAsia"/>
        </w:rPr>
        <w:t>负责制定公共及私人房屋的供应政策和策略，并统筹各政府部门在执行房屋政策及推行房屋计划方面的工作，目的是提供数量足够，而价格或租金是市民可以负担的房屋，满足社会对公共及私人房屋的需求。为此，房屋局密切监察住宅物业市场的表现，并统筹与在建屋过程有关的跨部门行动。</w:t>
      </w:r>
    </w:p>
    <w:p w:rsidR="00000000" w:rsidRDefault="00000000">
      <w:pPr>
        <w:pStyle w:val="Heading4"/>
      </w:pPr>
      <w:r>
        <w:rPr>
          <w:rFonts w:hint="eastAsia"/>
        </w:rPr>
        <w:t>公共房屋</w:t>
      </w:r>
    </w:p>
    <w:p w:rsidR="00000000" w:rsidRDefault="00000000">
      <w:pPr>
        <w:pStyle w:val="Heading4"/>
        <w:ind w:left="518"/>
      </w:pPr>
      <w:r>
        <w:rPr>
          <w:rFonts w:hint="eastAsia"/>
        </w:rPr>
        <w:t>房屋委员会的工作</w:t>
      </w:r>
    </w:p>
    <w:p w:rsidR="00000000" w:rsidRDefault="00000000">
      <w:pPr>
        <w:textAlignment w:val="center"/>
      </w:pPr>
      <w:r>
        <w:tab/>
        <w:t xml:space="preserve">350.  </w:t>
      </w:r>
      <w:r>
        <w:rPr>
          <w:rFonts w:hint="eastAsia"/>
        </w:rPr>
        <w:t>如上次报告第</w:t>
      </w:r>
      <w:r>
        <w:t>184</w:t>
      </w:r>
      <w:r>
        <w:rPr>
          <w:rFonts w:hint="eastAsia"/>
        </w:rPr>
        <w:t>段所述，香港房屋委员会</w:t>
      </w:r>
      <w:r>
        <w:t>(</w:t>
      </w:r>
      <w:r>
        <w:rPr>
          <w:rFonts w:hint="eastAsia"/>
        </w:rPr>
        <w:t>房委会</w:t>
      </w:r>
      <w:r>
        <w:t>)</w:t>
      </w:r>
      <w:r>
        <w:rPr>
          <w:rFonts w:hint="eastAsia"/>
        </w:rPr>
        <w:t>于一九七三年根据《房屋条例》</w:t>
      </w:r>
      <w:r>
        <w:t>(</w:t>
      </w:r>
      <w:r>
        <w:rPr>
          <w:rFonts w:hint="eastAsia"/>
        </w:rPr>
        <w:t>第</w:t>
      </w:r>
      <w:r>
        <w:t>283</w:t>
      </w:r>
      <w:r>
        <w:rPr>
          <w:rFonts w:hint="eastAsia"/>
        </w:rPr>
        <w:t>章</w:t>
      </w:r>
      <w:r>
        <w:t>)</w:t>
      </w:r>
      <w:r>
        <w:rPr>
          <w:rFonts w:hint="eastAsia"/>
        </w:rPr>
        <w:t>成立，是一个独立的法定机构，负责推行香港的公共房屋计划。其主要目标，是根据长远房屋策略，为有需要人士提供可负担的房屋。</w:t>
      </w:r>
    </w:p>
    <w:p w:rsidR="00000000" w:rsidRDefault="00000000">
      <w:pPr>
        <w:textAlignment w:val="center"/>
      </w:pPr>
      <w:r>
        <w:tab/>
        <w:t xml:space="preserve">351.  </w:t>
      </w:r>
      <w:r>
        <w:rPr>
          <w:rFonts w:hint="eastAsia"/>
        </w:rPr>
        <w:t>房委会策划和兴建公共房屋及附属设施，以供出租或出售，并为需要栖身之所但不符合入住租住公屋资格的家庭提供中转房屋。此外，房委会也替政府进行清拆和防止有人僭建寮屋。政府为公共房屋计划提供所需的经费，并以优惠条件批出土地兴建公屋。</w:t>
      </w:r>
    </w:p>
    <w:p w:rsidR="00000000" w:rsidRDefault="00000000">
      <w:pPr>
        <w:spacing w:after="320"/>
        <w:textAlignment w:val="center"/>
      </w:pPr>
      <w:r>
        <w:tab/>
        <w:t xml:space="preserve">352.  </w:t>
      </w:r>
      <w:r>
        <w:rPr>
          <w:rFonts w:hint="eastAsia"/>
        </w:rPr>
        <w:t>截至一九九八年六月三十日为止，约有</w:t>
      </w:r>
      <w:r>
        <w:t>220</w:t>
      </w:r>
      <w:r>
        <w:rPr>
          <w:rFonts w:hint="eastAsia"/>
        </w:rPr>
        <w:t>万人</w:t>
      </w:r>
      <w:r>
        <w:t>(</w:t>
      </w:r>
      <w:r>
        <w:rPr>
          <w:rFonts w:hint="eastAsia"/>
        </w:rPr>
        <w:t>占</w:t>
      </w:r>
      <w:r>
        <w:t>33%</w:t>
      </w:r>
      <w:r>
        <w:rPr>
          <w:rFonts w:hint="eastAsia"/>
        </w:rPr>
        <w:t>人口</w:t>
      </w:r>
      <w:r>
        <w:t>)</w:t>
      </w:r>
      <w:r>
        <w:rPr>
          <w:rFonts w:hint="eastAsia"/>
        </w:rPr>
        <w:t>在公共屋村居住，而全港公屋单位数目约共有</w:t>
      </w:r>
      <w:r>
        <w:t>656,000</w:t>
      </w:r>
      <w:r>
        <w:rPr>
          <w:rFonts w:hint="eastAsia"/>
        </w:rPr>
        <w:t>个。</w:t>
      </w:r>
    </w:p>
    <w:p w:rsidR="00000000" w:rsidRDefault="00000000">
      <w:pPr>
        <w:spacing w:after="320"/>
        <w:ind w:left="518"/>
        <w:textAlignment w:val="center"/>
        <w:rPr>
          <w:u w:val="single"/>
        </w:rPr>
      </w:pPr>
      <w:r>
        <w:rPr>
          <w:rFonts w:hint="eastAsia"/>
          <w:u w:val="single"/>
        </w:rPr>
        <w:t>房屋协会的工作</w:t>
      </w:r>
    </w:p>
    <w:p w:rsidR="00000000" w:rsidRDefault="00000000">
      <w:pPr>
        <w:textAlignment w:val="center"/>
      </w:pPr>
      <w:r>
        <w:tab/>
        <w:t xml:space="preserve">353.  </w:t>
      </w:r>
      <w:r>
        <w:rPr>
          <w:rFonts w:hint="eastAsia"/>
        </w:rPr>
        <w:t>如上次报告第</w:t>
      </w:r>
      <w:r>
        <w:t>186</w:t>
      </w:r>
      <w:r>
        <w:rPr>
          <w:rFonts w:hint="eastAsia"/>
        </w:rPr>
        <w:t>段所述，香港房屋协会</w:t>
      </w:r>
      <w:r>
        <w:t>(</w:t>
      </w:r>
      <w:r>
        <w:rPr>
          <w:rFonts w:hint="eastAsia"/>
        </w:rPr>
        <w:t>房协</w:t>
      </w:r>
      <w:r>
        <w:t>)</w:t>
      </w:r>
      <w:r>
        <w:rPr>
          <w:rFonts w:hint="eastAsia"/>
        </w:rPr>
        <w:t>是一个非牟利机构，旨在为中等及低收入家庭提供房屋，让他们租住或购买自用。上次报告亦指出，政府以优惠价为房协提供土地，并向其提供低息贷款。</w:t>
      </w:r>
    </w:p>
    <w:p w:rsidR="00000000" w:rsidRDefault="00000000">
      <w:pPr>
        <w:spacing w:after="320"/>
        <w:textAlignment w:val="center"/>
      </w:pPr>
      <w:r>
        <w:tab/>
        <w:t xml:space="preserve">354.  </w:t>
      </w:r>
      <w:r>
        <w:rPr>
          <w:rFonts w:hint="eastAsia"/>
        </w:rPr>
        <w:t>目前，房协继续替政府推行“夹心阶层房屋计划”和“首次置业贷款计划”：请参阅下文第</w:t>
      </w:r>
      <w:r>
        <w:t>368</w:t>
      </w:r>
      <w:r>
        <w:rPr>
          <w:rFonts w:hint="eastAsia"/>
        </w:rPr>
        <w:t>至</w:t>
      </w:r>
      <w:r>
        <w:t>371</w:t>
      </w:r>
      <w:r>
        <w:rPr>
          <w:rFonts w:hint="eastAsia"/>
        </w:rPr>
        <w:t>段。</w:t>
      </w:r>
    </w:p>
    <w:p w:rsidR="00000000" w:rsidRDefault="00000000">
      <w:pPr>
        <w:spacing w:after="320"/>
        <w:ind w:left="518"/>
        <w:textAlignment w:val="center"/>
      </w:pPr>
      <w:r>
        <w:rPr>
          <w:rFonts w:hint="eastAsia"/>
          <w:u w:val="single"/>
        </w:rPr>
        <w:t>入住租住公屋的资格</w:t>
      </w:r>
    </w:p>
    <w:p w:rsidR="00000000" w:rsidRDefault="00000000">
      <w:pPr>
        <w:textAlignment w:val="center"/>
      </w:pPr>
      <w:r>
        <w:tab/>
        <w:t xml:space="preserve">355.  </w:t>
      </w:r>
      <w:r>
        <w:rPr>
          <w:rFonts w:hint="eastAsia"/>
        </w:rPr>
        <w:t>如上次报告第</w:t>
      </w:r>
      <w:r>
        <w:t>189</w:t>
      </w:r>
      <w:r>
        <w:rPr>
          <w:rFonts w:hint="eastAsia"/>
        </w:rPr>
        <w:t>段所述，申请人必须符合收入限额的规定，才有资格申请轮候租住公屋。举例来说，现时四人家庭的每月收入限额为</w:t>
      </w:r>
      <w:r>
        <w:t>17,700</w:t>
      </w:r>
      <w:r>
        <w:rPr>
          <w:rFonts w:hint="eastAsia"/>
        </w:rPr>
        <w:t>港元。当局将于本年年底实施资产审查，以确保租住公屋能分配予真正有需要的家庭。上次报告亦指出，申请人及其家庭大部分成员必须至少在香港住满七年，同时在递交申请前的两年内，并无拥有任何私人住宅物业。有论者认为，这项“家庭须有大部分成员符合居港年期的规定”，歧视中国内地新来港定居人士。有关问题于下文第</w:t>
      </w:r>
      <w:r>
        <w:t>381</w:t>
      </w:r>
      <w:r>
        <w:rPr>
          <w:rFonts w:hint="eastAsia"/>
        </w:rPr>
        <w:t>及</w:t>
      </w:r>
      <w:r>
        <w:t>382</w:t>
      </w:r>
      <w:r>
        <w:rPr>
          <w:rFonts w:hint="eastAsia"/>
        </w:rPr>
        <w:t>段将有所论述。</w:t>
      </w:r>
    </w:p>
    <w:p w:rsidR="00000000" w:rsidRDefault="00000000">
      <w:pPr>
        <w:spacing w:after="320"/>
        <w:ind w:left="518"/>
        <w:textAlignment w:val="center"/>
      </w:pPr>
      <w:r>
        <w:rPr>
          <w:rFonts w:hint="eastAsia"/>
          <w:u w:val="single"/>
        </w:rPr>
        <w:t>公屋轮候册</w:t>
      </w:r>
    </w:p>
    <w:p w:rsidR="00000000" w:rsidRDefault="00000000">
      <w:pPr>
        <w:spacing w:after="320"/>
        <w:textAlignment w:val="center"/>
      </w:pPr>
      <w:r>
        <w:tab/>
        <w:t xml:space="preserve">356.  </w:t>
      </w:r>
      <w:r>
        <w:rPr>
          <w:rFonts w:hint="eastAsia"/>
        </w:rPr>
        <w:t>截至一九九八年六月三十日为止，公屋轮候册所列的申请约有</w:t>
      </w:r>
      <w:r>
        <w:t>147,000</w:t>
      </w:r>
      <w:r>
        <w:rPr>
          <w:rFonts w:hint="eastAsia"/>
        </w:rPr>
        <w:t>份。不过，一如上次报告第</w:t>
      </w:r>
      <w:r>
        <w:t>190</w:t>
      </w:r>
      <w:r>
        <w:rPr>
          <w:rFonts w:hint="eastAsia"/>
        </w:rPr>
        <w:t>段所述，这些申请很多是由现时的公屋住户递交的，当中有些申请人因种种理由而不符合资格。因此，跟过往一样，公屋轮候册上实际须考虑的申请约有</w:t>
      </w:r>
      <w:r>
        <w:t>80,000</w:t>
      </w:r>
      <w:r>
        <w:rPr>
          <w:rFonts w:hint="eastAsia"/>
        </w:rPr>
        <w:t>份。申请类别分列如下：</w:t>
      </w:r>
    </w:p>
    <w:tbl>
      <w:tblPr>
        <w:tblW w:w="0" w:type="auto"/>
        <w:tblInd w:w="-26" w:type="dxa"/>
        <w:tblLayout w:type="fixed"/>
        <w:tblCellMar>
          <w:left w:w="28" w:type="dxa"/>
          <w:right w:w="28" w:type="dxa"/>
        </w:tblCellMar>
        <w:tblLook w:val="0000" w:firstRow="0" w:lastRow="0" w:firstColumn="0" w:lastColumn="0" w:noHBand="0" w:noVBand="0"/>
      </w:tblPr>
      <w:tblGrid>
        <w:gridCol w:w="2668"/>
        <w:gridCol w:w="3372"/>
        <w:gridCol w:w="3372"/>
      </w:tblGrid>
      <w:tr w:rsidR="00000000">
        <w:tblPrEx>
          <w:tblCellMar>
            <w:top w:w="0" w:type="dxa"/>
            <w:bottom w:w="0" w:type="dxa"/>
          </w:tblCellMar>
        </w:tblPrEx>
        <w:tc>
          <w:tcPr>
            <w:tcW w:w="2668" w:type="dxa"/>
            <w:tcBorders>
              <w:top w:val="single" w:sz="4" w:space="0" w:color="auto"/>
              <w:bottom w:val="single" w:sz="4" w:space="0" w:color="auto"/>
            </w:tcBorders>
          </w:tcPr>
          <w:p w:rsidR="00000000" w:rsidRDefault="00000000">
            <w:pPr>
              <w:spacing w:before="240" w:after="240" w:line="240" w:lineRule="atLeast"/>
              <w:jc w:val="center"/>
              <w:textAlignment w:val="center"/>
            </w:pPr>
            <w:r>
              <w:rPr>
                <w:rFonts w:hint="eastAsia"/>
                <w:u w:val="single"/>
              </w:rPr>
              <w:t>公屋单位类别</w:t>
            </w:r>
          </w:p>
        </w:tc>
        <w:tc>
          <w:tcPr>
            <w:tcW w:w="3372" w:type="dxa"/>
            <w:tcBorders>
              <w:top w:val="single" w:sz="4" w:space="0" w:color="auto"/>
              <w:bottom w:val="single" w:sz="4" w:space="0" w:color="auto"/>
            </w:tcBorders>
          </w:tcPr>
          <w:p w:rsidR="00000000" w:rsidRDefault="00000000">
            <w:pPr>
              <w:spacing w:before="240" w:line="240" w:lineRule="atLeast"/>
              <w:jc w:val="center"/>
              <w:textAlignment w:val="center"/>
              <w:rPr>
                <w:u w:val="single"/>
              </w:rPr>
            </w:pPr>
            <w:r>
              <w:rPr>
                <w:rFonts w:hint="eastAsia"/>
                <w:u w:val="single"/>
              </w:rPr>
              <w:t>公屋轮候册内申请的数目</w:t>
            </w:r>
          </w:p>
          <w:p w:rsidR="00000000" w:rsidRDefault="00000000">
            <w:pPr>
              <w:spacing w:after="480" w:line="240" w:lineRule="atLeast"/>
              <w:jc w:val="center"/>
              <w:textAlignment w:val="center"/>
            </w:pPr>
            <w:r>
              <w:t>(</w:t>
            </w:r>
            <w:r>
              <w:rPr>
                <w:rFonts w:hint="eastAsia"/>
              </w:rPr>
              <w:t>份</w:t>
            </w:r>
            <w:r>
              <w:t>)</w:t>
            </w:r>
          </w:p>
        </w:tc>
        <w:tc>
          <w:tcPr>
            <w:tcW w:w="3372" w:type="dxa"/>
            <w:tcBorders>
              <w:top w:val="single" w:sz="4" w:space="0" w:color="auto"/>
              <w:bottom w:val="single" w:sz="4" w:space="0" w:color="auto"/>
            </w:tcBorders>
          </w:tcPr>
          <w:p w:rsidR="00000000" w:rsidRDefault="00000000">
            <w:pPr>
              <w:spacing w:before="240" w:line="240" w:lineRule="atLeast"/>
              <w:jc w:val="center"/>
              <w:textAlignment w:val="center"/>
              <w:rPr>
                <w:u w:val="single"/>
              </w:rPr>
            </w:pPr>
            <w:r>
              <w:rPr>
                <w:rFonts w:hint="eastAsia"/>
                <w:u w:val="single"/>
              </w:rPr>
              <w:t>已编配单位的数目</w:t>
            </w:r>
          </w:p>
          <w:p w:rsidR="00000000" w:rsidRDefault="00000000">
            <w:pPr>
              <w:spacing w:line="240" w:lineRule="atLeast"/>
              <w:jc w:val="center"/>
              <w:textAlignment w:val="center"/>
            </w:pPr>
            <w:r>
              <w:t>(</w:t>
            </w:r>
            <w:r>
              <w:rPr>
                <w:rFonts w:hint="eastAsia"/>
              </w:rPr>
              <w:t>个</w:t>
            </w:r>
            <w:r>
              <w:t>)</w:t>
            </w:r>
          </w:p>
          <w:p w:rsidR="00000000" w:rsidRDefault="00000000">
            <w:pPr>
              <w:pStyle w:val="a9"/>
              <w:keepNext w:val="0"/>
              <w:keepLines w:val="0"/>
              <w:widowControl/>
              <w:tabs>
                <w:tab w:val="left" w:pos="510"/>
                <w:tab w:val="left" w:pos="1021"/>
                <w:tab w:val="left" w:pos="1531"/>
                <w:tab w:val="left" w:pos="2041"/>
              </w:tabs>
              <w:spacing w:after="240" w:line="240" w:lineRule="atLeast"/>
              <w:textAlignment w:val="center"/>
              <w:rPr>
                <w:rFonts w:eastAsia="SimSun"/>
                <w:lang w:val="en-US"/>
              </w:rPr>
            </w:pPr>
            <w:r>
              <w:rPr>
                <w:rFonts w:eastAsia="SimSun"/>
                <w:lang w:val="en-US"/>
              </w:rPr>
              <w:t>(1997-98)</w:t>
            </w:r>
          </w:p>
        </w:tc>
      </w:tr>
      <w:tr w:rsidR="00000000">
        <w:tblPrEx>
          <w:tblCellMar>
            <w:top w:w="0" w:type="dxa"/>
            <w:bottom w:w="0" w:type="dxa"/>
          </w:tblCellMar>
        </w:tblPrEx>
        <w:tc>
          <w:tcPr>
            <w:tcW w:w="2668" w:type="dxa"/>
          </w:tcPr>
          <w:p w:rsidR="00000000" w:rsidRDefault="00000000">
            <w:pPr>
              <w:spacing w:before="120" w:after="120" w:line="240" w:lineRule="atLeast"/>
              <w:textAlignment w:val="center"/>
            </w:pPr>
            <w:r>
              <w:t>1</w:t>
            </w:r>
            <w:r>
              <w:rPr>
                <w:rFonts w:hint="eastAsia"/>
              </w:rPr>
              <w:t>人单位</w:t>
            </w:r>
          </w:p>
        </w:tc>
        <w:tc>
          <w:tcPr>
            <w:tcW w:w="3372" w:type="dxa"/>
          </w:tcPr>
          <w:p w:rsidR="00000000" w:rsidRDefault="00000000">
            <w:pPr>
              <w:spacing w:before="120" w:after="120" w:line="240" w:lineRule="atLeast"/>
              <w:jc w:val="center"/>
              <w:textAlignment w:val="center"/>
            </w:pPr>
            <w:r>
              <w:t>20,400</w:t>
            </w:r>
          </w:p>
        </w:tc>
        <w:tc>
          <w:tcPr>
            <w:tcW w:w="3372" w:type="dxa"/>
          </w:tcPr>
          <w:p w:rsidR="00000000" w:rsidRDefault="00000000">
            <w:pPr>
              <w:spacing w:before="120" w:after="120" w:line="240" w:lineRule="atLeast"/>
              <w:jc w:val="center"/>
              <w:textAlignment w:val="center"/>
            </w:pPr>
            <w:r>
              <w:t>2,300</w:t>
            </w:r>
          </w:p>
        </w:tc>
      </w:tr>
      <w:tr w:rsidR="00000000">
        <w:tblPrEx>
          <w:tblCellMar>
            <w:top w:w="0" w:type="dxa"/>
            <w:bottom w:w="0" w:type="dxa"/>
          </w:tblCellMar>
        </w:tblPrEx>
        <w:tc>
          <w:tcPr>
            <w:tcW w:w="2668" w:type="dxa"/>
          </w:tcPr>
          <w:p w:rsidR="00000000" w:rsidRDefault="00000000">
            <w:pPr>
              <w:spacing w:after="120" w:line="240" w:lineRule="atLeast"/>
              <w:textAlignment w:val="center"/>
            </w:pPr>
            <w:r>
              <w:t>2</w:t>
            </w:r>
            <w:r>
              <w:rPr>
                <w:rFonts w:hint="eastAsia"/>
              </w:rPr>
              <w:t>人单位</w:t>
            </w:r>
          </w:p>
        </w:tc>
        <w:tc>
          <w:tcPr>
            <w:tcW w:w="3372" w:type="dxa"/>
          </w:tcPr>
          <w:p w:rsidR="00000000" w:rsidRDefault="00000000">
            <w:pPr>
              <w:spacing w:after="120" w:line="240" w:lineRule="atLeast"/>
              <w:jc w:val="center"/>
              <w:textAlignment w:val="center"/>
            </w:pPr>
            <w:r>
              <w:t>35,600</w:t>
            </w:r>
          </w:p>
        </w:tc>
        <w:tc>
          <w:tcPr>
            <w:tcW w:w="3372" w:type="dxa"/>
          </w:tcPr>
          <w:p w:rsidR="00000000" w:rsidRDefault="00000000">
            <w:pPr>
              <w:spacing w:after="120" w:line="240" w:lineRule="atLeast"/>
              <w:jc w:val="center"/>
              <w:textAlignment w:val="center"/>
            </w:pPr>
            <w:r>
              <w:t>2,600</w:t>
            </w:r>
          </w:p>
        </w:tc>
      </w:tr>
      <w:tr w:rsidR="00000000">
        <w:tblPrEx>
          <w:tblCellMar>
            <w:top w:w="0" w:type="dxa"/>
            <w:bottom w:w="0" w:type="dxa"/>
          </w:tblCellMar>
        </w:tblPrEx>
        <w:tc>
          <w:tcPr>
            <w:tcW w:w="2668" w:type="dxa"/>
          </w:tcPr>
          <w:p w:rsidR="00000000" w:rsidRDefault="00000000">
            <w:pPr>
              <w:spacing w:after="120" w:line="240" w:lineRule="atLeast"/>
              <w:textAlignment w:val="center"/>
            </w:pPr>
            <w:r>
              <w:t>3</w:t>
            </w:r>
            <w:r>
              <w:rPr>
                <w:rFonts w:hint="eastAsia"/>
              </w:rPr>
              <w:t>人单位</w:t>
            </w:r>
          </w:p>
        </w:tc>
        <w:tc>
          <w:tcPr>
            <w:tcW w:w="3372" w:type="dxa"/>
          </w:tcPr>
          <w:p w:rsidR="00000000" w:rsidRDefault="00000000">
            <w:pPr>
              <w:spacing w:after="120" w:line="240" w:lineRule="atLeast"/>
              <w:jc w:val="center"/>
              <w:textAlignment w:val="center"/>
            </w:pPr>
            <w:r>
              <w:t>40,900</w:t>
            </w:r>
          </w:p>
        </w:tc>
        <w:tc>
          <w:tcPr>
            <w:tcW w:w="3372" w:type="dxa"/>
          </w:tcPr>
          <w:p w:rsidR="00000000" w:rsidRDefault="00000000">
            <w:pPr>
              <w:spacing w:after="120" w:line="240" w:lineRule="atLeast"/>
              <w:jc w:val="center"/>
              <w:textAlignment w:val="center"/>
            </w:pPr>
            <w:r>
              <w:t>3,000</w:t>
            </w:r>
          </w:p>
        </w:tc>
      </w:tr>
      <w:tr w:rsidR="00000000">
        <w:tblPrEx>
          <w:tblCellMar>
            <w:top w:w="0" w:type="dxa"/>
            <w:bottom w:w="0" w:type="dxa"/>
          </w:tblCellMar>
        </w:tblPrEx>
        <w:tc>
          <w:tcPr>
            <w:tcW w:w="2668" w:type="dxa"/>
          </w:tcPr>
          <w:p w:rsidR="00000000" w:rsidRDefault="00000000">
            <w:pPr>
              <w:spacing w:after="120" w:line="240" w:lineRule="atLeast"/>
              <w:textAlignment w:val="center"/>
            </w:pPr>
            <w:r>
              <w:t>4</w:t>
            </w:r>
            <w:r>
              <w:rPr>
                <w:rFonts w:hint="eastAsia"/>
              </w:rPr>
              <w:t>人单位</w:t>
            </w:r>
          </w:p>
        </w:tc>
        <w:tc>
          <w:tcPr>
            <w:tcW w:w="3372" w:type="dxa"/>
          </w:tcPr>
          <w:p w:rsidR="00000000" w:rsidRDefault="00000000">
            <w:pPr>
              <w:spacing w:after="120" w:line="240" w:lineRule="atLeast"/>
              <w:jc w:val="center"/>
              <w:textAlignment w:val="center"/>
            </w:pPr>
            <w:r>
              <w:t>35,200</w:t>
            </w:r>
          </w:p>
        </w:tc>
        <w:tc>
          <w:tcPr>
            <w:tcW w:w="3372" w:type="dxa"/>
          </w:tcPr>
          <w:p w:rsidR="00000000" w:rsidRDefault="00000000">
            <w:pPr>
              <w:spacing w:after="120" w:line="240" w:lineRule="atLeast"/>
              <w:jc w:val="center"/>
              <w:textAlignment w:val="center"/>
            </w:pPr>
            <w:r>
              <w:t>3,000</w:t>
            </w:r>
          </w:p>
        </w:tc>
      </w:tr>
      <w:tr w:rsidR="00000000">
        <w:tblPrEx>
          <w:tblCellMar>
            <w:top w:w="0" w:type="dxa"/>
            <w:bottom w:w="0" w:type="dxa"/>
          </w:tblCellMar>
        </w:tblPrEx>
        <w:tc>
          <w:tcPr>
            <w:tcW w:w="2668" w:type="dxa"/>
            <w:tcBorders>
              <w:bottom w:val="single" w:sz="4" w:space="0" w:color="auto"/>
            </w:tcBorders>
          </w:tcPr>
          <w:p w:rsidR="00000000" w:rsidRDefault="00000000">
            <w:pPr>
              <w:spacing w:after="120" w:line="240" w:lineRule="atLeast"/>
              <w:textAlignment w:val="center"/>
            </w:pPr>
            <w:r>
              <w:t>5</w:t>
            </w:r>
            <w:r>
              <w:rPr>
                <w:rFonts w:hint="eastAsia"/>
              </w:rPr>
              <w:t>人或以上单位</w:t>
            </w:r>
          </w:p>
        </w:tc>
        <w:tc>
          <w:tcPr>
            <w:tcW w:w="3372" w:type="dxa"/>
            <w:tcBorders>
              <w:bottom w:val="single" w:sz="4" w:space="0" w:color="auto"/>
            </w:tcBorders>
          </w:tcPr>
          <w:p w:rsidR="00000000" w:rsidRDefault="00000000">
            <w:pPr>
              <w:spacing w:after="120" w:line="240" w:lineRule="atLeast"/>
              <w:jc w:val="center"/>
              <w:textAlignment w:val="center"/>
            </w:pPr>
            <w:r>
              <w:t>15,400</w:t>
            </w:r>
          </w:p>
        </w:tc>
        <w:tc>
          <w:tcPr>
            <w:tcW w:w="3372" w:type="dxa"/>
            <w:tcBorders>
              <w:bottom w:val="single" w:sz="4" w:space="0" w:color="auto"/>
            </w:tcBorders>
          </w:tcPr>
          <w:p w:rsidR="00000000" w:rsidRDefault="00000000">
            <w:pPr>
              <w:spacing w:after="120" w:line="240" w:lineRule="atLeast"/>
              <w:jc w:val="center"/>
              <w:textAlignment w:val="center"/>
            </w:pPr>
            <w:r>
              <w:t>1,700</w:t>
            </w:r>
          </w:p>
        </w:tc>
      </w:tr>
    </w:tbl>
    <w:p w:rsidR="00000000" w:rsidRDefault="00000000">
      <w:pPr>
        <w:spacing w:before="320" w:after="320"/>
        <w:textAlignment w:val="center"/>
      </w:pPr>
      <w:r>
        <w:tab/>
        <w:t xml:space="preserve">357.  </w:t>
      </w:r>
      <w:r>
        <w:rPr>
          <w:rFonts w:hint="eastAsia"/>
        </w:rPr>
        <w:t>如在上文第</w:t>
      </w:r>
      <w:r>
        <w:t>346(c)</w:t>
      </w:r>
      <w:r>
        <w:rPr>
          <w:rFonts w:hint="eastAsia"/>
        </w:rPr>
        <w:t>段有关长远房屋策略的部分所述，政府承诺把轮候租住公屋的平均时间缩短。目前，平均轮候时间为六年半。我们打算在二○○一年前，把轮候时间缩短至五年以下</w:t>
      </w:r>
      <w:r>
        <w:t>(</w:t>
      </w:r>
      <w:r>
        <w:rPr>
          <w:rFonts w:hint="eastAsia"/>
        </w:rPr>
        <w:t>与一九九○年的九年相比，轮候时间缩短了近一半</w:t>
      </w:r>
      <w:r>
        <w:t>)</w:t>
      </w:r>
      <w:r>
        <w:rPr>
          <w:rFonts w:hint="eastAsia"/>
        </w:rPr>
        <w:t>；在二○○三年前缩短至四年；并在二○○五年前缩短至三年。为完成这个目标，我们将由二○○○年开始，把编配给轮候家庭的新建或翻新单位数目，由每年平均</w:t>
      </w:r>
      <w:r>
        <w:t>14,000</w:t>
      </w:r>
      <w:r>
        <w:rPr>
          <w:rFonts w:hint="eastAsia"/>
        </w:rPr>
        <w:t>个增加至</w:t>
      </w:r>
      <w:r>
        <w:t>20,000</w:t>
      </w:r>
      <w:r>
        <w:rPr>
          <w:rFonts w:hint="eastAsia"/>
        </w:rPr>
        <w:t>个。</w:t>
      </w:r>
    </w:p>
    <w:p w:rsidR="00000000" w:rsidRDefault="00000000">
      <w:pPr>
        <w:spacing w:after="320"/>
        <w:ind w:left="518"/>
        <w:textAlignment w:val="center"/>
      </w:pPr>
      <w:r>
        <w:rPr>
          <w:rFonts w:hint="eastAsia"/>
          <w:u w:val="single"/>
        </w:rPr>
        <w:t>租金和租金援助</w:t>
      </w:r>
    </w:p>
    <w:p w:rsidR="00000000" w:rsidRDefault="00000000">
      <w:r>
        <w:tab/>
        <w:t xml:space="preserve">358.  </w:t>
      </w:r>
      <w:r>
        <w:rPr>
          <w:rFonts w:hint="eastAsia"/>
        </w:rPr>
        <w:t>公屋的租金水平，是根据租户的交租能力而厘定。至于其他因素，例如屋村地点、设施、管理费用、差饷和通胀等，也在考虑之列，而这些因素则按个别屋村的情况而异。法例规定，公屋住户的整体租金与收入比例中位数，不得超过</w:t>
      </w:r>
      <w:r>
        <w:t>10%</w:t>
      </w:r>
      <w:r>
        <w:rPr>
          <w:rStyle w:val="FootnoteReference"/>
        </w:rPr>
        <w:footnoteReference w:id="74"/>
      </w:r>
      <w:r>
        <w:rPr>
          <w:rFonts w:hint="eastAsia"/>
        </w:rPr>
        <w:t>。现时，公屋租金约为这个比例中位数的</w:t>
      </w:r>
      <w:r>
        <w:t>9%</w:t>
      </w:r>
      <w:r>
        <w:rPr>
          <w:rFonts w:hint="eastAsia"/>
        </w:rPr>
        <w:t>。</w:t>
      </w:r>
    </w:p>
    <w:p w:rsidR="00000000" w:rsidRDefault="00000000">
      <w:r>
        <w:tab/>
        <w:t xml:space="preserve">359.  </w:t>
      </w:r>
      <w:r>
        <w:rPr>
          <w:rFonts w:hint="eastAsia"/>
        </w:rPr>
        <w:t>租户如暂时有经济困难，可获宽减一半租金，为期最长两年。租户如在两年后仍有经济困难，通常须迁往同区较低租金的单位。他们会获得发放一笔住户搬迁津贴，并享有一个月免租期。不过，那些有高龄和残疾成员的住户，可获豁免这项搬迁规定。</w:t>
      </w:r>
    </w:p>
    <w:p w:rsidR="00000000" w:rsidRDefault="00000000">
      <w:pPr>
        <w:spacing w:after="320"/>
        <w:textAlignment w:val="center"/>
      </w:pPr>
      <w:r>
        <w:tab/>
        <w:t xml:space="preserve">360.  </w:t>
      </w:r>
      <w:r>
        <w:rPr>
          <w:rFonts w:hint="eastAsia"/>
        </w:rPr>
        <w:t>有长期经济困难的租户，可申领综援：请参阅上文第九条下第</w:t>
      </w:r>
      <w:r>
        <w:t>137</w:t>
      </w:r>
      <w:r>
        <w:rPr>
          <w:rFonts w:hint="eastAsia"/>
        </w:rPr>
        <w:t>至</w:t>
      </w:r>
      <w:r>
        <w:t>155</w:t>
      </w:r>
      <w:r>
        <w:rPr>
          <w:rFonts w:hint="eastAsia"/>
        </w:rPr>
        <w:t>段。合资格人士可获发给用以支付全数租金的租金津贴和生活援助金。</w:t>
      </w:r>
    </w:p>
    <w:p w:rsidR="00000000" w:rsidRDefault="00000000">
      <w:pPr>
        <w:spacing w:after="320"/>
        <w:ind w:left="518"/>
        <w:textAlignment w:val="center"/>
      </w:pPr>
      <w:r>
        <w:rPr>
          <w:rFonts w:hint="eastAsia"/>
          <w:u w:val="single"/>
        </w:rPr>
        <w:t>中转房屋</w:t>
      </w:r>
    </w:p>
    <w:p w:rsidR="00000000" w:rsidRDefault="00000000">
      <w:r>
        <w:tab/>
        <w:t xml:space="preserve">361.  </w:t>
      </w:r>
      <w:r>
        <w:rPr>
          <w:rFonts w:hint="eastAsia"/>
        </w:rPr>
        <w:t>在上次报告第</w:t>
      </w:r>
      <w:r>
        <w:t>209</w:t>
      </w:r>
      <w:r>
        <w:rPr>
          <w:rFonts w:hint="eastAsia"/>
        </w:rPr>
        <w:t>及第</w:t>
      </w:r>
      <w:r>
        <w:t>210</w:t>
      </w:r>
      <w:r>
        <w:rPr>
          <w:rFonts w:hint="eastAsia"/>
        </w:rPr>
        <w:t>段，我们曾指出，临时房屋区</w:t>
      </w:r>
      <w:r>
        <w:t>(</w:t>
      </w:r>
      <w:r>
        <w:rPr>
          <w:rFonts w:hint="eastAsia"/>
        </w:rPr>
        <w:t>临屋区</w:t>
      </w:r>
      <w:r>
        <w:t>)</w:t>
      </w:r>
      <w:r>
        <w:rPr>
          <w:rFonts w:hint="eastAsia"/>
        </w:rPr>
        <w:t>为因清拆、火灾和天灾等情况而变成无家可归，但又不符合资格入住永久公屋的人士提供居所。临时房屋分为单层和双层两种，备有基本设施。截至一九九五年六月底为止，全港共有</w:t>
      </w:r>
      <w:r>
        <w:t>37</w:t>
      </w:r>
      <w:r>
        <w:rPr>
          <w:rFonts w:hint="eastAsia"/>
        </w:rPr>
        <w:t>个临屋区，为</w:t>
      </w:r>
      <w:r>
        <w:t>41,200</w:t>
      </w:r>
      <w:r>
        <w:rPr>
          <w:rFonts w:hint="eastAsia"/>
        </w:rPr>
        <w:t>人提供居所。</w:t>
      </w:r>
    </w:p>
    <w:p w:rsidR="00000000" w:rsidRDefault="00000000">
      <w:r>
        <w:tab/>
        <w:t xml:space="preserve">362.  </w:t>
      </w:r>
      <w:r>
        <w:rPr>
          <w:rFonts w:hint="eastAsia"/>
        </w:rPr>
        <w:t>我们在上次报告中还指出，政府正进行一项清拆计划，以便在一九九七年前安置大部分临屋区居民。同时，我们预计，最迟在一九九六年便可完全清拆一九八四年前兴建的临屋区。</w:t>
      </w:r>
    </w:p>
    <w:p w:rsidR="00000000" w:rsidRDefault="00000000">
      <w:pPr>
        <w:textAlignment w:val="center"/>
      </w:pPr>
      <w:r>
        <w:tab/>
        <w:t xml:space="preserve">363.  </w:t>
      </w:r>
      <w:r>
        <w:rPr>
          <w:rFonts w:hint="eastAsia"/>
        </w:rPr>
        <w:t>上述清拆计划进展稳定，一九八四年前兴建的临屋区已完全清拆。截至一九九八年六月三十日为止，全港只余下</w:t>
      </w:r>
      <w:r>
        <w:t>15</w:t>
      </w:r>
      <w:r>
        <w:rPr>
          <w:rFonts w:hint="eastAsia"/>
        </w:rPr>
        <w:t>个临屋区，住户</w:t>
      </w:r>
      <w:r>
        <w:t>15,000</w:t>
      </w:r>
      <w:r>
        <w:rPr>
          <w:rFonts w:hint="eastAsia"/>
        </w:rPr>
        <w:t>人。政府将于二○○○年前，分阶段清拆余下的临屋区。不过，在可预见的将来，有些家庭会因为种种原因，不符合资格获编配租住公屋，而须另觅栖身之所。为了照顾他们的需要，房委会会向他们提供一种崭新形式的“中转房屋”。“中转房屋”设于专门兴建的多层大厦内，居住环境远较临屋区为佳。</w:t>
      </w:r>
    </w:p>
    <w:p w:rsidR="00000000" w:rsidRDefault="00000000">
      <w:pPr>
        <w:pStyle w:val="Heading4"/>
        <w:spacing w:before="320"/>
      </w:pPr>
      <w:r>
        <w:rPr>
          <w:rFonts w:hint="eastAsia"/>
        </w:rPr>
        <w:t>资助自置居所计划和贷款计划</w:t>
      </w:r>
    </w:p>
    <w:p w:rsidR="00000000" w:rsidRDefault="00000000">
      <w:pPr>
        <w:spacing w:after="320"/>
        <w:textAlignment w:val="center"/>
      </w:pPr>
      <w:r>
        <w:tab/>
        <w:t xml:space="preserve">364.  </w:t>
      </w:r>
      <w:r>
        <w:rPr>
          <w:rFonts w:hint="eastAsia"/>
        </w:rPr>
        <w:t>政府相信，大部分市民期望自置居所。政府协助市民自置居所的各项计划，均大受欢迎，就是一个很好的证明</w:t>
      </w:r>
      <w:r>
        <w:t>(</w:t>
      </w:r>
      <w:r>
        <w:rPr>
          <w:rFonts w:hint="eastAsia"/>
        </w:rPr>
        <w:t>详见下文</w:t>
      </w:r>
      <w:r>
        <w:t>)</w:t>
      </w:r>
      <w:r>
        <w:rPr>
          <w:rFonts w:hint="eastAsia"/>
        </w:rPr>
        <w:t>。同时，我们亦相信，市民自置居所是有好处的，因为这不但能培养他们的归属感，而且有助保障他们日后的家庭经济环境。我们希望到了二○○七年时，能达成</w:t>
      </w:r>
      <w:r>
        <w:t>70%</w:t>
      </w:r>
      <w:r>
        <w:rPr>
          <w:rFonts w:hint="eastAsia"/>
        </w:rPr>
        <w:t>市民自置居所的目标。目前，这个比率为</w:t>
      </w:r>
      <w:r>
        <w:t>52%</w:t>
      </w:r>
      <w:r>
        <w:rPr>
          <w:rFonts w:hint="eastAsia"/>
        </w:rPr>
        <w:t>。由于许多家庭仍然无力负担私人楼宇的楼价，我们将继续通过下文所述的种种措施，协助合资格人士购置居所。</w:t>
      </w:r>
    </w:p>
    <w:p w:rsidR="00000000" w:rsidRDefault="00000000">
      <w:pPr>
        <w:pStyle w:val="Heading4"/>
        <w:ind w:left="518"/>
      </w:pPr>
      <w:r>
        <w:rPr>
          <w:rFonts w:hint="eastAsia"/>
        </w:rPr>
        <w:t>向公屋租户出售现居单位</w:t>
      </w:r>
      <w:r>
        <w:t>(</w:t>
      </w:r>
      <w:r>
        <w:rPr>
          <w:rFonts w:hint="eastAsia"/>
        </w:rPr>
        <w:t>租者置其屋计划</w:t>
      </w:r>
      <w:r>
        <w:t>)</w:t>
      </w:r>
    </w:p>
    <w:p w:rsidR="00000000" w:rsidRDefault="00000000">
      <w:r>
        <w:tab/>
        <w:t xml:space="preserve">365.  </w:t>
      </w:r>
      <w:r>
        <w:rPr>
          <w:rFonts w:hint="eastAsia"/>
        </w:rPr>
        <w:t>租者置其屋计划</w:t>
      </w:r>
      <w:r>
        <w:t>(</w:t>
      </w:r>
      <w:r>
        <w:rPr>
          <w:rFonts w:hint="eastAsia"/>
        </w:rPr>
        <w:t>租置计划</w:t>
      </w:r>
      <w:r>
        <w:t>)</w:t>
      </w:r>
      <w:r>
        <w:rPr>
          <w:rFonts w:hint="eastAsia"/>
        </w:rPr>
        <w:t>于一九九八年一月推出，目的是让公屋住户有机会拥有现居单位。我们预计，在未来十年内，最少有</w:t>
      </w:r>
      <w:r>
        <w:t>250,000</w:t>
      </w:r>
      <w:r>
        <w:rPr>
          <w:rFonts w:hint="eastAsia"/>
        </w:rPr>
        <w:t>个家庭会通过这个计划，购置其租住公屋单位。根据计划，出售单位的价格以“经调整重置成本</w:t>
      </w:r>
      <w:r>
        <w:rPr>
          <w:rStyle w:val="FootnoteReference"/>
        </w:rPr>
        <w:footnoteReference w:id="75"/>
      </w:r>
      <w:r>
        <w:rPr>
          <w:rFonts w:hint="eastAsia"/>
        </w:rPr>
        <w:t>”来厘定。在实际执行上，这等于给予约相等于单位市值的</w:t>
      </w:r>
      <w:r>
        <w:t>70%</w:t>
      </w:r>
      <w:r>
        <w:rPr>
          <w:rFonts w:hint="eastAsia"/>
        </w:rPr>
        <w:t>折扣优惠。由于这计划旨在鼓励租户购置其居住单位，并非让他们利用公帑短期图利，因此，业主日后在公开市场出售其租置单位时，须向政府付还先前所享有的折扣差额。</w:t>
      </w:r>
    </w:p>
    <w:p w:rsidR="00000000" w:rsidRDefault="00000000">
      <w:pPr>
        <w:spacing w:after="320"/>
        <w:textAlignment w:val="center"/>
      </w:pPr>
      <w:r>
        <w:tab/>
        <w:t xml:space="preserve">366.  </w:t>
      </w:r>
      <w:r>
        <w:rPr>
          <w:rFonts w:hint="eastAsia"/>
        </w:rPr>
        <w:t>租置计划现正分期推行。第一期涉及近</w:t>
      </w:r>
      <w:r>
        <w:t>27,000</w:t>
      </w:r>
      <w:r>
        <w:rPr>
          <w:rFonts w:hint="eastAsia"/>
        </w:rPr>
        <w:t>个租户，计划反应良好。未来三年，另有</w:t>
      </w:r>
      <w:r>
        <w:t>18</w:t>
      </w:r>
      <w:r>
        <w:rPr>
          <w:rFonts w:hint="eastAsia"/>
        </w:rPr>
        <w:t>个屋村</w:t>
      </w:r>
      <w:r>
        <w:t>(84,000</w:t>
      </w:r>
      <w:r>
        <w:rPr>
          <w:rFonts w:hint="eastAsia"/>
        </w:rPr>
        <w:t>个单位</w:t>
      </w:r>
      <w:r>
        <w:t>)</w:t>
      </w:r>
      <w:r>
        <w:rPr>
          <w:rFonts w:hint="eastAsia"/>
        </w:rPr>
        <w:t>将纳入计划之内。</w:t>
      </w:r>
    </w:p>
    <w:p w:rsidR="00000000" w:rsidRDefault="00000000">
      <w:pPr>
        <w:pStyle w:val="Heading4"/>
        <w:ind w:left="518"/>
      </w:pPr>
      <w:r>
        <w:rPr>
          <w:rFonts w:hint="eastAsia"/>
        </w:rPr>
        <w:t>居者有其屋计划和私人机构参建居屋计划</w:t>
      </w:r>
    </w:p>
    <w:p w:rsidR="00000000" w:rsidRDefault="00000000">
      <w:pPr>
        <w:spacing w:after="320"/>
        <w:textAlignment w:val="center"/>
      </w:pPr>
      <w:r>
        <w:tab/>
        <w:t xml:space="preserve">367.  </w:t>
      </w:r>
      <w:r>
        <w:rPr>
          <w:rFonts w:hint="eastAsia"/>
        </w:rPr>
        <w:t>如上次报告第</w:t>
      </w:r>
      <w:r>
        <w:t>198</w:t>
      </w:r>
      <w:r>
        <w:rPr>
          <w:rFonts w:hint="eastAsia"/>
        </w:rPr>
        <w:t>段所述，这两项计划使中等或较低收入的家庭</w:t>
      </w:r>
      <w:r>
        <w:rPr>
          <w:rStyle w:val="FootnoteReference"/>
        </w:rPr>
        <w:footnoteReference w:id="76"/>
      </w:r>
      <w:r>
        <w:rPr>
          <w:rFonts w:hint="eastAsia"/>
        </w:rPr>
        <w:t xml:space="preserve"> </w:t>
      </w:r>
      <w:r>
        <w:rPr>
          <w:rFonts w:hint="eastAsia"/>
        </w:rPr>
        <w:t>能以远低于市值的价格</w:t>
      </w:r>
      <w:r>
        <w:t>(</w:t>
      </w:r>
      <w:r>
        <w:rPr>
          <w:rFonts w:hint="eastAsia"/>
        </w:rPr>
        <w:t>平均为市值的</w:t>
      </w:r>
      <w:r>
        <w:t>50%)</w:t>
      </w:r>
      <w:r>
        <w:rPr>
          <w:rFonts w:hint="eastAsia"/>
        </w:rPr>
        <w:t>购置居所。截至一九九七年十二月三十一日为止，这两个计划共兴建了大约</w:t>
      </w:r>
      <w:r>
        <w:t>230,000</w:t>
      </w:r>
      <w:r>
        <w:rPr>
          <w:rFonts w:hint="eastAsia"/>
        </w:rPr>
        <w:t>个单位，使公营房屋方面的自置居所比率，由一九八二年的</w:t>
      </w:r>
      <w:r>
        <w:t>5%</w:t>
      </w:r>
      <w:r>
        <w:rPr>
          <w:rFonts w:hint="eastAsia"/>
        </w:rPr>
        <w:t>增至一九九五年的</w:t>
      </w:r>
      <w:r>
        <w:t>23%</w:t>
      </w:r>
      <w:r>
        <w:rPr>
          <w:rFonts w:hint="eastAsia"/>
        </w:rPr>
        <w:t>，而截至一九九八年六月三十日为止，更增至</w:t>
      </w:r>
      <w:r>
        <w:t>28%</w:t>
      </w:r>
      <w:r>
        <w:rPr>
          <w:rFonts w:hint="eastAsia"/>
        </w:rPr>
        <w:t>。</w:t>
      </w:r>
    </w:p>
    <w:p w:rsidR="00000000" w:rsidRDefault="00000000">
      <w:pPr>
        <w:pStyle w:val="Heading4"/>
        <w:ind w:left="518"/>
      </w:pPr>
      <w:r>
        <w:rPr>
          <w:rFonts w:hint="eastAsia"/>
        </w:rPr>
        <w:t>夹心阶层住屋计划</w:t>
      </w:r>
    </w:p>
    <w:p w:rsidR="00000000" w:rsidRDefault="00000000">
      <w:pPr>
        <w:textAlignment w:val="center"/>
      </w:pPr>
      <w:r>
        <w:tab/>
        <w:t xml:space="preserve">368.  </w:t>
      </w:r>
      <w:r>
        <w:rPr>
          <w:rFonts w:hint="eastAsia"/>
        </w:rPr>
        <w:t>如上次报告第</w:t>
      </w:r>
      <w:r>
        <w:t>202</w:t>
      </w:r>
      <w:r>
        <w:rPr>
          <w:rFonts w:hint="eastAsia"/>
        </w:rPr>
        <w:t>段所述，我们推出这个计划的目的，是要满足“夹心阶层”的住屋需要。所谓，“夹心阶层”，是指那些不合资格申请为较低收入家庭而设的各项房屋资助计划，又无力购置合适私人楼宇单位的家庭，当中包括很多属于管理和专业人士的年青夫妇。这类人士对香港的经济贡献良多，其主要困难在于缺乏足够现金支付楼宇首期</w:t>
      </w:r>
      <w:r>
        <w:t xml:space="preserve"> </w:t>
      </w:r>
      <w:r>
        <w:rPr>
          <w:rStyle w:val="FootnoteReference"/>
        </w:rPr>
        <w:footnoteReference w:id="77"/>
      </w:r>
      <w:r>
        <w:t xml:space="preserve"> </w:t>
      </w:r>
      <w:r>
        <w:rPr>
          <w:rFonts w:hint="eastAsia"/>
        </w:rPr>
        <w:t>。</w:t>
      </w:r>
    </w:p>
    <w:p w:rsidR="00000000" w:rsidRDefault="00000000">
      <w:pPr>
        <w:textAlignment w:val="center"/>
      </w:pPr>
      <w:r>
        <w:tab/>
        <w:t xml:space="preserve">369.  </w:t>
      </w:r>
      <w:r>
        <w:rPr>
          <w:rFonts w:hint="eastAsia"/>
        </w:rPr>
        <w:t>如上次报告第</w:t>
      </w:r>
      <w:r>
        <w:t>202</w:t>
      </w:r>
      <w:r>
        <w:rPr>
          <w:rFonts w:hint="eastAsia"/>
        </w:rPr>
        <w:t>段所述，这计划分主体计划和贷款计划两部分，以租住私人楼宇而目前月入介乎</w:t>
      </w:r>
      <w:r>
        <w:t>33,001</w:t>
      </w:r>
      <w:r>
        <w:rPr>
          <w:rFonts w:hint="eastAsia"/>
        </w:rPr>
        <w:t>至</w:t>
      </w:r>
      <w:r>
        <w:t>60,000</w:t>
      </w:r>
      <w:r>
        <w:rPr>
          <w:rFonts w:hint="eastAsia"/>
        </w:rPr>
        <w:t>港元的家庭为对象。在主体计划下，政府以优惠条件把土地批给房屋协会建屋，售予夹心阶层人士。截至一九九八年六月三十日为止，计划售出的单位约有</w:t>
      </w:r>
      <w:r>
        <w:t>7,000</w:t>
      </w:r>
      <w:r>
        <w:rPr>
          <w:rFonts w:hint="eastAsia"/>
        </w:rPr>
        <w:t>个。贷款计划则提供低息贷款，贷款额最高为</w:t>
      </w:r>
      <w:r>
        <w:t>550,000</w:t>
      </w:r>
      <w:r>
        <w:rPr>
          <w:rFonts w:hint="eastAsia"/>
        </w:rPr>
        <w:t>港元，以协助合资格家庭购买私人单位。目前，贷款计划资本总额为</w:t>
      </w:r>
      <w:r>
        <w:t>33.8</w:t>
      </w:r>
      <w:r>
        <w:rPr>
          <w:rFonts w:hint="eastAsia"/>
        </w:rPr>
        <w:t>亿港元。截至一九九八年六月三十日为止，约有</w:t>
      </w:r>
      <w:r>
        <w:t>5,200</w:t>
      </w:r>
      <w:r>
        <w:rPr>
          <w:rFonts w:hint="eastAsia"/>
        </w:rPr>
        <w:t>宗贷款申请已获得批准，贷款额达</w:t>
      </w:r>
      <w:r>
        <w:t>25</w:t>
      </w:r>
      <w:r>
        <w:rPr>
          <w:rFonts w:hint="eastAsia"/>
        </w:rPr>
        <w:t>亿港元。</w:t>
      </w:r>
    </w:p>
    <w:p w:rsidR="00000000" w:rsidRDefault="00000000">
      <w:pPr>
        <w:spacing w:after="320"/>
        <w:textAlignment w:val="center"/>
      </w:pPr>
      <w:r>
        <w:tab/>
        <w:t xml:space="preserve">370.  </w:t>
      </w:r>
      <w:r>
        <w:rPr>
          <w:rFonts w:hint="eastAsia"/>
        </w:rPr>
        <w:t>在上次报告中，我们曾表示，我们打算在二○○○年前，通过主体计划兴建</w:t>
      </w:r>
      <w:r>
        <w:t>20,000</w:t>
      </w:r>
      <w:r>
        <w:rPr>
          <w:rFonts w:hint="eastAsia"/>
        </w:rPr>
        <w:t>个单位，最近我们检讨过这个目标，决定暂缓兴建这些单位，但已经动工兴建的约</w:t>
      </w:r>
      <w:r>
        <w:t>4,000</w:t>
      </w:r>
      <w:r>
        <w:rPr>
          <w:rFonts w:hint="eastAsia"/>
        </w:rPr>
        <w:t>个单位则不受影响。去年，住宅物业价格显著回落，夹心阶层现时已有能力购买优质的私人楼宇单位。不过，政府仍会继续为他们提供首期贷款，让他们在物色单位时有较多选择。</w:t>
      </w:r>
    </w:p>
    <w:p w:rsidR="00000000" w:rsidRDefault="00000000">
      <w:pPr>
        <w:spacing w:after="320"/>
        <w:ind w:left="600"/>
        <w:textAlignment w:val="center"/>
      </w:pPr>
      <w:r>
        <w:rPr>
          <w:rFonts w:hint="eastAsia"/>
          <w:u w:val="single"/>
        </w:rPr>
        <w:t>首次置业贷款计划</w:t>
      </w:r>
    </w:p>
    <w:p w:rsidR="00000000" w:rsidRDefault="00000000">
      <w:pPr>
        <w:spacing w:after="320"/>
        <w:textAlignment w:val="center"/>
      </w:pPr>
      <w:r>
        <w:tab/>
        <w:t xml:space="preserve">371.  </w:t>
      </w:r>
      <w:r>
        <w:rPr>
          <w:rFonts w:hint="eastAsia"/>
        </w:rPr>
        <w:t>首次置业贷款计划于一九九八年推出，由政府拨出</w:t>
      </w:r>
      <w:r>
        <w:t>180</w:t>
      </w:r>
      <w:r>
        <w:rPr>
          <w:rFonts w:hint="eastAsia"/>
        </w:rPr>
        <w:t>亿港元为资金，以协助首次置业人士购置居所。这计划由房屋协会负责推行，在未来五年内分批批出贷款</w:t>
      </w:r>
      <w:r>
        <w:t>(</w:t>
      </w:r>
      <w:r>
        <w:rPr>
          <w:rFonts w:hint="eastAsia"/>
        </w:rPr>
        <w:t>每年约批出</w:t>
      </w:r>
      <w:r>
        <w:t>6,000</w:t>
      </w:r>
      <w:r>
        <w:rPr>
          <w:rFonts w:hint="eastAsia"/>
        </w:rPr>
        <w:t>笔贷款</w:t>
      </w:r>
      <w:r>
        <w:t>)</w:t>
      </w:r>
      <w:r>
        <w:rPr>
          <w:rFonts w:hint="eastAsia"/>
        </w:rPr>
        <w:t>，预计共可惠及</w:t>
      </w:r>
      <w:r>
        <w:t>30,000</w:t>
      </w:r>
      <w:r>
        <w:rPr>
          <w:rFonts w:hint="eastAsia"/>
        </w:rPr>
        <w:t>个合资格家庭</w:t>
      </w:r>
      <w:r>
        <w:rPr>
          <w:rStyle w:val="FootnoteReference"/>
        </w:rPr>
        <w:footnoteReference w:id="78"/>
      </w:r>
      <w:r>
        <w:rPr>
          <w:rFonts w:hint="eastAsia"/>
        </w:rPr>
        <w:t>。贷款以低息借出，最高贷款额为</w:t>
      </w:r>
      <w:r>
        <w:t>600,000</w:t>
      </w:r>
      <w:r>
        <w:rPr>
          <w:rFonts w:hint="eastAsia"/>
        </w:rPr>
        <w:t>港元。一九九八年六月，我们决定把约</w:t>
      </w:r>
      <w:r>
        <w:t>6,000</w:t>
      </w:r>
      <w:r>
        <w:rPr>
          <w:rFonts w:hint="eastAsia"/>
        </w:rPr>
        <w:t>笔原先“预留”给一九九九至二○○○年度的贷款，提早于一九九八至九九年度批出。</w:t>
      </w:r>
    </w:p>
    <w:p w:rsidR="00000000" w:rsidRDefault="00000000">
      <w:pPr>
        <w:pStyle w:val="Heading4"/>
        <w:ind w:left="518"/>
      </w:pPr>
      <w:r>
        <w:rPr>
          <w:rFonts w:hint="eastAsia"/>
        </w:rPr>
        <w:t>自置居所贷款计划</w:t>
      </w:r>
    </w:p>
    <w:p w:rsidR="00000000" w:rsidRDefault="00000000">
      <w:pPr>
        <w:textAlignment w:val="center"/>
      </w:pPr>
      <w:r>
        <w:tab/>
        <w:t xml:space="preserve">372  </w:t>
      </w:r>
      <w:r>
        <w:rPr>
          <w:rFonts w:hint="eastAsia"/>
        </w:rPr>
        <w:t>如上次报告第</w:t>
      </w:r>
      <w:r>
        <w:t>201</w:t>
      </w:r>
      <w:r>
        <w:rPr>
          <w:rFonts w:hint="eastAsia"/>
        </w:rPr>
        <w:t>段所述，这项计划为公屋租户和较低收入家庭提供免息贷款，以购置私人单位。贷款条件与上次报告所述相同，即通过这项计划获得贷款的公屋租户，必须交还其公屋单位。此外，贷款人可从下列两个贷款方式中，任择其—：</w:t>
      </w:r>
    </w:p>
    <w:p w:rsidR="00000000" w:rsidRDefault="00000000">
      <w:pPr>
        <w:pStyle w:val="a0"/>
        <w:numPr>
          <w:ilvl w:val="0"/>
          <w:numId w:val="33"/>
        </w:numPr>
        <w:ind w:left="1531" w:hanging="510"/>
      </w:pPr>
      <w:r>
        <w:rPr>
          <w:rFonts w:hint="eastAsia"/>
        </w:rPr>
        <w:t>申请贷款支付首期、物业转易费及印花税；及</w:t>
      </w:r>
    </w:p>
    <w:p w:rsidR="00000000" w:rsidRDefault="00000000">
      <w:pPr>
        <w:pStyle w:val="a0"/>
        <w:numPr>
          <w:ilvl w:val="0"/>
          <w:numId w:val="33"/>
        </w:numPr>
        <w:ind w:left="1531" w:hanging="510"/>
      </w:pPr>
      <w:r>
        <w:rPr>
          <w:rFonts w:hint="eastAsia"/>
        </w:rPr>
        <w:t>申请合共</w:t>
      </w:r>
      <w:r>
        <w:t>48</w:t>
      </w:r>
      <w:r>
        <w:rPr>
          <w:rFonts w:hint="eastAsia"/>
        </w:rPr>
        <w:t>个月的按揭还款补助金。</w:t>
      </w:r>
    </w:p>
    <w:p w:rsidR="00000000" w:rsidRDefault="00000000">
      <w:pPr>
        <w:spacing w:after="320"/>
        <w:textAlignment w:val="center"/>
      </w:pPr>
      <w:r>
        <w:rPr>
          <w:rFonts w:hint="eastAsia"/>
        </w:rPr>
        <w:t>目前，非公屋住户的申请人，其个人最高贷款额仍为</w:t>
      </w:r>
      <w:r>
        <w:t>400,000</w:t>
      </w:r>
      <w:r>
        <w:rPr>
          <w:rFonts w:hint="eastAsia"/>
        </w:rPr>
        <w:t>港元；而选择按揭还款补助金者，则每月仍可获得资助</w:t>
      </w:r>
      <w:r>
        <w:t>3,400</w:t>
      </w:r>
      <w:r>
        <w:rPr>
          <w:rFonts w:hint="eastAsia"/>
        </w:rPr>
        <w:t>港元。如申请人为公屋租户，则仍可获得</w:t>
      </w:r>
      <w:r>
        <w:t>600,000</w:t>
      </w:r>
      <w:r>
        <w:rPr>
          <w:rFonts w:hint="eastAsia"/>
        </w:rPr>
        <w:t>港元贷款或</w:t>
      </w:r>
      <w:r>
        <w:t>5,100</w:t>
      </w:r>
      <w:r>
        <w:rPr>
          <w:rFonts w:hint="eastAsia"/>
        </w:rPr>
        <w:t>港元按揭还款补助金。这计划于一九八八年实施，而截至一九九七年年底为止，已批出约</w:t>
      </w:r>
      <w:r>
        <w:t>20,000</w:t>
      </w:r>
      <w:r>
        <w:rPr>
          <w:rFonts w:hint="eastAsia"/>
        </w:rPr>
        <w:t>宗贷款申请及</w:t>
      </w:r>
      <w:r>
        <w:t>1,300</w:t>
      </w:r>
      <w:r>
        <w:rPr>
          <w:rFonts w:hint="eastAsia"/>
        </w:rPr>
        <w:t>宗按揭还款补助金申请。</w:t>
      </w:r>
    </w:p>
    <w:p w:rsidR="00000000" w:rsidRDefault="00000000">
      <w:pPr>
        <w:spacing w:after="320"/>
        <w:textAlignment w:val="center"/>
        <w:rPr>
          <w:u w:val="single"/>
        </w:rPr>
      </w:pPr>
      <w:r>
        <w:rPr>
          <w:rFonts w:hint="eastAsia"/>
          <w:u w:val="single"/>
        </w:rPr>
        <w:t>有特殊需要的人士</w:t>
      </w:r>
    </w:p>
    <w:p w:rsidR="00000000" w:rsidRDefault="00000000">
      <w:pPr>
        <w:pStyle w:val="Heading4"/>
        <w:ind w:left="518"/>
      </w:pPr>
      <w:r>
        <w:rPr>
          <w:rFonts w:hint="eastAsia"/>
        </w:rPr>
        <w:t>单身住户</w:t>
      </w:r>
    </w:p>
    <w:p w:rsidR="00000000" w:rsidRDefault="00000000">
      <w:pPr>
        <w:textAlignment w:val="center"/>
      </w:pPr>
      <w:r>
        <w:tab/>
        <w:t xml:space="preserve">373.  </w:t>
      </w:r>
      <w:r>
        <w:rPr>
          <w:rFonts w:hint="eastAsia"/>
        </w:rPr>
        <w:t>基于上文第十条下第</w:t>
      </w:r>
      <w:r>
        <w:t>200</w:t>
      </w:r>
      <w:r>
        <w:rPr>
          <w:rFonts w:hint="eastAsia"/>
        </w:rPr>
        <w:t>段所述的原因，香港于一九九七年时，约有</w:t>
      </w:r>
      <w:r>
        <w:t>270,000</w:t>
      </w:r>
      <w:r>
        <w:rPr>
          <w:rFonts w:hint="eastAsia"/>
        </w:rPr>
        <w:t>个单身住户：约占全港住户的</w:t>
      </w:r>
      <w:r>
        <w:t>14%</w:t>
      </w:r>
      <w:r>
        <w:rPr>
          <w:rFonts w:hint="eastAsia"/>
        </w:rPr>
        <w:t>，当中三分之一为长者。预计到了二○○五年，单身住户将增加</w:t>
      </w:r>
      <w:r>
        <w:t>25%</w:t>
      </w:r>
      <w:r>
        <w:rPr>
          <w:rFonts w:hint="eastAsia"/>
        </w:rPr>
        <w:t>，数目达到</w:t>
      </w:r>
      <w:r>
        <w:t>338,000</w:t>
      </w:r>
      <w:r>
        <w:rPr>
          <w:rFonts w:hint="eastAsia"/>
        </w:rPr>
        <w:t>户。</w:t>
      </w:r>
    </w:p>
    <w:p w:rsidR="00000000" w:rsidRDefault="00000000">
      <w:pPr>
        <w:spacing w:after="240"/>
        <w:textAlignment w:val="center"/>
      </w:pPr>
      <w:r>
        <w:tab/>
        <w:t xml:space="preserve">374.  </w:t>
      </w:r>
      <w:r>
        <w:rPr>
          <w:rFonts w:hint="eastAsia"/>
        </w:rPr>
        <w:t>许多单身住户均已经入住租住公屋、资助居屋单位，或合适的私人住宅单位，但其余则仍未有合适的居所。为此，房屋委员会计划在一九九八至二○○一年间，陆续分配</w:t>
      </w:r>
      <w:r>
        <w:t>36,500</w:t>
      </w:r>
      <w:r>
        <w:rPr>
          <w:rFonts w:hint="eastAsia"/>
        </w:rPr>
        <w:t>个小型单位给有真正需要而又符合资格的单身人士，当中超过</w:t>
      </w:r>
      <w:r>
        <w:t>70%</w:t>
      </w:r>
      <w:r>
        <w:rPr>
          <w:rFonts w:hint="eastAsia"/>
        </w:rPr>
        <w:t>单位将分配给长者。</w:t>
      </w:r>
    </w:p>
    <w:p w:rsidR="00000000" w:rsidRDefault="00000000">
      <w:pPr>
        <w:pStyle w:val="Heading4"/>
        <w:ind w:left="518"/>
      </w:pPr>
      <w:r>
        <w:rPr>
          <w:rFonts w:hint="eastAsia"/>
        </w:rPr>
        <w:t>长者房屋政策</w:t>
      </w:r>
    </w:p>
    <w:p w:rsidR="00000000" w:rsidRDefault="00000000">
      <w:pPr>
        <w:spacing w:after="320"/>
        <w:textAlignment w:val="center"/>
      </w:pPr>
      <w:r>
        <w:tab/>
        <w:t xml:space="preserve">375.  </w:t>
      </w:r>
      <w:r>
        <w:rPr>
          <w:rFonts w:hint="eastAsia"/>
        </w:rPr>
        <w:t>政府的一贯政策，是让有需要的长者优先获得分配公屋，并确保为他们兴建足够数目而又设有所需设施和服务的单位。</w:t>
      </w:r>
      <w:r>
        <w:t xml:space="preserve"> </w:t>
      </w:r>
      <w:r>
        <w:rPr>
          <w:rFonts w:hint="eastAsia"/>
        </w:rPr>
        <w:t>截至一九九七年年底为止，</w:t>
      </w:r>
      <w:r>
        <w:t xml:space="preserve"> </w:t>
      </w:r>
      <w:r>
        <w:rPr>
          <w:rFonts w:hint="eastAsia"/>
        </w:rPr>
        <w:t>约有</w:t>
      </w:r>
      <w:r>
        <w:t>509,000</w:t>
      </w:r>
      <w:r>
        <w:rPr>
          <w:rFonts w:hint="eastAsia"/>
        </w:rPr>
        <w:t>位</w:t>
      </w:r>
      <w:r>
        <w:t>60</w:t>
      </w:r>
      <w:r>
        <w:rPr>
          <w:rFonts w:hint="eastAsia"/>
        </w:rPr>
        <w:t>岁或以上的长者居住在租住公屋或资助居屋单位，人数超过全港长者人口的一半。</w:t>
      </w:r>
    </w:p>
    <w:p w:rsidR="00000000" w:rsidRDefault="00000000">
      <w:pPr>
        <w:pStyle w:val="Heading4"/>
        <w:ind w:left="518"/>
      </w:pPr>
      <w:r>
        <w:rPr>
          <w:rFonts w:hint="eastAsia"/>
        </w:rPr>
        <w:t>长者优先配屋计划</w:t>
      </w:r>
    </w:p>
    <w:p w:rsidR="00000000" w:rsidRDefault="00000000">
      <w:pPr>
        <w:textAlignment w:val="center"/>
      </w:pPr>
      <w:r>
        <w:tab/>
        <w:t xml:space="preserve">376.  </w:t>
      </w:r>
      <w:r>
        <w:rPr>
          <w:rFonts w:hint="eastAsia"/>
        </w:rPr>
        <w:t>对于在私人楼宇居住的长者，倘若其居住环境欠佳，我们积极鼓励他们在公屋轮候册上登记。为此，我们分别在长者人口较多的地区开设了五个房屋事务询问处，以提高长者对住屋权利的认识。我们将于一九九八年年底开设第六个询问处。</w:t>
      </w:r>
    </w:p>
    <w:p w:rsidR="00000000" w:rsidRDefault="00000000">
      <w:pPr>
        <w:textAlignment w:val="center"/>
      </w:pPr>
      <w:r>
        <w:tab/>
        <w:t xml:space="preserve">377.  </w:t>
      </w:r>
      <w:r>
        <w:rPr>
          <w:rFonts w:hint="eastAsia"/>
        </w:rPr>
        <w:t>截至一九九八年六月三十日为止，已有超过</w:t>
      </w:r>
      <w:r>
        <w:t>40,000</w:t>
      </w:r>
      <w:r>
        <w:rPr>
          <w:rFonts w:hint="eastAsia"/>
        </w:rPr>
        <w:t>位长者因各项优先配屋计划而受惠。有关优先配屋计划包括单身老人优先配屋计划、共享颐年优先配屋计划</w:t>
      </w:r>
      <w:r>
        <w:t>(</w:t>
      </w:r>
      <w:r>
        <w:rPr>
          <w:rFonts w:hint="eastAsia"/>
        </w:rPr>
        <w:t>二人家庭和三人家庭</w:t>
      </w:r>
      <w:r>
        <w:t>)</w:t>
      </w:r>
      <w:r>
        <w:rPr>
          <w:rFonts w:hint="eastAsia"/>
        </w:rPr>
        <w:t>和家有年老亲属优先配屋计划等。现时，轮候册上约有</w:t>
      </w:r>
      <w:r>
        <w:t>9,000</w:t>
      </w:r>
      <w:r>
        <w:rPr>
          <w:rFonts w:hint="eastAsia"/>
        </w:rPr>
        <w:t>位单身长者。我们的目标，是在接到申请后两年内，安排长者入住租住公屋单位。不过，如申请人的情况值得同情，他们可立即获得安置。</w:t>
      </w:r>
    </w:p>
    <w:p w:rsidR="00000000" w:rsidRDefault="00000000">
      <w:pPr>
        <w:textAlignment w:val="center"/>
      </w:pPr>
      <w:r>
        <w:tab/>
        <w:t xml:space="preserve">378.  </w:t>
      </w:r>
      <w:r>
        <w:rPr>
          <w:rFonts w:hint="eastAsia"/>
        </w:rPr>
        <w:t>政府鼓励家庭与长者同住，并给予照顾。因为我们相信，长者最乐于与家人共住，而其家人也是最适宜照顾他们的人。我们将于一九九八年年底前推出新措施，以期进一步推展这项政策。</w:t>
      </w:r>
    </w:p>
    <w:p w:rsidR="00000000" w:rsidRDefault="00000000">
      <w:pPr>
        <w:pStyle w:val="Heading4"/>
        <w:spacing w:before="320"/>
        <w:ind w:left="518"/>
      </w:pPr>
      <w:r>
        <w:rPr>
          <w:rFonts w:hint="eastAsia"/>
        </w:rPr>
        <w:t>长者的特别住屋安排</w:t>
      </w:r>
    </w:p>
    <w:p w:rsidR="00000000" w:rsidRDefault="00000000">
      <w:pPr>
        <w:textAlignment w:val="center"/>
      </w:pPr>
      <w:r>
        <w:tab/>
        <w:t xml:space="preserve">379.  </w:t>
      </w:r>
      <w:r>
        <w:rPr>
          <w:rFonts w:hint="eastAsia"/>
        </w:rPr>
        <w:t>不与家人同住的长者，可获提供以下两种租住公屋单位：</w:t>
      </w:r>
    </w:p>
    <w:p w:rsidR="00000000" w:rsidRDefault="00000000">
      <w:pPr>
        <w:pStyle w:val="a0"/>
        <w:numPr>
          <w:ilvl w:val="0"/>
          <w:numId w:val="34"/>
        </w:numPr>
        <w:ind w:left="1531" w:hanging="510"/>
      </w:pPr>
      <w:r>
        <w:rPr>
          <w:rFonts w:hint="eastAsia"/>
          <w:u w:val="single"/>
        </w:rPr>
        <w:t>长者住屋计划单位</w:t>
      </w:r>
      <w:r>
        <w:rPr>
          <w:rFonts w:hint="eastAsia"/>
        </w:rPr>
        <w:t>：这计划为长者提供特别设计而附有舍监服务的租住公屋单位。现时该类单位共有</w:t>
      </w:r>
      <w:r>
        <w:t>6,400</w:t>
      </w:r>
      <w:r>
        <w:rPr>
          <w:rFonts w:hint="eastAsia"/>
        </w:rPr>
        <w:t>个。由一九九七至九八年度到二○○一至○二年度为止，这计划会再提供</w:t>
      </w:r>
      <w:r>
        <w:t>4,000</w:t>
      </w:r>
      <w:r>
        <w:rPr>
          <w:rFonts w:hint="eastAsia"/>
        </w:rPr>
        <w:t>个单位；及</w:t>
      </w:r>
    </w:p>
    <w:p w:rsidR="00000000" w:rsidRDefault="00000000">
      <w:pPr>
        <w:pStyle w:val="a0"/>
        <w:numPr>
          <w:ilvl w:val="0"/>
          <w:numId w:val="34"/>
        </w:numPr>
        <w:spacing w:after="240"/>
        <w:ind w:left="1531" w:hanging="510"/>
        <w:textAlignment w:val="center"/>
      </w:pPr>
      <w:r>
        <w:rPr>
          <w:rFonts w:hint="eastAsia"/>
          <w:u w:val="single"/>
        </w:rPr>
        <w:t>长者专设独立式租住公屋单位</w:t>
      </w:r>
      <w:r>
        <w:rPr>
          <w:rFonts w:hint="eastAsia"/>
        </w:rPr>
        <w:t>：过去四年，政府共编配了</w:t>
      </w:r>
      <w:r>
        <w:t>21,300</w:t>
      </w:r>
      <w:r>
        <w:rPr>
          <w:rFonts w:hint="eastAsia"/>
        </w:rPr>
        <w:t>多个这类单位给长者居住。由一九九八至九九年度到二○○一至○二年度为止，我们会再提供</w:t>
      </w:r>
      <w:r>
        <w:t>22,700</w:t>
      </w:r>
      <w:r>
        <w:rPr>
          <w:rFonts w:hint="eastAsia"/>
        </w:rPr>
        <w:t>个单位。</w:t>
      </w:r>
    </w:p>
    <w:p w:rsidR="00000000" w:rsidRDefault="00000000">
      <w:pPr>
        <w:pStyle w:val="Heading4"/>
        <w:ind w:left="518"/>
      </w:pPr>
      <w:r>
        <w:rPr>
          <w:rFonts w:hint="eastAsia"/>
        </w:rPr>
        <w:t>中等收入长者住屋计划</w:t>
      </w:r>
    </w:p>
    <w:p w:rsidR="00000000" w:rsidRDefault="00000000">
      <w:pPr>
        <w:spacing w:after="320"/>
        <w:textAlignment w:val="center"/>
      </w:pPr>
      <w:r>
        <w:tab/>
        <w:t xml:space="preserve">380.  </w:t>
      </w:r>
      <w:r>
        <w:rPr>
          <w:rFonts w:hint="eastAsia"/>
        </w:rPr>
        <w:t>一直以来，我们都集中为最有需要的长者提供住屋，理由明显不过。然而，我们也了解到，社会上存在一批夹心阶层的长者，他们属于中等收入类别，其需要尚未获得解决。基本上，他们需要特别设计而附有综合服务的单位，而租金是他们负担得起的。因此，我们实施了一项试验性质的长者颐安住屋计划，于市区提供</w:t>
      </w:r>
      <w:r>
        <w:t>500</w:t>
      </w:r>
      <w:r>
        <w:rPr>
          <w:rFonts w:hint="eastAsia"/>
        </w:rPr>
        <w:t>个小型单位，供夹心阶层长者终身租用。其住屋就近有医疗和其他设施。</w:t>
      </w:r>
    </w:p>
    <w:p w:rsidR="00000000" w:rsidRDefault="00000000">
      <w:pPr>
        <w:pStyle w:val="Heading4"/>
        <w:ind w:left="518"/>
      </w:pPr>
      <w:r>
        <w:rPr>
          <w:rFonts w:hint="eastAsia"/>
        </w:rPr>
        <w:t>内地新来港定居人士</w:t>
      </w:r>
    </w:p>
    <w:p w:rsidR="00000000" w:rsidRDefault="00000000">
      <w:pPr>
        <w:textAlignment w:val="center"/>
      </w:pPr>
      <w:r>
        <w:tab/>
        <w:t xml:space="preserve">381.  </w:t>
      </w:r>
      <w:r>
        <w:rPr>
          <w:rFonts w:hint="eastAsia"/>
        </w:rPr>
        <w:t>政府为新来港人士提供住屋资料，并协助他们登记轮候公屋。他们如属公屋住户的配偶或受供养子女，可加入单位共住。</w:t>
      </w:r>
    </w:p>
    <w:p w:rsidR="00000000" w:rsidRDefault="00000000">
      <w:pPr>
        <w:spacing w:after="320"/>
        <w:textAlignment w:val="center"/>
      </w:pPr>
      <w:r>
        <w:tab/>
        <w:t xml:space="preserve">382.  </w:t>
      </w:r>
      <w:r>
        <w:rPr>
          <w:rFonts w:hint="eastAsia"/>
        </w:rPr>
        <w:t>然而，租住公屋的申请人必须在香港住满七年，才符合申请资格。倘申请人有其他家庭成员，则他们当中须有超过一半人</w:t>
      </w:r>
      <w:r>
        <w:t>(</w:t>
      </w:r>
      <w:r>
        <w:rPr>
          <w:rFonts w:hint="eastAsia"/>
        </w:rPr>
        <w:t>包括申请人在内</w:t>
      </w:r>
      <w:r>
        <w:t>)</w:t>
      </w:r>
      <w:r>
        <w:rPr>
          <w:rFonts w:hint="eastAsia"/>
        </w:rPr>
        <w:t>在香港住满七年，方合乎申请资格。所有在港出生的儿童均视为符合居住年期规定，只要其父母任何一方符合居住年期的规定便可。有论者认为，这项规定歧视新来港定居人士。不过，政府认为，这项规定是公平合理的。由于房屋资源有限，所以资源应该先分配给居港时间较长的居民和在港出生的儿童。永久性居民身分并非获得分配租住公屋的一种资格。</w:t>
      </w:r>
    </w:p>
    <w:p w:rsidR="00000000" w:rsidRDefault="00000000">
      <w:pPr>
        <w:pStyle w:val="Heading4"/>
      </w:pPr>
      <w:r>
        <w:rPr>
          <w:rFonts w:hint="eastAsia"/>
        </w:rPr>
        <w:t>寮屋居民</w:t>
      </w:r>
    </w:p>
    <w:p w:rsidR="00000000" w:rsidRDefault="00000000">
      <w:pPr>
        <w:textAlignment w:val="center"/>
      </w:pPr>
      <w:r>
        <w:tab/>
        <w:t xml:space="preserve">383.  </w:t>
      </w:r>
      <w:r>
        <w:rPr>
          <w:rFonts w:hint="eastAsia"/>
        </w:rPr>
        <w:t>虽然有越来越多人来港定居，但由于政府一向致力推行清拆寮屋及安置计划，因此，寮屋居民只徘徊在约</w:t>
      </w:r>
      <w:r>
        <w:t>230,000</w:t>
      </w:r>
      <w:r>
        <w:rPr>
          <w:rFonts w:hint="eastAsia"/>
        </w:rPr>
        <w:t>人的水平</w:t>
      </w:r>
      <w:r>
        <w:t>(</w:t>
      </w:r>
      <w:r>
        <w:rPr>
          <w:rFonts w:hint="eastAsia"/>
        </w:rPr>
        <w:t>截至一九九八年六月为止</w:t>
      </w:r>
      <w:r>
        <w:t>)</w:t>
      </w:r>
      <w:r>
        <w:rPr>
          <w:rFonts w:hint="eastAsia"/>
        </w:rPr>
        <w:t>。这个数字包括在政府土地上僭建寮屋和在私人土地上搭建寮屋的居民。当中部分居民寮屋结构坚稳，居住环境在基本水平之上。</w:t>
      </w:r>
    </w:p>
    <w:p w:rsidR="00000000" w:rsidRDefault="00000000">
      <w:pPr>
        <w:textAlignment w:val="center"/>
      </w:pPr>
      <w:r>
        <w:tab/>
        <w:t xml:space="preserve">384.  </w:t>
      </w:r>
      <w:r>
        <w:rPr>
          <w:rFonts w:hint="eastAsia"/>
        </w:rPr>
        <w:t>政府有决心在一段时间内，为居住环境欠佳的寮屋居民解决住屋问题。现时，所有在市区政府土地上的寮屋居民已获提供安置。政府下一个目标，是在五年内再清拆一批寮屋，安置</w:t>
      </w:r>
      <w:r>
        <w:t>12,000</w:t>
      </w:r>
      <w:r>
        <w:rPr>
          <w:rFonts w:hint="eastAsia"/>
        </w:rPr>
        <w:t>户寮屋居民。这计划包括：</w:t>
      </w:r>
    </w:p>
    <w:p w:rsidR="00000000" w:rsidRDefault="00000000">
      <w:pPr>
        <w:pStyle w:val="a0"/>
        <w:numPr>
          <w:ilvl w:val="0"/>
          <w:numId w:val="35"/>
        </w:numPr>
        <w:ind w:left="1531" w:hanging="510"/>
      </w:pPr>
      <w:r>
        <w:rPr>
          <w:rFonts w:hint="eastAsia"/>
        </w:rPr>
        <w:t>清拆受山泥倾泻威胁的搭建物；</w:t>
      </w:r>
    </w:p>
    <w:p w:rsidR="00000000" w:rsidRDefault="00000000">
      <w:pPr>
        <w:pStyle w:val="a0"/>
        <w:numPr>
          <w:ilvl w:val="0"/>
          <w:numId w:val="35"/>
        </w:numPr>
        <w:ind w:left="1531" w:hanging="510"/>
      </w:pPr>
      <w:r>
        <w:rPr>
          <w:rFonts w:hint="eastAsia"/>
        </w:rPr>
        <w:t>清理土地作公共发展；及</w:t>
      </w:r>
    </w:p>
    <w:p w:rsidR="00000000" w:rsidRDefault="00000000">
      <w:pPr>
        <w:pStyle w:val="a0"/>
        <w:numPr>
          <w:ilvl w:val="0"/>
          <w:numId w:val="35"/>
        </w:numPr>
        <w:ind w:left="1531" w:hanging="510"/>
      </w:pPr>
      <w:r>
        <w:rPr>
          <w:rFonts w:hint="eastAsia"/>
        </w:rPr>
        <w:t>清拆搭建物，以改善环境或生活质素。</w:t>
      </w:r>
    </w:p>
    <w:p w:rsidR="00000000" w:rsidRDefault="00000000">
      <w:pPr>
        <w:spacing w:after="320"/>
        <w:textAlignment w:val="center"/>
      </w:pPr>
      <w:r>
        <w:tab/>
        <w:t xml:space="preserve">385.  </w:t>
      </w:r>
      <w:r>
        <w:rPr>
          <w:rFonts w:hint="eastAsia"/>
        </w:rPr>
        <w:t>对于不受上述清拆行动影响的寮屋居民，我们鼓励他们在公屋轮候册上登记，以轮候入住租住公屋。</w:t>
      </w:r>
    </w:p>
    <w:p w:rsidR="00000000" w:rsidRDefault="00000000">
      <w:pPr>
        <w:pStyle w:val="Heading4"/>
      </w:pPr>
      <w:r>
        <w:rPr>
          <w:rFonts w:hint="eastAsia"/>
        </w:rPr>
        <w:t>床位寓所</w:t>
      </w:r>
    </w:p>
    <w:p w:rsidR="00000000" w:rsidRDefault="00000000">
      <w:r>
        <w:tab/>
        <w:t xml:space="preserve">386.  </w:t>
      </w:r>
      <w:r>
        <w:rPr>
          <w:rFonts w:hint="eastAsia"/>
        </w:rPr>
        <w:t>在上次报告第</w:t>
      </w:r>
      <w:r>
        <w:t>214</w:t>
      </w:r>
      <w:r>
        <w:rPr>
          <w:rFonts w:hint="eastAsia"/>
        </w:rPr>
        <w:t>段，我们曾指出，床位寓所</w:t>
      </w:r>
      <w:r>
        <w:t>(</w:t>
      </w:r>
      <w:r>
        <w:rPr>
          <w:rFonts w:hint="eastAsia"/>
        </w:rPr>
        <w:t>即所谓“笼屋”</w:t>
      </w:r>
      <w:r>
        <w:t>)</w:t>
      </w:r>
      <w:r>
        <w:rPr>
          <w:rFonts w:hint="eastAsia"/>
        </w:rPr>
        <w:t>是私人住宅，当中把床位分租，以供那些因个人理由而只需具备基本设施居所的人士租住。截至一九九八年六月三十日为止，全港共有</w:t>
      </w:r>
      <w:r>
        <w:t>101</w:t>
      </w:r>
      <w:r>
        <w:rPr>
          <w:rFonts w:hint="eastAsia"/>
        </w:rPr>
        <w:t>个床位寓所，住客约为</w:t>
      </w:r>
      <w:r>
        <w:t>2,300</w:t>
      </w:r>
      <w:r>
        <w:rPr>
          <w:rFonts w:hint="eastAsia"/>
        </w:rPr>
        <w:t>人：比上次报告所述的</w:t>
      </w:r>
      <w:r>
        <w:t>150</w:t>
      </w:r>
      <w:r>
        <w:rPr>
          <w:rFonts w:hint="eastAsia"/>
        </w:rPr>
        <w:t>个和约</w:t>
      </w:r>
      <w:r>
        <w:t>3,200</w:t>
      </w:r>
      <w:r>
        <w:rPr>
          <w:rFonts w:hint="eastAsia"/>
        </w:rPr>
        <w:t>人分别减少了</w:t>
      </w:r>
      <w:r>
        <w:t>33%</w:t>
      </w:r>
      <w:r>
        <w:rPr>
          <w:rFonts w:hint="eastAsia"/>
        </w:rPr>
        <w:t>和</w:t>
      </w:r>
      <w:r>
        <w:t>28%</w:t>
      </w:r>
      <w:r>
        <w:rPr>
          <w:rFonts w:hint="eastAsia"/>
        </w:rPr>
        <w:t>。床位寓所大都位于人烟稠密的市内旺区，且已经营多年。由于租金低廉，所以经营者往往尽可能设置更多的床位出租，以谋取最大的利润。这造成了居住环境挤迫、火警危险及楼宇结构负荷过重的问题。</w:t>
      </w:r>
    </w:p>
    <w:p w:rsidR="00000000" w:rsidRDefault="00000000">
      <w:r>
        <w:tab/>
        <w:t xml:space="preserve">387.  </w:t>
      </w:r>
      <w:r>
        <w:rPr>
          <w:rFonts w:hint="eastAsia"/>
        </w:rPr>
        <w:t>在上次报告的审议结论第</w:t>
      </w:r>
      <w:r>
        <w:t>40</w:t>
      </w:r>
      <w:r>
        <w:rPr>
          <w:rFonts w:hint="eastAsia"/>
        </w:rPr>
        <w:t>段，委员会一再强调政府须彻底消除“笼屋”，并应优先进行这项工作。</w:t>
      </w:r>
    </w:p>
    <w:p w:rsidR="00000000" w:rsidRDefault="00000000">
      <w:r>
        <w:tab/>
        <w:t xml:space="preserve">388.  </w:t>
      </w:r>
      <w:r>
        <w:rPr>
          <w:rFonts w:hint="eastAsia"/>
        </w:rPr>
        <w:t>如上次报告第</w:t>
      </w:r>
      <w:r>
        <w:t>215</w:t>
      </w:r>
      <w:r>
        <w:rPr>
          <w:rFonts w:hint="eastAsia"/>
        </w:rPr>
        <w:t>段所述，政府跟委员会及本地论者一样关注床位寓所的居住环境。不过事实上，很多床位寓所住客都不愿意接受其他区拥有较佳环境的房屋</w:t>
      </w:r>
      <w:r>
        <w:t>(</w:t>
      </w:r>
      <w:r>
        <w:rPr>
          <w:rFonts w:hint="eastAsia"/>
        </w:rPr>
        <w:t>见下文第</w:t>
      </w:r>
      <w:r>
        <w:t>392</w:t>
      </w:r>
      <w:r>
        <w:rPr>
          <w:rFonts w:hint="eastAsia"/>
        </w:rPr>
        <w:t>段</w:t>
      </w:r>
      <w:r>
        <w:t>)</w:t>
      </w:r>
      <w:r>
        <w:rPr>
          <w:rFonts w:hint="eastAsia"/>
        </w:rPr>
        <w:t>，这显示出这类位于旺区、环境便利的廉价居所仍有基本需求。因此，我们仍然认为不应立法取缔床位寓所。政府的政策仍是要确保床位寓所符合法定的消防及楼宇安全标准。在上次报告第</w:t>
      </w:r>
      <w:r>
        <w:t>217</w:t>
      </w:r>
      <w:r>
        <w:rPr>
          <w:rFonts w:hint="eastAsia"/>
        </w:rPr>
        <w:t>段，以及我们就上次报告回应委员会第</w:t>
      </w:r>
      <w:r>
        <w:t>30</w:t>
      </w:r>
      <w:r>
        <w:rPr>
          <w:rFonts w:hint="eastAsia"/>
        </w:rPr>
        <w:t>和第</w:t>
      </w:r>
      <w:r>
        <w:t>36</w:t>
      </w:r>
      <w:r>
        <w:rPr>
          <w:rFonts w:hint="eastAsia"/>
        </w:rPr>
        <w:t>点关注事项</w:t>
      </w:r>
      <w:r>
        <w:rPr>
          <w:rStyle w:val="FootnoteReference"/>
        </w:rPr>
        <w:footnoteReference w:id="79"/>
      </w:r>
      <w:r>
        <w:t xml:space="preserve"> </w:t>
      </w:r>
      <w:r>
        <w:rPr>
          <w:rFonts w:hint="eastAsia"/>
        </w:rPr>
        <w:t>时，我们已解释过为实现这目标所订出的建议措施。我们的回应详列于附件</w:t>
      </w:r>
      <w:r>
        <w:t>24</w:t>
      </w:r>
      <w:r>
        <w:rPr>
          <w:rFonts w:hint="eastAsia"/>
        </w:rPr>
        <w:t>。</w:t>
      </w:r>
    </w:p>
    <w:p w:rsidR="00000000" w:rsidRDefault="00000000">
      <w:r>
        <w:tab/>
        <w:t xml:space="preserve">389.  </w:t>
      </w:r>
      <w:r>
        <w:rPr>
          <w:rFonts w:hint="eastAsia"/>
        </w:rPr>
        <w:t>《床位寓所条例》</w:t>
      </w:r>
      <w:r>
        <w:t>(</w:t>
      </w:r>
      <w:r>
        <w:rPr>
          <w:rFonts w:hint="eastAsia"/>
        </w:rPr>
        <w:t>第</w:t>
      </w:r>
      <w:r>
        <w:t>447</w:t>
      </w:r>
      <w:r>
        <w:rPr>
          <w:rFonts w:hint="eastAsia"/>
        </w:rPr>
        <w:t>章</w:t>
      </w:r>
      <w:r>
        <w:t>)</w:t>
      </w:r>
      <w:r>
        <w:rPr>
          <w:rFonts w:hint="eastAsia"/>
        </w:rPr>
        <w:t>于一九九四年制定。床位寓所经营者获得一段豁免期，让他们可以继续经营，并进行必要的改善工程，以符合条例所订明的消防及楼宇安全标准。豁免期届满后，只有已完成所规定的改善工程的床位寓所，才会获得发牌继续经营。在豁免期内，牌照事务处加紧巡查，确保床位寓所符合基本的消防安全标准，并为床位寓所免费安装灭火和防火设备。</w:t>
      </w:r>
    </w:p>
    <w:p w:rsidR="00000000" w:rsidRDefault="00000000">
      <w:r>
        <w:tab/>
        <w:t xml:space="preserve">390.  </w:t>
      </w:r>
      <w:r>
        <w:rPr>
          <w:rFonts w:hint="eastAsia"/>
        </w:rPr>
        <w:t>豁免期于一九九八年六月三十日届满。豁免期届满时，牌照事务处正就尚在经营的</w:t>
      </w:r>
      <w:r>
        <w:t>101</w:t>
      </w:r>
      <w:r>
        <w:rPr>
          <w:rFonts w:hint="eastAsia"/>
        </w:rPr>
        <w:t>间床位寓所进行巡查，以评估其改善工程进度，并敦促床位寓所经营者完成所需工程，以便申领牌照继续经营</w:t>
      </w:r>
      <w:r>
        <w:rPr>
          <w:rStyle w:val="FootnoteReference"/>
        </w:rPr>
        <w:footnoteReference w:id="80"/>
      </w:r>
      <w:r>
        <w:rPr>
          <w:rFonts w:hint="eastAsia"/>
        </w:rPr>
        <w:t>。在拟备本报告时，牌照事务处正在考虑向未领牌的床位寓所采取执法行动。</w:t>
      </w:r>
    </w:p>
    <w:p w:rsidR="00000000" w:rsidRDefault="00000000">
      <w:r>
        <w:tab/>
        <w:t xml:space="preserve">391.  </w:t>
      </w:r>
      <w:r>
        <w:rPr>
          <w:rFonts w:hint="eastAsia"/>
        </w:rPr>
        <w:t>在推出发牌制度时，我们预计一些经营者会因不能够或不愿意遵守法定的安全标准，选择减少床位数目或结业，以致一些住客必须迁出。不过，政府已作出承诺，保证不会因实施发牌制度而使任何床位寓所住客无家可归。如果迁出的住客需要安置，政府会给予协助。</w:t>
      </w:r>
    </w:p>
    <w:p w:rsidR="00000000" w:rsidRDefault="00000000">
      <w:r>
        <w:tab/>
        <w:t xml:space="preserve">392.  </w:t>
      </w:r>
      <w:r>
        <w:rPr>
          <w:rFonts w:hint="eastAsia"/>
        </w:rPr>
        <w:t>在须迁出的住客当中，凡年满</w:t>
      </w:r>
      <w:r>
        <w:t>60</w:t>
      </w:r>
      <w:r>
        <w:rPr>
          <w:rFonts w:hint="eastAsia"/>
        </w:rPr>
        <w:t>岁或有特殊医疗</w:t>
      </w:r>
      <w:r>
        <w:t>/</w:t>
      </w:r>
      <w:r>
        <w:rPr>
          <w:rFonts w:hint="eastAsia"/>
        </w:rPr>
        <w:t>健康护理需要者，可符合资格安置入住福利院舍，或通过体恤安置入住公共屋村。至于</w:t>
      </w:r>
      <w:r>
        <w:t>60</w:t>
      </w:r>
      <w:r>
        <w:rPr>
          <w:rFonts w:hint="eastAsia"/>
        </w:rPr>
        <w:t>岁以下而又须迁出的住客，他们可申请入住民政事务总署开办的单身人士宿舍。目前，这类单身人士宿舍共有</w:t>
      </w:r>
      <w:r>
        <w:t>38</w:t>
      </w:r>
      <w:r>
        <w:rPr>
          <w:rFonts w:hint="eastAsia"/>
        </w:rPr>
        <w:t>个，宿位</w:t>
      </w:r>
      <w:r>
        <w:t>548</w:t>
      </w:r>
      <w:r>
        <w:rPr>
          <w:rFonts w:hint="eastAsia"/>
        </w:rPr>
        <w:t>个，全部位于市区。一九九八年九月，九龙一幢专为单身人士而设的多层宿舍将落成启用，可多提供</w:t>
      </w:r>
      <w:r>
        <w:t>300</w:t>
      </w:r>
      <w:r>
        <w:rPr>
          <w:rFonts w:hint="eastAsia"/>
        </w:rPr>
        <w:t>个宿位。这些宿位将预留给须迁出的床位寓所住客。此外，香港岛另一幢单身人士宿舍亦将于二○○一年落成，可再提供</w:t>
      </w:r>
      <w:r>
        <w:t>270</w:t>
      </w:r>
      <w:r>
        <w:rPr>
          <w:rFonts w:hint="eastAsia"/>
        </w:rPr>
        <w:t>个宿位。</w:t>
      </w:r>
    </w:p>
    <w:p w:rsidR="00000000" w:rsidRDefault="00000000">
      <w:pPr>
        <w:spacing w:after="320"/>
        <w:textAlignment w:val="center"/>
      </w:pPr>
      <w:r>
        <w:tab/>
        <w:t xml:space="preserve">393.  </w:t>
      </w:r>
      <w:r>
        <w:rPr>
          <w:rFonts w:hint="eastAsia"/>
        </w:rPr>
        <w:t>长远一点来说，我们暂计划再兴建两幢宿舍，提供合共</w:t>
      </w:r>
      <w:r>
        <w:t>570</w:t>
      </w:r>
      <w:r>
        <w:rPr>
          <w:rFonts w:hint="eastAsia"/>
        </w:rPr>
        <w:t>个宿位。这些宿位应足以安置因发牌制度而须迁出的床位寓所住客。</w:t>
      </w:r>
    </w:p>
    <w:p w:rsidR="00000000" w:rsidRDefault="00000000">
      <w:pPr>
        <w:pStyle w:val="Heading4"/>
      </w:pPr>
      <w:r>
        <w:rPr>
          <w:rFonts w:hint="eastAsia"/>
        </w:rPr>
        <w:t>露宿者</w:t>
      </w:r>
    </w:p>
    <w:p w:rsidR="00000000" w:rsidRDefault="00000000">
      <w:r>
        <w:tab/>
        <w:t xml:space="preserve">394.  </w:t>
      </w:r>
      <w:r>
        <w:rPr>
          <w:rFonts w:hint="eastAsia"/>
        </w:rPr>
        <w:t>如上次报告第</w:t>
      </w:r>
      <w:r>
        <w:t>212</w:t>
      </w:r>
      <w:r>
        <w:rPr>
          <w:rFonts w:hint="eastAsia"/>
        </w:rPr>
        <w:t>段所述，香港有些人会因为种种原因而未有利用社会保障，或宁愿选择露宿街头。不过，我们在上次报告已指出，这是毫不必要的。政府和志愿机构均为露宿者设立收容中心和宿舍。社会福利署的“露宿者资料系统”显示，过去三年，露宿者的人数维持在约</w:t>
      </w:r>
      <w:r>
        <w:t>1,000</w:t>
      </w:r>
      <w:r>
        <w:rPr>
          <w:rFonts w:hint="eastAsia"/>
        </w:rPr>
        <w:t>至</w:t>
      </w:r>
      <w:r>
        <w:t>1,100</w:t>
      </w:r>
      <w:r>
        <w:rPr>
          <w:rFonts w:hint="eastAsia"/>
        </w:rPr>
        <w:t>人之间；但非政府机构则认为数字应接近</w:t>
      </w:r>
      <w:r>
        <w:t>3,000</w:t>
      </w:r>
      <w:r>
        <w:rPr>
          <w:rFonts w:hint="eastAsia"/>
        </w:rPr>
        <w:t>人。我们相信我们的数字是正确的，因为社会福利署定期往各区作全面性的实地调查，以核实数字。目前尚未有任何证据，足以证明露宿者人数比我们所查证的为多，或证明我们忽略了任何露宿者。</w:t>
      </w:r>
    </w:p>
    <w:p w:rsidR="00000000" w:rsidRDefault="00000000">
      <w:pPr>
        <w:spacing w:after="320"/>
        <w:textAlignment w:val="center"/>
      </w:pPr>
      <w:r>
        <w:tab/>
        <w:t xml:space="preserve">395.  </w:t>
      </w:r>
      <w:r>
        <w:rPr>
          <w:rFonts w:hint="eastAsia"/>
        </w:rPr>
        <w:t>我们继续为露宿者提供上次报告第</w:t>
      </w:r>
      <w:r>
        <w:t>213</w:t>
      </w:r>
      <w:r>
        <w:rPr>
          <w:rFonts w:hint="eastAsia"/>
        </w:rPr>
        <w:t>段所述的服务。外展工作队竭力帮助问题较为严重的露宿者</w:t>
      </w:r>
      <w:r>
        <w:t>(</w:t>
      </w:r>
      <w:r>
        <w:rPr>
          <w:rFonts w:hint="eastAsia"/>
        </w:rPr>
        <w:t>例如患有精神病</w:t>
      </w:r>
      <w:r>
        <w:t>)</w:t>
      </w:r>
      <w:r>
        <w:rPr>
          <w:rFonts w:hint="eastAsia"/>
        </w:rPr>
        <w:t>。非政府机构亦开设日间收容中心、临时收容所、宿舍，及外展服务等。一九九一年一月至一九九八年六月期间，当局为超过</w:t>
      </w:r>
      <w:r>
        <w:t>1,080</w:t>
      </w:r>
      <w:r>
        <w:rPr>
          <w:rFonts w:hint="eastAsia"/>
        </w:rPr>
        <w:t>名露宿者安排了永久居所。一九九六年，我们试办了一支老人露宿者综合外展队，为亟需照顾的老人露宿者提供辅导服务，并教导他们如何护理健康。</w:t>
      </w:r>
    </w:p>
    <w:p w:rsidR="00000000" w:rsidRDefault="00000000">
      <w:pPr>
        <w:pStyle w:val="Heading4"/>
      </w:pPr>
      <w:r>
        <w:rPr>
          <w:rFonts w:hint="eastAsia"/>
        </w:rPr>
        <w:t>私人楼宇</w:t>
      </w:r>
    </w:p>
    <w:p w:rsidR="00000000" w:rsidRDefault="00000000">
      <w:r>
        <w:tab/>
        <w:t xml:space="preserve">396.  </w:t>
      </w:r>
      <w:r>
        <w:rPr>
          <w:rFonts w:hint="eastAsia"/>
        </w:rPr>
        <w:t>私人楼宇在满足香港市民的房屋需求上，担当了一个非常重要的角色，因为很多家庭的收入已超过限额，不能享用上文所述的各类房屋资助。目前，香港约有半数人口居住在私人楼宇。截至一九九七年年底为止，私人楼宇单位数目约为</w:t>
      </w:r>
      <w:r>
        <w:t>940,000</w:t>
      </w:r>
      <w:r>
        <w:rPr>
          <w:rFonts w:hint="eastAsia"/>
        </w:rPr>
        <w:t>个。如上文有关长远房屋策略的第</w:t>
      </w:r>
      <w:r>
        <w:t>346</w:t>
      </w:r>
      <w:r>
        <w:rPr>
          <w:rFonts w:hint="eastAsia"/>
        </w:rPr>
        <w:t>段所述，政府会采取措施，协助私营机构建屋。为此，我们会提供稳定而足够的土地，同时简化和加快批地程序，以兴建私人楼宇。此外，我们亦会邀请私人发展商参与“混合发展”计划，兴建资助自置居所单位，以促进私营机构在公屋计划上的参与。</w:t>
      </w:r>
    </w:p>
    <w:p w:rsidR="00000000" w:rsidRDefault="00000000">
      <w:r>
        <w:tab/>
        <w:t xml:space="preserve">397.  </w:t>
      </w:r>
      <w:r>
        <w:rPr>
          <w:rFonts w:hint="eastAsia"/>
        </w:rPr>
        <w:t>对于收入超过领取政府房屋资助资格的家庭，政府还有另外的措施予以协助。这些措施包括：</w:t>
      </w:r>
    </w:p>
    <w:p w:rsidR="00000000" w:rsidRDefault="00000000">
      <w:pPr>
        <w:pStyle w:val="a0"/>
        <w:numPr>
          <w:ilvl w:val="0"/>
          <w:numId w:val="36"/>
        </w:numPr>
        <w:ind w:left="1531" w:hanging="510"/>
      </w:pPr>
      <w:r>
        <w:rPr>
          <w:rFonts w:hint="eastAsia"/>
          <w:u w:val="single"/>
        </w:rPr>
        <w:t>自置居所税项宽减优惠</w:t>
      </w:r>
      <w:r>
        <w:rPr>
          <w:rFonts w:hint="eastAsia"/>
        </w:rPr>
        <w:t>：这措施于一九九八至九九财政年度实施；及</w:t>
      </w:r>
    </w:p>
    <w:p w:rsidR="00000000" w:rsidRDefault="00000000">
      <w:pPr>
        <w:pStyle w:val="a0"/>
        <w:numPr>
          <w:ilvl w:val="0"/>
          <w:numId w:val="36"/>
        </w:numPr>
        <w:spacing w:after="240"/>
        <w:ind w:left="1531" w:hanging="510"/>
      </w:pPr>
      <w:r>
        <w:rPr>
          <w:rFonts w:hint="eastAsia"/>
          <w:u w:val="single"/>
        </w:rPr>
        <w:t>放宽自置居所按揭贷款的资金供应</w:t>
      </w:r>
      <w:r>
        <w:rPr>
          <w:rFonts w:hint="eastAsia"/>
        </w:rPr>
        <w:t>：一九九七年三月，我们成立香港按揭证券有限公司，为银行持有的按揭贷款提供贴现窗市场，以减低银行现时承造住宅物业按揭的风险，让银行放宽按揭贷款资金供应。</w:t>
      </w:r>
    </w:p>
    <w:p w:rsidR="00000000" w:rsidRDefault="00000000">
      <w:pPr>
        <w:pStyle w:val="Heading4"/>
      </w:pPr>
      <w:r>
        <w:rPr>
          <w:rFonts w:hint="eastAsia"/>
        </w:rPr>
        <w:t>市区重建</w:t>
      </w:r>
    </w:p>
    <w:p w:rsidR="00000000" w:rsidRDefault="00000000">
      <w:r>
        <w:tab/>
        <w:t xml:space="preserve">398.  </w:t>
      </w:r>
      <w:r>
        <w:rPr>
          <w:rFonts w:hint="eastAsia"/>
        </w:rPr>
        <w:t>如上次报告第</w:t>
      </w:r>
      <w:r>
        <w:t>237</w:t>
      </w:r>
      <w:r>
        <w:rPr>
          <w:rFonts w:hint="eastAsia"/>
        </w:rPr>
        <w:t>段所述，土地发展公司</w:t>
      </w:r>
      <w:r>
        <w:t>(</w:t>
      </w:r>
      <w:r>
        <w:rPr>
          <w:rFonts w:hint="eastAsia"/>
        </w:rPr>
        <w:t>土发公司</w:t>
      </w:r>
      <w:r>
        <w:t>)</w:t>
      </w:r>
      <w:r>
        <w:rPr>
          <w:rFonts w:hint="eastAsia"/>
        </w:rPr>
        <w:t>于一九八九年根据法例成立，负责市区重建工作。重建的过程无可避免会涉及旧楼清拆、迁徙住户和商户等问题。如上次报告所述，受影响的居民均可获得补偿。</w:t>
      </w:r>
    </w:p>
    <w:p w:rsidR="00000000" w:rsidRDefault="00000000">
      <w:r>
        <w:tab/>
        <w:t xml:space="preserve">399.  </w:t>
      </w:r>
      <w:r>
        <w:rPr>
          <w:rFonts w:hint="eastAsia"/>
        </w:rPr>
        <w:t>土发公司会按市值向受影响的业主购买其住宅物业。此外，自住业主也会获得一笔自置居所津贴，让他们购买较新的单位，改善居住条件。他们并会得到一笔搬迁津贴。</w:t>
      </w:r>
    </w:p>
    <w:p w:rsidR="00000000" w:rsidRDefault="00000000">
      <w:r>
        <w:tab/>
        <w:t xml:space="preserve">400.  </w:t>
      </w:r>
      <w:r>
        <w:rPr>
          <w:rFonts w:hint="eastAsia"/>
        </w:rPr>
        <w:t>租户可选择接受现金搬迁补偿，或接受安置入住资助租住单位。现金补偿最少相等于法律规定的金额</w:t>
      </w:r>
      <w:r>
        <w:t xml:space="preserve"> </w:t>
      </w:r>
      <w:r>
        <w:rPr>
          <w:rStyle w:val="FootnoteReference"/>
        </w:rPr>
        <w:footnoteReference w:id="81"/>
      </w:r>
      <w:r>
        <w:t xml:space="preserve"> </w:t>
      </w:r>
      <w:r>
        <w:rPr>
          <w:rFonts w:hint="eastAsia"/>
        </w:rPr>
        <w:t>；不过，土发公司通常都会提出较法律规定为多的赔偿金。根据政策，凡不拥有住宅物业或没有其他居所的租户，如果选择接受安置，均可如愿。他们会获得安置入住由房屋协会管理的资助租住单位。政府以优惠价将土地批予房屋协会建屋，而土发公司则负责支付补地价和建屋的费用。</w:t>
      </w:r>
    </w:p>
    <w:p w:rsidR="00000000" w:rsidRDefault="00000000">
      <w:pPr>
        <w:pStyle w:val="Heading4"/>
        <w:spacing w:before="320"/>
        <w:ind w:left="518"/>
      </w:pPr>
      <w:r>
        <w:rPr>
          <w:rFonts w:hint="eastAsia"/>
        </w:rPr>
        <w:t>商业楼宇</w:t>
      </w:r>
    </w:p>
    <w:p w:rsidR="00000000" w:rsidRDefault="00000000">
      <w:r>
        <w:tab/>
        <w:t xml:space="preserve">401.  </w:t>
      </w:r>
      <w:r>
        <w:rPr>
          <w:rFonts w:hint="eastAsia"/>
        </w:rPr>
        <w:t>土发公司会按市值向商铺业主购买铺位，并提供一笔特惠津贴，以补偿其业务损失。商铺业主如认为该笔津贴不足以弥补其业务损失，可个别提出申索，但必须提供所需的业务纪录作为证明。若铺位附有租约，租户会得到一笔特惠津贴，金额通常较政府的收地</w:t>
      </w:r>
      <w:r>
        <w:t>/</w:t>
      </w:r>
      <w:r>
        <w:rPr>
          <w:rFonts w:hint="eastAsia"/>
        </w:rPr>
        <w:t>清拆补偿为多。</w:t>
      </w:r>
    </w:p>
    <w:p w:rsidR="00000000" w:rsidRDefault="00000000">
      <w:r>
        <w:tab/>
        <w:t xml:space="preserve">402.  </w:t>
      </w:r>
      <w:r>
        <w:rPr>
          <w:rFonts w:hint="eastAsia"/>
        </w:rPr>
        <w:t>赔偿金额若有争议，可交由土地审裁处仲裁。</w:t>
      </w:r>
    </w:p>
    <w:p w:rsidR="00000000" w:rsidRDefault="00000000">
      <w:pPr>
        <w:pStyle w:val="Heading4"/>
        <w:spacing w:before="320"/>
      </w:pPr>
      <w:r>
        <w:rPr>
          <w:rFonts w:hint="eastAsia"/>
        </w:rPr>
        <w:t>城市规划</w:t>
      </w:r>
    </w:p>
    <w:p w:rsidR="00000000" w:rsidRDefault="00000000">
      <w:r>
        <w:tab/>
        <w:t xml:space="preserve">403.  </w:t>
      </w:r>
      <w:r>
        <w:rPr>
          <w:rFonts w:hint="eastAsia"/>
        </w:rPr>
        <w:t>城市规划是保持和改善市区居住环境的关键所在。因此，市民和政府均十分关注城市规划的工作。政府于一九三九年便已制定《城市规划条例》</w:t>
      </w:r>
      <w:r>
        <w:t>(</w:t>
      </w:r>
      <w:r>
        <w:rPr>
          <w:rFonts w:hint="eastAsia"/>
        </w:rPr>
        <w:t>第</w:t>
      </w:r>
      <w:r>
        <w:t>131</w:t>
      </w:r>
      <w:r>
        <w:rPr>
          <w:rFonts w:hint="eastAsia"/>
        </w:rPr>
        <w:t>章</w:t>
      </w:r>
      <w:r>
        <w:t>)</w:t>
      </w:r>
      <w:r>
        <w:rPr>
          <w:rFonts w:hint="eastAsia"/>
        </w:rPr>
        <w:t>，规管规划的程序。有论者认为，现行制度既耗费时间，亦无提供足够机会征询公众意见和让他们参与。政府已全面检讨该条例，并以白纸条例草案征询公众意见。我们的目标，是于一九九九年年初提出一条全新的条例草案，通过大幅修订《城市规划条例》，以更公开、更有问责性、更有效率的形式，推行崭新的城市规划制度。</w:t>
      </w:r>
    </w:p>
    <w:p w:rsidR="00000000" w:rsidRDefault="00000000">
      <w:pPr>
        <w:pStyle w:val="Heading4"/>
        <w:spacing w:before="320"/>
        <w:ind w:left="518"/>
      </w:pPr>
      <w:r>
        <w:rPr>
          <w:rFonts w:hint="eastAsia"/>
        </w:rPr>
        <w:t>新市镇</w:t>
      </w:r>
    </w:p>
    <w:p w:rsidR="00000000" w:rsidRDefault="00000000">
      <w:r>
        <w:tab/>
        <w:t xml:space="preserve">404.  </w:t>
      </w:r>
      <w:r>
        <w:rPr>
          <w:rFonts w:hint="eastAsia"/>
        </w:rPr>
        <w:t>在上次报告第</w:t>
      </w:r>
      <w:r>
        <w:t>243</w:t>
      </w:r>
      <w:r>
        <w:rPr>
          <w:rFonts w:hint="eastAsia"/>
        </w:rPr>
        <w:t>至</w:t>
      </w:r>
      <w:r>
        <w:t>246</w:t>
      </w:r>
      <w:r>
        <w:rPr>
          <w:rFonts w:hint="eastAsia"/>
        </w:rPr>
        <w:t>段，我们曾指出，新市镇的发展在六十年代中期展开，通过在新界为市民提供新居所和就业机会，纾缓市中心区的人口压力。当时</w:t>
      </w:r>
      <w:r>
        <w:t>(</w:t>
      </w:r>
      <w:r>
        <w:rPr>
          <w:rFonts w:hint="eastAsia"/>
        </w:rPr>
        <w:t>即一九九五年</w:t>
      </w:r>
      <w:r>
        <w:t>)</w:t>
      </w:r>
      <w:r>
        <w:rPr>
          <w:rFonts w:hint="eastAsia"/>
        </w:rPr>
        <w:t>，我们正在进行规划和发展工程，目的是为另外</w:t>
      </w:r>
      <w:r>
        <w:t>30</w:t>
      </w:r>
      <w:r>
        <w:rPr>
          <w:rFonts w:hint="eastAsia"/>
        </w:rPr>
        <w:t>万人提供居所，使新界总人口在二○○○年达到</w:t>
      </w:r>
      <w:r>
        <w:t>290</w:t>
      </w:r>
      <w:r>
        <w:rPr>
          <w:rFonts w:hint="eastAsia"/>
        </w:rPr>
        <w:t>万。截至一九九八年六月三十日为止，新界总人口已增至</w:t>
      </w:r>
      <w:r>
        <w:t>320</w:t>
      </w:r>
      <w:r>
        <w:rPr>
          <w:rFonts w:hint="eastAsia"/>
        </w:rPr>
        <w:t>万，远超过我们所定的目标。</w:t>
      </w:r>
    </w:p>
    <w:p w:rsidR="00000000" w:rsidRDefault="00000000">
      <w:r>
        <w:tab/>
        <w:t xml:space="preserve">405.  </w:t>
      </w:r>
      <w:r>
        <w:rPr>
          <w:rFonts w:hint="eastAsia"/>
        </w:rPr>
        <w:t>如上次报告所述，由于香港出现了一些未能预料的人口变化，加上经济结构转型，导致部分新市镇的学校名额短暂不足，以及交通严重挤塞。这些问题在“全港发展策略检讨”中均作出了研究</w:t>
      </w:r>
      <w:r>
        <w:t>(</w:t>
      </w:r>
      <w:r>
        <w:rPr>
          <w:rFonts w:hint="eastAsia"/>
        </w:rPr>
        <w:t>见下文第</w:t>
      </w:r>
      <w:r>
        <w:t>406</w:t>
      </w:r>
      <w:r>
        <w:rPr>
          <w:rFonts w:hint="eastAsia"/>
        </w:rPr>
        <w:t>及</w:t>
      </w:r>
      <w:r>
        <w:t>407</w:t>
      </w:r>
      <w:r>
        <w:rPr>
          <w:rFonts w:hint="eastAsia"/>
        </w:rPr>
        <w:t>段</w:t>
      </w:r>
      <w:r>
        <w:t>)</w:t>
      </w:r>
      <w:r>
        <w:rPr>
          <w:rFonts w:hint="eastAsia"/>
        </w:rPr>
        <w:t>。</w:t>
      </w:r>
    </w:p>
    <w:p w:rsidR="00000000" w:rsidRDefault="00000000">
      <w:pPr>
        <w:pStyle w:val="Heading4"/>
        <w:spacing w:before="320"/>
      </w:pPr>
      <w:r>
        <w:rPr>
          <w:rFonts w:hint="eastAsia"/>
        </w:rPr>
        <w:t>全港发展战略检讨</w:t>
      </w:r>
    </w:p>
    <w:p w:rsidR="00000000" w:rsidRDefault="00000000">
      <w:r>
        <w:tab/>
        <w:t xml:space="preserve">406.  </w:t>
      </w:r>
      <w:r>
        <w:rPr>
          <w:rFonts w:hint="eastAsia"/>
        </w:rPr>
        <w:t>我们在一九九一至九八年间，进行了全港发展策略检讨，以制定至二○一一年为止的全港综合发展纲领</w:t>
      </w:r>
      <w:r>
        <w:rPr>
          <w:rStyle w:val="FootnoteReference"/>
        </w:rPr>
        <w:footnoteReference w:id="82"/>
      </w:r>
      <w:r>
        <w:t xml:space="preserve"> </w:t>
      </w:r>
      <w:r>
        <w:rPr>
          <w:rFonts w:hint="eastAsia"/>
        </w:rPr>
        <w:t>。其主要目标，在于为香港的长远发展，特别在房屋和交通设施方面，提供足够用地，并为市民大众建设一个更美好的环境安居乐业。检讨期间，我们定出了多个战略性增长地区，以广泛提供各式各样的房屋，以及提供足够的基础和社区设施。</w:t>
      </w:r>
    </w:p>
    <w:p w:rsidR="00000000" w:rsidRDefault="00000000">
      <w:r>
        <w:tab/>
        <w:t xml:space="preserve">407.  </w:t>
      </w:r>
      <w:r>
        <w:rPr>
          <w:rFonts w:hint="eastAsia"/>
        </w:rPr>
        <w:t>一九九三年，我们就主要的目标和初步发展方案进行了公众咨询。一九九六年，我们就所建议的战略和计划，再次咨询公众的意见。各项提出作考虑的预设、方案和建议，均已参照公众的意见加以修改和调整。一九九八年，我们发表了一份载有各项建议战略的最后报告，并据此进行独立研究，就所定出的多个战略性增长地区，评定其发展规划和工程可行性。</w:t>
      </w:r>
    </w:p>
    <w:p w:rsidR="00000000" w:rsidRDefault="00000000">
      <w:pPr>
        <w:pStyle w:val="Heading4"/>
        <w:spacing w:before="320"/>
        <w:ind w:left="518"/>
        <w:rPr>
          <w:rFonts w:hint="eastAsia"/>
        </w:rPr>
      </w:pPr>
      <w:r>
        <w:rPr>
          <w:rFonts w:hint="eastAsia"/>
          <w:u w:val="none"/>
        </w:rPr>
        <w:t>《</w:t>
      </w:r>
      <w:r>
        <w:t>1997</w:t>
      </w:r>
      <w:r>
        <w:rPr>
          <w:rFonts w:hint="eastAsia"/>
        </w:rPr>
        <w:t>年保护海港条例</w:t>
      </w:r>
      <w:r>
        <w:rPr>
          <w:rFonts w:hint="eastAsia"/>
          <w:u w:val="none"/>
        </w:rPr>
        <w:t>》</w:t>
      </w:r>
    </w:p>
    <w:p w:rsidR="00000000" w:rsidRDefault="00000000">
      <w:r>
        <w:tab/>
        <w:t xml:space="preserve">408.  </w:t>
      </w:r>
      <w:r>
        <w:rPr>
          <w:rFonts w:hint="eastAsia"/>
        </w:rPr>
        <w:t>香港的中央海港景色优美，是一个吸引游客的重要景点。为了保护和保存这个海港，前立法局在一九九七年六月通过了由议员提出的《保护海港条例草案》。该条例设定一个不准许进行中央海港填海工程的推定，并规定所有公职人员和公共机关在行使他们的权力时，须顾及这个原则。</w:t>
      </w:r>
    </w:p>
    <w:p w:rsidR="00000000" w:rsidRDefault="00000000">
      <w:r>
        <w:tab/>
        <w:t xml:space="preserve">409.  </w:t>
      </w:r>
      <w:r>
        <w:rPr>
          <w:rFonts w:hint="eastAsia"/>
        </w:rPr>
        <w:t>不过，香港缺乏土地资源。有些时候，我们经考虑过土力和其他方面</w:t>
      </w:r>
      <w:r>
        <w:t>(</w:t>
      </w:r>
      <w:r>
        <w:rPr>
          <w:rFonts w:hint="eastAsia"/>
        </w:rPr>
        <w:t>例如现有发展</w:t>
      </w:r>
      <w:r>
        <w:t>)</w:t>
      </w:r>
      <w:r>
        <w:rPr>
          <w:rFonts w:hint="eastAsia"/>
        </w:rPr>
        <w:t xml:space="preserve"> </w:t>
      </w:r>
      <w:r>
        <w:rPr>
          <w:rFonts w:hint="eastAsia"/>
        </w:rPr>
        <w:t>的限制后，会发现进行填海工程是唯一可行的办法。当然</w:t>
      </w:r>
      <w:r>
        <w:t>,</w:t>
      </w:r>
      <w:r>
        <w:rPr>
          <w:rFonts w:hint="eastAsia"/>
        </w:rPr>
        <w:t xml:space="preserve"> </w:t>
      </w:r>
      <w:r>
        <w:rPr>
          <w:rFonts w:hint="eastAsia"/>
        </w:rPr>
        <w:t>政府不会轻率作出填海的决定。事前我们必会小心衡量，以确知在保存中央海港景致与进行填海工程之间，何者对市民有最大的裨益。任何涉及填海的计划方案，都必须通过公开和具透明度的规划程序。此外，在方案获得批准前，政府也必须就工程对规划、环境、水文、海上交通及其他方面的影响，进行审慎而周详的研究。</w:t>
      </w:r>
    </w:p>
    <w:p w:rsidR="00000000" w:rsidRDefault="00000000">
      <w:pPr>
        <w:pStyle w:val="Heading4"/>
        <w:spacing w:before="320"/>
      </w:pPr>
      <w:r>
        <w:rPr>
          <w:rFonts w:hint="eastAsia"/>
          <w:u w:val="none"/>
        </w:rPr>
        <w:t>“</w:t>
      </w:r>
      <w:r>
        <w:rPr>
          <w:rFonts w:hint="eastAsia"/>
        </w:rPr>
        <w:t>小型屋宇政策</w:t>
      </w:r>
      <w:r>
        <w:rPr>
          <w:rFonts w:hint="eastAsia"/>
          <w:u w:val="none"/>
        </w:rPr>
        <w:t>”</w:t>
      </w:r>
    </w:p>
    <w:p w:rsidR="00000000" w:rsidRDefault="00000000">
      <w:r>
        <w:tab/>
        <w:t xml:space="preserve">410.  </w:t>
      </w:r>
      <w:r>
        <w:rPr>
          <w:rFonts w:hint="eastAsia"/>
        </w:rPr>
        <w:t>如上次报告第</w:t>
      </w:r>
      <w:r>
        <w:t>252</w:t>
      </w:r>
      <w:r>
        <w:rPr>
          <w:rFonts w:hint="eastAsia"/>
        </w:rPr>
        <w:t>至</w:t>
      </w:r>
      <w:r>
        <w:t>254</w:t>
      </w:r>
      <w:r>
        <w:rPr>
          <w:rFonts w:hint="eastAsia"/>
        </w:rPr>
        <w:t>段所述，小型屋宇政策于七十年代初实施，以改善乡郊居住水准的问题，并纾解新界原居民因新界日益城市化导致乡村生活方式被淹没或被冷落的忧虑。由于有了这项政策，当地男性乡民自此可一生中一次在自家地皮或政府提供的地皮上建房。</w:t>
      </w:r>
    </w:p>
    <w:p w:rsidR="00000000" w:rsidRDefault="00000000">
      <w:r>
        <w:tab/>
        <w:t xml:space="preserve">411.  </w:t>
      </w:r>
      <w:r>
        <w:rPr>
          <w:rFonts w:hint="eastAsia"/>
        </w:rPr>
        <w:t>有论者认为该政策带有歧视性，因为当地女性乡民从中得不到实惠。为解决他们关注的问题，一审查委员会正在对该政策进行审查，预计</w:t>
      </w:r>
      <w:r>
        <w:t>1999</w:t>
      </w:r>
      <w:r>
        <w:rPr>
          <w:rFonts w:hint="eastAsia"/>
        </w:rPr>
        <w:t>年初完成工作任务。政府将根据审查结果与有兴趣各方或更多公众进行协商，然后再对该政策前途作出决定。</w:t>
      </w:r>
    </w:p>
    <w:p w:rsidR="00000000" w:rsidRDefault="00000000">
      <w:pPr>
        <w:pStyle w:val="Heading3"/>
        <w:spacing w:before="320"/>
      </w:pPr>
      <w:r>
        <w:rPr>
          <w:rFonts w:hint="eastAsia"/>
        </w:rPr>
        <w:t>第十二条</w:t>
      </w:r>
      <w:r>
        <w:t xml:space="preserve">.  </w:t>
      </w:r>
      <w:r>
        <w:rPr>
          <w:rFonts w:hint="eastAsia"/>
        </w:rPr>
        <w:t>享有健康的权利</w:t>
      </w:r>
    </w:p>
    <w:p w:rsidR="00000000" w:rsidRDefault="00000000">
      <w:r>
        <w:tab/>
        <w:t xml:space="preserve">412.  </w:t>
      </w:r>
      <w:r>
        <w:rPr>
          <w:rFonts w:hint="eastAsia"/>
        </w:rPr>
        <w:t>《基本法》第一百三十八条订明，香港特区政府自行制定发展中西医药和促进医疗卫生服务的政策。社会团体和私人可依法提供各种医疗卫生服务。</w:t>
      </w:r>
    </w:p>
    <w:p w:rsidR="00000000" w:rsidRDefault="00000000">
      <w:pPr>
        <w:pStyle w:val="Heading4"/>
        <w:spacing w:before="320"/>
      </w:pPr>
      <w:r>
        <w:rPr>
          <w:rFonts w:hint="eastAsia"/>
        </w:rPr>
        <w:t>政</w:t>
      </w:r>
      <w:r>
        <w:t xml:space="preserve">  </w:t>
      </w:r>
      <w:r>
        <w:rPr>
          <w:rFonts w:hint="eastAsia"/>
        </w:rPr>
        <w:t>策</w:t>
      </w:r>
    </w:p>
    <w:p w:rsidR="00000000" w:rsidRDefault="00000000">
      <w:r>
        <w:tab/>
        <w:t xml:space="preserve">413.  </w:t>
      </w:r>
      <w:r>
        <w:rPr>
          <w:rFonts w:hint="eastAsia"/>
        </w:rPr>
        <w:t>如上次报告第</w:t>
      </w:r>
      <w:r>
        <w:t>255</w:t>
      </w:r>
      <w:r>
        <w:rPr>
          <w:rFonts w:hint="eastAsia"/>
        </w:rPr>
        <w:t>段所述，政府的政策，是任何人都不应因为缺乏经济能力而得不到适当的医疗服务。为了贯彻此项承诺，政府补助各项健康护理服务的大部分费用。一九九六至九七年度，政府在这方面的开支净值达</w:t>
      </w:r>
      <w:r>
        <w:t>590</w:t>
      </w:r>
      <w:r>
        <w:rPr>
          <w:rFonts w:hint="eastAsia"/>
        </w:rPr>
        <w:t>亿港元，占本地生产总值的</w:t>
      </w:r>
      <w:r>
        <w:t>5.0%</w:t>
      </w:r>
      <w:r>
        <w:rPr>
          <w:rFonts w:hint="eastAsia"/>
        </w:rPr>
        <w:t>：公共开支和私人开支分别占</w:t>
      </w:r>
      <w:r>
        <w:t>2.1%</w:t>
      </w:r>
      <w:r>
        <w:rPr>
          <w:rFonts w:hint="eastAsia"/>
        </w:rPr>
        <w:t>和</w:t>
      </w:r>
      <w:r>
        <w:t>2.9%</w:t>
      </w:r>
      <w:r>
        <w:rPr>
          <w:rFonts w:hint="eastAsia"/>
        </w:rPr>
        <w:t>。在卫生署的财政预算中，约</w:t>
      </w:r>
      <w:r>
        <w:t>69%</w:t>
      </w:r>
      <w:r>
        <w:rPr>
          <w:rFonts w:hint="eastAsia"/>
        </w:rPr>
        <w:t>用于基层健康护理</w:t>
      </w:r>
      <w:r>
        <w:t>(</w:t>
      </w:r>
      <w:r>
        <w:rPr>
          <w:rFonts w:hint="eastAsia"/>
        </w:rPr>
        <w:t>包括预防疾病、促进健康、医疗护理和康复等</w:t>
      </w:r>
      <w:r>
        <w:t>)</w:t>
      </w:r>
      <w:r>
        <w:rPr>
          <w:rFonts w:hint="eastAsia"/>
        </w:rPr>
        <w:t>。一九九七至九八年度，有关健康护理服务的公共开支，占整笔经常性公共开支总额的</w:t>
      </w:r>
      <w:r>
        <w:t>14.7%</w:t>
      </w:r>
      <w:r>
        <w:rPr>
          <w:rFonts w:hint="eastAsia"/>
        </w:rPr>
        <w:t>。按人均计算，这项开支由一九九三至九四年度的每人</w:t>
      </w:r>
      <w:r>
        <w:t>3,130</w:t>
      </w:r>
      <w:r>
        <w:rPr>
          <w:rFonts w:hint="eastAsia"/>
        </w:rPr>
        <w:t>港元，增至一九九七至九八年度的</w:t>
      </w:r>
      <w:r>
        <w:t>4,350</w:t>
      </w:r>
      <w:r>
        <w:rPr>
          <w:rFonts w:hint="eastAsia"/>
        </w:rPr>
        <w:t>港元。</w:t>
      </w:r>
    </w:p>
    <w:p w:rsidR="00000000" w:rsidRDefault="00000000">
      <w:r>
        <w:tab/>
        <w:t xml:space="preserve">414.  </w:t>
      </w:r>
      <w:r>
        <w:rPr>
          <w:rFonts w:hint="eastAsia"/>
        </w:rPr>
        <w:t>香港的健康指数依然可与其他已发展国家媲美：</w:t>
      </w:r>
    </w:p>
    <w:p w:rsidR="00000000" w:rsidRDefault="00000000">
      <w:r>
        <w:br w:type="page"/>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8"/>
        <w:gridCol w:w="1926"/>
        <w:gridCol w:w="1926"/>
        <w:gridCol w:w="1926"/>
        <w:gridCol w:w="1925"/>
        <w:gridCol w:w="1"/>
      </w:tblGrid>
      <w:tr w:rsidR="00000000">
        <w:tblPrEx>
          <w:tblCellMar>
            <w:top w:w="0" w:type="dxa"/>
            <w:bottom w:w="0" w:type="dxa"/>
          </w:tblCellMar>
        </w:tblPrEx>
        <w:trPr>
          <w:gridAfter w:val="1"/>
        </w:trPr>
        <w:tc>
          <w:tcPr>
            <w:tcW w:w="1708" w:type="dxa"/>
            <w:tcBorders>
              <w:bottom w:val="nil"/>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p>
        </w:tc>
        <w:tc>
          <w:tcPr>
            <w:tcW w:w="1926" w:type="dxa"/>
            <w:tcBorders>
              <w:bottom w:val="nil"/>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rFonts w:hint="eastAsia"/>
                <w:spacing w:val="4"/>
                <w:sz w:val="21"/>
              </w:rPr>
              <w:t>婴儿死亡率</w:t>
            </w:r>
          </w:p>
        </w:tc>
        <w:tc>
          <w:tcPr>
            <w:tcW w:w="1926" w:type="dxa"/>
            <w:tcBorders>
              <w:bottom w:val="nil"/>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rFonts w:hint="eastAsia"/>
                <w:spacing w:val="4"/>
                <w:sz w:val="21"/>
              </w:rPr>
              <w:t>孕妇死亡率</w:t>
            </w:r>
          </w:p>
        </w:tc>
        <w:tc>
          <w:tcPr>
            <w:tcW w:w="3851" w:type="dxa"/>
            <w:gridSpan w:val="2"/>
            <w:tcBorders>
              <w:right w:val="single" w:sz="6" w:space="0" w:color="auto"/>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rFonts w:hint="eastAsia"/>
                <w:spacing w:val="4"/>
                <w:sz w:val="21"/>
              </w:rPr>
              <w:t>预期寿命</w:t>
            </w:r>
          </w:p>
        </w:tc>
      </w:tr>
      <w:tr w:rsidR="00000000">
        <w:tblPrEx>
          <w:tblCellMar>
            <w:top w:w="0" w:type="dxa"/>
            <w:bottom w:w="0" w:type="dxa"/>
          </w:tblCellMar>
        </w:tblPrEx>
        <w:tc>
          <w:tcPr>
            <w:tcW w:w="1708" w:type="dxa"/>
            <w:tcBorders>
              <w:top w:val="nil"/>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p>
        </w:tc>
        <w:tc>
          <w:tcPr>
            <w:tcW w:w="1926" w:type="dxa"/>
            <w:tcBorders>
              <w:top w:val="nil"/>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spacing w:val="4"/>
                <w:sz w:val="21"/>
              </w:rPr>
              <w:t>(</w:t>
            </w:r>
            <w:r>
              <w:rPr>
                <w:rFonts w:hint="eastAsia"/>
                <w:spacing w:val="4"/>
                <w:sz w:val="21"/>
              </w:rPr>
              <w:t>按每千名活产婴儿计算</w:t>
            </w:r>
            <w:r>
              <w:rPr>
                <w:spacing w:val="4"/>
                <w:sz w:val="21"/>
              </w:rPr>
              <w:t>)</w:t>
            </w:r>
          </w:p>
        </w:tc>
        <w:tc>
          <w:tcPr>
            <w:tcW w:w="1926" w:type="dxa"/>
            <w:tcBorders>
              <w:top w:val="nil"/>
            </w:tcBorders>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spacing w:val="4"/>
                <w:sz w:val="21"/>
              </w:rPr>
              <w:t>(</w:t>
            </w:r>
            <w:r>
              <w:rPr>
                <w:rFonts w:hint="eastAsia"/>
                <w:spacing w:val="4"/>
                <w:sz w:val="21"/>
              </w:rPr>
              <w:t>按每十万次分娩计算</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rFonts w:hint="eastAsia"/>
                <w:spacing w:val="4"/>
                <w:sz w:val="21"/>
              </w:rPr>
              <w:t>男</w:t>
            </w:r>
          </w:p>
        </w:tc>
        <w:tc>
          <w:tcPr>
            <w:tcW w:w="1926" w:type="dxa"/>
            <w:gridSpan w:val="2"/>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jc w:val="center"/>
              <w:textAlignment w:val="center"/>
              <w:rPr>
                <w:spacing w:val="4"/>
                <w:sz w:val="21"/>
              </w:rPr>
            </w:pPr>
            <w:r>
              <w:rPr>
                <w:rFonts w:hint="eastAsia"/>
                <w:spacing w:val="4"/>
                <w:sz w:val="21"/>
              </w:rPr>
              <w:t>女</w:t>
            </w:r>
          </w:p>
        </w:tc>
      </w:tr>
      <w:tr w:rsidR="00000000">
        <w:tblPrEx>
          <w:tblCellMar>
            <w:top w:w="0" w:type="dxa"/>
            <w:bottom w:w="0" w:type="dxa"/>
          </w:tblCellMar>
        </w:tblPrEx>
        <w:tc>
          <w:tcPr>
            <w:tcW w:w="1708"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rFonts w:hint="eastAsia"/>
                <w:spacing w:val="4"/>
                <w:sz w:val="21"/>
              </w:rPr>
              <w:t>香港</w:t>
            </w:r>
            <w:r>
              <w:rPr>
                <w:spacing w:val="4"/>
                <w:sz w:val="21"/>
              </w:rPr>
              <w:t>(1997</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4</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1.6</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76.8</w:t>
            </w:r>
          </w:p>
        </w:tc>
        <w:tc>
          <w:tcPr>
            <w:tcW w:w="1926" w:type="dxa"/>
            <w:gridSpan w:val="2"/>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rFonts w:hint="eastAsia"/>
                <w:spacing w:val="4"/>
                <w:sz w:val="21"/>
              </w:rPr>
            </w:pPr>
            <w:r>
              <w:rPr>
                <w:rFonts w:hint="eastAsia"/>
                <w:spacing w:val="4"/>
                <w:sz w:val="21"/>
              </w:rPr>
              <w:t>82.2</w:t>
            </w:r>
          </w:p>
        </w:tc>
      </w:tr>
      <w:tr w:rsidR="00000000">
        <w:tblPrEx>
          <w:tblCellMar>
            <w:top w:w="0" w:type="dxa"/>
            <w:bottom w:w="0" w:type="dxa"/>
          </w:tblCellMar>
        </w:tblPrEx>
        <w:tc>
          <w:tcPr>
            <w:tcW w:w="1708"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rFonts w:hint="eastAsia"/>
                <w:spacing w:val="4"/>
                <w:sz w:val="21"/>
              </w:rPr>
              <w:t>美国</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7.2(1996</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8.3(1994</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73(1996</w:t>
            </w:r>
            <w:r>
              <w:rPr>
                <w:rFonts w:hint="eastAsia"/>
                <w:spacing w:val="4"/>
                <w:sz w:val="21"/>
              </w:rPr>
              <w:t>年</w:t>
            </w:r>
            <w:r>
              <w:rPr>
                <w:spacing w:val="4"/>
                <w:sz w:val="21"/>
              </w:rPr>
              <w:t>)</w:t>
            </w:r>
          </w:p>
        </w:tc>
        <w:tc>
          <w:tcPr>
            <w:tcW w:w="1926" w:type="dxa"/>
            <w:gridSpan w:val="2"/>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79(1996</w:t>
            </w:r>
            <w:r>
              <w:rPr>
                <w:rFonts w:hint="eastAsia"/>
                <w:spacing w:val="4"/>
                <w:sz w:val="21"/>
              </w:rPr>
              <w:t>年</w:t>
            </w:r>
            <w:r>
              <w:rPr>
                <w:spacing w:val="4"/>
                <w:sz w:val="21"/>
              </w:rPr>
              <w:t>)</w:t>
            </w:r>
          </w:p>
        </w:tc>
      </w:tr>
      <w:tr w:rsidR="00000000">
        <w:tblPrEx>
          <w:tblCellMar>
            <w:top w:w="0" w:type="dxa"/>
            <w:bottom w:w="0" w:type="dxa"/>
          </w:tblCellMar>
        </w:tblPrEx>
        <w:tc>
          <w:tcPr>
            <w:tcW w:w="1708"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rFonts w:hint="eastAsia"/>
                <w:spacing w:val="4"/>
                <w:sz w:val="21"/>
              </w:rPr>
              <w:t>英国</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6.1(1996</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6.7(1992</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74(1995</w:t>
            </w:r>
            <w:r>
              <w:rPr>
                <w:rFonts w:hint="eastAsia"/>
                <w:spacing w:val="4"/>
                <w:sz w:val="21"/>
              </w:rPr>
              <w:t>年</w:t>
            </w:r>
            <w:r>
              <w:rPr>
                <w:spacing w:val="4"/>
                <w:sz w:val="21"/>
              </w:rPr>
              <w:t>)</w:t>
            </w:r>
          </w:p>
        </w:tc>
        <w:tc>
          <w:tcPr>
            <w:tcW w:w="1926" w:type="dxa"/>
            <w:gridSpan w:val="2"/>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79.4(1995</w:t>
            </w:r>
            <w:r>
              <w:rPr>
                <w:rFonts w:hint="eastAsia"/>
                <w:spacing w:val="4"/>
                <w:sz w:val="21"/>
              </w:rPr>
              <w:t>年</w:t>
            </w:r>
            <w:r>
              <w:rPr>
                <w:spacing w:val="4"/>
                <w:sz w:val="21"/>
              </w:rPr>
              <w:t>)</w:t>
            </w:r>
          </w:p>
        </w:tc>
      </w:tr>
      <w:tr w:rsidR="00000000">
        <w:tblPrEx>
          <w:tblCellMar>
            <w:top w:w="0" w:type="dxa"/>
            <w:bottom w:w="0" w:type="dxa"/>
          </w:tblCellMar>
        </w:tblPrEx>
        <w:tc>
          <w:tcPr>
            <w:tcW w:w="1708"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rFonts w:hint="eastAsia"/>
                <w:spacing w:val="4"/>
                <w:sz w:val="21"/>
              </w:rPr>
              <w:t>日本</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3.8(1996</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6.1(1994</w:t>
            </w:r>
            <w:r>
              <w:rPr>
                <w:rFonts w:hint="eastAsia"/>
                <w:spacing w:val="4"/>
                <w:sz w:val="21"/>
              </w:rPr>
              <w:t>年</w:t>
            </w:r>
            <w:r>
              <w:rPr>
                <w:spacing w:val="4"/>
                <w:sz w:val="21"/>
              </w:rPr>
              <w:t>)</w:t>
            </w:r>
          </w:p>
        </w:tc>
        <w:tc>
          <w:tcPr>
            <w:tcW w:w="1926" w:type="dxa"/>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77(1996</w:t>
            </w:r>
            <w:r>
              <w:rPr>
                <w:rFonts w:hint="eastAsia"/>
                <w:spacing w:val="4"/>
                <w:sz w:val="21"/>
              </w:rPr>
              <w:t>年</w:t>
            </w:r>
            <w:r>
              <w:rPr>
                <w:spacing w:val="4"/>
                <w:sz w:val="21"/>
              </w:rPr>
              <w:t>)</w:t>
            </w:r>
          </w:p>
        </w:tc>
        <w:tc>
          <w:tcPr>
            <w:tcW w:w="1926" w:type="dxa"/>
            <w:gridSpan w:val="2"/>
          </w:tcPr>
          <w:p w:rsidR="00000000" w:rsidRDefault="00000000">
            <w:pPr>
              <w:widowControl w:val="0"/>
              <w:tabs>
                <w:tab w:val="clear" w:pos="510"/>
                <w:tab w:val="left" w:pos="442"/>
                <w:tab w:val="left" w:pos="885"/>
                <w:tab w:val="left" w:pos="1327"/>
                <w:tab w:val="left" w:pos="1769"/>
                <w:tab w:val="left" w:pos="2211"/>
                <w:tab w:val="left" w:pos="2654"/>
                <w:tab w:val="left" w:pos="3096"/>
                <w:tab w:val="left" w:pos="3538"/>
                <w:tab w:val="left" w:pos="3980"/>
                <w:tab w:val="left" w:pos="4423"/>
                <w:tab w:val="left" w:pos="4865"/>
                <w:tab w:val="left" w:pos="5307"/>
              </w:tabs>
              <w:spacing w:before="60" w:line="240" w:lineRule="auto"/>
              <w:ind w:left="113" w:right="113"/>
              <w:textAlignment w:val="center"/>
              <w:rPr>
                <w:spacing w:val="4"/>
                <w:sz w:val="21"/>
              </w:rPr>
            </w:pPr>
            <w:r>
              <w:rPr>
                <w:spacing w:val="4"/>
                <w:sz w:val="21"/>
              </w:rPr>
              <w:t>83.6(1996</w:t>
            </w:r>
            <w:r>
              <w:rPr>
                <w:rFonts w:hint="eastAsia"/>
                <w:spacing w:val="4"/>
                <w:sz w:val="21"/>
              </w:rPr>
              <w:t>年</w:t>
            </w:r>
            <w:r>
              <w:rPr>
                <w:spacing w:val="4"/>
                <w:sz w:val="21"/>
              </w:rPr>
              <w:t>)</w:t>
            </w:r>
          </w:p>
        </w:tc>
      </w:tr>
    </w:tbl>
    <w:p w:rsidR="00000000" w:rsidRDefault="00000000">
      <w:pPr>
        <w:spacing w:before="320"/>
      </w:pPr>
      <w:r>
        <w:rPr>
          <w:rFonts w:hint="eastAsia"/>
        </w:rPr>
        <w:t>政府仍定期向世界卫生组织提交有关香港卫生情况的资料，以供编录于该组织出版的《各国卫生资料概况》内。</w:t>
      </w:r>
    </w:p>
    <w:p w:rsidR="00000000" w:rsidRDefault="00000000">
      <w:pPr>
        <w:pStyle w:val="Heading4"/>
        <w:spacing w:before="320"/>
      </w:pPr>
      <w:r>
        <w:rPr>
          <w:rFonts w:hint="eastAsia"/>
        </w:rPr>
        <w:t>香港市民的一般健康状况</w:t>
      </w:r>
    </w:p>
    <w:p w:rsidR="00000000" w:rsidRDefault="00000000">
      <w:r>
        <w:tab/>
        <w:t xml:space="preserve">415.  </w:t>
      </w:r>
      <w:r>
        <w:rPr>
          <w:rFonts w:hint="eastAsia"/>
        </w:rPr>
        <w:t>在婴儿死亡率方面，按每千名活产婴儿计算，一九八○年的数字为</w:t>
      </w:r>
      <w:r>
        <w:t>11.8,</w:t>
      </w:r>
      <w:r>
        <w:rPr>
          <w:rFonts w:hint="eastAsia"/>
        </w:rPr>
        <w:t>一九九四年已降至</w:t>
      </w:r>
      <w:r>
        <w:t>4.8,</w:t>
      </w:r>
      <w:r>
        <w:rPr>
          <w:rFonts w:hint="eastAsia"/>
        </w:rPr>
        <w:t>到一九九六年再下降至</w:t>
      </w:r>
      <w:r>
        <w:t>4.0(</w:t>
      </w:r>
      <w:r>
        <w:rPr>
          <w:rFonts w:hint="eastAsia"/>
        </w:rPr>
        <w:t>男婴死亡率由</w:t>
      </w:r>
      <w:r>
        <w:t>12.8</w:t>
      </w:r>
      <w:r>
        <w:rPr>
          <w:rFonts w:hint="eastAsia"/>
        </w:rPr>
        <w:t>下降至</w:t>
      </w:r>
      <w:r>
        <w:t>4.3</w:t>
      </w:r>
      <w:r>
        <w:rPr>
          <w:rFonts w:hint="eastAsia"/>
        </w:rPr>
        <w:t>；女婴死亡率则由</w:t>
      </w:r>
      <w:r>
        <w:t>10.7</w:t>
      </w:r>
      <w:r>
        <w:rPr>
          <w:rFonts w:hint="eastAsia"/>
        </w:rPr>
        <w:t>下降至</w:t>
      </w:r>
      <w:r>
        <w:t>3.6)</w:t>
      </w:r>
      <w:r>
        <w:rPr>
          <w:rFonts w:hint="eastAsia"/>
        </w:rPr>
        <w:t>。至于出生后的预期寿命，男性于一九九一年为</w:t>
      </w:r>
      <w:r>
        <w:t>71.6</w:t>
      </w:r>
      <w:r>
        <w:rPr>
          <w:rFonts w:hint="eastAsia"/>
        </w:rPr>
        <w:t>岁，一九九四年为</w:t>
      </w:r>
      <w:r>
        <w:t>75.8</w:t>
      </w:r>
      <w:r>
        <w:rPr>
          <w:rFonts w:hint="eastAsia"/>
        </w:rPr>
        <w:t>岁，到一九九六年则增至</w:t>
      </w:r>
      <w:r>
        <w:t>76.3</w:t>
      </w:r>
      <w:r>
        <w:rPr>
          <w:rFonts w:hint="eastAsia"/>
        </w:rPr>
        <w:t>岁；女性于一九九一年为</w:t>
      </w:r>
      <w:r>
        <w:t>77.9</w:t>
      </w:r>
      <w:r>
        <w:rPr>
          <w:rFonts w:hint="eastAsia"/>
        </w:rPr>
        <w:t>岁，一九九四年为</w:t>
      </w:r>
      <w:r>
        <w:t>81.2</w:t>
      </w:r>
      <w:r>
        <w:rPr>
          <w:rFonts w:hint="eastAsia"/>
        </w:rPr>
        <w:t>岁，到了一九九六年则增至</w:t>
      </w:r>
      <w:r>
        <w:t>81.8</w:t>
      </w:r>
      <w:r>
        <w:rPr>
          <w:rFonts w:hint="eastAsia"/>
        </w:rPr>
        <w:t>岁。从这些数字可见，香港人的预期寿命水平，仍处于世界前列位置。男性和女性在预期寿命水平上的差别，也与其他地区相若。从一九九六年看，孕妇死亡率仍属偏低，每十万次分娩的死亡率仅为</w:t>
      </w:r>
      <w:r>
        <w:t>3.1</w:t>
      </w:r>
      <w:r>
        <w:rPr>
          <w:rFonts w:hint="eastAsia"/>
        </w:rPr>
        <w:t>人，而且全属产后死亡个案</w:t>
      </w:r>
      <w:r>
        <w:rPr>
          <w:rStyle w:val="FootnoteReference"/>
        </w:rPr>
        <w:footnoteReference w:id="83"/>
      </w:r>
      <w:r>
        <w:t xml:space="preserve"> </w:t>
      </w:r>
      <w:r>
        <w:rPr>
          <w:rFonts w:hint="eastAsia"/>
        </w:rPr>
        <w:t>。香港市民不单可饮用到安全卫生的食水，还有适当的排污设施可供使用。他们可得到受过良好训练的人员治疗一般疾病和损伤、照料怀孕和分娩的妇女，并照顾儿童的健康。一九九七年，逾</w:t>
      </w:r>
      <w:r>
        <w:t>99%</w:t>
      </w:r>
      <w:r>
        <w:rPr>
          <w:rFonts w:hint="eastAsia"/>
        </w:rPr>
        <w:t>的新生婴儿接受了结核病防疫注射</w:t>
      </w:r>
      <w:r>
        <w:t>(</w:t>
      </w:r>
      <w:r>
        <w:rPr>
          <w:rFonts w:hint="eastAsia"/>
        </w:rPr>
        <w:t>一九九四年为</w:t>
      </w:r>
      <w:r>
        <w:t>98%)</w:t>
      </w:r>
      <w:r>
        <w:rPr>
          <w:rFonts w:hint="eastAsia"/>
        </w:rPr>
        <w:t>。逾</w:t>
      </w:r>
      <w:r>
        <w:t>88%</w:t>
      </w:r>
      <w:r>
        <w:rPr>
          <w:rFonts w:hint="eastAsia"/>
        </w:rPr>
        <w:t>的儿童到一岁时，已接受小儿麻痹症、白喉、百日咳和破伤风的防疫注射</w:t>
      </w:r>
      <w:r>
        <w:t>(</w:t>
      </w:r>
      <w:r>
        <w:rPr>
          <w:rFonts w:hint="eastAsia"/>
        </w:rPr>
        <w:t>一九九四年为</w:t>
      </w:r>
      <w:r>
        <w:t>82%)</w:t>
      </w:r>
      <w:r>
        <w:rPr>
          <w:rFonts w:hint="eastAsia"/>
        </w:rPr>
        <w:t>；而逾</w:t>
      </w:r>
      <w:r>
        <w:t>82%</w:t>
      </w:r>
      <w:r>
        <w:rPr>
          <w:rFonts w:hint="eastAsia"/>
        </w:rPr>
        <w:t>则接受了麻疹、流行性腮腺炎及德国麻疹的防疫注射</w:t>
      </w:r>
      <w:r>
        <w:t>(</w:t>
      </w:r>
      <w:r>
        <w:rPr>
          <w:rFonts w:hint="eastAsia"/>
        </w:rPr>
        <w:t>一九九四年为</w:t>
      </w:r>
      <w:r>
        <w:t>79%)</w:t>
      </w:r>
      <w:r>
        <w:rPr>
          <w:rFonts w:hint="eastAsia"/>
        </w:rPr>
        <w:t>。这些数字与发达国家相若。</w:t>
      </w:r>
    </w:p>
    <w:p w:rsidR="00000000" w:rsidRDefault="00000000">
      <w:pPr>
        <w:pStyle w:val="Heading4"/>
        <w:spacing w:before="320"/>
      </w:pPr>
      <w:r>
        <w:rPr>
          <w:rFonts w:hint="eastAsia"/>
        </w:rPr>
        <w:t>控制传染病</w:t>
      </w:r>
    </w:p>
    <w:p w:rsidR="00000000" w:rsidRDefault="00000000">
      <w:r>
        <w:tab/>
        <w:t xml:space="preserve">416.  </w:t>
      </w:r>
      <w:r>
        <w:rPr>
          <w:rFonts w:hint="eastAsia"/>
        </w:rPr>
        <w:t>如上次报告第</w:t>
      </w:r>
      <w:r>
        <w:t>259</w:t>
      </w:r>
      <w:r>
        <w:rPr>
          <w:rFonts w:hint="eastAsia"/>
        </w:rPr>
        <w:t>段所述，主要的传染病大致上已受到控制，但病毒性肝炎及结核病仍然常见。目前，香港约有</w:t>
      </w:r>
      <w:r>
        <w:t>8%</w:t>
      </w:r>
      <w:r>
        <w:rPr>
          <w:rFonts w:hint="eastAsia"/>
        </w:rPr>
        <w:t>至</w:t>
      </w:r>
      <w:r>
        <w:t>10%</w:t>
      </w:r>
      <w:r>
        <w:rPr>
          <w:rFonts w:hint="eastAsia"/>
        </w:rPr>
        <w:t>人口为乙型肝炎带菌者，是全世界比率最高的地方之一。然而，政府致力推行防疫注射计划，改善整体环境卫生，并维持安全卫生的食物和食水供应，有效地减低了大规模爆发疫症的机会</w:t>
      </w:r>
      <w:r>
        <w:rPr>
          <w:rStyle w:val="FootnoteReference"/>
        </w:rPr>
        <w:footnoteReference w:id="84"/>
      </w:r>
      <w:r>
        <w:t xml:space="preserve"> </w:t>
      </w:r>
      <w:r>
        <w:rPr>
          <w:rFonts w:hint="eastAsia"/>
        </w:rPr>
        <w:t>。同时，政府的传染病监察系统，规定所有医生遇到须呈报的传染病个案时，必须向卫生署报告，以便该署迅速采取行动，防止疾病蔓延。此外，卫生署又与世界卫生组织保持紧密联系，以监察新出现的传染病</w:t>
      </w:r>
      <w:r>
        <w:t>(</w:t>
      </w:r>
      <w:r>
        <w:rPr>
          <w:rFonts w:hint="eastAsia"/>
        </w:rPr>
        <w:t>例如下文第</w:t>
      </w:r>
      <w:r>
        <w:t>424</w:t>
      </w:r>
      <w:r>
        <w:rPr>
          <w:rFonts w:hint="eastAsia"/>
        </w:rPr>
        <w:t>至</w:t>
      </w:r>
      <w:r>
        <w:t>429</w:t>
      </w:r>
      <w:r>
        <w:rPr>
          <w:rFonts w:hint="eastAsia"/>
        </w:rPr>
        <w:t>段所论述的“禽流感”事件</w:t>
      </w:r>
      <w:r>
        <w:t>)</w:t>
      </w:r>
      <w:r>
        <w:rPr>
          <w:rFonts w:hint="eastAsia"/>
        </w:rPr>
        <w:t>，并互相交换资料。</w:t>
      </w:r>
    </w:p>
    <w:p w:rsidR="00000000" w:rsidRDefault="00000000">
      <w:pPr>
        <w:jc w:val="both"/>
      </w:pPr>
      <w:r>
        <w:tab/>
        <w:t xml:space="preserve">417.  </w:t>
      </w:r>
      <w:r>
        <w:rPr>
          <w:rFonts w:hint="eastAsia"/>
        </w:rPr>
        <w:t>卫生署近期的工作包括：</w:t>
      </w:r>
    </w:p>
    <w:p w:rsidR="00000000" w:rsidRDefault="00000000">
      <w:pPr>
        <w:numPr>
          <w:ilvl w:val="0"/>
          <w:numId w:val="45"/>
        </w:numPr>
        <w:ind w:left="1546" w:hanging="510"/>
      </w:pPr>
      <w:r>
        <w:rPr>
          <w:rFonts w:hint="eastAsia"/>
          <w:u w:val="single"/>
        </w:rPr>
        <w:t>一九九七年的麻疹加强注射运动</w:t>
      </w:r>
      <w:r>
        <w:rPr>
          <w:rFonts w:hint="eastAsia"/>
        </w:rPr>
        <w:t>：约有</w:t>
      </w:r>
      <w:r>
        <w:t>110</w:t>
      </w:r>
      <w:r>
        <w:rPr>
          <w:rFonts w:hint="eastAsia"/>
        </w:rPr>
        <w:t>万人接受了防疫注射，以防止预期会爆发的麻疹疫症蔓延。据估计，若非我们进行了这次防疫注射运动，麻疹病发个案的数字便可能会超过一九八八年所录得的</w:t>
      </w:r>
      <w:r>
        <w:t>3,000</w:t>
      </w:r>
      <w:r>
        <w:rPr>
          <w:rFonts w:hint="eastAsia"/>
        </w:rPr>
        <w:t>宗。事实上，如注</w:t>
      </w:r>
      <w:r>
        <w:t>(83)</w:t>
      </w:r>
      <w:r>
        <w:rPr>
          <w:rFonts w:hint="eastAsia"/>
        </w:rPr>
        <w:t>所述，一九九七及一九九八年共只有</w:t>
      </w:r>
      <w:r>
        <w:t>379</w:t>
      </w:r>
      <w:r>
        <w:rPr>
          <w:rFonts w:hint="eastAsia"/>
        </w:rPr>
        <w:t>宗麻疹病发个案；及</w:t>
      </w:r>
    </w:p>
    <w:p w:rsidR="00000000" w:rsidRDefault="00000000">
      <w:pPr>
        <w:numPr>
          <w:ilvl w:val="0"/>
          <w:numId w:val="45"/>
        </w:numPr>
        <w:ind w:left="1546" w:hanging="510"/>
      </w:pPr>
      <w:r>
        <w:rPr>
          <w:rFonts w:hint="eastAsia"/>
          <w:u w:val="single"/>
        </w:rPr>
        <w:t>新建公共卫生化验所</w:t>
      </w:r>
      <w:r>
        <w:rPr>
          <w:rFonts w:hint="eastAsia"/>
        </w:rPr>
        <w:t>：有关工程已经展开。新化验所启用后，将使政府能更有效地预防和控制传染病。</w:t>
      </w:r>
    </w:p>
    <w:p w:rsidR="00000000" w:rsidRDefault="00000000">
      <w:pPr>
        <w:pStyle w:val="Heading4"/>
        <w:spacing w:before="320"/>
        <w:ind w:left="518"/>
      </w:pPr>
      <w:r>
        <w:rPr>
          <w:rFonts w:hint="eastAsia"/>
        </w:rPr>
        <w:t>预防及控制艾滋病毒</w:t>
      </w:r>
      <w:r>
        <w:t>/</w:t>
      </w:r>
      <w:r>
        <w:rPr>
          <w:rFonts w:hint="eastAsia"/>
        </w:rPr>
        <w:t>艾滋病</w:t>
      </w:r>
    </w:p>
    <w:p w:rsidR="00000000" w:rsidRDefault="00000000">
      <w:r>
        <w:tab/>
        <w:t xml:space="preserve">418.  </w:t>
      </w:r>
      <w:r>
        <w:rPr>
          <w:rFonts w:hint="eastAsia"/>
        </w:rPr>
        <w:t>如上次报告第</w:t>
      </w:r>
      <w:r>
        <w:t>260</w:t>
      </w:r>
      <w:r>
        <w:rPr>
          <w:rFonts w:hint="eastAsia"/>
        </w:rPr>
        <w:t>至</w:t>
      </w:r>
      <w:r>
        <w:t>265</w:t>
      </w:r>
      <w:r>
        <w:rPr>
          <w:rFonts w:hint="eastAsia"/>
        </w:rPr>
        <w:t>段所述，预防、治疗及控制艾滋病毒</w:t>
      </w:r>
      <w:r>
        <w:t>/</w:t>
      </w:r>
      <w:r>
        <w:rPr>
          <w:rFonts w:hint="eastAsia"/>
        </w:rPr>
        <w:t>艾滋病是我们优先处理的工作。截至一九九七年十二月三十一日为止，卫生署接到</w:t>
      </w:r>
      <w:r>
        <w:t>957</w:t>
      </w:r>
      <w:r>
        <w:rPr>
          <w:rFonts w:hint="eastAsia"/>
        </w:rPr>
        <w:t>宗感染艾滋病毒个案的报告</w:t>
      </w:r>
      <w:r>
        <w:rPr>
          <w:rStyle w:val="FootnoteReference"/>
        </w:rPr>
        <w:footnoteReference w:id="85"/>
      </w:r>
      <w:r>
        <w:t xml:space="preserve"> (</w:t>
      </w:r>
      <w:r>
        <w:rPr>
          <w:rFonts w:hint="eastAsia"/>
        </w:rPr>
        <w:t>大部分经由性接触感染</w:t>
      </w:r>
      <w:r>
        <w:t>)</w:t>
      </w:r>
      <w:r>
        <w:rPr>
          <w:rFonts w:hint="eastAsia"/>
        </w:rPr>
        <w:t>，其中</w:t>
      </w:r>
      <w:r>
        <w:t>309</w:t>
      </w:r>
      <w:r>
        <w:rPr>
          <w:rFonts w:hint="eastAsia"/>
        </w:rPr>
        <w:t>宗个案的病人患上艾滋病。</w:t>
      </w:r>
    </w:p>
    <w:p w:rsidR="00000000" w:rsidRDefault="00000000">
      <w:r>
        <w:tab/>
        <w:t xml:space="preserve">419.  </w:t>
      </w:r>
      <w:r>
        <w:rPr>
          <w:rFonts w:hint="eastAsia"/>
        </w:rPr>
        <w:t>香港防治艾滋病规划的重点工作包括：预防艾滋病毒感染和促进健康；关怀艾滋病人；以及制定消除歧视行为的政策。</w:t>
      </w:r>
    </w:p>
    <w:p w:rsidR="00000000" w:rsidRDefault="00000000">
      <w:pPr>
        <w:pStyle w:val="Heading4"/>
        <w:spacing w:before="320"/>
        <w:ind w:left="498"/>
      </w:pPr>
      <w:r>
        <w:rPr>
          <w:rFonts w:hint="eastAsia"/>
        </w:rPr>
        <w:t>香港艾滋病顾问局</w:t>
      </w:r>
    </w:p>
    <w:p w:rsidR="00000000" w:rsidRDefault="00000000">
      <w:r>
        <w:tab/>
        <w:t xml:space="preserve">420.  </w:t>
      </w:r>
      <w:r>
        <w:rPr>
          <w:rFonts w:hint="eastAsia"/>
        </w:rPr>
        <w:t>一九九○年，政府成立了艾滋病顾问局，以协调政府和社会团体的有关工作。顾问局于一九九四年发表了首份名为《香港防治艾滋病策略》的政策文件，并于一九九六年举办了香港第一届艾滋病会议，以推动社会人士关注艾滋病，并加强与澳门及内地人士在这方面的联系。一九九八年，顾问局就本港的整体规划作出全面检讨。外间的顾问亦会提供建议，作为香港日后在这方面发展的指引。</w:t>
      </w:r>
    </w:p>
    <w:p w:rsidR="00000000" w:rsidRDefault="00000000">
      <w:pPr>
        <w:pStyle w:val="Heading4"/>
        <w:spacing w:before="320"/>
      </w:pPr>
      <w:r>
        <w:rPr>
          <w:u w:val="none"/>
        </w:rPr>
        <w:tab/>
      </w:r>
      <w:r>
        <w:rPr>
          <w:rFonts w:hint="eastAsia"/>
        </w:rPr>
        <w:t>测检和治疗</w:t>
      </w:r>
    </w:p>
    <w:p w:rsidR="00000000" w:rsidRDefault="00000000">
      <w:r>
        <w:tab/>
        <w:t xml:space="preserve">421.  </w:t>
      </w:r>
      <w:r>
        <w:rPr>
          <w:rFonts w:hint="eastAsia"/>
        </w:rPr>
        <w:t>卫生署的艾滋病服务组，是政府艾滋病服务的主要执行机关。该组以不记名及保密方式进行艾滋病毒测试，并为公众人士设立一条具备电脑互动功能的电话热线。现时，该热线每月接到约</w:t>
      </w:r>
      <w:r>
        <w:t>7,000</w:t>
      </w:r>
      <w:r>
        <w:rPr>
          <w:rFonts w:hint="eastAsia"/>
        </w:rPr>
        <w:t>个来电。在公营部门方面，艾滋病服务组及医院管理局</w:t>
      </w:r>
      <w:r>
        <w:rPr>
          <w:rStyle w:val="FootnoteReference"/>
        </w:rPr>
        <w:footnoteReference w:id="86"/>
      </w:r>
      <w:r>
        <w:t xml:space="preserve"> </w:t>
      </w:r>
      <w:r>
        <w:rPr>
          <w:rFonts w:hint="eastAsia"/>
        </w:rPr>
        <w:t>均为感染艾滋病毒人士及艾滋病人提供临床护理服务，并以抗艾滋病毒混合药物疗法作为标准的治疗方法。一九九九年年初，卫生署将开设一间日间综合诊疗中心，为感染艾滋病毒人士及性病患者提供服务。</w:t>
      </w:r>
    </w:p>
    <w:p w:rsidR="00000000" w:rsidRDefault="00000000">
      <w:pPr>
        <w:pStyle w:val="Heading4"/>
        <w:spacing w:before="320"/>
        <w:ind w:left="518"/>
      </w:pPr>
      <w:r>
        <w:rPr>
          <w:rFonts w:hint="eastAsia"/>
        </w:rPr>
        <w:t>艾滋病毒感染者及艾滋病人的权利</w:t>
      </w:r>
    </w:p>
    <w:p w:rsidR="00000000" w:rsidRDefault="00000000">
      <w:r>
        <w:tab/>
        <w:t xml:space="preserve">422.  </w:t>
      </w:r>
      <w:r>
        <w:rPr>
          <w:rFonts w:hint="eastAsia"/>
        </w:rPr>
        <w:t>政府致力向市民推广并保护艾滋病毒感染者及艾滋病人的权利，有关措施如下：</w:t>
      </w:r>
    </w:p>
    <w:p w:rsidR="00000000" w:rsidRDefault="00000000">
      <w:pPr>
        <w:numPr>
          <w:ilvl w:val="0"/>
          <w:numId w:val="46"/>
        </w:numPr>
        <w:ind w:left="1546" w:hanging="510"/>
      </w:pPr>
      <w:r>
        <w:rPr>
          <w:rFonts w:hint="eastAsia"/>
        </w:rPr>
        <w:t>由香港艾滋病顾问局制定政策指引；</w:t>
      </w:r>
    </w:p>
    <w:p w:rsidR="00000000" w:rsidRDefault="00000000">
      <w:pPr>
        <w:numPr>
          <w:ilvl w:val="0"/>
          <w:numId w:val="46"/>
        </w:numPr>
        <w:ind w:left="1546" w:hanging="510"/>
      </w:pPr>
      <w:r>
        <w:rPr>
          <w:rFonts w:hint="eastAsia"/>
        </w:rPr>
        <w:t>制定《香港社群关注艾滋病约章》，鼓励社会人士消除在工作场所歧视艾滋病人；及</w:t>
      </w:r>
    </w:p>
    <w:p w:rsidR="00000000" w:rsidRDefault="00000000">
      <w:pPr>
        <w:numPr>
          <w:ilvl w:val="0"/>
          <w:numId w:val="46"/>
        </w:numPr>
        <w:ind w:left="1546" w:hanging="510"/>
      </w:pPr>
      <w:r>
        <w:rPr>
          <w:rFonts w:hint="eastAsia"/>
        </w:rPr>
        <w:t>制定《残疾歧视条例》。</w:t>
      </w:r>
    </w:p>
    <w:p w:rsidR="00000000" w:rsidRDefault="00000000">
      <w:pPr>
        <w:pStyle w:val="Heading4"/>
        <w:spacing w:before="320"/>
        <w:ind w:left="518"/>
      </w:pPr>
      <w:r>
        <w:rPr>
          <w:rFonts w:hint="eastAsia"/>
        </w:rPr>
        <w:t>社会参与和教育</w:t>
      </w:r>
    </w:p>
    <w:p w:rsidR="00000000" w:rsidRDefault="00000000">
      <w:r>
        <w:tab/>
        <w:t xml:space="preserve">423.  </w:t>
      </w:r>
      <w:r>
        <w:rPr>
          <w:rFonts w:hint="eastAsia"/>
        </w:rPr>
        <w:t>在上次报告第</w:t>
      </w:r>
      <w:r>
        <w:t>260</w:t>
      </w:r>
      <w:r>
        <w:rPr>
          <w:rFonts w:hint="eastAsia"/>
        </w:rPr>
        <w:t>段，我们曾指出，政府</w:t>
      </w:r>
      <w:r>
        <w:t>(</w:t>
      </w:r>
      <w:r>
        <w:rPr>
          <w:rFonts w:hint="eastAsia"/>
        </w:rPr>
        <w:t>于一九九三年</w:t>
      </w:r>
      <w:r>
        <w:t>)</w:t>
      </w:r>
      <w:r>
        <w:rPr>
          <w:rFonts w:hint="eastAsia"/>
        </w:rPr>
        <w:t>设立了艾滋病信托基金，以鼓励和赞助各界举办社会教育及支援服务计划，并为感染艾滋病毒的血友病患者发放恩恤金。一九九七年，卫生署获上述基金提供资助，成立了“红丝带中心”，负责有关艾滋病资源、研究和教育事宜。该中心由卫生署艾滋病服务组主理。</w:t>
      </w:r>
    </w:p>
    <w:p w:rsidR="00000000" w:rsidRDefault="00000000">
      <w:pPr>
        <w:pStyle w:val="Heading4"/>
        <w:spacing w:before="320"/>
      </w:pPr>
      <w:r>
        <w:rPr>
          <w:rFonts w:hint="eastAsia"/>
        </w:rPr>
        <w:t>禽流感</w:t>
      </w:r>
    </w:p>
    <w:p w:rsidR="00000000" w:rsidRDefault="00000000">
      <w:r>
        <w:tab/>
        <w:t xml:space="preserve">424.  </w:t>
      </w:r>
      <w:r>
        <w:rPr>
          <w:rFonts w:hint="eastAsia"/>
        </w:rPr>
        <w:t>一九九七年五月，一名出现与患上流感相似病征</w:t>
      </w:r>
      <w:r>
        <w:t>(</w:t>
      </w:r>
      <w:r>
        <w:rPr>
          <w:rFonts w:hint="eastAsia"/>
        </w:rPr>
        <w:t>例如突发性高烧、浑身虚弱、咳嗽和喉痛</w:t>
      </w:r>
      <w:r>
        <w:t>)</w:t>
      </w:r>
      <w:r>
        <w:rPr>
          <w:rFonts w:hint="eastAsia"/>
        </w:rPr>
        <w:t>的儿童被送往医院，十天后死亡。院方抽取了该名儿童的痰涎样本进行细菌培殖和分类。在美国阿特兰大的疾病控制及预防中心协助下，证实该名儿童所感染的是一种名为甲类流行性感冒</w:t>
      </w:r>
      <w:r>
        <w:t>H5N1</w:t>
      </w:r>
      <w:r>
        <w:rPr>
          <w:rFonts w:hint="eastAsia"/>
        </w:rPr>
        <w:t>的病毒。据我们以前所知，只有禽鸟才会感染这种病毒，因此该病症便称为“禽流感”。</w:t>
      </w:r>
    </w:p>
    <w:p w:rsidR="00000000" w:rsidRDefault="00000000">
      <w:r>
        <w:tab/>
        <w:t xml:space="preserve">425.  </w:t>
      </w:r>
      <w:r>
        <w:rPr>
          <w:rFonts w:hint="eastAsia"/>
        </w:rPr>
        <w:t>我们立即加强对流感的监察工作。同时，卫生署亦与疾病控制及预防中心、世界卫生组织紧密合作，以找出感染的源头和传染方式。</w:t>
      </w:r>
    </w:p>
    <w:p w:rsidR="00000000" w:rsidRDefault="00000000">
      <w:r>
        <w:tab/>
        <w:t xml:space="preserve">426.  </w:t>
      </w:r>
      <w:r>
        <w:rPr>
          <w:rFonts w:hint="eastAsia"/>
        </w:rPr>
        <w:t>一九九七年十二月底，我们证实一个本地鸡场和一个本地批发市场分别有大批鸡只受到病毒感染。为防止病毒进一步扩散，并为保障公众的健康起见，我们决定销毁本地鸡场所有鸡只和批发及零售市场全部家禽。有关工作在十二月二十九至三十一日进行，其后并在所有鸡场、批发及零售市场进行彻底的清洗行动。</w:t>
      </w:r>
    </w:p>
    <w:p w:rsidR="00000000" w:rsidRDefault="00000000">
      <w:r>
        <w:tab/>
        <w:t xml:space="preserve">427.  </w:t>
      </w:r>
      <w:r>
        <w:rPr>
          <w:rFonts w:hint="eastAsia"/>
        </w:rPr>
        <w:t>香港卫生署、世界卫生组织和香港大学合作进行研究，发现鸭、鹅和其他水禽属于间歇带病毒动物。它们感染禽流感病毒后不会发病，但却可传染病毒给鸡只和非蹼足类禽鸟。因此，政府在家禽的运销过程中采取了分流政策，无论于饲养、运输、销售，以至屠宰等每一阶段，都把活鸡与所有蹼足类活水禽分隔开。目前，所有鸭、鹅的肉壳在运送至零售点时，必须保持冷冻和合乎卫生。</w:t>
      </w:r>
    </w:p>
    <w:p w:rsidR="00000000" w:rsidRDefault="00000000">
      <w:r>
        <w:tab/>
        <w:t xml:space="preserve">428.  </w:t>
      </w:r>
      <w:r>
        <w:rPr>
          <w:rFonts w:hint="eastAsia"/>
        </w:rPr>
        <w:t>在禽流感蔓延期间，全港共有</w:t>
      </w:r>
      <w:r>
        <w:t>18</w:t>
      </w:r>
      <w:r>
        <w:rPr>
          <w:rFonts w:hint="eastAsia"/>
        </w:rPr>
        <w:t>名市民受感染而接受治疗，其中六人不治，余下</w:t>
      </w:r>
      <w:r>
        <w:t>12</w:t>
      </w:r>
      <w:r>
        <w:rPr>
          <w:rFonts w:hint="eastAsia"/>
        </w:rPr>
        <w:t>人则已康复出院。自一九九七年十二月以来，香港已再没有发现新的发病个案。</w:t>
      </w:r>
    </w:p>
    <w:p w:rsidR="00000000" w:rsidRDefault="00000000">
      <w:pPr>
        <w:pStyle w:val="Heading4"/>
        <w:spacing w:before="320"/>
        <w:ind w:left="518"/>
      </w:pPr>
      <w:r>
        <w:rPr>
          <w:rFonts w:hint="eastAsia"/>
        </w:rPr>
        <w:t>汲取经验：未来路向</w:t>
      </w:r>
    </w:p>
    <w:p w:rsidR="00000000" w:rsidRDefault="00000000">
      <w:r>
        <w:tab/>
        <w:t xml:space="preserve">429.  </w:t>
      </w:r>
      <w:r>
        <w:rPr>
          <w:rFonts w:hint="eastAsia"/>
        </w:rPr>
        <w:t>从各种迹象显示，禽流感几乎只会经由禽鸟传染给人类，人传染人虽有可能，但传染能力不强。全港医院和诊所均继续保持警觉，以防禽流感再次出现。政府会继续与世界卫生组织和疾病控制及预防中心合作，监察病毒的变化，并分析在香港取得的测试结果。</w:t>
      </w:r>
    </w:p>
    <w:p w:rsidR="00000000" w:rsidRDefault="00000000">
      <w:pPr>
        <w:pStyle w:val="Heading4"/>
        <w:spacing w:before="320"/>
      </w:pPr>
      <w:r>
        <w:rPr>
          <w:rFonts w:hint="eastAsia"/>
        </w:rPr>
        <w:t>为残疾人士提供服务和设施</w:t>
      </w:r>
    </w:p>
    <w:p w:rsidR="00000000" w:rsidRDefault="00000000">
      <w:r>
        <w:tab/>
        <w:t xml:space="preserve">430.  </w:t>
      </w:r>
      <w:r>
        <w:rPr>
          <w:rFonts w:hint="eastAsia"/>
        </w:rPr>
        <w:t>在上次报告第</w:t>
      </w:r>
      <w:r>
        <w:t>266</w:t>
      </w:r>
      <w:r>
        <w:rPr>
          <w:rFonts w:hint="eastAsia"/>
        </w:rPr>
        <w:t>段，我们曾指出，政府在一九九五年发表的《康复政策及服务白皮书》，已因应各类服务对象不断改变的需要及情况，定出了新目标；而政府亦预计可于一九九七年完成新目标</w:t>
      </w:r>
      <w:r>
        <w:rPr>
          <w:rStyle w:val="FootnoteReference"/>
        </w:rPr>
        <w:footnoteReference w:id="87"/>
      </w:r>
      <w:r>
        <w:t xml:space="preserve"> </w:t>
      </w:r>
      <w:r>
        <w:rPr>
          <w:rFonts w:hint="eastAsia"/>
        </w:rPr>
        <w:t>：即提供</w:t>
      </w:r>
      <w:r>
        <w:t>3,676</w:t>
      </w:r>
      <w:r>
        <w:rPr>
          <w:rFonts w:hint="eastAsia"/>
        </w:rPr>
        <w:t>个展能中心名额</w:t>
      </w:r>
      <w:r>
        <w:t>(1,408</w:t>
      </w:r>
      <w:r>
        <w:rPr>
          <w:rFonts w:hint="eastAsia"/>
        </w:rPr>
        <w:t>个新增名额</w:t>
      </w:r>
      <w:r>
        <w:t>)</w:t>
      </w:r>
      <w:r>
        <w:rPr>
          <w:rFonts w:hint="eastAsia"/>
        </w:rPr>
        <w:t>、</w:t>
      </w:r>
      <w:r>
        <w:t>7,542</w:t>
      </w:r>
      <w:r>
        <w:rPr>
          <w:rFonts w:hint="eastAsia"/>
        </w:rPr>
        <w:t>个住宿名额</w:t>
      </w:r>
      <w:r>
        <w:t>(3,930</w:t>
      </w:r>
      <w:r>
        <w:rPr>
          <w:rFonts w:hint="eastAsia"/>
        </w:rPr>
        <w:t>个新增名额</w:t>
      </w:r>
      <w:r>
        <w:t>)</w:t>
      </w:r>
      <w:r>
        <w:rPr>
          <w:rFonts w:hint="eastAsia"/>
        </w:rPr>
        <w:t>，以及</w:t>
      </w:r>
      <w:r>
        <w:t>6,495</w:t>
      </w:r>
      <w:r>
        <w:rPr>
          <w:rFonts w:hint="eastAsia"/>
        </w:rPr>
        <w:t>个庇护工场名额</w:t>
      </w:r>
      <w:r>
        <w:t>(2,160</w:t>
      </w:r>
      <w:r>
        <w:rPr>
          <w:rFonts w:hint="eastAsia"/>
        </w:rPr>
        <w:t>个新增名额</w:t>
      </w:r>
      <w:r>
        <w:t>)</w:t>
      </w:r>
      <w:r>
        <w:rPr>
          <w:rFonts w:hint="eastAsia"/>
        </w:rPr>
        <w:t>。</w:t>
      </w:r>
    </w:p>
    <w:p w:rsidR="00000000" w:rsidRDefault="00000000">
      <w:r>
        <w:tab/>
        <w:t xml:space="preserve">431.  </w:t>
      </w:r>
      <w:r>
        <w:rPr>
          <w:rFonts w:hint="eastAsia"/>
        </w:rPr>
        <w:t>一九九七年年底，全港共有</w:t>
      </w:r>
      <w:r>
        <w:t>3,606</w:t>
      </w:r>
      <w:r>
        <w:rPr>
          <w:rFonts w:hint="eastAsia"/>
        </w:rPr>
        <w:t>个展能中心名额、</w:t>
      </w:r>
      <w:r>
        <w:t>7,362</w:t>
      </w:r>
      <w:r>
        <w:rPr>
          <w:rFonts w:hint="eastAsia"/>
        </w:rPr>
        <w:t>个住宿名额和</w:t>
      </w:r>
      <w:r>
        <w:t>7,225</w:t>
      </w:r>
      <w:r>
        <w:rPr>
          <w:rFonts w:hint="eastAsia"/>
        </w:rPr>
        <w:t>个庇护工场名额</w:t>
      </w:r>
      <w:r>
        <w:rPr>
          <w:rStyle w:val="FootnoteReference"/>
        </w:rPr>
        <w:footnoteReference w:id="88"/>
      </w:r>
      <w:r>
        <w:t xml:space="preserve"> </w:t>
      </w:r>
      <w:r>
        <w:rPr>
          <w:rFonts w:hint="eastAsia"/>
        </w:rPr>
        <w:t>。到了一九九八年年底，展能中心名额和住宿名额将分别新增</w:t>
      </w:r>
      <w:r>
        <w:rPr>
          <w:rFonts w:hint="eastAsia"/>
        </w:rPr>
        <w:t>50</w:t>
      </w:r>
      <w:r>
        <w:rPr>
          <w:rFonts w:hint="eastAsia"/>
        </w:rPr>
        <w:t>个和</w:t>
      </w:r>
      <w:r>
        <w:rPr>
          <w:rFonts w:hint="eastAsia"/>
        </w:rPr>
        <w:t>40</w:t>
      </w:r>
      <w:r>
        <w:rPr>
          <w:rFonts w:hint="eastAsia"/>
        </w:rPr>
        <w:t>个。我们计划在一九九九至二○○○年度，再增加</w:t>
      </w:r>
      <w:r>
        <w:t>50</w:t>
      </w:r>
      <w:r>
        <w:rPr>
          <w:rFonts w:hint="eastAsia"/>
        </w:rPr>
        <w:t>个展能中心名额、</w:t>
      </w:r>
      <w:r>
        <w:t>190</w:t>
      </w:r>
      <w:r>
        <w:rPr>
          <w:rFonts w:hint="eastAsia"/>
        </w:rPr>
        <w:t>个住宿名额和</w:t>
      </w:r>
      <w:r>
        <w:t>240</w:t>
      </w:r>
      <w:r>
        <w:rPr>
          <w:rFonts w:hint="eastAsia"/>
        </w:rPr>
        <w:t>个庇护工场名额。为满足不断增加的需求，政府已预留款项，在未来数年增设</w:t>
      </w:r>
      <w:r>
        <w:t>3,000</w:t>
      </w:r>
      <w:r>
        <w:rPr>
          <w:rFonts w:hint="eastAsia"/>
        </w:rPr>
        <w:t>多个住宿和日间服务名额。</w:t>
      </w:r>
    </w:p>
    <w:p w:rsidR="00000000" w:rsidRDefault="00000000">
      <w:pPr>
        <w:pStyle w:val="Heading4"/>
        <w:spacing w:before="320"/>
        <w:ind w:left="518"/>
      </w:pPr>
      <w:r>
        <w:rPr>
          <w:rFonts w:hint="eastAsia"/>
        </w:rPr>
        <w:t>保障学前残疾儿童的具体措施</w:t>
      </w:r>
    </w:p>
    <w:p w:rsidR="00000000" w:rsidRDefault="00000000">
      <w:r>
        <w:tab/>
        <w:t xml:space="preserve">432.  </w:t>
      </w:r>
      <w:r>
        <w:rPr>
          <w:rFonts w:hint="eastAsia"/>
        </w:rPr>
        <w:t>初生至六岁的残疾儿童可接受学前服务。有关服务由早期教育及训练中心、特殊幼儿中心和推行兼收残疾儿童计划的普通幼儿中心所开办，分别提供</w:t>
      </w:r>
      <w:r>
        <w:t>1,435</w:t>
      </w:r>
      <w:r>
        <w:rPr>
          <w:rFonts w:hint="eastAsia"/>
        </w:rPr>
        <w:t>、</w:t>
      </w:r>
      <w:r>
        <w:t>1,179</w:t>
      </w:r>
      <w:r>
        <w:rPr>
          <w:rFonts w:hint="eastAsia"/>
        </w:rPr>
        <w:t>和</w:t>
      </w:r>
      <w:r>
        <w:t>1,222</w:t>
      </w:r>
      <w:r>
        <w:rPr>
          <w:rFonts w:hint="eastAsia"/>
        </w:rPr>
        <w:t>个名额</w:t>
      </w:r>
      <w:r>
        <w:rPr>
          <w:rStyle w:val="FootnoteReference"/>
        </w:rPr>
        <w:footnoteReference w:id="89"/>
      </w:r>
      <w:r>
        <w:t xml:space="preserve"> </w:t>
      </w:r>
      <w:r>
        <w:rPr>
          <w:rFonts w:hint="eastAsia"/>
        </w:rPr>
        <w:t>。此外，特殊训练计划也为自闭症儿童提供</w:t>
      </w:r>
      <w:r>
        <w:t>126</w:t>
      </w:r>
      <w:r>
        <w:rPr>
          <w:rFonts w:hint="eastAsia"/>
        </w:rPr>
        <w:t>个名额。政府会在一九九八至九九年度增设</w:t>
      </w:r>
      <w:r>
        <w:t>288</w:t>
      </w:r>
      <w:r>
        <w:rPr>
          <w:rFonts w:hint="eastAsia"/>
        </w:rPr>
        <w:t>个各类学前服务的名额，并在二○○三年之前再增设</w:t>
      </w:r>
      <w:r>
        <w:rPr>
          <w:rFonts w:hint="eastAsia"/>
        </w:rPr>
        <w:t>3</w:t>
      </w:r>
      <w:r>
        <w:t>00</w:t>
      </w:r>
      <w:r>
        <w:rPr>
          <w:rFonts w:hint="eastAsia"/>
        </w:rPr>
        <w:t>个名额。</w:t>
      </w:r>
    </w:p>
    <w:p w:rsidR="00000000" w:rsidRDefault="00000000">
      <w:pPr>
        <w:pStyle w:val="Heading4"/>
        <w:spacing w:before="320"/>
      </w:pPr>
      <w:r>
        <w:rPr>
          <w:rFonts w:hint="eastAsia"/>
          <w:u w:val="none"/>
        </w:rPr>
        <w:t>《</w:t>
      </w:r>
      <w:r>
        <w:rPr>
          <w:rFonts w:hint="eastAsia"/>
        </w:rPr>
        <w:t>残疾歧视条例》及其实施情况</w:t>
      </w:r>
    </w:p>
    <w:p w:rsidR="00000000" w:rsidRDefault="00000000">
      <w:r>
        <w:tab/>
        <w:t xml:space="preserve">433.  </w:t>
      </w:r>
      <w:r>
        <w:rPr>
          <w:rFonts w:hint="eastAsia"/>
        </w:rPr>
        <w:t>这事项已于上文第二条下第</w:t>
      </w:r>
      <w:r>
        <w:t>8</w:t>
      </w:r>
      <w:r>
        <w:rPr>
          <w:rFonts w:hint="eastAsia"/>
        </w:rPr>
        <w:t>至</w:t>
      </w:r>
      <w:r>
        <w:t>11</w:t>
      </w:r>
      <w:r>
        <w:rPr>
          <w:rFonts w:hint="eastAsia"/>
        </w:rPr>
        <w:t>段论述。</w:t>
      </w:r>
    </w:p>
    <w:p w:rsidR="00000000" w:rsidRDefault="00000000">
      <w:pPr>
        <w:pStyle w:val="Heading4"/>
        <w:spacing w:before="320"/>
      </w:pPr>
      <w:r>
        <w:rPr>
          <w:rFonts w:hint="eastAsia"/>
        </w:rPr>
        <w:t>为精神上无能力的人士提供服务及设施</w:t>
      </w:r>
    </w:p>
    <w:p w:rsidR="00000000" w:rsidRDefault="00000000">
      <w:pPr>
        <w:pStyle w:val="Heading4"/>
        <w:ind w:left="518"/>
      </w:pPr>
      <w:r>
        <w:rPr>
          <w:rFonts w:hint="eastAsia"/>
        </w:rPr>
        <w:t>具体服务和设施</w:t>
      </w:r>
    </w:p>
    <w:p w:rsidR="00000000" w:rsidRDefault="00000000">
      <w:r>
        <w:tab/>
        <w:t xml:space="preserve">434.  </w:t>
      </w:r>
      <w:r>
        <w:rPr>
          <w:rFonts w:hint="eastAsia"/>
        </w:rPr>
        <w:t>医院管理局辖下的住院服务、门诊诊疗所和日间医院，均有提供精神科治疗服务。此外，该局也有提供多项社区照顾和外展服务，协助精神病康复者重新融入社会。截至一九九八年三月三十一日为止，医院管理局共设有</w:t>
      </w:r>
      <w:r>
        <w:t>4,966</w:t>
      </w:r>
      <w:r>
        <w:rPr>
          <w:rFonts w:hint="eastAsia"/>
        </w:rPr>
        <w:t>张精神科医院病床、</w:t>
      </w:r>
      <w:r>
        <w:t>575</w:t>
      </w:r>
      <w:r>
        <w:rPr>
          <w:rFonts w:hint="eastAsia"/>
        </w:rPr>
        <w:t>个日间医院名额、</w:t>
      </w:r>
      <w:r>
        <w:t>18</w:t>
      </w:r>
      <w:r>
        <w:rPr>
          <w:rFonts w:hint="eastAsia"/>
        </w:rPr>
        <w:t>个精神科诊所、</w:t>
      </w:r>
      <w:r>
        <w:t>12</w:t>
      </w:r>
      <w:r>
        <w:rPr>
          <w:rFonts w:hint="eastAsia"/>
        </w:rPr>
        <w:t>个精神科社康护理服务中心、八个老人精神科小组，以及五个社康精神科小组。一九九八至九九年度，政府会增设</w:t>
      </w:r>
      <w:r>
        <w:t>120</w:t>
      </w:r>
      <w:r>
        <w:rPr>
          <w:rFonts w:hint="eastAsia"/>
        </w:rPr>
        <w:t>张精神科医院病床。而社会福利署和受资助的非政府机构，则为精神病康复者提供住宿和日间服务。截至一九九八年六月三十日为止，全港设有：</w:t>
      </w:r>
      <w:r>
        <w:t>1,177</w:t>
      </w:r>
      <w:r>
        <w:rPr>
          <w:rFonts w:hint="eastAsia"/>
        </w:rPr>
        <w:t>个中途宿舍名额，供精神病康复者使用；</w:t>
      </w:r>
      <w:r>
        <w:t>570</w:t>
      </w:r>
      <w:r>
        <w:rPr>
          <w:rFonts w:hint="eastAsia"/>
        </w:rPr>
        <w:t>个长期护理院名额，供需要护理服务的长期精神病患者使用；另有</w:t>
      </w:r>
      <w:r>
        <w:t>180</w:t>
      </w:r>
      <w:r>
        <w:rPr>
          <w:rFonts w:hint="eastAsia"/>
        </w:rPr>
        <w:t>个展能中心名额，供精神病康复者提高适应社会的能力。为了应付增加的需求，政府已预留款项，在未来数年增设约</w:t>
      </w:r>
      <w:r>
        <w:t>1,000</w:t>
      </w:r>
      <w:r>
        <w:rPr>
          <w:rFonts w:hint="eastAsia"/>
        </w:rPr>
        <w:t>个住宿名额。其他服务方面，还包括庇护工场、辅助职业、续顾服务</w:t>
      </w:r>
      <w:r>
        <w:t>(</w:t>
      </w:r>
      <w:r>
        <w:rPr>
          <w:rFonts w:hint="eastAsia"/>
        </w:rPr>
        <w:t>照顾由中途宿舍重返社会人士</w:t>
      </w:r>
      <w:r>
        <w:t>)</w:t>
      </w:r>
      <w:r>
        <w:rPr>
          <w:rFonts w:hint="eastAsia"/>
        </w:rPr>
        <w:t>、辅导和体恤安置服务。</w:t>
      </w:r>
    </w:p>
    <w:p w:rsidR="00000000" w:rsidRDefault="00000000">
      <w:pPr>
        <w:pStyle w:val="Heading4"/>
        <w:spacing w:before="320"/>
        <w:ind w:left="518"/>
      </w:pPr>
      <w:r>
        <w:rPr>
          <w:rFonts w:hint="eastAsia"/>
        </w:rPr>
        <w:t>严重弱智人士</w:t>
      </w:r>
    </w:p>
    <w:p w:rsidR="00000000" w:rsidRDefault="00000000">
      <w:r>
        <w:tab/>
        <w:t xml:space="preserve">435.  </w:t>
      </w:r>
      <w:r>
        <w:rPr>
          <w:rFonts w:hint="eastAsia"/>
        </w:rPr>
        <w:t>截至一九九八年三月三十一日为止，医院管理局辖下机构为严重弱智人士提供了</w:t>
      </w:r>
      <w:r>
        <w:t>800</w:t>
      </w:r>
      <w:r>
        <w:rPr>
          <w:rFonts w:hint="eastAsia"/>
        </w:rPr>
        <w:t>张疗养病床，而等候入院者则约有</w:t>
      </w:r>
      <w:r>
        <w:t>80</w:t>
      </w:r>
      <w:r>
        <w:rPr>
          <w:rFonts w:hint="eastAsia"/>
        </w:rPr>
        <w:t>人。医管局现正计划增设床位。此外，社会福利署和受资助的非政府机构，亦为严重弱智人士提供</w:t>
      </w:r>
      <w:r>
        <w:t>2,533</w:t>
      </w:r>
      <w:r>
        <w:rPr>
          <w:rFonts w:hint="eastAsia"/>
        </w:rPr>
        <w:t>个宿舍名额，而展能中心的日间名额则有</w:t>
      </w:r>
      <w:r>
        <w:t>3,426</w:t>
      </w:r>
      <w:r>
        <w:rPr>
          <w:rFonts w:hint="eastAsia"/>
        </w:rPr>
        <w:t>个。</w:t>
      </w:r>
    </w:p>
    <w:p w:rsidR="00000000" w:rsidRDefault="00000000">
      <w:pPr>
        <w:pStyle w:val="Heading4"/>
        <w:spacing w:before="320"/>
        <w:ind w:left="518"/>
      </w:pPr>
      <w:r>
        <w:rPr>
          <w:rFonts w:hint="eastAsia"/>
        </w:rPr>
        <w:t>中度弱智人士</w:t>
      </w:r>
    </w:p>
    <w:p w:rsidR="00000000" w:rsidRDefault="00000000">
      <w:r>
        <w:tab/>
        <w:t xml:space="preserve">436.  </w:t>
      </w:r>
      <w:r>
        <w:rPr>
          <w:rFonts w:hint="eastAsia"/>
        </w:rPr>
        <w:t>社会福利署和非政府机构也有为中度弱智人士提供宿舍名额。截至一九九八年三月三十一日为止，这类宿舍名额共有</w:t>
      </w:r>
      <w:r>
        <w:t>1,444</w:t>
      </w:r>
      <w:r>
        <w:rPr>
          <w:rFonts w:hint="eastAsia"/>
        </w:rPr>
        <w:t>个。</w:t>
      </w:r>
    </w:p>
    <w:p w:rsidR="00000000" w:rsidRDefault="00000000">
      <w:pPr>
        <w:pStyle w:val="Heading4"/>
        <w:spacing w:before="320"/>
        <w:ind w:left="518"/>
      </w:pPr>
      <w:r>
        <w:rPr>
          <w:rFonts w:hint="eastAsia"/>
        </w:rPr>
        <w:t>电痉挛治疗法的使用</w:t>
      </w:r>
    </w:p>
    <w:p w:rsidR="00000000" w:rsidRDefault="00000000">
      <w:r>
        <w:tab/>
        <w:t xml:space="preserve">437.  </w:t>
      </w:r>
      <w:r>
        <w:rPr>
          <w:rFonts w:hint="eastAsia"/>
        </w:rPr>
        <w:t>一九九五年十一月，禁止酷刑委员会就英国根据《禁止酷刑和其他残忍、不人道或有辱人格的待遇或处罚公约》提交有关香港的报告举行听证会时，曾查询香港医院是否有使用电痉挛治疗法；若有的话，使用时须受甚么限制。相信委员会有兴趣知道我们对此的回应。</w:t>
      </w:r>
    </w:p>
    <w:p w:rsidR="00000000" w:rsidRDefault="00000000">
      <w:r>
        <w:tab/>
        <w:t xml:space="preserve">438.  </w:t>
      </w:r>
      <w:r>
        <w:rPr>
          <w:rFonts w:hint="eastAsia"/>
        </w:rPr>
        <w:t>跟世界各地的医疗机构一样，香港的公立医院也有为患有严重抑郁病、狂躁病或精神分裂症的病人施行电痉挛疗法。对于有强烈自杀倾向和对药物治疗反应欠佳的病人来说，电痉挛疗法被视为一种安全而有效的治疗方法。政府订有明确的指引，就医院对病人施用电痉挛疗法作出规限。电痉挛疗法主要用于治疗严重抑郁病，亦适用于狂躁病或精神分裂症病人，尤其在病人对药物反应欠理想时，电痉挛疗法更可用作安定神经的辅助治疗。</w:t>
      </w:r>
    </w:p>
    <w:p w:rsidR="00000000" w:rsidRDefault="00000000">
      <w:r>
        <w:tab/>
        <w:t xml:space="preserve">439.  </w:t>
      </w:r>
      <w:r>
        <w:rPr>
          <w:rFonts w:hint="eastAsia"/>
        </w:rPr>
        <w:t>电痉挛疗法须在公立医院施行，并由受过适当训练的合资格医护专业人员</w:t>
      </w:r>
      <w:r>
        <w:t>(</w:t>
      </w:r>
      <w:r>
        <w:rPr>
          <w:rFonts w:hint="eastAsia"/>
        </w:rPr>
        <w:t>包括精神病科医生、麻醉师和护士</w:t>
      </w:r>
      <w:r>
        <w:t>)</w:t>
      </w:r>
      <w:r>
        <w:rPr>
          <w:rFonts w:hint="eastAsia"/>
        </w:rPr>
        <w:t>主理。而且，医护人员在应用这项技术时，须遵照医院管理局精神科统筹委员会质素保证小组委员会所认可的指引。这些指引都是符合国际标准的。</w:t>
      </w:r>
    </w:p>
    <w:p w:rsidR="00000000" w:rsidRDefault="00000000">
      <w:r>
        <w:tab/>
        <w:t xml:space="preserve">440.  </w:t>
      </w:r>
      <w:r>
        <w:rPr>
          <w:rFonts w:hint="eastAsia"/>
        </w:rPr>
        <w:t>医院只有在获得病人同意或经由另一位医生再作鉴定后，才可为病人施行电痉挛疗法。如果病人精神不健全，不适宜自己同意接受治疗，则院方必须得到病人的亲属或监护人同意，并由另一位专科医生再作鉴定，才可施行这种疗法。在施行治疗前，病人的健康情况必须由一组受过专门训练的麻醉师、精神病科医生和护士审慎评定。治疗过程会受到严密监督，而病人的反应亦会由医护人员小心监察。电痉挛疗法是专为个别病人设计的治疗计划的一部分，整个计划由负责治疗有关病人的临床工作人员定期检讨。</w:t>
      </w:r>
    </w:p>
    <w:p w:rsidR="00000000" w:rsidRDefault="00000000">
      <w:pPr>
        <w:spacing w:after="160"/>
      </w:pPr>
      <w:r>
        <w:tab/>
        <w:t xml:space="preserve">441.  </w:t>
      </w:r>
      <w:r>
        <w:rPr>
          <w:rFonts w:hint="eastAsia"/>
        </w:rPr>
        <w:t>近年应用电痉挛疗法的个案数字如下：</w:t>
      </w:r>
    </w:p>
    <w:tbl>
      <w:tblPr>
        <w:tblW w:w="0" w:type="auto"/>
        <w:tblInd w:w="-26" w:type="dxa"/>
        <w:tblLayout w:type="fixed"/>
        <w:tblCellMar>
          <w:left w:w="28" w:type="dxa"/>
          <w:right w:w="28" w:type="dxa"/>
        </w:tblCellMar>
        <w:tblLook w:val="0000" w:firstRow="0" w:lastRow="0" w:firstColumn="0" w:lastColumn="0" w:noHBand="0" w:noVBand="0"/>
      </w:tblPr>
      <w:tblGrid>
        <w:gridCol w:w="3628"/>
        <w:gridCol w:w="1927"/>
        <w:gridCol w:w="1927"/>
        <w:gridCol w:w="1927"/>
      </w:tblGrid>
      <w:tr w:rsidR="00000000">
        <w:tblPrEx>
          <w:tblCellMar>
            <w:top w:w="0" w:type="dxa"/>
            <w:bottom w:w="0" w:type="dxa"/>
          </w:tblCellMar>
        </w:tblPrEx>
        <w:tc>
          <w:tcPr>
            <w:tcW w:w="3628" w:type="dxa"/>
          </w:tcPr>
          <w:p w:rsidR="00000000" w:rsidRDefault="00000000"/>
        </w:tc>
        <w:tc>
          <w:tcPr>
            <w:tcW w:w="1927" w:type="dxa"/>
          </w:tcPr>
          <w:p w:rsidR="00000000" w:rsidRDefault="00000000">
            <w:pPr>
              <w:jc w:val="right"/>
              <w:rPr>
                <w:u w:val="single"/>
              </w:rPr>
            </w:pPr>
            <w:r>
              <w:rPr>
                <w:u w:val="single"/>
              </w:rPr>
              <w:t>1995-1996</w:t>
            </w:r>
            <w:r>
              <w:rPr>
                <w:rFonts w:hint="eastAsia"/>
                <w:u w:val="single"/>
              </w:rPr>
              <w:t>年</w:t>
            </w:r>
          </w:p>
        </w:tc>
        <w:tc>
          <w:tcPr>
            <w:tcW w:w="1927" w:type="dxa"/>
          </w:tcPr>
          <w:p w:rsidR="00000000" w:rsidRDefault="00000000">
            <w:pPr>
              <w:jc w:val="right"/>
              <w:rPr>
                <w:u w:val="single"/>
              </w:rPr>
            </w:pPr>
            <w:r>
              <w:rPr>
                <w:u w:val="single"/>
              </w:rPr>
              <w:t>1996-1997</w:t>
            </w:r>
            <w:r>
              <w:rPr>
                <w:rFonts w:hint="eastAsia"/>
                <w:u w:val="single"/>
              </w:rPr>
              <w:t>年</w:t>
            </w:r>
          </w:p>
        </w:tc>
        <w:tc>
          <w:tcPr>
            <w:tcW w:w="1927" w:type="dxa"/>
          </w:tcPr>
          <w:p w:rsidR="00000000" w:rsidRDefault="00000000">
            <w:pPr>
              <w:jc w:val="right"/>
              <w:rPr>
                <w:u w:val="single"/>
              </w:rPr>
            </w:pPr>
            <w:r>
              <w:rPr>
                <w:u w:val="single"/>
              </w:rPr>
              <w:t>1997-1998</w:t>
            </w:r>
            <w:r>
              <w:rPr>
                <w:rFonts w:hint="eastAsia"/>
                <w:u w:val="single"/>
              </w:rPr>
              <w:t>年</w:t>
            </w:r>
          </w:p>
        </w:tc>
      </w:tr>
      <w:tr w:rsidR="00000000">
        <w:tblPrEx>
          <w:tblCellMar>
            <w:top w:w="0" w:type="dxa"/>
            <w:bottom w:w="0" w:type="dxa"/>
          </w:tblCellMar>
        </w:tblPrEx>
        <w:tc>
          <w:tcPr>
            <w:tcW w:w="3628" w:type="dxa"/>
          </w:tcPr>
          <w:p w:rsidR="00000000" w:rsidRDefault="00000000">
            <w:r>
              <w:rPr>
                <w:rFonts w:hint="eastAsia"/>
              </w:rPr>
              <w:t>接受电痉挛疗法的病人数目</w:t>
            </w:r>
          </w:p>
        </w:tc>
        <w:tc>
          <w:tcPr>
            <w:tcW w:w="1927" w:type="dxa"/>
          </w:tcPr>
          <w:p w:rsidR="00000000" w:rsidRDefault="00000000">
            <w:pPr>
              <w:tabs>
                <w:tab w:val="clear" w:pos="510"/>
              </w:tabs>
              <w:ind w:right="510"/>
              <w:jc w:val="right"/>
            </w:pPr>
            <w:r>
              <w:t>226</w:t>
            </w:r>
          </w:p>
        </w:tc>
        <w:tc>
          <w:tcPr>
            <w:tcW w:w="1927" w:type="dxa"/>
          </w:tcPr>
          <w:p w:rsidR="00000000" w:rsidRDefault="00000000">
            <w:pPr>
              <w:tabs>
                <w:tab w:val="clear" w:pos="510"/>
              </w:tabs>
              <w:ind w:right="510"/>
              <w:jc w:val="right"/>
            </w:pPr>
            <w:r>
              <w:t>191</w:t>
            </w:r>
          </w:p>
        </w:tc>
        <w:tc>
          <w:tcPr>
            <w:tcW w:w="1927" w:type="dxa"/>
          </w:tcPr>
          <w:p w:rsidR="00000000" w:rsidRDefault="00000000">
            <w:pPr>
              <w:tabs>
                <w:tab w:val="clear" w:pos="510"/>
              </w:tabs>
              <w:ind w:right="510"/>
              <w:jc w:val="right"/>
            </w:pPr>
            <w:r>
              <w:t>180</w:t>
            </w:r>
          </w:p>
        </w:tc>
      </w:tr>
      <w:tr w:rsidR="00000000">
        <w:tblPrEx>
          <w:tblCellMar>
            <w:top w:w="0" w:type="dxa"/>
            <w:bottom w:w="0" w:type="dxa"/>
          </w:tblCellMar>
        </w:tblPrEx>
        <w:tc>
          <w:tcPr>
            <w:tcW w:w="3628" w:type="dxa"/>
          </w:tcPr>
          <w:p w:rsidR="00000000" w:rsidRDefault="00000000">
            <w:r>
              <w:rPr>
                <w:rFonts w:hint="eastAsia"/>
              </w:rPr>
              <w:t>治疗次数</w:t>
            </w:r>
          </w:p>
        </w:tc>
        <w:tc>
          <w:tcPr>
            <w:tcW w:w="1927" w:type="dxa"/>
          </w:tcPr>
          <w:p w:rsidR="00000000" w:rsidRDefault="00000000">
            <w:pPr>
              <w:tabs>
                <w:tab w:val="clear" w:pos="510"/>
              </w:tabs>
              <w:ind w:right="510"/>
              <w:jc w:val="right"/>
            </w:pPr>
            <w:r>
              <w:t>1,279</w:t>
            </w:r>
          </w:p>
        </w:tc>
        <w:tc>
          <w:tcPr>
            <w:tcW w:w="1927" w:type="dxa"/>
          </w:tcPr>
          <w:p w:rsidR="00000000" w:rsidRDefault="00000000">
            <w:pPr>
              <w:tabs>
                <w:tab w:val="clear" w:pos="510"/>
              </w:tabs>
              <w:ind w:right="510"/>
              <w:jc w:val="right"/>
            </w:pPr>
            <w:r>
              <w:t>1,081</w:t>
            </w:r>
          </w:p>
        </w:tc>
        <w:tc>
          <w:tcPr>
            <w:tcW w:w="1927" w:type="dxa"/>
          </w:tcPr>
          <w:p w:rsidR="00000000" w:rsidRDefault="00000000">
            <w:pPr>
              <w:tabs>
                <w:tab w:val="clear" w:pos="510"/>
              </w:tabs>
              <w:ind w:right="510"/>
              <w:jc w:val="right"/>
            </w:pPr>
            <w:r>
              <w:t>1,080</w:t>
            </w:r>
          </w:p>
        </w:tc>
      </w:tr>
      <w:tr w:rsidR="00000000">
        <w:tblPrEx>
          <w:tblCellMar>
            <w:top w:w="0" w:type="dxa"/>
            <w:bottom w:w="0" w:type="dxa"/>
          </w:tblCellMar>
        </w:tblPrEx>
        <w:tc>
          <w:tcPr>
            <w:tcW w:w="3628" w:type="dxa"/>
          </w:tcPr>
          <w:p w:rsidR="00000000" w:rsidRDefault="00000000">
            <w:r>
              <w:rPr>
                <w:rFonts w:hint="eastAsia"/>
              </w:rPr>
              <w:t>每名病人接受治疗的平均次数</w:t>
            </w:r>
          </w:p>
        </w:tc>
        <w:tc>
          <w:tcPr>
            <w:tcW w:w="1927" w:type="dxa"/>
          </w:tcPr>
          <w:p w:rsidR="00000000" w:rsidRDefault="00000000">
            <w:pPr>
              <w:tabs>
                <w:tab w:val="clear" w:pos="510"/>
              </w:tabs>
              <w:ind w:right="510"/>
              <w:jc w:val="right"/>
            </w:pPr>
            <w:r>
              <w:t>5.65</w:t>
            </w:r>
          </w:p>
        </w:tc>
        <w:tc>
          <w:tcPr>
            <w:tcW w:w="1927" w:type="dxa"/>
          </w:tcPr>
          <w:p w:rsidR="00000000" w:rsidRDefault="00000000">
            <w:pPr>
              <w:tabs>
                <w:tab w:val="clear" w:pos="510"/>
              </w:tabs>
              <w:ind w:right="510"/>
              <w:jc w:val="right"/>
            </w:pPr>
            <w:r>
              <w:t>5.66</w:t>
            </w:r>
          </w:p>
        </w:tc>
        <w:tc>
          <w:tcPr>
            <w:tcW w:w="1927" w:type="dxa"/>
          </w:tcPr>
          <w:p w:rsidR="00000000" w:rsidRDefault="00000000">
            <w:pPr>
              <w:tabs>
                <w:tab w:val="clear" w:pos="510"/>
              </w:tabs>
              <w:ind w:right="510"/>
              <w:jc w:val="right"/>
            </w:pPr>
            <w:r>
              <w:t>6</w:t>
            </w:r>
          </w:p>
        </w:tc>
      </w:tr>
    </w:tbl>
    <w:p w:rsidR="00000000" w:rsidRDefault="00000000"/>
    <w:p w:rsidR="00000000" w:rsidRDefault="00000000">
      <w:pPr>
        <w:pStyle w:val="Heading4"/>
      </w:pPr>
      <w:r>
        <w:rPr>
          <w:rFonts w:hint="eastAsia"/>
        </w:rPr>
        <w:t>各种特别健康</w:t>
      </w:r>
      <w:r>
        <w:t>/</w:t>
      </w:r>
      <w:r>
        <w:rPr>
          <w:rFonts w:hint="eastAsia"/>
        </w:rPr>
        <w:t>医疗护理</w:t>
      </w:r>
    </w:p>
    <w:p w:rsidR="00000000" w:rsidRDefault="00000000">
      <w:pPr>
        <w:pStyle w:val="Heading4"/>
        <w:ind w:left="518"/>
      </w:pPr>
      <w:r>
        <w:rPr>
          <w:rFonts w:hint="eastAsia"/>
        </w:rPr>
        <w:t>基层健康护理</w:t>
      </w:r>
    </w:p>
    <w:p w:rsidR="00000000" w:rsidRDefault="00000000">
      <w:r>
        <w:tab/>
        <w:t xml:space="preserve">442.  </w:t>
      </w:r>
      <w:r>
        <w:rPr>
          <w:rFonts w:hint="eastAsia"/>
        </w:rPr>
        <w:t>如上次报告第</w:t>
      </w:r>
      <w:r>
        <w:t>272</w:t>
      </w:r>
      <w:r>
        <w:rPr>
          <w:rFonts w:hint="eastAsia"/>
        </w:rPr>
        <w:t>及第</w:t>
      </w:r>
      <w:r>
        <w:t>273</w:t>
      </w:r>
      <w:r>
        <w:rPr>
          <w:rFonts w:hint="eastAsia"/>
        </w:rPr>
        <w:t>段所述，在提供基层健康护理方面，政府追随世界卫生组织所提倡的方针。这方面的服务包括健康教育、家庭计划、母婴健康、防疫注射，以及疾病的治疗和控制等，由分布各区的卫生署诊疗所及健康中心提供。基层医疗服务包括诊症和配药，由分布全港的</w:t>
      </w:r>
      <w:r>
        <w:t>63</w:t>
      </w:r>
      <w:r>
        <w:rPr>
          <w:rFonts w:hint="eastAsia"/>
        </w:rPr>
        <w:t>个普通科门诊诊疗所提供。其他健康护理服务则包括儿童体能智力测验、学童防疫注射、学生健康服务、职业健康服务，以及长者健康服务等。</w:t>
      </w:r>
    </w:p>
    <w:p w:rsidR="00000000" w:rsidRDefault="00000000">
      <w:r>
        <w:tab/>
        <w:t xml:space="preserve">443.  </w:t>
      </w:r>
      <w:r>
        <w:rPr>
          <w:rFonts w:hint="eastAsia"/>
        </w:rPr>
        <w:t>一九九七年，向政府普通科门诊诊疗所求诊的人数约达</w:t>
      </w:r>
      <w:r>
        <w:t>540</w:t>
      </w:r>
      <w:r>
        <w:rPr>
          <w:rFonts w:hint="eastAsia"/>
        </w:rPr>
        <w:t>万人次。按人口计，平均约十万人便有一个诊疗所。政府会密切监察这个情况，以确保满足市民的需要。</w:t>
      </w:r>
    </w:p>
    <w:p w:rsidR="00000000" w:rsidRDefault="00000000">
      <w:pPr>
        <w:pStyle w:val="Heading4"/>
        <w:spacing w:before="320"/>
        <w:ind w:left="518"/>
      </w:pPr>
      <w:r>
        <w:rPr>
          <w:rFonts w:hint="eastAsia"/>
        </w:rPr>
        <w:t>家庭健康及为生育年龄妇女和五岁或以下儿童提供的健康护理</w:t>
      </w:r>
    </w:p>
    <w:p w:rsidR="00000000" w:rsidRDefault="00000000">
      <w:r>
        <w:tab/>
        <w:t xml:space="preserve">444.  </w:t>
      </w:r>
      <w:r>
        <w:rPr>
          <w:rFonts w:hint="eastAsia"/>
        </w:rPr>
        <w:t>政府通过辖下</w:t>
      </w:r>
      <w:r>
        <w:t>50</w:t>
      </w:r>
      <w:r>
        <w:rPr>
          <w:rFonts w:hint="eastAsia"/>
        </w:rPr>
        <w:t>个母婴健康院，为市民提供全面的家庭健康和母婴健康服务，包括提供家庭计划和柏氏抹片检验服务，并为妇女提供产前产后服务。其中的综合儿童体能智力观察服务，可于早期找出儿童发育异常的征状，以便及早进行补救治疗。儿童在关键岁数会进行成长甄别测试。倘发现怀疑发育异常的儿童，便会转介他们往专科诊疗所及儿童体能智力测验中心，以接受跟进治疗。</w:t>
      </w:r>
    </w:p>
    <w:p w:rsidR="00000000" w:rsidRDefault="00000000">
      <w:r>
        <w:tab/>
        <w:t xml:space="preserve">445.  </w:t>
      </w:r>
      <w:r>
        <w:rPr>
          <w:rFonts w:hint="eastAsia"/>
        </w:rPr>
        <w:t>儿童体能智力测验中心共有六个，由各科专业人员为初生至</w:t>
      </w:r>
      <w:r>
        <w:t>11</w:t>
      </w:r>
      <w:r>
        <w:rPr>
          <w:rFonts w:hint="eastAsia"/>
        </w:rPr>
        <w:t>岁的儿童全面评估身心发展及融入群体生活的能力，并提供治疗和家庭辅导服务。在有需要时，中心会转介儿童入住政府及志愿机构院舍。</w:t>
      </w:r>
    </w:p>
    <w:p w:rsidR="00000000" w:rsidRDefault="00000000">
      <w:pPr>
        <w:pStyle w:val="Heading4"/>
        <w:spacing w:before="320"/>
        <w:ind w:left="518"/>
      </w:pPr>
      <w:r>
        <w:rPr>
          <w:rFonts w:hint="eastAsia"/>
          <w:u w:val="none"/>
        </w:rPr>
        <w:t>“</w:t>
      </w:r>
      <w:r>
        <w:rPr>
          <w:rFonts w:hint="eastAsia"/>
        </w:rPr>
        <w:t>妇女健康中心</w:t>
      </w:r>
      <w:r>
        <w:rPr>
          <w:rFonts w:hint="eastAsia"/>
          <w:u w:val="none"/>
        </w:rPr>
        <w:t>”</w:t>
      </w:r>
    </w:p>
    <w:p w:rsidR="00000000" w:rsidRDefault="00000000">
      <w:r>
        <w:tab/>
        <w:t xml:space="preserve">446.  </w:t>
      </w:r>
      <w:r>
        <w:rPr>
          <w:rFonts w:hint="eastAsia"/>
        </w:rPr>
        <w:t>如上次报告第</w:t>
      </w:r>
      <w:r>
        <w:t>277</w:t>
      </w:r>
      <w:r>
        <w:rPr>
          <w:rFonts w:hint="eastAsia"/>
        </w:rPr>
        <w:t>段所提及，政府现设有三个妇女健康中心，为</w:t>
      </w:r>
      <w:r>
        <w:t>45</w:t>
      </w:r>
      <w:r>
        <w:rPr>
          <w:rFonts w:hint="eastAsia"/>
        </w:rPr>
        <w:t>至</w:t>
      </w:r>
      <w:r>
        <w:t>64</w:t>
      </w:r>
      <w:r>
        <w:rPr>
          <w:rFonts w:hint="eastAsia"/>
        </w:rPr>
        <w:t>岁的妇女提供健康咨询及预防疾病的服务，包括个别健康辅导、健康生活和预防癌症讲座，以及身体检查</w:t>
      </w:r>
      <w:r>
        <w:t>(</w:t>
      </w:r>
      <w:r>
        <w:rPr>
          <w:rFonts w:hint="eastAsia"/>
        </w:rPr>
        <w:t>如妇科检验和柏氏抹片检验</w:t>
      </w:r>
      <w:r>
        <w:t>)</w:t>
      </w:r>
      <w:r>
        <w:rPr>
          <w:rFonts w:hint="eastAsia"/>
        </w:rPr>
        <w:t>。</w:t>
      </w:r>
    </w:p>
    <w:p w:rsidR="00000000" w:rsidRDefault="00000000">
      <w:pPr>
        <w:pStyle w:val="Heading4"/>
        <w:spacing w:before="320"/>
        <w:ind w:left="518"/>
      </w:pPr>
      <w:r>
        <w:rPr>
          <w:rFonts w:hint="eastAsia"/>
        </w:rPr>
        <w:t>学生健康</w:t>
      </w:r>
    </w:p>
    <w:p w:rsidR="00000000" w:rsidRDefault="00000000">
      <w:r>
        <w:tab/>
        <w:t xml:space="preserve">447.  </w:t>
      </w:r>
      <w:r>
        <w:rPr>
          <w:rFonts w:hint="eastAsia"/>
        </w:rPr>
        <w:t>一九九五年，政府推出“学生健康服务”，设立</w:t>
      </w:r>
      <w:r>
        <w:t>11</w:t>
      </w:r>
      <w:r>
        <w:rPr>
          <w:rFonts w:hint="eastAsia"/>
        </w:rPr>
        <w:t>个学生健康服务中心，为所有中、小学生提供服务，包括体格检验，健康普查，个别辅导及健康教育等。健康有问题的学生，会转介到有关专科作进一步诊治。</w:t>
      </w:r>
    </w:p>
    <w:p w:rsidR="00000000" w:rsidRDefault="00000000">
      <w:pPr>
        <w:pStyle w:val="Heading4"/>
        <w:spacing w:before="320"/>
        <w:ind w:left="518"/>
      </w:pPr>
      <w:r>
        <w:rPr>
          <w:rFonts w:hint="eastAsia"/>
        </w:rPr>
        <w:t>疗养病床</w:t>
      </w:r>
    </w:p>
    <w:p w:rsidR="00000000" w:rsidRDefault="00000000">
      <w:r>
        <w:tab/>
        <w:t xml:space="preserve">448.  </w:t>
      </w:r>
      <w:r>
        <w:rPr>
          <w:rFonts w:hint="eastAsia"/>
        </w:rPr>
        <w:t>疗养病床为需要长期护理的年长和残疾病人提供服务。由于人口老龄化，社会对疗养病床的需求甚为殷切，而且预料情况会持续下去。因此，医院管理局计划在二○○三至○四年度前，把疗养病床数目由目前的</w:t>
      </w:r>
      <w:r>
        <w:t>2,000</w:t>
      </w:r>
      <w:r>
        <w:rPr>
          <w:rFonts w:hint="eastAsia"/>
        </w:rPr>
        <w:t>多张增加至超过</w:t>
      </w:r>
      <w:r>
        <w:t>3,000</w:t>
      </w:r>
      <w:r>
        <w:rPr>
          <w:rFonts w:hint="eastAsia"/>
        </w:rPr>
        <w:t>张，增幅约</w:t>
      </w:r>
      <w:r>
        <w:t>50%</w:t>
      </w:r>
      <w:r>
        <w:rPr>
          <w:rFonts w:hint="eastAsia"/>
        </w:rPr>
        <w:t>。</w:t>
      </w:r>
    </w:p>
    <w:p w:rsidR="00000000" w:rsidRDefault="00000000">
      <w:pPr>
        <w:pStyle w:val="Heading4"/>
        <w:spacing w:before="320"/>
        <w:ind w:left="518"/>
      </w:pPr>
      <w:r>
        <w:rPr>
          <w:rFonts w:hint="eastAsia"/>
        </w:rPr>
        <w:t>牙齿保健服务</w:t>
      </w:r>
    </w:p>
    <w:p w:rsidR="00000000" w:rsidRDefault="00000000">
      <w:r>
        <w:tab/>
        <w:t xml:space="preserve">449.  </w:t>
      </w:r>
      <w:r>
        <w:rPr>
          <w:rFonts w:hint="eastAsia"/>
        </w:rPr>
        <w:t>如上次报告第</w:t>
      </w:r>
      <w:r>
        <w:t>283</w:t>
      </w:r>
      <w:r>
        <w:rPr>
          <w:rFonts w:hint="eastAsia"/>
        </w:rPr>
        <w:t>及第</w:t>
      </w:r>
      <w:r>
        <w:t>284</w:t>
      </w:r>
      <w:r>
        <w:rPr>
          <w:rFonts w:hint="eastAsia"/>
        </w:rPr>
        <w:t>段所述，牙科诊疗服务主要由私人执业者提供。政府服务只限于紧急治疗、公立医院病人的专科治疗，以及囚犯的牙齿保健服务。一九九三年，卫生署在一个公立医院实行试验计划，为有特别需要的病人提供牙科诊疗服务。服务对象包括弱智及肢体伤残人士、先天性畸形病人，以及曾进行口腔外科矫形手术的病人。根据一九九四年进行的评估，这项试验计划十分成功。目前，共有四个公立医院提供这项服务。</w:t>
      </w:r>
    </w:p>
    <w:p w:rsidR="00000000" w:rsidRDefault="00000000">
      <w:r>
        <w:tab/>
        <w:t xml:space="preserve">450.  </w:t>
      </w:r>
      <w:r>
        <w:rPr>
          <w:rFonts w:hint="eastAsia"/>
        </w:rPr>
        <w:t>政府通过资助香港唯一的牙科学院及牙科治疗师训练学校，确保有足够受过训练的牙齿保健人员。政府还致力提高市民对口腔健康卫生的认识。这方面的工作主要以小学生为对象。通过学童牙科保健计划，他们可定期接受牙齿检查、简单的牙齿治疗，以及口腔健康教育。一九九七年，参加这项计划的儿童达</w:t>
      </w:r>
      <w:r>
        <w:t>390,645</w:t>
      </w:r>
      <w:r>
        <w:rPr>
          <w:rFonts w:hint="eastAsia"/>
        </w:rPr>
        <w:t>人，约占全港小学生的</w:t>
      </w:r>
      <w:r>
        <w:t>83%</w:t>
      </w:r>
      <w:r>
        <w:rPr>
          <w:rFonts w:hint="eastAsia"/>
        </w:rPr>
        <w:t>。至于上次报告第</w:t>
      </w:r>
      <w:r>
        <w:t>284</w:t>
      </w:r>
      <w:r>
        <w:rPr>
          <w:rFonts w:hint="eastAsia"/>
        </w:rPr>
        <w:t>段所提及以中学生为对象的试验计划已停办。该项计划是由香港牙医学会发起，纯属该学会的计划。停办计划是该学会所作出的决定。</w:t>
      </w:r>
    </w:p>
    <w:p w:rsidR="00000000" w:rsidRDefault="00000000">
      <w:pPr>
        <w:pStyle w:val="Heading4"/>
        <w:spacing w:before="320"/>
      </w:pPr>
      <w:r>
        <w:rPr>
          <w:rFonts w:hint="eastAsia"/>
        </w:rPr>
        <w:t>健康教育</w:t>
      </w:r>
    </w:p>
    <w:p w:rsidR="00000000" w:rsidRDefault="00000000">
      <w:r>
        <w:tab/>
        <w:t xml:space="preserve">451.  </w:t>
      </w:r>
      <w:r>
        <w:rPr>
          <w:rFonts w:hint="eastAsia"/>
        </w:rPr>
        <w:t>如上次报告第</w:t>
      </w:r>
      <w:r>
        <w:t>285</w:t>
      </w:r>
      <w:r>
        <w:rPr>
          <w:rFonts w:hint="eastAsia"/>
        </w:rPr>
        <w:t>及第</w:t>
      </w:r>
      <w:r>
        <w:t>286</w:t>
      </w:r>
      <w:r>
        <w:rPr>
          <w:rFonts w:hint="eastAsia"/>
        </w:rPr>
        <w:t>段所述，卫生署的中央健康教育组负责策划、筹办、协调和推广健康教育活动。该组致力向市民推广健康的生活方式，其工作与口腔健康教育组互相配合。</w:t>
      </w:r>
    </w:p>
    <w:p w:rsidR="00000000" w:rsidRDefault="00000000">
      <w:pPr>
        <w:pStyle w:val="Heading4"/>
        <w:spacing w:before="320"/>
      </w:pPr>
      <w:r>
        <w:rPr>
          <w:rFonts w:hint="eastAsia"/>
        </w:rPr>
        <w:t>提供医院服务</w:t>
      </w:r>
    </w:p>
    <w:p w:rsidR="00000000" w:rsidRDefault="00000000">
      <w:r>
        <w:tab/>
        <w:t xml:space="preserve">452.  </w:t>
      </w:r>
      <w:r>
        <w:rPr>
          <w:rFonts w:hint="eastAsia"/>
        </w:rPr>
        <w:t>如上次报告第</w:t>
      </w:r>
      <w:r>
        <w:t>287</w:t>
      </w:r>
      <w:r>
        <w:rPr>
          <w:rFonts w:hint="eastAsia"/>
        </w:rPr>
        <w:t>段所述，医院管理局</w:t>
      </w:r>
      <w:r>
        <w:t>(</w:t>
      </w:r>
      <w:r>
        <w:rPr>
          <w:rFonts w:hint="eastAsia"/>
        </w:rPr>
        <w:t>医管局</w:t>
      </w:r>
      <w:r>
        <w:t>)</w:t>
      </w:r>
      <w:r>
        <w:rPr>
          <w:rFonts w:hint="eastAsia"/>
        </w:rPr>
        <w:t>负责管理所有公立医院：以病床日数计算，占全港医院服务的</w:t>
      </w:r>
      <w:r>
        <w:t>90%</w:t>
      </w:r>
      <w:r>
        <w:rPr>
          <w:rFonts w:hint="eastAsia"/>
        </w:rPr>
        <w:t>以上。根据医管局条例，该局的职责，是就市民对医院服务的需要，以及为满足这些需要所需的资源问题，向政府提供意见。此外，医管局亦须管理和发展医院服务，其方式须有助于提高效率、促进社会人士参与及改善病人护理。截至一九九八年三月底为止，医生人数有</w:t>
      </w:r>
      <w:r>
        <w:t>8,244</w:t>
      </w:r>
      <w:r>
        <w:rPr>
          <w:rFonts w:hint="eastAsia"/>
        </w:rPr>
        <w:t>名，医院病床</w:t>
      </w:r>
      <w:r>
        <w:t>31,593</w:t>
      </w:r>
      <w:r>
        <w:rPr>
          <w:rFonts w:hint="eastAsia"/>
        </w:rPr>
        <w:t>张</w:t>
      </w:r>
      <w:r>
        <w:t>(</w:t>
      </w:r>
      <w:r>
        <w:rPr>
          <w:rFonts w:hint="eastAsia"/>
        </w:rPr>
        <w:t>包括私家医院及公立医院</w:t>
      </w:r>
      <w:r>
        <w:t>)</w:t>
      </w:r>
      <w:r>
        <w:rPr>
          <w:rFonts w:hint="eastAsia"/>
        </w:rPr>
        <w:t>，分别较上次报告所载的数字</w:t>
      </w:r>
      <w:r>
        <w:t>(</w:t>
      </w:r>
      <w:r>
        <w:rPr>
          <w:rFonts w:hint="eastAsia"/>
        </w:rPr>
        <w:t>一九九四年</w:t>
      </w:r>
      <w:r>
        <w:t>)</w:t>
      </w:r>
      <w:r>
        <w:rPr>
          <w:rFonts w:hint="eastAsia"/>
        </w:rPr>
        <w:t>高出</w:t>
      </w:r>
      <w:r>
        <w:t>7.5%</w:t>
      </w:r>
      <w:r>
        <w:rPr>
          <w:rFonts w:hint="eastAsia"/>
        </w:rPr>
        <w:t>和</w:t>
      </w:r>
      <w:r>
        <w:t>13.5%</w:t>
      </w:r>
      <w:r>
        <w:rPr>
          <w:rFonts w:hint="eastAsia"/>
        </w:rPr>
        <w:t>。</w:t>
      </w:r>
    </w:p>
    <w:p w:rsidR="00000000" w:rsidRDefault="00000000">
      <w:pPr>
        <w:spacing w:after="240"/>
      </w:pPr>
      <w:r>
        <w:tab/>
        <w:t xml:space="preserve">453.  </w:t>
      </w:r>
      <w:r>
        <w:rPr>
          <w:rFonts w:hint="eastAsia"/>
        </w:rPr>
        <w:t>为了充分善用资源，全港公立医院划分为八个联网。每个联网内的医院，均为区内居民提供全面的健康医护服务，包括急症护理、延续护理、日间医疗护理和社区护理服务。</w:t>
      </w:r>
    </w:p>
    <w:p w:rsidR="00000000" w:rsidRDefault="00000000">
      <w:pPr>
        <w:pStyle w:val="Heading4"/>
        <w:ind w:left="518"/>
      </w:pPr>
      <w:r>
        <w:rPr>
          <w:rFonts w:hint="eastAsia"/>
        </w:rPr>
        <w:t>病床供求</w:t>
      </w:r>
    </w:p>
    <w:p w:rsidR="00000000" w:rsidRDefault="00000000">
      <w:pPr>
        <w:tabs>
          <w:tab w:val="left" w:pos="510"/>
          <w:tab w:val="left" w:pos="1021"/>
          <w:tab w:val="left" w:pos="1531"/>
          <w:tab w:val="left" w:pos="2041"/>
        </w:tabs>
        <w:textAlignment w:val="center"/>
      </w:pPr>
      <w:r>
        <w:tab/>
        <w:t xml:space="preserve">454.  </w:t>
      </w:r>
      <w:r>
        <w:rPr>
          <w:rFonts w:hint="eastAsia"/>
        </w:rPr>
        <w:t>市民对公立医院服务的需求持续增加。一九九七至九八年度，病人出院人次和病逝人数合共</w:t>
      </w:r>
      <w:r>
        <w:t>970,000</w:t>
      </w:r>
      <w:r>
        <w:rPr>
          <w:rFonts w:hint="eastAsia"/>
        </w:rPr>
        <w:t>人</w:t>
      </w:r>
      <w:r>
        <w:t>(</w:t>
      </w:r>
      <w:r>
        <w:rPr>
          <w:rFonts w:hint="eastAsia"/>
        </w:rPr>
        <w:t>次</w:t>
      </w:r>
      <w:r>
        <w:t>)</w:t>
      </w:r>
      <w:r>
        <w:rPr>
          <w:rFonts w:hint="eastAsia"/>
        </w:rPr>
        <w:t>，较医管局于一九九一至九二年度接管公立医院时增加了</w:t>
      </w:r>
      <w:r>
        <w:t>45%</w:t>
      </w:r>
      <w:r>
        <w:rPr>
          <w:rFonts w:hint="eastAsia"/>
        </w:rPr>
        <w:t>。截至一九九八年三月三十一日为止，医管局共提供</w:t>
      </w:r>
      <w:r>
        <w:t>26,790</w:t>
      </w:r>
      <w:r>
        <w:rPr>
          <w:rFonts w:hint="eastAsia"/>
        </w:rPr>
        <w:t>张病床，即每千人有</w:t>
      </w:r>
      <w:r>
        <w:t>4.0</w:t>
      </w:r>
      <w:r>
        <w:rPr>
          <w:rFonts w:hint="eastAsia"/>
        </w:rPr>
        <w:t>张病床。按照医管局的目标，到了二○○二年三月三十一日，公立医院的病床数目将增至</w:t>
      </w:r>
      <w:r>
        <w:t>30,030</w:t>
      </w:r>
      <w:r>
        <w:rPr>
          <w:rFonts w:hint="eastAsia"/>
        </w:rPr>
        <w:t>张，即每千人有</w:t>
      </w:r>
      <w:r>
        <w:t>4.3</w:t>
      </w:r>
      <w:r>
        <w:rPr>
          <w:rFonts w:hint="eastAsia"/>
        </w:rPr>
        <w:t>张病床。</w:t>
      </w:r>
    </w:p>
    <w:p w:rsidR="00000000" w:rsidRDefault="00000000">
      <w:pPr>
        <w:tabs>
          <w:tab w:val="left" w:pos="510"/>
          <w:tab w:val="left" w:pos="1021"/>
          <w:tab w:val="left" w:pos="1531"/>
          <w:tab w:val="left" w:pos="2041"/>
        </w:tabs>
        <w:spacing w:after="320"/>
        <w:textAlignment w:val="center"/>
      </w:pPr>
      <w:r>
        <w:tab/>
        <w:t xml:space="preserve">455.  </w:t>
      </w:r>
      <w:r>
        <w:rPr>
          <w:rFonts w:hint="eastAsia"/>
        </w:rPr>
        <w:t>一九九七年，医管局进行了一次病床需求检讨。检讨结果发现，假设现时的宏观医护环境没有即时改变，则香港在二○○六年前须增加</w:t>
      </w:r>
      <w:r>
        <w:t>3,000</w:t>
      </w:r>
      <w:r>
        <w:rPr>
          <w:rFonts w:hint="eastAsia"/>
        </w:rPr>
        <w:t>张病床。政府的长远医院发展计划将会订出措施，解决这方面的需求。</w:t>
      </w:r>
    </w:p>
    <w:p w:rsidR="00000000" w:rsidRDefault="00000000">
      <w:pPr>
        <w:pStyle w:val="Heading4"/>
        <w:ind w:left="518"/>
      </w:pPr>
      <w:r>
        <w:rPr>
          <w:rFonts w:hint="eastAsia"/>
        </w:rPr>
        <w:t>收回成本</w:t>
      </w:r>
    </w:p>
    <w:p w:rsidR="00000000" w:rsidRDefault="00000000">
      <w:pPr>
        <w:tabs>
          <w:tab w:val="left" w:pos="510"/>
          <w:tab w:val="left" w:pos="1021"/>
          <w:tab w:val="left" w:pos="1531"/>
          <w:tab w:val="left" w:pos="2041"/>
        </w:tabs>
        <w:spacing w:after="320"/>
        <w:textAlignment w:val="center"/>
      </w:pPr>
      <w:r>
        <w:tab/>
        <w:t xml:space="preserve">456.  </w:t>
      </w:r>
      <w:r>
        <w:rPr>
          <w:rFonts w:hint="eastAsia"/>
        </w:rPr>
        <w:t>公营机构的医疗服务收费，应定于市民普遍负担得起的水平。目前，政府只收回住院服务成本的</w:t>
      </w:r>
      <w:r>
        <w:t>4%</w:t>
      </w:r>
      <w:r>
        <w:rPr>
          <w:rFonts w:hint="eastAsia"/>
        </w:rPr>
        <w:t>左右；专科门诊服务成本亦只收回</w:t>
      </w:r>
      <w:r>
        <w:t>10%</w:t>
      </w:r>
      <w:r>
        <w:rPr>
          <w:rFonts w:hint="eastAsia"/>
        </w:rPr>
        <w:t>左右；急诊室服务则不收费用。政府现正检讨医护融资制度，预计可于一九九八年年底完成有关工作。</w:t>
      </w:r>
    </w:p>
    <w:p w:rsidR="00000000" w:rsidRDefault="00000000">
      <w:pPr>
        <w:pStyle w:val="Heading4"/>
        <w:ind w:left="518"/>
      </w:pPr>
      <w:r>
        <w:rPr>
          <w:rFonts w:hint="eastAsia"/>
        </w:rPr>
        <w:t>为长期病患者提供的服务</w:t>
      </w:r>
    </w:p>
    <w:p w:rsidR="00000000" w:rsidRDefault="00000000">
      <w:pPr>
        <w:tabs>
          <w:tab w:val="left" w:pos="510"/>
          <w:tab w:val="left" w:pos="1021"/>
          <w:tab w:val="left" w:pos="1531"/>
          <w:tab w:val="left" w:pos="2041"/>
        </w:tabs>
        <w:spacing w:after="320"/>
        <w:textAlignment w:val="center"/>
      </w:pPr>
      <w:r>
        <w:tab/>
        <w:t xml:space="preserve">457.  </w:t>
      </w:r>
      <w:r>
        <w:rPr>
          <w:rFonts w:hint="eastAsia"/>
        </w:rPr>
        <w:t>如上次报告第</w:t>
      </w:r>
      <w:r>
        <w:t>293</w:t>
      </w:r>
      <w:r>
        <w:rPr>
          <w:rFonts w:hint="eastAsia"/>
        </w:rPr>
        <w:t>段所述，医院管理局为长期病患者提供的服务，包括急症护理、延续护理、日间医疗护理和社区护理等服务。此外，医管局继续致力推展各项康复和“共同护理”计划，让患有慢性肺病、脑血管病、糖尿病等病症的长期病患者得到更佳的医护服务。在上次报告中，我们曾指出，当时全港有八个“病人资源中心”，为长期病患者及其家人提供支援。目前，这类中心已增至</w:t>
      </w:r>
      <w:r>
        <w:t>30</w:t>
      </w:r>
      <w:r>
        <w:rPr>
          <w:rFonts w:hint="eastAsia"/>
        </w:rPr>
        <w:t>个。</w:t>
      </w:r>
    </w:p>
    <w:p w:rsidR="00000000" w:rsidRDefault="00000000">
      <w:pPr>
        <w:pStyle w:val="Heading4"/>
      </w:pPr>
      <w:r>
        <w:rPr>
          <w:rFonts w:hint="eastAsia"/>
        </w:rPr>
        <w:t>医院人手需求</w:t>
      </w:r>
    </w:p>
    <w:p w:rsidR="00000000" w:rsidRDefault="00000000">
      <w:r>
        <w:tab/>
        <w:t xml:space="preserve">458.  </w:t>
      </w:r>
      <w:r>
        <w:rPr>
          <w:rFonts w:hint="eastAsia"/>
        </w:rPr>
        <w:t>由于病床数目增加，医疗服务又不断改善和扩展，上次报告第</w:t>
      </w:r>
      <w:r>
        <w:t>292</w:t>
      </w:r>
      <w:r>
        <w:rPr>
          <w:rFonts w:hint="eastAsia"/>
        </w:rPr>
        <w:t>段所述的人手短缺问题，至今仍然存在。截至一九九八年六月三十日为止，全港共有</w:t>
      </w:r>
      <w:r>
        <w:t>8,244</w:t>
      </w:r>
      <w:r>
        <w:rPr>
          <w:rFonts w:hint="eastAsia"/>
        </w:rPr>
        <w:t>名注册医生，比率为每千名市民对</w:t>
      </w:r>
      <w:r>
        <w:t>1.24</w:t>
      </w:r>
      <w:r>
        <w:rPr>
          <w:rFonts w:hint="eastAsia"/>
        </w:rPr>
        <w:t>名注册医生；注册护士则有</w:t>
      </w:r>
      <w:r>
        <w:t>38,801</w:t>
      </w:r>
      <w:r>
        <w:rPr>
          <w:rFonts w:hint="eastAsia"/>
        </w:rPr>
        <w:t>人，比率为每千名市民对</w:t>
      </w:r>
      <w:r>
        <w:t>5.83</w:t>
      </w:r>
      <w:r>
        <w:rPr>
          <w:rFonts w:hint="eastAsia"/>
        </w:rPr>
        <w:t>名注册护士。公立医院方面，医管局预计每年须增聘</w:t>
      </w:r>
      <w:r>
        <w:t>130</w:t>
      </w:r>
      <w:r>
        <w:rPr>
          <w:rFonts w:hint="eastAsia"/>
        </w:rPr>
        <w:t>名医生、</w:t>
      </w:r>
      <w:r>
        <w:t>500</w:t>
      </w:r>
      <w:r>
        <w:rPr>
          <w:rFonts w:hint="eastAsia"/>
        </w:rPr>
        <w:t>名护士和</w:t>
      </w:r>
      <w:r>
        <w:t>160</w:t>
      </w:r>
      <w:r>
        <w:rPr>
          <w:rFonts w:hint="eastAsia"/>
        </w:rPr>
        <w:t>名专职医疗人员，使新设立和经过改善的设施和计划可以投入运作。为应付这些需要，医管局会加紧招聘人手，重整工作程序，并加强支援计划，确保临床医生可专注于病人护理服务。</w:t>
      </w:r>
    </w:p>
    <w:p w:rsidR="00000000" w:rsidRDefault="00000000">
      <w:r>
        <w:tab/>
        <w:t xml:space="preserve">459.  </w:t>
      </w:r>
      <w:r>
        <w:rPr>
          <w:rFonts w:hint="eastAsia"/>
        </w:rPr>
        <w:t>为确保维持高水平的医护服务，医管局将继续为医护人员和专职医疗人员提供专业训练和发展机会，例如由该局或外间机构举办在职训练、会议、研讨会、工作坊和课程等。此外，该局亦继续与本地各大专院校保持合作，确保医护课程毕业生的人数足以应付需求。</w:t>
      </w:r>
    </w:p>
    <w:p w:rsidR="00000000" w:rsidRDefault="00000000">
      <w:pPr>
        <w:pStyle w:val="Heading4"/>
        <w:spacing w:before="320"/>
        <w:rPr>
          <w:u w:val="none"/>
        </w:rPr>
      </w:pPr>
      <w:r>
        <w:rPr>
          <w:rFonts w:hint="eastAsia"/>
        </w:rPr>
        <w:t>医院病人死亡及受伤事故</w:t>
      </w:r>
    </w:p>
    <w:p w:rsidR="00000000" w:rsidRDefault="00000000">
      <w:r>
        <w:tab/>
        <w:t xml:space="preserve">460.  </w:t>
      </w:r>
      <w:r>
        <w:rPr>
          <w:rFonts w:hint="eastAsia"/>
        </w:rPr>
        <w:t>在本报告涵盖期内，香港发生了数宗病人在接受治疗过程中死亡或受伤的个案，当中包括：因标签不正确以致错误使用医疗气体；以及注射过量药剂等。这些事故引起了政府和市民极大的关注。</w:t>
      </w:r>
    </w:p>
    <w:p w:rsidR="00000000" w:rsidRDefault="00000000">
      <w:r>
        <w:tab/>
        <w:t xml:space="preserve">461.  </w:t>
      </w:r>
      <w:r>
        <w:rPr>
          <w:rFonts w:hint="eastAsia"/>
        </w:rPr>
        <w:t>每宗事故均即时由医管局或卫生署进行全面的调查。医管局负责处理公立医院的个案；而卫生署则负责私家医院的个案</w:t>
      </w:r>
      <w:r>
        <w:t xml:space="preserve"> </w:t>
      </w:r>
      <w:r>
        <w:rPr>
          <w:rStyle w:val="FootnoteReference"/>
        </w:rPr>
        <w:footnoteReference w:id="90"/>
      </w:r>
      <w:r>
        <w:t xml:space="preserve"> </w:t>
      </w:r>
      <w:r>
        <w:rPr>
          <w:rFonts w:hint="eastAsia"/>
        </w:rPr>
        <w:t>。调查结果发现，有关事故并非全部都是因为所指称的疏忽或能力不足所引致。事实上，问题往往来自若干临床治疗方式所涉及的固有风险；病人于治疗期间出现并发症；严重病患的征状与普通疾病非常相似以致难以作出准确诊断；以及现今医学科技对医疗成效仍常有限制等。</w:t>
      </w:r>
    </w:p>
    <w:p w:rsidR="00000000" w:rsidRDefault="00000000">
      <w:pPr>
        <w:tabs>
          <w:tab w:val="left" w:pos="510"/>
          <w:tab w:val="left" w:pos="1021"/>
          <w:tab w:val="left" w:pos="1531"/>
          <w:tab w:val="left" w:pos="2041"/>
        </w:tabs>
        <w:textAlignment w:val="center"/>
      </w:pPr>
      <w:r>
        <w:tab/>
        <w:t xml:space="preserve">462.  </w:t>
      </w:r>
      <w:r>
        <w:rPr>
          <w:rFonts w:hint="eastAsia"/>
        </w:rPr>
        <w:t>不过，部分死亡或受伤个案则是由其他原因而起，包括：</w:t>
      </w:r>
    </w:p>
    <w:p w:rsidR="00000000" w:rsidRDefault="00000000">
      <w:pPr>
        <w:ind w:left="1036"/>
      </w:pPr>
      <w:r>
        <w:tab/>
      </w:r>
      <w:r>
        <w:rPr>
          <w:rFonts w:hint="eastAsia"/>
        </w:rPr>
        <w:t>医疗器材或机械发生故障：例如人工心瓣因制造过程出现误差以致破裂；或主要维持生命设备失灵；</w:t>
      </w:r>
    </w:p>
    <w:p w:rsidR="00000000" w:rsidRDefault="00000000">
      <w:pPr>
        <w:ind w:left="1036"/>
      </w:pPr>
      <w:r>
        <w:tab/>
      </w:r>
      <w:r>
        <w:rPr>
          <w:rFonts w:hint="eastAsia"/>
        </w:rPr>
        <w:t>组织管理失误：医院的护理及服务管理出现混乱，尤其在复杂的情况下更容易造成混乱；及</w:t>
      </w:r>
    </w:p>
    <w:p w:rsidR="00000000" w:rsidRDefault="00000000">
      <w:pPr>
        <w:ind w:left="1036"/>
      </w:pPr>
      <w:r>
        <w:tab/>
      </w:r>
      <w:r>
        <w:rPr>
          <w:rFonts w:hint="eastAsia"/>
        </w:rPr>
        <w:t>人为错失：包括精神不集中、不小心、沟通上出现误解或缺乏所需知识。</w:t>
      </w:r>
    </w:p>
    <w:p w:rsidR="00000000" w:rsidRDefault="00000000">
      <w:r>
        <w:tab/>
        <w:t xml:space="preserve">463.  </w:t>
      </w:r>
      <w:r>
        <w:rPr>
          <w:rFonts w:hint="eastAsia"/>
        </w:rPr>
        <w:t>医管局已参照一个特别委员会所提出的建议，加强改善以下工作：</w:t>
      </w:r>
    </w:p>
    <w:p w:rsidR="00000000" w:rsidRDefault="00000000">
      <w:pPr>
        <w:ind w:left="1036"/>
      </w:pPr>
      <w:r>
        <w:tab/>
      </w:r>
      <w:r>
        <w:rPr>
          <w:rFonts w:hint="eastAsia"/>
        </w:rPr>
        <w:t>临床督导</w:t>
      </w:r>
      <w:r>
        <w:t>(</w:t>
      </w:r>
      <w:r>
        <w:rPr>
          <w:rFonts w:hint="eastAsia"/>
        </w:rPr>
        <w:t>“临床”监察医护人员的专业能力</w:t>
      </w:r>
      <w:r>
        <w:t>)</w:t>
      </w:r>
      <w:r>
        <w:rPr>
          <w:rFonts w:hint="eastAsia"/>
        </w:rPr>
        <w:t>；</w:t>
      </w:r>
    </w:p>
    <w:p w:rsidR="00000000" w:rsidRDefault="00000000">
      <w:pPr>
        <w:ind w:left="1036"/>
      </w:pPr>
      <w:r>
        <w:tab/>
      </w:r>
      <w:r>
        <w:rPr>
          <w:rFonts w:hint="eastAsia"/>
        </w:rPr>
        <w:t>临床审计程序和质素保证制度</w:t>
      </w:r>
      <w:r>
        <w:t>(</w:t>
      </w:r>
      <w:r>
        <w:rPr>
          <w:rFonts w:hint="eastAsia"/>
        </w:rPr>
        <w:t>用以确保维持高水平服务质素的正式机制</w:t>
      </w:r>
      <w:r>
        <w:t>/</w:t>
      </w:r>
      <w:r>
        <w:rPr>
          <w:rFonts w:hint="eastAsia"/>
        </w:rPr>
        <w:t>制度</w:t>
      </w:r>
      <w:r>
        <w:t>)</w:t>
      </w:r>
      <w:r>
        <w:rPr>
          <w:rFonts w:hint="eastAsia"/>
        </w:rPr>
        <w:t>；</w:t>
      </w:r>
    </w:p>
    <w:p w:rsidR="00000000" w:rsidRDefault="00000000">
      <w:pPr>
        <w:ind w:left="1036"/>
      </w:pPr>
      <w:r>
        <w:tab/>
      </w:r>
      <w:r>
        <w:rPr>
          <w:rFonts w:hint="eastAsia"/>
        </w:rPr>
        <w:t>风险管理程序</w:t>
      </w:r>
      <w:r>
        <w:t>(</w:t>
      </w:r>
      <w:r>
        <w:rPr>
          <w:rFonts w:hint="eastAsia"/>
        </w:rPr>
        <w:t>这方面的新措施包括：设立“医疗事故报告制度”；以及制定自动调校剂量和药物标签程序</w:t>
      </w:r>
      <w:r>
        <w:t>)</w:t>
      </w:r>
      <w:r>
        <w:rPr>
          <w:rFonts w:hint="eastAsia"/>
        </w:rPr>
        <w:t>；及</w:t>
      </w:r>
    </w:p>
    <w:p w:rsidR="00000000" w:rsidRDefault="00000000">
      <w:pPr>
        <w:ind w:left="1036"/>
      </w:pPr>
      <w:r>
        <w:tab/>
      </w:r>
      <w:r>
        <w:rPr>
          <w:rFonts w:hint="eastAsia"/>
        </w:rPr>
        <w:t>投诉处理制度</w:t>
      </w:r>
      <w:r>
        <w:t>(</w:t>
      </w:r>
      <w:r>
        <w:rPr>
          <w:rFonts w:hint="eastAsia"/>
        </w:rPr>
        <w:t>确保能就病人及其家属的投诉作出迅速而有效的调查</w:t>
      </w:r>
      <w:r>
        <w:t>)</w:t>
      </w:r>
      <w:r>
        <w:rPr>
          <w:rFonts w:hint="eastAsia"/>
        </w:rPr>
        <w:t>。</w:t>
      </w:r>
    </w:p>
    <w:p w:rsidR="00000000" w:rsidRDefault="00000000">
      <w:r>
        <w:tab/>
        <w:t xml:space="preserve">464.  </w:t>
      </w:r>
      <w:r>
        <w:rPr>
          <w:rFonts w:hint="eastAsia"/>
        </w:rPr>
        <w:t>由于人力与科技始终有其极限，我们不能期望错误不再出现，不过，政府和医管局均深切认识到必须从过往的经验和错误中汲取教训。政府和医管局现正致力改善各项制度上的保障措施和风险管理程序，以期尽可能避免再发生同类事故，并降低临床治疗的风险。政府和医管局日后也会朝着这个目标继续努力。</w:t>
      </w:r>
    </w:p>
    <w:p w:rsidR="00000000" w:rsidRDefault="00000000">
      <w:pPr>
        <w:pStyle w:val="Heading4"/>
        <w:spacing w:before="320"/>
      </w:pPr>
      <w:r>
        <w:rPr>
          <w:rFonts w:hint="eastAsia"/>
        </w:rPr>
        <w:t>中医药</w:t>
      </w:r>
    </w:p>
    <w:p w:rsidR="00000000" w:rsidRDefault="00000000">
      <w:pPr>
        <w:spacing w:after="320"/>
        <w:textAlignment w:val="center"/>
      </w:pPr>
      <w:r>
        <w:tab/>
        <w:t xml:space="preserve">465.  </w:t>
      </w:r>
      <w:r>
        <w:rPr>
          <w:rFonts w:hint="eastAsia"/>
        </w:rPr>
        <w:t>多年来，社会人士一直关注到，政府就中医药的标准和部分中医的执业资格，并没有施加足够的管制。因此，政府成立了中医药发展筹备委员会，就如何促进、发展和规管中医药提供意见。一九九七年三月，委员会完成工作，并把报告提交政府研究。根据报告所提出的建议，政府计划立法规管中医药的执业、使用和买卖，以保障市民的健康，并给予中医法定的专业地位。政府的目标，是要在一九九八至九九年度制定新法例，由二○○○年开始实施。</w:t>
      </w:r>
    </w:p>
    <w:p w:rsidR="00000000" w:rsidRDefault="00000000">
      <w:pPr>
        <w:pStyle w:val="Heading4"/>
      </w:pPr>
      <w:r>
        <w:rPr>
          <w:rFonts w:hint="eastAsia"/>
        </w:rPr>
        <w:t>与国际组织的合作</w:t>
      </w:r>
    </w:p>
    <w:p w:rsidR="00000000" w:rsidRDefault="00000000">
      <w:pPr>
        <w:spacing w:after="320"/>
        <w:textAlignment w:val="center"/>
      </w:pPr>
      <w:r>
        <w:tab/>
        <w:t xml:space="preserve">466.  </w:t>
      </w:r>
      <w:r>
        <w:rPr>
          <w:rFonts w:hint="eastAsia"/>
        </w:rPr>
        <w:t>如上次报告第</w:t>
      </w:r>
      <w:r>
        <w:t>294</w:t>
      </w:r>
      <w:r>
        <w:rPr>
          <w:rFonts w:hint="eastAsia"/>
        </w:rPr>
        <w:t>段所述，香港保持与世界卫生组织、国际计划生育联合会、联合国儿童基金会和世界银行紧密合作。我们会参照其他国家的经验，制定切合香港情况的政策和计划。</w:t>
      </w:r>
    </w:p>
    <w:p w:rsidR="00000000" w:rsidRDefault="00000000">
      <w:pPr>
        <w:pStyle w:val="Heading4"/>
      </w:pPr>
      <w:r>
        <w:rPr>
          <w:rFonts w:hint="eastAsia"/>
        </w:rPr>
        <w:t>环境及工业卫生</w:t>
      </w:r>
    </w:p>
    <w:p w:rsidR="00000000" w:rsidRDefault="00000000">
      <w:pPr>
        <w:pStyle w:val="Heading4"/>
        <w:ind w:left="518"/>
      </w:pPr>
      <w:r>
        <w:rPr>
          <w:rFonts w:hint="eastAsia"/>
        </w:rPr>
        <w:t>环境保护战略</w:t>
      </w:r>
    </w:p>
    <w:p w:rsidR="00000000" w:rsidRDefault="00000000">
      <w:pPr>
        <w:spacing w:after="320"/>
        <w:textAlignment w:val="center"/>
      </w:pPr>
      <w:r>
        <w:tab/>
        <w:t xml:space="preserve">467.  </w:t>
      </w:r>
      <w:r>
        <w:rPr>
          <w:rFonts w:hint="eastAsia"/>
        </w:rPr>
        <w:t>在上次报告第</w:t>
      </w:r>
      <w:r>
        <w:t>295</w:t>
      </w:r>
      <w:r>
        <w:rPr>
          <w:rFonts w:hint="eastAsia"/>
        </w:rPr>
        <w:t>段，我们曾指出，政府于一九八九年发表《对抗污染莫迟疑》白皮书后，随即展开了一项为期十年的环境保护战略，务求在指定日期前，完成若干环保目标。这项策略包括订立一个全面的法律架构，用以管制污染。一九九七年，政府就这项策略进行最后检讨，并于一九九八年五月发表检讨结果。一九九七年，政府开展了一项“</w:t>
      </w:r>
      <w:r>
        <w:t>21</w:t>
      </w:r>
      <w:r>
        <w:rPr>
          <w:rFonts w:hint="eastAsia"/>
        </w:rPr>
        <w:t>世纪持续发展顾问研究”旨在通过进行公众咨询和检讨，制定一套能顾及社会、经济和环境指标的规划方针。政府的目标，是要订立一套检讨有关政策和计划的基准，并在计划未来的路向时，能协调香港的社会和经济发展目标，以及保持香港和邻近地区环境健康的需要。</w:t>
      </w:r>
    </w:p>
    <w:p w:rsidR="00000000" w:rsidRDefault="00000000">
      <w:pPr>
        <w:pStyle w:val="Heading4"/>
        <w:ind w:left="518"/>
      </w:pPr>
      <w:r>
        <w:rPr>
          <w:rFonts w:hint="eastAsia"/>
        </w:rPr>
        <w:t>水污染管制</w:t>
      </w:r>
    </w:p>
    <w:p w:rsidR="00000000" w:rsidRDefault="00000000">
      <w:r>
        <w:tab/>
        <w:t xml:space="preserve">468.  </w:t>
      </w:r>
      <w:r>
        <w:rPr>
          <w:rFonts w:hint="eastAsia"/>
        </w:rPr>
        <w:t>在上次报告第</w:t>
      </w:r>
      <w:r>
        <w:t>296</w:t>
      </w:r>
      <w:r>
        <w:rPr>
          <w:rFonts w:hint="eastAsia"/>
        </w:rPr>
        <w:t>段，我们曾指出，政府于一九九○年修订了《水污染管制条例》</w:t>
      </w:r>
      <w:r>
        <w:t>(</w:t>
      </w:r>
      <w:r>
        <w:rPr>
          <w:rFonts w:hint="eastAsia"/>
        </w:rPr>
        <w:t>第</w:t>
      </w:r>
      <w:r>
        <w:t>358</w:t>
      </w:r>
      <w:r>
        <w:rPr>
          <w:rFonts w:hint="eastAsia"/>
        </w:rPr>
        <w:t>章</w:t>
      </w:r>
      <w:r>
        <w:t>)</w:t>
      </w:r>
      <w:r>
        <w:rPr>
          <w:rFonts w:hint="eastAsia"/>
        </w:rPr>
        <w:t>，以加强管制在指定水质管制区内的污水排放和沉降物。我们在拟备上次报告时，政府已在九个水质管制区实施管制。目前，全港均已纳入管制范围。至于海上倾卸废物，则受到《海上倾倒物料条例》</w:t>
      </w:r>
      <w:r>
        <w:t>(</w:t>
      </w:r>
      <w:r>
        <w:rPr>
          <w:rFonts w:hint="eastAsia"/>
        </w:rPr>
        <w:t>第</w:t>
      </w:r>
      <w:r>
        <w:t>466</w:t>
      </w:r>
      <w:r>
        <w:rPr>
          <w:rFonts w:hint="eastAsia"/>
        </w:rPr>
        <w:t>章</w:t>
      </w:r>
      <w:r>
        <w:t>)</w:t>
      </w:r>
      <w:r>
        <w:rPr>
          <w:rFonts w:hint="eastAsia"/>
        </w:rPr>
        <w:t>的管制。在该条例所设立的许可证制度下，许可证持有人只能在指定水域范围弃置物质和物品。</w:t>
      </w:r>
    </w:p>
    <w:p w:rsidR="00000000" w:rsidRDefault="00000000">
      <w:pPr>
        <w:spacing w:after="320"/>
        <w:textAlignment w:val="center"/>
      </w:pPr>
      <w:r>
        <w:tab/>
        <w:t xml:space="preserve">469.  </w:t>
      </w:r>
      <w:r>
        <w:rPr>
          <w:rFonts w:hint="eastAsia"/>
        </w:rPr>
        <w:t>一九八九年，政府采纳了一套全面的污水战略。这套战略包括：加强立法管制污水处理；订立</w:t>
      </w:r>
      <w:r>
        <w:t>16</w:t>
      </w:r>
      <w:r>
        <w:rPr>
          <w:rFonts w:hint="eastAsia"/>
        </w:rPr>
        <w:t>个地区性污水收集整体计划，为香港的污水收集和处理作出改善；以及制定一个分四阶段进行的战略性污水排放计划”，其目的是首先利用中央集体处理系统处理城市污水，然后通过海洋排水口排入大海。全部</w:t>
      </w:r>
      <w:r>
        <w:t>16</w:t>
      </w:r>
      <w:r>
        <w:rPr>
          <w:rFonts w:hint="eastAsia"/>
        </w:rPr>
        <w:t>个污水收集整体计划的详细设计及建筑工程，现正在进行当中。同时，更多的污水处理设施亦在筹划阶段，以应付人口增加。“排放计划”第一阶段的建筑工程，已于一九九四年四月展开；而中央污水处理厂，则已在一九九七年投入服务。其相关的管道污水收集系统预计可于二○○○年竣工。此外，政府现正进行第二阶段排放计划的环境影响评估，并进行第三和第四阶段的可行性研究。</w:t>
      </w:r>
    </w:p>
    <w:p w:rsidR="00000000" w:rsidRDefault="00000000">
      <w:pPr>
        <w:pStyle w:val="Heading4"/>
        <w:ind w:left="518"/>
      </w:pPr>
      <w:r>
        <w:rPr>
          <w:rFonts w:hint="eastAsia"/>
        </w:rPr>
        <w:t>泳滩水质</w:t>
      </w:r>
    </w:p>
    <w:p w:rsidR="00000000" w:rsidRDefault="00000000">
      <w:pPr>
        <w:spacing w:after="320"/>
        <w:textAlignment w:val="center"/>
      </w:pPr>
      <w:r>
        <w:tab/>
        <w:t xml:space="preserve">470.  </w:t>
      </w:r>
      <w:r>
        <w:rPr>
          <w:rFonts w:hint="eastAsia"/>
        </w:rPr>
        <w:t>在上次报告第</w:t>
      </w:r>
      <w:r>
        <w:t>297</w:t>
      </w:r>
      <w:r>
        <w:rPr>
          <w:rFonts w:hint="eastAsia"/>
        </w:rPr>
        <w:t>段，我们曾指出，虽然政府已经采取多项管制水污染的措施，但仍有不少严重问题有待解决。不过，情况在一九九八年已有改善。在香港</w:t>
      </w:r>
      <w:r>
        <w:t>41</w:t>
      </w:r>
      <w:r>
        <w:rPr>
          <w:rFonts w:hint="eastAsia"/>
        </w:rPr>
        <w:t>个宪报公布的泳滩</w:t>
      </w:r>
      <w:r>
        <w:t xml:space="preserve"> </w:t>
      </w:r>
      <w:r>
        <w:rPr>
          <w:rStyle w:val="FootnoteReference"/>
        </w:rPr>
        <w:footnoteReference w:id="91"/>
      </w:r>
      <w:r>
        <w:t xml:space="preserve"> </w:t>
      </w:r>
      <w:r>
        <w:rPr>
          <w:rFonts w:hint="eastAsia"/>
        </w:rPr>
        <w:t>当中，有九个未能符合泳滩的法定水质指标，较一九九七年的</w:t>
      </w:r>
      <w:r>
        <w:t>15</w:t>
      </w:r>
      <w:r>
        <w:rPr>
          <w:rFonts w:hint="eastAsia"/>
        </w:rPr>
        <w:t>个为少；而在五个关闭的泳滩中，亦只有一个的水质被列为“极差”。泳滩水质变差的问题，主要是由于四周环境的严重污染所致。尽管如此，相信我们所陆续推出的污水处理措施，到了二○○○年代初期可对环境作出持续的改善。</w:t>
      </w:r>
    </w:p>
    <w:p w:rsidR="00000000" w:rsidRDefault="00000000">
      <w:pPr>
        <w:pStyle w:val="Heading4"/>
        <w:ind w:left="518"/>
      </w:pPr>
      <w:r>
        <w:rPr>
          <w:rFonts w:hint="eastAsia"/>
        </w:rPr>
        <w:t>河流水质</w:t>
      </w:r>
    </w:p>
    <w:p w:rsidR="00000000" w:rsidRDefault="00000000">
      <w:pPr>
        <w:spacing w:after="320"/>
        <w:textAlignment w:val="center"/>
      </w:pPr>
      <w:r>
        <w:tab/>
        <w:t xml:space="preserve">471.  </w:t>
      </w:r>
      <w:r>
        <w:rPr>
          <w:rFonts w:hint="eastAsia"/>
        </w:rPr>
        <w:t>虽然上次报告第</w:t>
      </w:r>
      <w:r>
        <w:t>298</w:t>
      </w:r>
      <w:r>
        <w:rPr>
          <w:rFonts w:hint="eastAsia"/>
        </w:rPr>
        <w:t>段所述的情况，持续有稳步的改善，但香港部分河流的污染仍很严重。禽畜废物一直是河流污染的主要成因。自一九九七年全港纳入管制范围后</w:t>
      </w:r>
      <w:r>
        <w:t xml:space="preserve"> </w:t>
      </w:r>
      <w:r>
        <w:rPr>
          <w:rStyle w:val="FootnoteReference"/>
        </w:rPr>
        <w:footnoteReference w:id="92"/>
      </w:r>
      <w:r>
        <w:t xml:space="preserve"> </w:t>
      </w:r>
      <w:r>
        <w:rPr>
          <w:rFonts w:hint="eastAsia"/>
        </w:rPr>
        <w:t>，禽畜废物的污染已经减少，但河流水质仍未达到指标。我们将检讨目前情况，再找出改善方法。</w:t>
      </w:r>
    </w:p>
    <w:p w:rsidR="00000000" w:rsidRDefault="00000000">
      <w:pPr>
        <w:pStyle w:val="Heading4"/>
        <w:ind w:left="518"/>
      </w:pPr>
      <w:r>
        <w:rPr>
          <w:rFonts w:hint="eastAsia"/>
        </w:rPr>
        <w:t>海水水质</w:t>
      </w:r>
    </w:p>
    <w:p w:rsidR="00000000" w:rsidRDefault="00000000">
      <w:pPr>
        <w:spacing w:after="320"/>
        <w:textAlignment w:val="center"/>
      </w:pPr>
      <w:r>
        <w:tab/>
        <w:t xml:space="preserve">472.  </w:t>
      </w:r>
      <w:r>
        <w:rPr>
          <w:rFonts w:hint="eastAsia"/>
        </w:rPr>
        <w:t>在上次报告第</w:t>
      </w:r>
      <w:r>
        <w:t>299</w:t>
      </w:r>
      <w:r>
        <w:rPr>
          <w:rFonts w:hint="eastAsia"/>
        </w:rPr>
        <w:t>段，我们曾指出，除了吐露港、维多利亚港和后海湾外，香港的海水水质普遍是可以接受的。目前，吐露港的水质已有所改善，但其余两个水域的水质仍然不能接受。维多利亚港水质恶劣的问题，主要由未经处理的工商业及住宅污水所造成，一俟上文第</w:t>
      </w:r>
      <w:r>
        <w:t>469</w:t>
      </w:r>
      <w:r>
        <w:rPr>
          <w:rFonts w:hint="eastAsia"/>
        </w:rPr>
        <w:t>段所述的污水收集计划完成后，情况便应该会有显著改善。至于后海湾的水质问题，主要是由香港和广东省深圳经济特区的禽畜废物加上住宅污水所造成。同样，在逐步实施新污水收集计划和禽畜废物管制后，情况应会有所改善。不过，这还需要香港特区北面毗邻的广东省深圳经济特区也同时采取相应措施才可。事实上，这正是粤港环境保护联络小组的其中一项主要工作目标。</w:t>
      </w:r>
    </w:p>
    <w:p w:rsidR="00000000" w:rsidRDefault="00000000">
      <w:pPr>
        <w:pStyle w:val="Heading4"/>
        <w:ind w:left="518"/>
      </w:pPr>
      <w:r>
        <w:rPr>
          <w:rFonts w:hint="eastAsia"/>
        </w:rPr>
        <w:t>固体废物处理</w:t>
      </w:r>
    </w:p>
    <w:p w:rsidR="00000000" w:rsidRDefault="00000000">
      <w:pPr>
        <w:spacing w:after="320"/>
        <w:textAlignment w:val="center"/>
      </w:pPr>
      <w:r>
        <w:tab/>
        <w:t xml:space="preserve">473.  </w:t>
      </w:r>
      <w:r>
        <w:rPr>
          <w:rFonts w:hint="eastAsia"/>
        </w:rPr>
        <w:t>在上次报告第</w:t>
      </w:r>
      <w:r>
        <w:t>300</w:t>
      </w:r>
      <w:r>
        <w:rPr>
          <w:rFonts w:hint="eastAsia"/>
        </w:rPr>
        <w:t>段，我们曾指出，根据一九八九年废物处理计划的建议，新界三个先进堆填区，并配合一个垃圾转运站网络，将取代现时市区的堆填区和焚化炉。当时</w:t>
      </w:r>
      <w:r>
        <w:t>(</w:t>
      </w:r>
      <w:r>
        <w:rPr>
          <w:rFonts w:hint="eastAsia"/>
        </w:rPr>
        <w:t>一九九五年</w:t>
      </w:r>
      <w:r>
        <w:t>)</w:t>
      </w:r>
      <w:r>
        <w:rPr>
          <w:rFonts w:hint="eastAsia"/>
        </w:rPr>
        <w:t>有三个垃圾转运站投入服务，到目前已增至七个，另外还有更多正在筹划或兴建阶段；而新堆填区则早已投入服务。我们现正检讨废物处理计划，以期作出最新的修订。</w:t>
      </w:r>
    </w:p>
    <w:p w:rsidR="00000000" w:rsidRDefault="00000000">
      <w:pPr>
        <w:pStyle w:val="Heading4"/>
        <w:ind w:left="518"/>
      </w:pPr>
      <w:r>
        <w:rPr>
          <w:rFonts w:hint="eastAsia"/>
        </w:rPr>
        <w:t>特别废物处理</w:t>
      </w:r>
    </w:p>
    <w:p w:rsidR="00000000" w:rsidRDefault="00000000">
      <w:pPr>
        <w:spacing w:after="320"/>
        <w:textAlignment w:val="center"/>
      </w:pPr>
      <w:r>
        <w:tab/>
        <w:t xml:space="preserve">474.  </w:t>
      </w:r>
      <w:r>
        <w:rPr>
          <w:rFonts w:hint="eastAsia"/>
        </w:rPr>
        <w:t>如上次报告第</w:t>
      </w:r>
      <w:r>
        <w:t>301</w:t>
      </w:r>
      <w:r>
        <w:rPr>
          <w:rFonts w:hint="eastAsia"/>
        </w:rPr>
        <w:t>段所述，特别废物包括化学、屠场及医疗废物。化学废物会送到一九九三年投入服务的化学废物处理中心处理。化学废物的产生、运输及处理，一向受到严格的法律管制</w:t>
      </w:r>
      <w:r>
        <w:t xml:space="preserve"> </w:t>
      </w:r>
      <w:r>
        <w:rPr>
          <w:rStyle w:val="FootnoteReference"/>
        </w:rPr>
        <w:footnoteReference w:id="93"/>
      </w:r>
      <w:r>
        <w:t xml:space="preserve"> </w:t>
      </w:r>
      <w:r>
        <w:rPr>
          <w:rFonts w:hint="eastAsia"/>
        </w:rPr>
        <w:t>。我们上次曾报告说，政府计划兴建一座处理医疗废物和动物尸体的焚化炉；不过，政府现打算分炉处理医疗废物和动物尸体。</w:t>
      </w:r>
    </w:p>
    <w:p w:rsidR="00000000" w:rsidRDefault="00000000">
      <w:pPr>
        <w:pStyle w:val="Heading4"/>
        <w:ind w:left="518"/>
      </w:pPr>
      <w:r>
        <w:rPr>
          <w:rFonts w:hint="eastAsia"/>
        </w:rPr>
        <w:t>减少废物</w:t>
      </w:r>
    </w:p>
    <w:p w:rsidR="00000000" w:rsidRDefault="00000000">
      <w:pPr>
        <w:spacing w:after="320"/>
        <w:textAlignment w:val="center"/>
      </w:pPr>
      <w:r>
        <w:tab/>
        <w:t xml:space="preserve">475.  </w:t>
      </w:r>
      <w:r>
        <w:rPr>
          <w:rFonts w:hint="eastAsia"/>
        </w:rPr>
        <w:t>我们曾就如何避免制造废物、推广废物利用及循环再用，以及采用环保方式来减少都市废物的最终数量等问题，进行了一项研究。一九九七年，我们就研究结果咨询公众；而就此所制定的“减少废物纲要计划”，则于一九九八年推行。该计划的目标，是把目前废物利用及循环再用的</w:t>
      </w:r>
      <w:r>
        <w:t>30%</w:t>
      </w:r>
      <w:r>
        <w:rPr>
          <w:rFonts w:hint="eastAsia"/>
        </w:rPr>
        <w:t>比率提高一倍，并从整体上减少制造废物。</w:t>
      </w:r>
    </w:p>
    <w:p w:rsidR="00000000" w:rsidRDefault="00000000">
      <w:pPr>
        <w:pStyle w:val="Heading4"/>
        <w:ind w:left="518"/>
      </w:pPr>
      <w:r>
        <w:rPr>
          <w:rFonts w:hint="eastAsia"/>
        </w:rPr>
        <w:t>空气污染管制</w:t>
      </w:r>
    </w:p>
    <w:p w:rsidR="00000000" w:rsidRDefault="00000000">
      <w:pPr>
        <w:textAlignment w:val="center"/>
      </w:pPr>
      <w:r>
        <w:tab/>
        <w:t xml:space="preserve">476.  </w:t>
      </w:r>
      <w:r>
        <w:rPr>
          <w:rFonts w:hint="eastAsia"/>
        </w:rPr>
        <w:t>在上次报告第</w:t>
      </w:r>
      <w:r>
        <w:t>303</w:t>
      </w:r>
      <w:r>
        <w:rPr>
          <w:rFonts w:hint="eastAsia"/>
        </w:rPr>
        <w:t>段，我们曾指出，政府一直在全港九个地点监测空气的质素。目前，监测地点已增至</w:t>
      </w:r>
      <w:r>
        <w:t>12</w:t>
      </w:r>
      <w:r>
        <w:rPr>
          <w:rFonts w:hint="eastAsia"/>
        </w:rPr>
        <w:t>个。如上次报告所述，香港很多地区的日常空气质素尚好。然而，在较挤迫的市区，长期存在的可吸入颗粒性物质数量，则持续超出全年的可接受水平。这对市民大众的健康和生活构成了威胁，并减低能见度。香港空气污染主要由汽车、建筑业和工业所造成。</w:t>
      </w:r>
    </w:p>
    <w:p w:rsidR="00000000" w:rsidRDefault="00000000">
      <w:pPr>
        <w:spacing w:after="320"/>
        <w:textAlignment w:val="center"/>
      </w:pPr>
      <w:r>
        <w:tab/>
        <w:t xml:space="preserve">477.  </w:t>
      </w:r>
      <w:r>
        <w:rPr>
          <w:rFonts w:hint="eastAsia"/>
        </w:rPr>
        <w:t>在管制空气污染方面，我们仍维持上次报告所述的立法措施。管制空气污染的法例主要为《空气污染管制条例》</w:t>
      </w:r>
      <w:r>
        <w:t>(</w:t>
      </w:r>
      <w:r>
        <w:rPr>
          <w:rFonts w:hint="eastAsia"/>
        </w:rPr>
        <w:t>第</w:t>
      </w:r>
      <w:r>
        <w:t>311</w:t>
      </w:r>
      <w:r>
        <w:rPr>
          <w:rFonts w:hint="eastAsia"/>
        </w:rPr>
        <w:t>章</w:t>
      </w:r>
      <w:r>
        <w:t>)</w:t>
      </w:r>
      <w:r>
        <w:rPr>
          <w:rFonts w:hint="eastAsia"/>
        </w:rPr>
        <w:t>。破坏臭氧层的物质则受到《保护臭氧层条例》</w:t>
      </w:r>
      <w:r>
        <w:t>(</w:t>
      </w:r>
      <w:r>
        <w:rPr>
          <w:rFonts w:hint="eastAsia"/>
        </w:rPr>
        <w:t>第</w:t>
      </w:r>
      <w:r>
        <w:t>403</w:t>
      </w:r>
      <w:r>
        <w:rPr>
          <w:rFonts w:hint="eastAsia"/>
        </w:rPr>
        <w:t>章</w:t>
      </w:r>
      <w:r>
        <w:t xml:space="preserve">) </w:t>
      </w:r>
      <w:r>
        <w:rPr>
          <w:rStyle w:val="FootnoteReference"/>
        </w:rPr>
        <w:footnoteReference w:id="94"/>
      </w:r>
      <w:r>
        <w:t xml:space="preserve"> </w:t>
      </w:r>
      <w:r>
        <w:rPr>
          <w:rFonts w:hint="eastAsia"/>
        </w:rPr>
        <w:t>管制。一如以往，香港划分为十个法定空气质素管制区。《空气污染管制</w:t>
      </w:r>
      <w:r>
        <w:t>(</w:t>
      </w:r>
      <w:r>
        <w:rPr>
          <w:rFonts w:hint="eastAsia"/>
        </w:rPr>
        <w:t>燃料限制</w:t>
      </w:r>
      <w:r>
        <w:t>)</w:t>
      </w:r>
      <w:r>
        <w:rPr>
          <w:rFonts w:hint="eastAsia"/>
        </w:rPr>
        <w:t>规例》</w:t>
      </w:r>
      <w:r>
        <w:t>(</w:t>
      </w:r>
      <w:r>
        <w:rPr>
          <w:rFonts w:hint="eastAsia"/>
        </w:rPr>
        <w:t>第</w:t>
      </w:r>
      <w:r>
        <w:t>311</w:t>
      </w:r>
      <w:r>
        <w:rPr>
          <w:rFonts w:hint="eastAsia"/>
        </w:rPr>
        <w:t>章的附属法例</w:t>
      </w:r>
      <w:r>
        <w:t>)</w:t>
      </w:r>
      <w:r>
        <w:rPr>
          <w:rFonts w:hint="eastAsia"/>
        </w:rPr>
        <w:t>规定，工业用燃油的含硫量最高为</w:t>
      </w:r>
      <w:r>
        <w:t>0.5%</w:t>
      </w:r>
      <w:r>
        <w:rPr>
          <w:rFonts w:hint="eastAsia"/>
        </w:rPr>
        <w:t>。</w:t>
      </w:r>
    </w:p>
    <w:p w:rsidR="00000000" w:rsidRDefault="00000000">
      <w:pPr>
        <w:pStyle w:val="Heading4"/>
        <w:ind w:left="518"/>
      </w:pPr>
      <w:r>
        <w:rPr>
          <w:rFonts w:hint="eastAsia"/>
        </w:rPr>
        <w:t>汽车废气及燃料标准</w:t>
      </w:r>
    </w:p>
    <w:p w:rsidR="00000000" w:rsidRDefault="00000000">
      <w:pPr>
        <w:textAlignment w:val="center"/>
      </w:pPr>
      <w:r>
        <w:tab/>
        <w:t xml:space="preserve">478.  </w:t>
      </w:r>
      <w:r>
        <w:rPr>
          <w:rFonts w:hint="eastAsia"/>
        </w:rPr>
        <w:t>自提交上次报告后，我们在管制汽车废气及燃料标准的工作上进展良好。我们在一九九五年所订立的标准</w:t>
      </w:r>
      <w:r>
        <w:t>(</w:t>
      </w:r>
      <w:r>
        <w:rPr>
          <w:rFonts w:hint="eastAsia"/>
        </w:rPr>
        <w:t>见上次报告第</w:t>
      </w:r>
      <w:r>
        <w:t>305</w:t>
      </w:r>
      <w:r>
        <w:rPr>
          <w:rFonts w:hint="eastAsia"/>
        </w:rPr>
        <w:t>段</w:t>
      </w:r>
      <w:r>
        <w:t>)</w:t>
      </w:r>
      <w:r>
        <w:rPr>
          <w:rFonts w:hint="eastAsia"/>
        </w:rPr>
        <w:t>，已令香港的标准与欧洲联盟看齐。此外，一九九八年四月，我们就新柴油私家车所订下的排放废气标准，已相当于美国加洲的标准。我们会继续参照国际趋势，收紧对汽车废气及燃料标准的管制。</w:t>
      </w:r>
    </w:p>
    <w:p w:rsidR="00000000" w:rsidRDefault="00000000">
      <w:pPr>
        <w:textAlignment w:val="center"/>
      </w:pPr>
      <w:r>
        <w:tab/>
        <w:t xml:space="preserve">479.  </w:t>
      </w:r>
      <w:r>
        <w:rPr>
          <w:rFonts w:hint="eastAsia"/>
        </w:rPr>
        <w:t>如上次报告第</w:t>
      </w:r>
      <w:r>
        <w:t>306</w:t>
      </w:r>
      <w:r>
        <w:rPr>
          <w:rFonts w:hint="eastAsia"/>
        </w:rPr>
        <w:t>段所述，柴油车辆是香港空气污染的主要来源，这是因为这些车辆广泛应用于商业用途上。政府一直物色能较少污染空气的车辆，来取代柴油车辆。我们发现，石油气车辆最为切实可行，石油气是低污染燃料，可取代柴油作为汽车的燃料。一九九七年十一月，我们推行了一个石油气的士试验计划，为期一年，以评估石油气的士在香港街道环境下行驶的情况。虽然试验计划尚有数个月才结束，但我们已发现石油气的士可实际取代柴油的士。我们现正制定方案，建议大规模引进石油气的士。</w:t>
      </w:r>
    </w:p>
    <w:p w:rsidR="00000000" w:rsidRDefault="00000000">
      <w:pPr>
        <w:textAlignment w:val="center"/>
      </w:pPr>
      <w:r>
        <w:tab/>
        <w:t xml:space="preserve">480.  </w:t>
      </w:r>
      <w:r>
        <w:rPr>
          <w:rFonts w:hint="eastAsia"/>
        </w:rPr>
        <w:t>不过，柴油车辆并非废气的唯一来源。政府的战略如下：</w:t>
      </w:r>
    </w:p>
    <w:p w:rsidR="00000000" w:rsidRDefault="00000000">
      <w:pPr>
        <w:pStyle w:val="a0"/>
        <w:numPr>
          <w:ilvl w:val="0"/>
          <w:numId w:val="37"/>
        </w:numPr>
        <w:ind w:left="1531" w:hanging="510"/>
      </w:pPr>
      <w:r>
        <w:rPr>
          <w:rFonts w:hint="eastAsia"/>
        </w:rPr>
        <w:t>采取严厉的措施，管制汽车废气及燃料标准；</w:t>
      </w:r>
    </w:p>
    <w:p w:rsidR="00000000" w:rsidRDefault="00000000">
      <w:pPr>
        <w:pStyle w:val="a0"/>
        <w:numPr>
          <w:ilvl w:val="0"/>
          <w:numId w:val="37"/>
        </w:numPr>
        <w:ind w:left="1531" w:hanging="510"/>
      </w:pPr>
      <w:r>
        <w:rPr>
          <w:rFonts w:hint="eastAsia"/>
        </w:rPr>
        <w:t>加强废气检验；</w:t>
      </w:r>
    </w:p>
    <w:p w:rsidR="00000000" w:rsidRDefault="00000000">
      <w:pPr>
        <w:pStyle w:val="a0"/>
        <w:numPr>
          <w:ilvl w:val="0"/>
          <w:numId w:val="37"/>
        </w:numPr>
        <w:ind w:left="1531" w:hanging="510"/>
      </w:pPr>
      <w:r>
        <w:rPr>
          <w:rFonts w:hint="eastAsia"/>
        </w:rPr>
        <w:t>加强执法，对付排放过量黑烟的车辆；及</w:t>
      </w:r>
    </w:p>
    <w:p w:rsidR="00000000" w:rsidRDefault="00000000">
      <w:pPr>
        <w:pStyle w:val="a0"/>
        <w:numPr>
          <w:ilvl w:val="0"/>
          <w:numId w:val="37"/>
        </w:numPr>
        <w:spacing w:after="240"/>
        <w:ind w:left="1531" w:hanging="510"/>
      </w:pPr>
      <w:r>
        <w:rPr>
          <w:rFonts w:hint="eastAsia"/>
        </w:rPr>
        <w:t>教育市民。</w:t>
      </w:r>
    </w:p>
    <w:p w:rsidR="00000000" w:rsidRDefault="00000000">
      <w:pPr>
        <w:pStyle w:val="Heading4"/>
        <w:ind w:left="518"/>
      </w:pPr>
      <w:r>
        <w:rPr>
          <w:rFonts w:hint="eastAsia"/>
        </w:rPr>
        <w:t>对其他空气污染来源的管制</w:t>
      </w:r>
    </w:p>
    <w:p w:rsidR="00000000" w:rsidRDefault="00000000">
      <w:r>
        <w:tab/>
        <w:t xml:space="preserve">481.  </w:t>
      </w:r>
      <w:r>
        <w:rPr>
          <w:rFonts w:hint="eastAsia"/>
        </w:rPr>
        <w:t>《空气污染管制条例》对影响环境的石棉尘及所有污染空气的工序均有严格管制。如上次报告第</w:t>
      </w:r>
      <w:r>
        <w:t>311</w:t>
      </w:r>
      <w:r>
        <w:rPr>
          <w:rFonts w:hint="eastAsia"/>
        </w:rPr>
        <w:t>段所述，政府现正分期取消某些污染性工业所享有的豁免，以便在二○○○年前达成取消所有豁免的目标。</w:t>
      </w:r>
    </w:p>
    <w:p w:rsidR="00000000" w:rsidRDefault="00000000">
      <w:r>
        <w:tab/>
        <w:t xml:space="preserve">482.  </w:t>
      </w:r>
      <w:r>
        <w:rPr>
          <w:rFonts w:hint="eastAsia"/>
        </w:rPr>
        <w:t>至于对怀疑存有含石棉物料处所所作出的管制，则仍如上次报告第</w:t>
      </w:r>
      <w:r>
        <w:t>310</w:t>
      </w:r>
      <w:r>
        <w:rPr>
          <w:rFonts w:hint="eastAsia"/>
        </w:rPr>
        <w:t>段所述：东主须聘请顾问公司拟备石棉调查报告，提交环境保护署：若发现有石棉物料存在，东主必须提交“石棉削减计划”；而参与使用和处理含石棉物料的顾问公司、工程监督、化验所和承办商均须注册。此外，铁石棉和青石棉已于一九九六年五月禁止入口和发售。</w:t>
      </w:r>
    </w:p>
    <w:p w:rsidR="00000000" w:rsidRDefault="00000000">
      <w:r>
        <w:tab/>
        <w:t xml:space="preserve">483.  </w:t>
      </w:r>
      <w:r>
        <w:rPr>
          <w:rFonts w:hint="eastAsia"/>
        </w:rPr>
        <w:t>在上次报告第</w:t>
      </w:r>
      <w:r>
        <w:t>311</w:t>
      </w:r>
      <w:r>
        <w:rPr>
          <w:rFonts w:hint="eastAsia"/>
        </w:rPr>
        <w:t>段，我们曾指出，对环境可能造成不良影响的</w:t>
      </w:r>
      <w:r>
        <w:t>31</w:t>
      </w:r>
      <w:r>
        <w:rPr>
          <w:rFonts w:hint="eastAsia"/>
        </w:rPr>
        <w:t>项工序</w:t>
      </w:r>
      <w:r>
        <w:t xml:space="preserve"> </w:t>
      </w:r>
      <w:r>
        <w:rPr>
          <w:rStyle w:val="FootnoteReference"/>
        </w:rPr>
        <w:footnoteReference w:id="95"/>
      </w:r>
      <w:r>
        <w:rPr>
          <w:rFonts w:hint="eastAsia"/>
        </w:rPr>
        <w:t>，须在《空气污染管制条例》下接受发牌管制，而厂方须采取最切实妥善的办法，防止排放空气污染物。发牌管制计划现正分期执行。部分工厂获得暂时豁免管制，让东主有时间作出改善，以符合排放废气的规定。我们会继续推行有关计划，以期在二○○○年前，将管制范围扩展至所有受影响的工厂。</w:t>
      </w:r>
    </w:p>
    <w:p w:rsidR="00000000" w:rsidRDefault="00000000">
      <w:r>
        <w:tab/>
        <w:t xml:space="preserve">484.  </w:t>
      </w:r>
      <w:r>
        <w:rPr>
          <w:rFonts w:hint="eastAsia"/>
        </w:rPr>
        <w:t>一九九六年所施行的《空气污染管制</w:t>
      </w:r>
      <w:r>
        <w:t>(</w:t>
      </w:r>
      <w:r>
        <w:rPr>
          <w:rFonts w:hint="eastAsia"/>
        </w:rPr>
        <w:t>露天焚烧</w:t>
      </w:r>
      <w:r>
        <w:t>)</w:t>
      </w:r>
      <w:r>
        <w:rPr>
          <w:rFonts w:hint="eastAsia"/>
        </w:rPr>
        <w:t>规例》</w:t>
      </w:r>
      <w:r>
        <w:rPr>
          <w:rStyle w:val="FootnoteReference"/>
        </w:rPr>
        <w:footnoteReference w:id="96"/>
      </w:r>
      <w:r>
        <w:t xml:space="preserve"> </w:t>
      </w:r>
      <w:r>
        <w:rPr>
          <w:rFonts w:hint="eastAsia"/>
        </w:rPr>
        <w:t>，禁止在露天地方焚烧建筑废料、轮胎和电缆作金属回收；同时，条例还严格管制在露天地方焚烧其他物品。至于一九九七年所实施的《空气污染管制</w:t>
      </w:r>
      <w:r>
        <w:t>(</w:t>
      </w:r>
      <w:r>
        <w:rPr>
          <w:rFonts w:hint="eastAsia"/>
        </w:rPr>
        <w:t>建造工程尘埃</w:t>
      </w:r>
      <w:r>
        <w:t>)</w:t>
      </w:r>
      <w:r>
        <w:rPr>
          <w:rFonts w:hint="eastAsia"/>
        </w:rPr>
        <w:t>规例》</w:t>
      </w:r>
      <w:r>
        <w:rPr>
          <w:rStyle w:val="FootnoteReference"/>
        </w:rPr>
        <w:t>95</w:t>
      </w:r>
      <w:r>
        <w:rPr>
          <w:rFonts w:hint="eastAsia"/>
        </w:rPr>
        <w:t>，</w:t>
      </w:r>
      <w:r>
        <w:rPr>
          <w:vertAlign w:val="superscript"/>
        </w:rPr>
        <w:t xml:space="preserve"> </w:t>
      </w:r>
      <w:r>
        <w:rPr>
          <w:rFonts w:hint="eastAsia"/>
        </w:rPr>
        <w:t>则规定工程承办商在进行建筑工程期间，须采取适当措施，尽量减少散发尘埃。</w:t>
      </w:r>
    </w:p>
    <w:p w:rsidR="00000000" w:rsidRDefault="00000000">
      <w:pPr>
        <w:pStyle w:val="Heading4"/>
        <w:spacing w:before="320"/>
        <w:ind w:left="518"/>
      </w:pPr>
      <w:r>
        <w:rPr>
          <w:rFonts w:hint="eastAsia"/>
        </w:rPr>
        <w:t>新规定</w:t>
      </w:r>
    </w:p>
    <w:p w:rsidR="00000000" w:rsidRDefault="00000000">
      <w:r>
        <w:tab/>
        <w:t xml:space="preserve">485.  </w:t>
      </w:r>
      <w:r>
        <w:rPr>
          <w:rFonts w:hint="eastAsia"/>
        </w:rPr>
        <w:t>为减低公众接触空气有毒物质的机会，我们会在一九九九年施行两套新规例，管制油站排放苯和干洗程序排放全氯乙烯。</w:t>
      </w:r>
    </w:p>
    <w:p w:rsidR="00000000" w:rsidRDefault="00000000">
      <w:r>
        <w:tab/>
        <w:t xml:space="preserve">486.  </w:t>
      </w:r>
      <w:r>
        <w:rPr>
          <w:rFonts w:hint="eastAsia"/>
        </w:rPr>
        <w:t>苯是人体致癌物质，油站跟民居的距离很近，因此，油站添加汽油是市民接触苯的主要原因之一。新规例规定，所有运油车辆和油站都必须装有气体回收系统，把释出的苯减至最少。全氯乙稀与苯相似，也是一种有毒的空气污染物，可引致肝病、流产，也可能引发癌症，因此，新规例订明，所有干洗机必须为密封型，同时须符合若干指定的严格标准。上述两条规例实施后，香港在这方面的规管将与其他多个发达国家一致。</w:t>
      </w:r>
    </w:p>
    <w:p w:rsidR="00000000" w:rsidRDefault="00000000">
      <w:pPr>
        <w:pStyle w:val="Heading4"/>
        <w:spacing w:before="320"/>
        <w:ind w:left="518"/>
      </w:pPr>
      <w:r>
        <w:rPr>
          <w:rFonts w:hint="eastAsia"/>
        </w:rPr>
        <w:t>室内空气污染</w:t>
      </w:r>
    </w:p>
    <w:p w:rsidR="00000000" w:rsidRDefault="00000000">
      <w:pPr>
        <w:spacing w:after="240"/>
      </w:pPr>
      <w:r>
        <w:tab/>
        <w:t xml:space="preserve">487.  </w:t>
      </w:r>
      <w:r>
        <w:rPr>
          <w:rFonts w:hint="eastAsia"/>
        </w:rPr>
        <w:t>上次报告第</w:t>
      </w:r>
      <w:r>
        <w:t>312</w:t>
      </w:r>
      <w:r>
        <w:rPr>
          <w:rFonts w:hint="eastAsia"/>
        </w:rPr>
        <w:t>段所述的</w:t>
      </w:r>
      <w:r>
        <w:t>18</w:t>
      </w:r>
      <w:r>
        <w:rPr>
          <w:rFonts w:hint="eastAsia"/>
        </w:rPr>
        <w:t>个月顾问研究已经完成。政府会就有关结果和实务守则草案咨询公众意见，以改善室内空气质素，特别是室内公众场所和办公室的空气质素。</w:t>
      </w:r>
    </w:p>
    <w:p w:rsidR="00000000" w:rsidRDefault="00000000">
      <w:pPr>
        <w:pStyle w:val="Heading4"/>
        <w:spacing w:before="320"/>
        <w:ind w:left="518"/>
      </w:pPr>
      <w:r>
        <w:rPr>
          <w:rFonts w:hint="eastAsia"/>
        </w:rPr>
        <w:t>噪音管制</w:t>
      </w:r>
    </w:p>
    <w:p w:rsidR="00000000" w:rsidRDefault="00000000">
      <w:r>
        <w:tab/>
        <w:t xml:space="preserve">488.  </w:t>
      </w:r>
      <w:r>
        <w:rPr>
          <w:rFonts w:hint="eastAsia"/>
        </w:rPr>
        <w:t>在上次报告第</w:t>
      </w:r>
      <w:r>
        <w:t>313</w:t>
      </w:r>
      <w:r>
        <w:rPr>
          <w:rFonts w:hint="eastAsia"/>
        </w:rPr>
        <w:t>段，我们曾论述当时所采取的措施，并提及政府打算制定新的附属法例</w:t>
      </w:r>
      <w:r>
        <w:t xml:space="preserve"> </w:t>
      </w:r>
      <w:r>
        <w:rPr>
          <w:rStyle w:val="FootnoteReference"/>
        </w:rPr>
        <w:footnoteReference w:id="97"/>
      </w:r>
      <w:r>
        <w:t xml:space="preserve"> </w:t>
      </w:r>
      <w:r>
        <w:rPr>
          <w:rFonts w:hint="eastAsia"/>
        </w:rPr>
        <w:t>，以进一步和更严格地管制建筑噪音。新附属法例已于一九九六年制定，管制范围包括敲击和瓦砾处理等工程，并就若干机动设备的使用订立更严格的噪音管制。汽车噪音也自一九九六年八月起受到法例管制</w:t>
      </w:r>
      <w:r>
        <w:t xml:space="preserve"> </w:t>
      </w:r>
      <w:r>
        <w:rPr>
          <w:rStyle w:val="FootnoteReference"/>
        </w:rPr>
        <w:footnoteReference w:id="98"/>
      </w:r>
      <w:r>
        <w:t xml:space="preserve"> </w:t>
      </w:r>
      <w:r>
        <w:rPr>
          <w:rFonts w:hint="eastAsia"/>
        </w:rPr>
        <w:t>。一九九七年四月，政府立例管制车辆侵扰者警报系统</w:t>
      </w:r>
      <w:r>
        <w:t xml:space="preserve"> </w:t>
      </w:r>
      <w:r>
        <w:rPr>
          <w:rStyle w:val="FootnoteReference"/>
        </w:rPr>
        <w:footnoteReference w:id="99"/>
      </w:r>
      <w:r>
        <w:t xml:space="preserve"> </w:t>
      </w:r>
      <w:r>
        <w:rPr>
          <w:rFonts w:hint="eastAsia"/>
        </w:rPr>
        <w:t>。此外，政府又于一九九七年规定分阶段禁止使用过分嘈吵的撞击式打椿机器，例如柴油打椿锤、气压锤和蒸汽锤等。</w:t>
      </w:r>
    </w:p>
    <w:p w:rsidR="00000000" w:rsidRDefault="00000000">
      <w:pPr>
        <w:pStyle w:val="Heading4"/>
        <w:spacing w:before="320"/>
        <w:ind w:left="518"/>
      </w:pPr>
      <w:r>
        <w:rPr>
          <w:rFonts w:hint="eastAsia"/>
        </w:rPr>
        <w:t>环保教育</w:t>
      </w:r>
    </w:p>
    <w:p w:rsidR="00000000" w:rsidRDefault="00000000">
      <w:r>
        <w:tab/>
        <w:t xml:space="preserve">489.  </w:t>
      </w:r>
      <w:r>
        <w:rPr>
          <w:rFonts w:hint="eastAsia"/>
        </w:rPr>
        <w:t>上次报告第</w:t>
      </w:r>
      <w:r>
        <w:t>315</w:t>
      </w:r>
      <w:r>
        <w:rPr>
          <w:rFonts w:hint="eastAsia"/>
        </w:rPr>
        <w:t>段提及，政府于一九九四年成立了法定的“环境及自然保育基金”，以资助由社区团体进行的教育及研究活动。一九九八年，基金资本已由</w:t>
      </w:r>
      <w:r>
        <w:t>5,000</w:t>
      </w:r>
      <w:r>
        <w:rPr>
          <w:rFonts w:hint="eastAsia"/>
        </w:rPr>
        <w:t>万港元增至一亿港元。</w:t>
      </w:r>
    </w:p>
    <w:p w:rsidR="00000000" w:rsidRDefault="00000000">
      <w:r>
        <w:tab/>
        <w:t xml:space="preserve">490.  </w:t>
      </w:r>
      <w:r>
        <w:rPr>
          <w:rFonts w:hint="eastAsia"/>
        </w:rPr>
        <w:t>教育署和环境保护署均有举办教育活动。这些活动的范围广泛，对象以学生为主。环境保护运动委员会负责统筹这类公众教育运动，以提高市民的环保意识，改变他们对环保的态度和行为，从而建立一个更健康的生活环境。这方面的工作为社会提供了长期而有系统的环保教育，以配合一些目标较为专注的活动，例如清洁香港运动</w:t>
      </w:r>
      <w:r>
        <w:t>(</w:t>
      </w:r>
      <w:r>
        <w:rPr>
          <w:rFonts w:hint="eastAsia"/>
        </w:rPr>
        <w:t>每年举办一次，以提醒市民切勿乱抛垃圾，保持环境卫生</w:t>
      </w:r>
      <w:r>
        <w:t>)</w:t>
      </w:r>
      <w:r>
        <w:rPr>
          <w:rFonts w:hint="eastAsia"/>
        </w:rPr>
        <w:t>，以及最近举行的“健康生活新纪元”运动等。</w:t>
      </w:r>
    </w:p>
    <w:p w:rsidR="00000000" w:rsidRDefault="00000000">
      <w:pPr>
        <w:pStyle w:val="Heading4"/>
        <w:spacing w:before="320"/>
      </w:pPr>
      <w:r>
        <w:rPr>
          <w:u w:val="none"/>
        </w:rPr>
        <w:tab/>
      </w:r>
      <w:r>
        <w:rPr>
          <w:rFonts w:hint="eastAsia"/>
        </w:rPr>
        <w:t>环境影响评估</w:t>
      </w:r>
    </w:p>
    <w:p w:rsidR="00000000" w:rsidRDefault="00000000">
      <w:r>
        <w:tab/>
        <w:t xml:space="preserve">491.  </w:t>
      </w:r>
      <w:r>
        <w:rPr>
          <w:rFonts w:hint="eastAsia"/>
        </w:rPr>
        <w:t>在上次报告第</w:t>
      </w:r>
      <w:r>
        <w:t>316</w:t>
      </w:r>
      <w:r>
        <w:rPr>
          <w:rFonts w:hint="eastAsia"/>
        </w:rPr>
        <w:t>段，我们曾论述当时为确保能适当评估大型发展计划对环境的影响而采取的措施。该段所提及的法律架构，已随《环境影响评估条例》</w:t>
      </w:r>
      <w:r>
        <w:t>(</w:t>
      </w:r>
      <w:r>
        <w:rPr>
          <w:rFonts w:hint="eastAsia"/>
        </w:rPr>
        <w:t>第</w:t>
      </w:r>
      <w:r>
        <w:t>499</w:t>
      </w:r>
      <w:r>
        <w:rPr>
          <w:rFonts w:hint="eastAsia"/>
        </w:rPr>
        <w:t>章</w:t>
      </w:r>
      <w:r>
        <w:t>)</w:t>
      </w:r>
      <w:r>
        <w:rPr>
          <w:rFonts w:hint="eastAsia"/>
        </w:rPr>
        <w:t>于一九九八年四月施行而生效。现时，任何人如建造或营办该条例所列明的指定工程项目或解除该条例所列明的指定工程项目的运作，而没有该项工程项目的环境许可证，或违反该许可证所列出的条件</w:t>
      </w:r>
      <w:r>
        <w:t>(</w:t>
      </w:r>
      <w:r>
        <w:rPr>
          <w:rFonts w:hint="eastAsia"/>
        </w:rPr>
        <w:t>如有的话</w:t>
      </w:r>
      <w:r>
        <w:t>)</w:t>
      </w:r>
      <w:r>
        <w:rPr>
          <w:rFonts w:hint="eastAsia"/>
        </w:rPr>
        <w:t>，即属违法。申请人必须向环境保护署署长提交工程项目简介。环境保护署署长会要求申请人拟备环境影响评估报告，或批准他们直接申请环境许可证。申请人按条例拟备的工程项目简介和环境影响评估报告，必须让公众可以查阅和作出评论。政府在发出环境影响评估研究概要和审批环境影响评估报告前，须考虑公众所作出的评论。为方便公众查阅，《环境影响评估条例》登记册办事处备有各工程项目简介、环境影响评估研究概要、已审批的环境影响评估报告和已发出的环境许可证，而在公众查阅期内，互联网上也登载了这些资料。</w:t>
      </w:r>
    </w:p>
    <w:p w:rsidR="00000000" w:rsidRDefault="00000000">
      <w:pPr>
        <w:pStyle w:val="Heading4"/>
        <w:spacing w:before="320"/>
      </w:pPr>
      <w:r>
        <w:rPr>
          <w:rFonts w:hint="eastAsia"/>
        </w:rPr>
        <w:t>职业健康</w:t>
      </w:r>
    </w:p>
    <w:p w:rsidR="00000000" w:rsidRDefault="00000000">
      <w:r>
        <w:tab/>
        <w:t xml:space="preserve">492.  </w:t>
      </w:r>
      <w:r>
        <w:rPr>
          <w:rFonts w:hint="eastAsia"/>
        </w:rPr>
        <w:t>这事项在上文第七条下第</w:t>
      </w:r>
      <w:r>
        <w:t>102</w:t>
      </w:r>
      <w:r>
        <w:rPr>
          <w:rFonts w:hint="eastAsia"/>
        </w:rPr>
        <w:t>至</w:t>
      </w:r>
      <w:r>
        <w:t>111</w:t>
      </w:r>
      <w:r>
        <w:rPr>
          <w:rFonts w:hint="eastAsia"/>
        </w:rPr>
        <w:t>段论述。</w:t>
      </w:r>
    </w:p>
    <w:p w:rsidR="00000000" w:rsidRDefault="00000000">
      <w:pPr>
        <w:pStyle w:val="Heading4"/>
        <w:spacing w:before="320"/>
        <w:ind w:left="518"/>
      </w:pPr>
      <w:r>
        <w:rPr>
          <w:rFonts w:hint="eastAsia"/>
        </w:rPr>
        <w:t>劳工处的职业安全及健康服务</w:t>
      </w:r>
    </w:p>
    <w:p w:rsidR="00000000" w:rsidRDefault="00000000">
      <w:r>
        <w:tab/>
        <w:t xml:space="preserve">493.  </w:t>
      </w:r>
      <w:r>
        <w:rPr>
          <w:rFonts w:hint="eastAsia"/>
        </w:rPr>
        <w:t>如上次报告第</w:t>
      </w:r>
      <w:r>
        <w:t>317</w:t>
      </w:r>
      <w:r>
        <w:rPr>
          <w:rFonts w:hint="eastAsia"/>
        </w:rPr>
        <w:t>段所述，职业健康服务致力维持及促进工人的身心健康，并继续采取上次报告所述的措施，以达成目标。有关措施包括：</w:t>
      </w:r>
    </w:p>
    <w:p w:rsidR="00000000" w:rsidRDefault="00000000">
      <w:pPr>
        <w:ind w:left="1036"/>
      </w:pPr>
      <w:r>
        <w:tab/>
      </w:r>
      <w:r>
        <w:rPr>
          <w:rFonts w:hint="eastAsia"/>
        </w:rPr>
        <w:t>协助雇主采取预防和安全措施，以保障工人不会因工作所涉及的危险而使健康受损；</w:t>
      </w:r>
    </w:p>
    <w:p w:rsidR="00000000" w:rsidRDefault="00000000">
      <w:pPr>
        <w:ind w:left="1036"/>
      </w:pPr>
      <w:r>
        <w:tab/>
      </w:r>
      <w:r>
        <w:rPr>
          <w:rFonts w:hint="eastAsia"/>
        </w:rPr>
        <w:t>实地为雇主和雇员举办健康讲座，并举办展览及研讨会，编制有关预防职业病的小册子和工作守则；</w:t>
      </w:r>
    </w:p>
    <w:p w:rsidR="00000000" w:rsidRDefault="00000000">
      <w:pPr>
        <w:ind w:left="1036"/>
      </w:pPr>
      <w:r>
        <w:tab/>
      </w:r>
      <w:r>
        <w:rPr>
          <w:rFonts w:hint="eastAsia"/>
        </w:rPr>
        <w:t>负责找出、评估和控制工作环境中所存在的各种危险，包括工作场所本身、化学上和生物学上的危险，以减少工人所受的威胁；及</w:t>
      </w:r>
    </w:p>
    <w:p w:rsidR="00000000" w:rsidRDefault="00000000">
      <w:pPr>
        <w:ind w:left="1036"/>
      </w:pPr>
      <w:r>
        <w:tab/>
      </w:r>
      <w:r>
        <w:rPr>
          <w:rFonts w:hint="eastAsia"/>
        </w:rPr>
        <w:t>为若干类别人士提供体格检验，包括在工作上须接触辐射的人士，以及因职业需要而有机会接触有害健康物品的政府雇员，例如须接触压缩空气、杀虫剂、石棉和须使用空气呼吸器具的雇员。</w:t>
      </w:r>
    </w:p>
    <w:p w:rsidR="00000000" w:rsidRDefault="00000000">
      <w:r>
        <w:tab/>
        <w:t xml:space="preserve">494.  </w:t>
      </w:r>
      <w:r>
        <w:rPr>
          <w:rFonts w:hint="eastAsia"/>
        </w:rPr>
        <w:t>附件</w:t>
      </w:r>
      <w:r>
        <w:t>25</w:t>
      </w:r>
      <w:r>
        <w:rPr>
          <w:rFonts w:hint="eastAsia"/>
        </w:rPr>
        <w:t>载有一九九四年至一九九八年六月期内的职业疾病统计数字。</w:t>
      </w:r>
    </w:p>
    <w:p w:rsidR="00000000" w:rsidRDefault="00000000">
      <w:pPr>
        <w:pStyle w:val="Heading4"/>
        <w:spacing w:before="320"/>
        <w:ind w:left="518"/>
      </w:pPr>
      <w:r>
        <w:rPr>
          <w:rFonts w:hint="eastAsia"/>
        </w:rPr>
        <w:t>职业健康诊所</w:t>
      </w:r>
    </w:p>
    <w:p w:rsidR="00000000" w:rsidRDefault="00000000">
      <w:r>
        <w:tab/>
        <w:t xml:space="preserve">495.  </w:t>
      </w:r>
      <w:r>
        <w:rPr>
          <w:rFonts w:hint="eastAsia"/>
        </w:rPr>
        <w:t>在上次报告第</w:t>
      </w:r>
      <w:r>
        <w:t>320</w:t>
      </w:r>
      <w:r>
        <w:rPr>
          <w:rFonts w:hint="eastAsia"/>
        </w:rPr>
        <w:t>段，我们曾提及劳工处开办了一间试验性质的职业健康诊所，提供职业健康和基层健康综合护理服务。该项试验计划十分成功，服务需求有所增加。由于预计需求会进一步增加，故劳工处将于一九九八至九九年度开设第二个同类诊所。与第一个诊所一样，第二个诊所亦会为工人提供职业疾病调查、预防及控制职业危险咨询、健康教育、辅导，以及职业疾病治疗等服务。</w:t>
      </w:r>
    </w:p>
    <w:p w:rsidR="00000000" w:rsidRDefault="00000000">
      <w:pPr>
        <w:pStyle w:val="Heading4"/>
        <w:spacing w:before="320"/>
        <w:ind w:left="518"/>
      </w:pPr>
      <w:r>
        <w:rPr>
          <w:rFonts w:hint="eastAsia"/>
        </w:rPr>
        <w:t>职业安全健康中心</w:t>
      </w:r>
    </w:p>
    <w:p w:rsidR="00000000" w:rsidRDefault="00000000">
      <w:r>
        <w:tab/>
        <w:t xml:space="preserve">496.  </w:t>
      </w:r>
      <w:r>
        <w:rPr>
          <w:rFonts w:hint="eastAsia"/>
        </w:rPr>
        <w:t>政府会于一九九九年年初，开设一个职业安全健康中心，以提高工人对工作场所安全和健康风险的认识，并就如何遵守相关法例提供指引。此外，该中心也为工人提供初步身体检查服务，并就如何保持健康给予意见。</w:t>
      </w:r>
    </w:p>
    <w:p w:rsidR="00000000" w:rsidRDefault="00000000">
      <w:pPr>
        <w:pStyle w:val="Heading3"/>
        <w:spacing w:before="320"/>
      </w:pPr>
      <w:r>
        <w:rPr>
          <w:rFonts w:hint="eastAsia"/>
        </w:rPr>
        <w:t>第十三条</w:t>
      </w:r>
      <w:r>
        <w:t xml:space="preserve">.  </w:t>
      </w:r>
      <w:r>
        <w:rPr>
          <w:rFonts w:hint="eastAsia"/>
        </w:rPr>
        <w:t>接受教育的权利</w:t>
      </w:r>
    </w:p>
    <w:p w:rsidR="00000000" w:rsidRDefault="00000000">
      <w:r>
        <w:tab/>
        <w:t xml:space="preserve">497.  </w:t>
      </w:r>
      <w:r>
        <w:rPr>
          <w:rFonts w:hint="eastAsia"/>
        </w:rPr>
        <w:t>《基本法》第一百三十六条订明，香港特区政府自行制定有关教育的发展和改进政策，包括教育体制和管理、教学语言、经费分配、考试制度、学位制度和承认学历等政策。第一百三十七条订明，各类院校均可保留其自主性并享有学术自由；而学生享有选择院校和在香港特区内外求学的自由。第一百四十四条则订明，香港特区政府保持原在香港实行的对包括教育在内等方面的民间团体机构的资助政策。</w:t>
      </w:r>
    </w:p>
    <w:p w:rsidR="00000000" w:rsidRDefault="00000000">
      <w:pPr>
        <w:pStyle w:val="Heading4"/>
        <w:spacing w:before="320"/>
      </w:pPr>
      <w:r>
        <w:rPr>
          <w:rFonts w:hint="eastAsia"/>
        </w:rPr>
        <w:t>接受教育的机会和教育程度</w:t>
      </w:r>
    </w:p>
    <w:p w:rsidR="00000000" w:rsidRDefault="00000000">
      <w:pPr>
        <w:pStyle w:val="Heading4"/>
        <w:ind w:left="518"/>
      </w:pPr>
      <w:r>
        <w:rPr>
          <w:rFonts w:hint="eastAsia"/>
        </w:rPr>
        <w:t>九年免费强迫</w:t>
      </w:r>
      <w:r>
        <w:t xml:space="preserve"> </w:t>
      </w:r>
      <w:r>
        <w:rPr>
          <w:rStyle w:val="FootnoteReference"/>
        </w:rPr>
        <w:footnoteReference w:id="100"/>
      </w:r>
      <w:r>
        <w:t xml:space="preserve"> </w:t>
      </w:r>
      <w:r>
        <w:rPr>
          <w:rFonts w:hint="eastAsia"/>
        </w:rPr>
        <w:t>教育</w:t>
      </w:r>
    </w:p>
    <w:p w:rsidR="00000000" w:rsidRDefault="00000000">
      <w:r>
        <w:tab/>
        <w:t xml:space="preserve">498.  </w:t>
      </w:r>
      <w:r>
        <w:rPr>
          <w:rFonts w:hint="eastAsia"/>
        </w:rPr>
        <w:t>如上次报告第</w:t>
      </w:r>
      <w:r>
        <w:t>321</w:t>
      </w:r>
      <w:r>
        <w:rPr>
          <w:rFonts w:hint="eastAsia"/>
        </w:rPr>
        <w:t>段所述，我们认为香港现行教育制度的法定架构和管理结构，均符合本条的规定。任何人在香港接受教育的机会，并不受种族、宗教、性别、年龄或语言所限制。政府于一九七一年开始推行六年免费小学教育，并于一九七八年把免费强迫教育推广至中学第三年级</w:t>
      </w:r>
      <w:r>
        <w:t>(</w:t>
      </w:r>
      <w:r>
        <w:rPr>
          <w:rFonts w:hint="eastAsia"/>
        </w:rPr>
        <w:t>“中三”</w:t>
      </w:r>
      <w:r>
        <w:t>)</w:t>
      </w:r>
      <w:r>
        <w:rPr>
          <w:rFonts w:hint="eastAsia"/>
        </w:rPr>
        <w:t>。《教育条例》</w:t>
      </w:r>
      <w:r>
        <w:t>(</w:t>
      </w:r>
      <w:r>
        <w:rPr>
          <w:rFonts w:hint="eastAsia"/>
        </w:rPr>
        <w:t>第</w:t>
      </w:r>
      <w:r>
        <w:t>279</w:t>
      </w:r>
      <w:r>
        <w:rPr>
          <w:rFonts w:hint="eastAsia"/>
        </w:rPr>
        <w:t>章</w:t>
      </w:r>
      <w:r>
        <w:t>)</w:t>
      </w:r>
      <w:r>
        <w:rPr>
          <w:rFonts w:hint="eastAsia"/>
        </w:rPr>
        <w:t>订明，教育署署长有权命令无合理辩解而不就学的儿童就学。</w:t>
      </w:r>
    </w:p>
    <w:p w:rsidR="00000000" w:rsidRDefault="00000000">
      <w:pPr>
        <w:pStyle w:val="Heading4"/>
        <w:spacing w:before="320"/>
        <w:ind w:left="518"/>
      </w:pPr>
      <w:r>
        <w:rPr>
          <w:rFonts w:hint="eastAsia"/>
        </w:rPr>
        <w:t>高中教育、工业教育和大专教育</w:t>
      </w:r>
    </w:p>
    <w:p w:rsidR="00000000" w:rsidRDefault="00000000">
      <w:r>
        <w:tab/>
        <w:t xml:space="preserve">499.  </w:t>
      </w:r>
      <w:r>
        <w:rPr>
          <w:rFonts w:hint="eastAsia"/>
        </w:rPr>
        <w:t>中三以后，政府为</w:t>
      </w:r>
      <w:r>
        <w:t>15</w:t>
      </w:r>
      <w:r>
        <w:rPr>
          <w:rFonts w:hint="eastAsia"/>
        </w:rPr>
        <w:t>至</w:t>
      </w:r>
      <w:r>
        <w:t>17</w:t>
      </w:r>
      <w:r>
        <w:rPr>
          <w:rFonts w:hint="eastAsia"/>
        </w:rPr>
        <w:t>岁人口中的</w:t>
      </w:r>
      <w:r>
        <w:t>85%</w:t>
      </w:r>
      <w:r>
        <w:rPr>
          <w:rFonts w:hint="eastAsia"/>
        </w:rPr>
        <w:t>提供中四和中五津贴学额。这两年级的学生，一般会准备应付香港中学会考。此外，政府也为</w:t>
      </w:r>
      <w:r>
        <w:t>15</w:t>
      </w:r>
      <w:r>
        <w:rPr>
          <w:rFonts w:hint="eastAsia"/>
        </w:rPr>
        <w:t>至</w:t>
      </w:r>
      <w:r>
        <w:t>17</w:t>
      </w:r>
      <w:r>
        <w:rPr>
          <w:rFonts w:hint="eastAsia"/>
        </w:rPr>
        <w:t>岁人口中的另外</w:t>
      </w:r>
      <w:r>
        <w:t>10%</w:t>
      </w:r>
      <w:r>
        <w:rPr>
          <w:rFonts w:hint="eastAsia"/>
        </w:rPr>
        <w:t>提供工业学院技术课程学额，让他们完成中三课程后修读。</w:t>
      </w:r>
    </w:p>
    <w:p w:rsidR="00000000" w:rsidRDefault="00000000">
      <w:pPr>
        <w:tabs>
          <w:tab w:val="left" w:pos="510"/>
          <w:tab w:val="left" w:pos="1021"/>
          <w:tab w:val="left" w:pos="1531"/>
          <w:tab w:val="left" w:pos="2041"/>
        </w:tabs>
        <w:spacing w:after="320"/>
        <w:textAlignment w:val="center"/>
      </w:pPr>
      <w:r>
        <w:tab/>
        <w:t xml:space="preserve">500.  </w:t>
      </w:r>
      <w:r>
        <w:rPr>
          <w:rFonts w:hint="eastAsia"/>
        </w:rPr>
        <w:t>年龄介乎</w:t>
      </w:r>
      <w:r>
        <w:t>17</w:t>
      </w:r>
      <w:r>
        <w:rPr>
          <w:rFonts w:hint="eastAsia"/>
        </w:rPr>
        <w:t>至</w:t>
      </w:r>
      <w:r>
        <w:t>19</w:t>
      </w:r>
      <w:r>
        <w:rPr>
          <w:rFonts w:hint="eastAsia"/>
        </w:rPr>
        <w:t>岁的学生，在完成中六和中七课程后，可参加高级程度会考，即学士学位课程的大学入学试。而中六和中七的津贴学额，相当于中四和中五津贴学额的三分之一。此外，我们也在工业学院和科技学院提供技工</w:t>
      </w:r>
      <w:r>
        <w:t>/</w:t>
      </w:r>
      <w:r>
        <w:rPr>
          <w:rFonts w:hint="eastAsia"/>
        </w:rPr>
        <w:t>技术课程，让完成中五课程的学生修读，人数约占</w:t>
      </w:r>
      <w:r>
        <w:t>17</w:t>
      </w:r>
      <w:r>
        <w:rPr>
          <w:rFonts w:hint="eastAsia"/>
        </w:rPr>
        <w:t>至</w:t>
      </w:r>
      <w:r>
        <w:t>19</w:t>
      </w:r>
      <w:r>
        <w:rPr>
          <w:rFonts w:hint="eastAsia"/>
        </w:rPr>
        <w:t>岁人口的</w:t>
      </w:r>
      <w:r>
        <w:t>10%</w:t>
      </w:r>
      <w:r>
        <w:rPr>
          <w:rFonts w:hint="eastAsia"/>
        </w:rPr>
        <w:t>。</w:t>
      </w:r>
    </w:p>
    <w:p w:rsidR="00000000" w:rsidRDefault="00000000">
      <w:pPr>
        <w:pStyle w:val="Heading4"/>
      </w:pPr>
      <w:r>
        <w:rPr>
          <w:rFonts w:hint="eastAsia"/>
        </w:rPr>
        <w:t>私立学校</w:t>
      </w:r>
    </w:p>
    <w:p w:rsidR="00000000" w:rsidRDefault="00000000">
      <w:r>
        <w:tab/>
        <w:t xml:space="preserve">501.  </w:t>
      </w:r>
      <w:r>
        <w:rPr>
          <w:rFonts w:hint="eastAsia"/>
        </w:rPr>
        <w:t>如上次报告第</w:t>
      </w:r>
      <w:r>
        <w:t>366</w:t>
      </w:r>
      <w:r>
        <w:rPr>
          <w:rFonts w:hint="eastAsia"/>
        </w:rPr>
        <w:t>至</w:t>
      </w:r>
      <w:r>
        <w:t>368</w:t>
      </w:r>
      <w:r>
        <w:rPr>
          <w:rFonts w:hint="eastAsia"/>
        </w:rPr>
        <w:t>段所述，香港的学前教育主要由私立学校提供。至于小学及以上程度的教育方面，私立学校也为家长提供了主流学校以外的另类选择。有关私立学校的统计数字载于附件</w:t>
      </w:r>
      <w:r>
        <w:t>26</w:t>
      </w:r>
      <w:r>
        <w:rPr>
          <w:rFonts w:hint="eastAsia"/>
        </w:rPr>
        <w:t>。</w:t>
      </w:r>
    </w:p>
    <w:p w:rsidR="00000000" w:rsidRDefault="00000000">
      <w:r>
        <w:tab/>
        <w:t xml:space="preserve">502.  </w:t>
      </w:r>
      <w:r>
        <w:rPr>
          <w:rFonts w:hint="eastAsia"/>
        </w:rPr>
        <w:t>《教育条例》是监管香港所有学校的法例。根据《教育条例》，私立学校必须向政府注册。学校必须符合条例关于校舍用途和安全的规定，并有适合管理学校和任教的教职员，才可获得注册。</w:t>
      </w:r>
    </w:p>
    <w:p w:rsidR="00000000" w:rsidRDefault="00000000">
      <w:pPr>
        <w:spacing w:after="320"/>
        <w:textAlignment w:val="center"/>
      </w:pPr>
      <w:r>
        <w:tab/>
        <w:t xml:space="preserve">503.  </w:t>
      </w:r>
      <w:r>
        <w:rPr>
          <w:rFonts w:hint="eastAsia"/>
        </w:rPr>
        <w:t>一九九一年，政府推出“直接资助计划”，以鼓励学校提供主流教育以外的课程，让家长享有更大的选择自由。根据计划，政府资助合资格中学的每个受助学额，金额按学费而定，由学费成本的</w:t>
      </w:r>
      <w:r>
        <w:t>25%</w:t>
      </w:r>
      <w:r>
        <w:rPr>
          <w:rFonts w:hint="eastAsia"/>
        </w:rPr>
        <w:t>至</w:t>
      </w:r>
      <w:r>
        <w:t>100%</w:t>
      </w:r>
      <w:r>
        <w:rPr>
          <w:rFonts w:hint="eastAsia"/>
        </w:rPr>
        <w:t>不等。受资助学校可在不违反基本教育水平的条件下，自行制定课程、厘定学费和入学条件。</w:t>
      </w:r>
    </w:p>
    <w:p w:rsidR="00000000" w:rsidRDefault="00000000">
      <w:pPr>
        <w:pStyle w:val="Heading4"/>
      </w:pPr>
      <w:r>
        <w:rPr>
          <w:u w:val="none"/>
        </w:rPr>
        <w:tab/>
      </w:r>
      <w:r>
        <w:rPr>
          <w:rFonts w:hint="eastAsia"/>
        </w:rPr>
        <w:t>为清贫学生提供财政资助</w:t>
      </w:r>
    </w:p>
    <w:p w:rsidR="00000000" w:rsidRDefault="00000000">
      <w:r>
        <w:tab/>
        <w:t xml:space="preserve">504.  </w:t>
      </w:r>
      <w:r>
        <w:rPr>
          <w:rFonts w:hint="eastAsia"/>
        </w:rPr>
        <w:t>政府的基本政策，是学生不应因经济困难而丧失接受教育的机会。为了贯彻这项政策，政府提供了多项资助计划，包括：</w:t>
      </w:r>
    </w:p>
    <w:p w:rsidR="00000000" w:rsidRDefault="00000000">
      <w:pPr>
        <w:pStyle w:val="a0"/>
        <w:numPr>
          <w:ilvl w:val="0"/>
          <w:numId w:val="77"/>
        </w:numPr>
        <w:ind w:left="1531" w:hanging="510"/>
      </w:pPr>
      <w:r>
        <w:rPr>
          <w:rFonts w:ascii="Univers (WN)" w:hAnsi="Univers (WN)" w:hint="eastAsia"/>
          <w:kern w:val="0"/>
          <w:u w:val="single"/>
        </w:rPr>
        <w:t>学生车船津贴</w:t>
      </w:r>
      <w:r>
        <w:rPr>
          <w:rFonts w:ascii="Univers (WN)" w:hAnsi="Univers (WN)" w:hint="eastAsia"/>
          <w:kern w:val="0"/>
        </w:rPr>
        <w:t>：</w:t>
      </w:r>
      <w:r>
        <w:rPr>
          <w:rFonts w:hint="eastAsia"/>
        </w:rPr>
        <w:t>凡年龄介乎</w:t>
      </w:r>
      <w:r>
        <w:t>12</w:t>
      </w:r>
      <w:r>
        <w:rPr>
          <w:rFonts w:hint="eastAsia"/>
        </w:rPr>
        <w:t>至</w:t>
      </w:r>
      <w:r>
        <w:t>24</w:t>
      </w:r>
      <w:r>
        <w:rPr>
          <w:rFonts w:hint="eastAsia"/>
        </w:rPr>
        <w:t>岁，正修读中小学至学士学位课程的全日制学生，如有需要，可申请津贴，以支付与求学有关的交通开支。由一九九八至九九学年开始，这项计划将推广至</w:t>
      </w:r>
      <w:r>
        <w:t>25</w:t>
      </w:r>
      <w:r>
        <w:rPr>
          <w:rFonts w:hint="eastAsia"/>
        </w:rPr>
        <w:t>岁或以上，并在攻读全日制学士学位课程的学生；及</w:t>
      </w:r>
    </w:p>
    <w:p w:rsidR="00000000" w:rsidRDefault="00000000">
      <w:pPr>
        <w:pStyle w:val="a0"/>
        <w:numPr>
          <w:ilvl w:val="0"/>
          <w:numId w:val="77"/>
        </w:numPr>
        <w:ind w:left="1531" w:hanging="510"/>
      </w:pPr>
      <w:r>
        <w:rPr>
          <w:rFonts w:hint="eastAsia"/>
          <w:u w:val="single"/>
        </w:rPr>
        <w:t>学校书簿津贴</w:t>
      </w:r>
      <w:r>
        <w:rPr>
          <w:rFonts w:hint="eastAsia"/>
        </w:rPr>
        <w:t>：这项津贴是为就读于官立及资助学校的清贫学生而设，供他们购买主要课本和文具。</w:t>
      </w:r>
    </w:p>
    <w:p w:rsidR="00000000" w:rsidRDefault="00000000">
      <w:pPr>
        <w:spacing w:after="320"/>
        <w:textAlignment w:val="center"/>
      </w:pPr>
      <w:r>
        <w:rPr>
          <w:rFonts w:hint="eastAsia"/>
        </w:rPr>
        <w:t>以上是政府为各级有需要的学生所提供的资助。至于专为中学和大专学生而设的资助计划，则分别于下文第</w:t>
      </w:r>
      <w:r>
        <w:t>511</w:t>
      </w:r>
      <w:r>
        <w:rPr>
          <w:rFonts w:hint="eastAsia"/>
        </w:rPr>
        <w:t>及第</w:t>
      </w:r>
      <w:r>
        <w:t>532</w:t>
      </w:r>
      <w:r>
        <w:rPr>
          <w:rFonts w:hint="eastAsia"/>
        </w:rPr>
        <w:t>段论述。</w:t>
      </w:r>
    </w:p>
    <w:p w:rsidR="00000000" w:rsidRDefault="00000000">
      <w:pPr>
        <w:pStyle w:val="Heading4"/>
        <w:rPr>
          <w:rFonts w:ascii="SimSun"/>
        </w:rPr>
      </w:pPr>
      <w:r>
        <w:rPr>
          <w:rFonts w:ascii="SimSun" w:hint="eastAsia"/>
        </w:rPr>
        <w:t>以本地生产总值百分比计算的教育开支</w:t>
      </w:r>
    </w:p>
    <w:p w:rsidR="00000000" w:rsidRDefault="00000000">
      <w:pPr>
        <w:spacing w:after="320"/>
        <w:textAlignment w:val="center"/>
      </w:pPr>
      <w:r>
        <w:tab/>
        <w:t xml:space="preserve">505.  </w:t>
      </w:r>
      <w:r>
        <w:rPr>
          <w:rFonts w:hint="eastAsia"/>
        </w:rPr>
        <w:t>一九九八至九九年度，政府在教育方面的开支总额为</w:t>
      </w:r>
      <w:r>
        <w:t>420</w:t>
      </w:r>
      <w:r>
        <w:rPr>
          <w:rFonts w:hint="eastAsia"/>
        </w:rPr>
        <w:t>亿港元，占本地生产总值的</w:t>
      </w:r>
      <w:r>
        <w:t>3.53%</w:t>
      </w:r>
      <w:r>
        <w:rPr>
          <w:rFonts w:hint="eastAsia"/>
        </w:rPr>
        <w:t>。一九九三年的相应数字为</w:t>
      </w:r>
      <w:r>
        <w:t>253.65</w:t>
      </w:r>
      <w:r>
        <w:rPr>
          <w:rFonts w:hint="eastAsia"/>
        </w:rPr>
        <w:t>亿港元</w:t>
      </w:r>
      <w:r>
        <w:t>(</w:t>
      </w:r>
      <w:r>
        <w:rPr>
          <w:rFonts w:hint="eastAsia"/>
        </w:rPr>
        <w:t>占本地生产总值的</w:t>
      </w:r>
      <w:r>
        <w:t>2.99%)</w:t>
      </w:r>
      <w:r>
        <w:rPr>
          <w:rFonts w:hint="eastAsia"/>
        </w:rPr>
        <w:t>，而一九八八年则为</w:t>
      </w:r>
      <w:r>
        <w:t>112.66</w:t>
      </w:r>
      <w:r>
        <w:rPr>
          <w:rFonts w:hint="eastAsia"/>
        </w:rPr>
        <w:t>亿港元</w:t>
      </w:r>
      <w:r>
        <w:t>(</w:t>
      </w:r>
      <w:r>
        <w:rPr>
          <w:rFonts w:hint="eastAsia"/>
        </w:rPr>
        <w:t>占本地生产总值的</w:t>
      </w:r>
      <w:r>
        <w:t>2.81%)</w:t>
      </w:r>
      <w:r>
        <w:rPr>
          <w:rFonts w:hint="eastAsia"/>
        </w:rPr>
        <w:t>。在政府的教育预算中，约有三分之一开支</w:t>
      </w:r>
      <w:r>
        <w:t>(</w:t>
      </w:r>
      <w:r>
        <w:rPr>
          <w:rFonts w:hint="eastAsia"/>
        </w:rPr>
        <w:t>即</w:t>
      </w:r>
      <w:r>
        <w:t>140</w:t>
      </w:r>
      <w:r>
        <w:rPr>
          <w:rFonts w:hint="eastAsia"/>
        </w:rPr>
        <w:t>亿港元</w:t>
      </w:r>
      <w:r>
        <w:t>)</w:t>
      </w:r>
      <w:r>
        <w:rPr>
          <w:rFonts w:hint="eastAsia"/>
        </w:rPr>
        <w:t>用于大专教育。</w:t>
      </w:r>
    </w:p>
    <w:p w:rsidR="00000000" w:rsidRDefault="00000000">
      <w:pPr>
        <w:pStyle w:val="Heading4"/>
        <w:rPr>
          <w:rFonts w:ascii="SimSun"/>
        </w:rPr>
      </w:pPr>
      <w:r>
        <w:rPr>
          <w:rFonts w:ascii="SimSun" w:hint="eastAsia"/>
        </w:rPr>
        <w:t>教育程度概况</w:t>
      </w:r>
    </w:p>
    <w:p w:rsidR="00000000" w:rsidRDefault="00000000">
      <w:pPr>
        <w:spacing w:after="320"/>
        <w:textAlignment w:val="center"/>
      </w:pPr>
      <w:r>
        <w:tab/>
        <w:t xml:space="preserve">506.  </w:t>
      </w:r>
      <w:r>
        <w:rPr>
          <w:rFonts w:hint="eastAsia"/>
        </w:rPr>
        <w:t>香港居民的教育程度指标载于附件</w:t>
      </w:r>
      <w:r>
        <w:t>27</w:t>
      </w:r>
      <w:r>
        <w:rPr>
          <w:rFonts w:hint="eastAsia"/>
        </w:rPr>
        <w:t>。</w:t>
      </w:r>
    </w:p>
    <w:p w:rsidR="00000000" w:rsidRDefault="00000000">
      <w:pPr>
        <w:pStyle w:val="Heading4"/>
        <w:rPr>
          <w:rFonts w:ascii="SimSun"/>
        </w:rPr>
      </w:pPr>
      <w:r>
        <w:rPr>
          <w:rFonts w:ascii="SimSun" w:hint="eastAsia"/>
        </w:rPr>
        <w:t>学前教育</w:t>
      </w:r>
    </w:p>
    <w:p w:rsidR="00000000" w:rsidRDefault="00000000">
      <w:pPr>
        <w:spacing w:after="320"/>
        <w:textAlignment w:val="center"/>
      </w:pPr>
      <w:r>
        <w:tab/>
        <w:t xml:space="preserve">507.  </w:t>
      </w:r>
      <w:r>
        <w:rPr>
          <w:rFonts w:hint="eastAsia"/>
        </w:rPr>
        <w:t>政府并无强迫家长让子女接受学前教育，但大部分家长都认为，学前教育是子女入读小学的重要一步。现时，在三至五岁的儿童当中，约有</w:t>
      </w:r>
      <w:r>
        <w:t>76%</w:t>
      </w:r>
      <w:r>
        <w:rPr>
          <w:rFonts w:hint="eastAsia"/>
        </w:rPr>
        <w:t>在私立幼稚园就读。政府认为，学前教育主要是家长的个人选择，因此没有为这阶段的教育提供全面资助。然而，政府关注到，幼稚园也应该提供优质的教育服务，聘用合资格教师在合适的校舍内任教。为确保有优质的幼稚园教育，政府为幼稚园提供了各种形式的资助，包括：发还租金及差饷；在公共屋村兴建幼稚园专设校舍；为有经济困难的家长减免其子女学费</w:t>
      </w:r>
      <w:r>
        <w:t xml:space="preserve"> </w:t>
      </w:r>
      <w:r>
        <w:rPr>
          <w:rStyle w:val="FootnoteReference"/>
        </w:rPr>
        <w:footnoteReference w:id="101"/>
      </w:r>
      <w:r>
        <w:t xml:space="preserve"> </w:t>
      </w:r>
      <w:r>
        <w:rPr>
          <w:rFonts w:hint="eastAsia"/>
        </w:rPr>
        <w:t>；以及资助幼稚园聘请更多合资格教师</w:t>
      </w:r>
      <w:r>
        <w:t xml:space="preserve"> </w:t>
      </w:r>
      <w:r>
        <w:rPr>
          <w:rStyle w:val="FootnoteReference"/>
        </w:rPr>
        <w:footnoteReference w:id="102"/>
      </w:r>
      <w:r>
        <w:t xml:space="preserve"> </w:t>
      </w:r>
      <w:r>
        <w:rPr>
          <w:rFonts w:hint="eastAsia"/>
        </w:rPr>
        <w:t>。</w:t>
      </w:r>
    </w:p>
    <w:p w:rsidR="00000000" w:rsidRDefault="00000000">
      <w:pPr>
        <w:pStyle w:val="Heading4"/>
        <w:rPr>
          <w:rFonts w:ascii="SimSun"/>
        </w:rPr>
      </w:pPr>
      <w:r>
        <w:rPr>
          <w:rFonts w:ascii="SimSun" w:hint="eastAsia"/>
        </w:rPr>
        <w:t>中小学教育</w:t>
      </w:r>
    </w:p>
    <w:p w:rsidR="00000000" w:rsidRDefault="00000000">
      <w:pPr>
        <w:pStyle w:val="Heading4"/>
      </w:pPr>
      <w:r>
        <w:rPr>
          <w:u w:val="none"/>
        </w:rPr>
        <w:tab/>
      </w:r>
      <w:r>
        <w:rPr>
          <w:rFonts w:hint="eastAsia"/>
        </w:rPr>
        <w:t>浮动班</w:t>
      </w:r>
    </w:p>
    <w:p w:rsidR="00000000" w:rsidRDefault="00000000">
      <w:pPr>
        <w:spacing w:after="320"/>
        <w:textAlignment w:val="center"/>
      </w:pPr>
      <w:r>
        <w:tab/>
        <w:t xml:space="preserve">508.  </w:t>
      </w:r>
      <w:r>
        <w:rPr>
          <w:rFonts w:hint="eastAsia"/>
        </w:rPr>
        <w:t>如上次报告第</w:t>
      </w:r>
      <w:r>
        <w:t>381</w:t>
      </w:r>
      <w:r>
        <w:rPr>
          <w:rFonts w:hint="eastAsia"/>
        </w:rPr>
        <w:t>至</w:t>
      </w:r>
      <w:r>
        <w:t>384</w:t>
      </w:r>
      <w:r>
        <w:rPr>
          <w:rFonts w:hint="eastAsia"/>
        </w:rPr>
        <w:t>段所述，香港的中学校舍均采用标准设计，可容纳</w:t>
      </w:r>
      <w:r>
        <w:t>24</w:t>
      </w:r>
      <w:r>
        <w:rPr>
          <w:rFonts w:hint="eastAsia"/>
        </w:rPr>
        <w:t>班。就大部分学校来说，其班数与课室数目相同，每班均有固定的课室让学生存放书本和用具。不过，因个别地区的人口关系，有些学校超过</w:t>
      </w:r>
      <w:r>
        <w:t>24</w:t>
      </w:r>
      <w:r>
        <w:rPr>
          <w:rFonts w:hint="eastAsia"/>
        </w:rPr>
        <w:t>班。多出的班级没有固定课室，因此须在语言实习室和科学实验室等特别课室上课，而学生也必须将课本和用具存放在贮物柜内。由于学生在上课日经常转换课室，所以这类班级称为“浮动班”，这种安排则称为“浮动班制”。香港大部分教育工作者都认为浮动班制并不理想。现时，我们预计可于二</w:t>
      </w:r>
      <w:r>
        <w:rPr>
          <w:rFonts w:hint="eastAsia"/>
          <w:sz w:val="32"/>
        </w:rPr>
        <w:t>○○○</w:t>
      </w:r>
      <w:r>
        <w:rPr>
          <w:rFonts w:hint="eastAsia"/>
        </w:rPr>
        <w:t>至二</w:t>
      </w:r>
      <w:r>
        <w:rPr>
          <w:rFonts w:hint="eastAsia"/>
          <w:sz w:val="32"/>
        </w:rPr>
        <w:t>○○</w:t>
      </w:r>
      <w:r>
        <w:rPr>
          <w:rFonts w:hint="eastAsia"/>
        </w:rPr>
        <w:t>一学年前，取消所有中一至中五的浮动班。</w:t>
      </w:r>
    </w:p>
    <w:p w:rsidR="00000000" w:rsidRDefault="00000000">
      <w:pPr>
        <w:pStyle w:val="Heading4"/>
      </w:pPr>
      <w:r>
        <w:rPr>
          <w:u w:val="none"/>
        </w:rPr>
        <w:tab/>
      </w:r>
      <w:r>
        <w:rPr>
          <w:rFonts w:hint="eastAsia"/>
        </w:rPr>
        <w:t>小学全日制</w:t>
      </w:r>
    </w:p>
    <w:p w:rsidR="00000000" w:rsidRDefault="00000000">
      <w:r>
        <w:tab/>
        <w:t xml:space="preserve">509.  </w:t>
      </w:r>
      <w:r>
        <w:rPr>
          <w:rFonts w:hint="eastAsia"/>
        </w:rPr>
        <w:t>如上次报告第</w:t>
      </w:r>
      <w:r>
        <w:t>370</w:t>
      </w:r>
      <w:r>
        <w:rPr>
          <w:rFonts w:hint="eastAsia"/>
        </w:rPr>
        <w:t>段所述，所谓“上下午班”</w:t>
      </w:r>
      <w:r>
        <w:t>(</w:t>
      </w:r>
      <w:r>
        <w:rPr>
          <w:rFonts w:hint="eastAsia"/>
        </w:rPr>
        <w:t>或“半日”</w:t>
      </w:r>
      <w:r>
        <w:t>)</w:t>
      </w:r>
      <w:r>
        <w:rPr>
          <w:rFonts w:hint="eastAsia"/>
        </w:rPr>
        <w:t>学制，其实是由两间学校共用一所校舍，由两批学生分别在上下午使用。这情况在小学尤为普遍。然而，大部分教育工作者都认为，全日制在教学效果方面较为可取，而政府一直以来也赞同这个观点。</w:t>
      </w:r>
    </w:p>
    <w:p w:rsidR="00000000" w:rsidRDefault="00000000">
      <w:pPr>
        <w:spacing w:after="320"/>
        <w:textAlignment w:val="center"/>
      </w:pPr>
      <w:r>
        <w:tab/>
        <w:t xml:space="preserve">510.  </w:t>
      </w:r>
      <w:r>
        <w:rPr>
          <w:rFonts w:hint="eastAsia"/>
        </w:rPr>
        <w:t>自一九九三年九月开始，政府政策已规定，所有新办小学都应该采用全日制。此外，如果区内学额的供求情况许可，政府也鼓励现行半日制学校改为全日制。一九九七年，我们宣布打算加速学校改制事宜，以便由二</w:t>
      </w:r>
      <w:r>
        <w:rPr>
          <w:rFonts w:hint="eastAsia"/>
          <w:sz w:val="32"/>
        </w:rPr>
        <w:t>○○</w:t>
      </w:r>
      <w:r>
        <w:rPr>
          <w:rFonts w:hint="eastAsia"/>
        </w:rPr>
        <w:t>二至</w:t>
      </w:r>
      <w:r>
        <w:rPr>
          <w:rFonts w:hint="eastAsia"/>
          <w:sz w:val="32"/>
        </w:rPr>
        <w:t>○</w:t>
      </w:r>
      <w:r>
        <w:rPr>
          <w:rFonts w:hint="eastAsia"/>
        </w:rPr>
        <w:t>三学年开始，全港</w:t>
      </w:r>
      <w:r>
        <w:t>60%</w:t>
      </w:r>
      <w:r>
        <w:rPr>
          <w:rFonts w:hint="eastAsia"/>
        </w:rPr>
        <w:t>小学学额均以全日制形式授课。</w:t>
      </w:r>
      <w:r>
        <w:rPr>
          <w:rFonts w:hint="eastAsia"/>
        </w:rPr>
        <w:t xml:space="preserve"> </w:t>
      </w:r>
      <w:r>
        <w:rPr>
          <w:rFonts w:hint="eastAsia"/>
        </w:rPr>
        <w:t>事实上，</w:t>
      </w:r>
      <w:r>
        <w:rPr>
          <w:rFonts w:hint="eastAsia"/>
        </w:rPr>
        <w:t xml:space="preserve"> </w:t>
      </w:r>
      <w:r>
        <w:rPr>
          <w:rFonts w:hint="eastAsia"/>
        </w:rPr>
        <w:t>我们的长远目标是要由二</w:t>
      </w:r>
      <w:r>
        <w:rPr>
          <w:rFonts w:hint="eastAsia"/>
          <w:sz w:val="32"/>
        </w:rPr>
        <w:t>○○</w:t>
      </w:r>
      <w:r>
        <w:rPr>
          <w:rFonts w:hint="eastAsia"/>
        </w:rPr>
        <w:t>七至二</w:t>
      </w:r>
      <w:r>
        <w:rPr>
          <w:rFonts w:hint="eastAsia"/>
          <w:sz w:val="32"/>
        </w:rPr>
        <w:t>○○</w:t>
      </w:r>
      <w:r>
        <w:rPr>
          <w:rFonts w:hint="eastAsia"/>
        </w:rPr>
        <w:t>八学年开始，让所有小学生接受全日制教育。</w:t>
      </w:r>
    </w:p>
    <w:p w:rsidR="00000000" w:rsidRDefault="00000000">
      <w:pPr>
        <w:pStyle w:val="Heading4"/>
        <w:spacing w:after="160"/>
        <w:textAlignment w:val="center"/>
      </w:pPr>
      <w:r>
        <w:rPr>
          <w:u w:val="none"/>
        </w:rPr>
        <w:tab/>
      </w:r>
      <w:r>
        <w:rPr>
          <w:rFonts w:hint="eastAsia"/>
        </w:rPr>
        <w:t>高中教育的资助额</w:t>
      </w:r>
    </w:p>
    <w:p w:rsidR="00000000" w:rsidRDefault="00000000">
      <w:pPr>
        <w:spacing w:after="120"/>
        <w:textAlignment w:val="center"/>
      </w:pPr>
      <w:r>
        <w:tab/>
        <w:t xml:space="preserve">511.  </w:t>
      </w:r>
      <w:r>
        <w:rPr>
          <w:rFonts w:hint="eastAsia"/>
        </w:rPr>
        <w:t>如上次报告第</w:t>
      </w:r>
      <w:r>
        <w:t>341</w:t>
      </w:r>
      <w:r>
        <w:rPr>
          <w:rFonts w:hint="eastAsia"/>
        </w:rPr>
        <w:t>段所述，高中学费是按高中教育经常开支的</w:t>
      </w:r>
      <w:r>
        <w:t>18%</w:t>
      </w:r>
      <w:r>
        <w:rPr>
          <w:rFonts w:hint="eastAsia"/>
        </w:rPr>
        <w:t>而厘定</w:t>
      </w:r>
      <w:r>
        <w:t xml:space="preserve"> </w:t>
      </w:r>
      <w:r>
        <w:rPr>
          <w:rStyle w:val="FootnoteReference"/>
        </w:rPr>
        <w:footnoteReference w:id="103"/>
      </w:r>
      <w:r>
        <w:t xml:space="preserve"> </w:t>
      </w:r>
      <w:r>
        <w:rPr>
          <w:rFonts w:hint="eastAsia"/>
        </w:rPr>
        <w:t>。换言之，政府的资助达</w:t>
      </w:r>
      <w:r>
        <w:t>82%</w:t>
      </w:r>
      <w:r>
        <w:rPr>
          <w:rFonts w:hint="eastAsia"/>
        </w:rPr>
        <w:t>。以金额来说，家长为子女所缴付的学费如下表所示：</w:t>
      </w:r>
    </w:p>
    <w:tbl>
      <w:tblPr>
        <w:tblW w:w="0" w:type="auto"/>
        <w:tblInd w:w="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90"/>
        <w:gridCol w:w="1263"/>
        <w:gridCol w:w="1263"/>
        <w:gridCol w:w="1263"/>
        <w:gridCol w:w="1263"/>
        <w:gridCol w:w="1263"/>
        <w:gridCol w:w="1263"/>
        <w:gridCol w:w="4"/>
      </w:tblGrid>
      <w:tr w:rsidR="00000000">
        <w:tblPrEx>
          <w:tblCellMar>
            <w:top w:w="0" w:type="dxa"/>
            <w:bottom w:w="0" w:type="dxa"/>
          </w:tblCellMar>
        </w:tblPrEx>
        <w:tc>
          <w:tcPr>
            <w:tcW w:w="1790" w:type="dxa"/>
            <w:tcBorders>
              <w:bottom w:val="nil"/>
            </w:tcBorders>
          </w:tcPr>
          <w:p w:rsidR="00000000" w:rsidRDefault="00000000">
            <w:pPr>
              <w:spacing w:before="600" w:after="120"/>
              <w:ind w:left="57"/>
              <w:jc w:val="center"/>
              <w:rPr>
                <w:sz w:val="21"/>
              </w:rPr>
            </w:pPr>
            <w:r>
              <w:br w:type="page"/>
            </w:r>
            <w:r>
              <w:br w:type="page"/>
            </w:r>
            <w:r>
              <w:br w:type="page"/>
            </w:r>
            <w:r>
              <w:br w:type="page"/>
            </w:r>
            <w:r>
              <w:br w:type="page"/>
            </w:r>
            <w:r>
              <w:br w:type="page"/>
            </w:r>
            <w:r>
              <w:rPr>
                <w:rFonts w:hint="eastAsia"/>
                <w:sz w:val="21"/>
              </w:rPr>
              <w:t>高中班级</w:t>
            </w:r>
          </w:p>
        </w:tc>
        <w:tc>
          <w:tcPr>
            <w:tcW w:w="7582" w:type="dxa"/>
            <w:gridSpan w:val="7"/>
          </w:tcPr>
          <w:p w:rsidR="00000000" w:rsidRDefault="00000000">
            <w:pPr>
              <w:spacing w:before="120" w:after="120" w:line="240" w:lineRule="auto"/>
              <w:ind w:left="57"/>
              <w:jc w:val="center"/>
              <w:rPr>
                <w:sz w:val="21"/>
              </w:rPr>
            </w:pPr>
            <w:r>
              <w:rPr>
                <w:rFonts w:hint="eastAsia"/>
                <w:sz w:val="21"/>
                <w:u w:val="single"/>
              </w:rPr>
              <w:t>标</w:t>
            </w:r>
            <w:r>
              <w:rPr>
                <w:sz w:val="21"/>
                <w:u w:val="single"/>
              </w:rPr>
              <w:t xml:space="preserve"> </w:t>
            </w:r>
            <w:r>
              <w:rPr>
                <w:rFonts w:hint="eastAsia"/>
                <w:sz w:val="21"/>
                <w:u w:val="single"/>
              </w:rPr>
              <w:t>准</w:t>
            </w:r>
            <w:r>
              <w:rPr>
                <w:sz w:val="21"/>
                <w:u w:val="single"/>
              </w:rPr>
              <w:t xml:space="preserve"> </w:t>
            </w:r>
            <w:r>
              <w:rPr>
                <w:rFonts w:hint="eastAsia"/>
                <w:sz w:val="21"/>
                <w:u w:val="single"/>
              </w:rPr>
              <w:t>学</w:t>
            </w:r>
            <w:r>
              <w:rPr>
                <w:sz w:val="21"/>
                <w:u w:val="single"/>
              </w:rPr>
              <w:t xml:space="preserve"> </w:t>
            </w:r>
            <w:r>
              <w:rPr>
                <w:rFonts w:hint="eastAsia"/>
                <w:sz w:val="21"/>
                <w:u w:val="single"/>
              </w:rPr>
              <w:t>费</w:t>
            </w:r>
          </w:p>
          <w:p w:rsidR="00000000" w:rsidRDefault="00000000">
            <w:pPr>
              <w:spacing w:before="120" w:after="120" w:line="240" w:lineRule="auto"/>
              <w:ind w:left="57"/>
              <w:jc w:val="center"/>
              <w:rPr>
                <w:sz w:val="21"/>
              </w:rPr>
            </w:pPr>
            <w:r>
              <w:rPr>
                <w:rFonts w:hint="eastAsia"/>
                <w:sz w:val="21"/>
              </w:rPr>
              <w:t>每名学生每学年缴交的学费</w:t>
            </w:r>
            <w:r>
              <w:rPr>
                <w:sz w:val="21"/>
              </w:rPr>
              <w:t>(</w:t>
            </w:r>
            <w:r>
              <w:rPr>
                <w:rFonts w:hint="eastAsia"/>
                <w:sz w:val="21"/>
              </w:rPr>
              <w:t>元</w:t>
            </w:r>
            <w:r>
              <w:rPr>
                <w:sz w:val="21"/>
              </w:rPr>
              <w:t>)</w:t>
            </w:r>
            <w:r>
              <w:rPr>
                <w:sz w:val="21"/>
              </w:rPr>
              <w:br/>
              <w:t>(</w:t>
            </w:r>
            <w:r>
              <w:rPr>
                <w:rFonts w:hint="eastAsia"/>
                <w:sz w:val="21"/>
              </w:rPr>
              <w:t>及学费在教育开支中所占的百分比</w:t>
            </w:r>
            <w:r>
              <w:rPr>
                <w:sz w:val="21"/>
              </w:rPr>
              <w:t>)</w:t>
            </w:r>
          </w:p>
        </w:tc>
      </w:tr>
      <w:tr w:rsidR="00000000">
        <w:tblPrEx>
          <w:tblCellMar>
            <w:top w:w="0" w:type="dxa"/>
            <w:bottom w:w="0" w:type="dxa"/>
          </w:tblCellMar>
        </w:tblPrEx>
        <w:trPr>
          <w:gridAfter w:val="1"/>
        </w:trPr>
        <w:tc>
          <w:tcPr>
            <w:tcW w:w="1790" w:type="dxa"/>
            <w:tcBorders>
              <w:top w:val="single" w:sz="6" w:space="0" w:color="auto"/>
              <w:bottom w:val="nil"/>
            </w:tcBorders>
          </w:tcPr>
          <w:p w:rsidR="00000000" w:rsidRDefault="00000000">
            <w:pPr>
              <w:spacing w:before="120" w:line="240" w:lineRule="auto"/>
              <w:ind w:left="57"/>
              <w:rPr>
                <w:sz w:val="21"/>
              </w:rPr>
            </w:pPr>
          </w:p>
        </w:tc>
        <w:tc>
          <w:tcPr>
            <w:tcW w:w="1263" w:type="dxa"/>
            <w:tcBorders>
              <w:bottom w:val="single" w:sz="4" w:space="0" w:color="auto"/>
              <w:right w:val="nil"/>
            </w:tcBorders>
          </w:tcPr>
          <w:p w:rsidR="00000000" w:rsidRDefault="00000000">
            <w:pPr>
              <w:spacing w:before="120" w:line="240" w:lineRule="auto"/>
              <w:ind w:left="57"/>
              <w:jc w:val="center"/>
              <w:rPr>
                <w:sz w:val="21"/>
              </w:rPr>
            </w:pPr>
            <w:r>
              <w:rPr>
                <w:sz w:val="21"/>
              </w:rPr>
              <w:t>1992-93</w:t>
            </w:r>
          </w:p>
        </w:tc>
        <w:tc>
          <w:tcPr>
            <w:tcW w:w="1263" w:type="dxa"/>
            <w:tcBorders>
              <w:left w:val="nil"/>
              <w:bottom w:val="single" w:sz="4" w:space="0" w:color="auto"/>
              <w:right w:val="nil"/>
            </w:tcBorders>
          </w:tcPr>
          <w:p w:rsidR="00000000" w:rsidRDefault="00000000">
            <w:pPr>
              <w:spacing w:before="120" w:line="240" w:lineRule="auto"/>
              <w:ind w:left="57"/>
              <w:jc w:val="center"/>
              <w:rPr>
                <w:sz w:val="21"/>
              </w:rPr>
            </w:pPr>
            <w:r>
              <w:rPr>
                <w:sz w:val="21"/>
              </w:rPr>
              <w:t>1993-94</w:t>
            </w:r>
          </w:p>
        </w:tc>
        <w:tc>
          <w:tcPr>
            <w:tcW w:w="1263" w:type="dxa"/>
            <w:tcBorders>
              <w:left w:val="nil"/>
              <w:bottom w:val="single" w:sz="4" w:space="0" w:color="auto"/>
              <w:right w:val="nil"/>
            </w:tcBorders>
          </w:tcPr>
          <w:p w:rsidR="00000000" w:rsidRDefault="00000000">
            <w:pPr>
              <w:spacing w:before="120" w:line="240" w:lineRule="auto"/>
              <w:ind w:left="57"/>
              <w:jc w:val="center"/>
              <w:rPr>
                <w:sz w:val="21"/>
              </w:rPr>
            </w:pPr>
            <w:r>
              <w:rPr>
                <w:sz w:val="21"/>
              </w:rPr>
              <w:t>1994-95</w:t>
            </w:r>
          </w:p>
        </w:tc>
        <w:tc>
          <w:tcPr>
            <w:tcW w:w="1263" w:type="dxa"/>
            <w:tcBorders>
              <w:left w:val="nil"/>
              <w:bottom w:val="single" w:sz="4" w:space="0" w:color="auto"/>
              <w:right w:val="nil"/>
            </w:tcBorders>
          </w:tcPr>
          <w:p w:rsidR="00000000" w:rsidRDefault="00000000">
            <w:pPr>
              <w:spacing w:before="120" w:line="240" w:lineRule="auto"/>
              <w:ind w:left="57"/>
              <w:jc w:val="center"/>
              <w:rPr>
                <w:sz w:val="21"/>
              </w:rPr>
            </w:pPr>
            <w:r>
              <w:rPr>
                <w:sz w:val="21"/>
              </w:rPr>
              <w:t>1995-96</w:t>
            </w:r>
          </w:p>
        </w:tc>
        <w:tc>
          <w:tcPr>
            <w:tcW w:w="1263" w:type="dxa"/>
            <w:tcBorders>
              <w:left w:val="nil"/>
              <w:bottom w:val="single" w:sz="4" w:space="0" w:color="auto"/>
              <w:right w:val="nil"/>
            </w:tcBorders>
          </w:tcPr>
          <w:p w:rsidR="00000000" w:rsidRDefault="00000000">
            <w:pPr>
              <w:spacing w:before="120" w:line="240" w:lineRule="auto"/>
              <w:ind w:left="57"/>
              <w:jc w:val="center"/>
              <w:rPr>
                <w:sz w:val="21"/>
              </w:rPr>
            </w:pPr>
            <w:r>
              <w:rPr>
                <w:sz w:val="21"/>
              </w:rPr>
              <w:t>1996-97</w:t>
            </w:r>
          </w:p>
        </w:tc>
        <w:tc>
          <w:tcPr>
            <w:tcW w:w="1263" w:type="dxa"/>
            <w:tcBorders>
              <w:left w:val="nil"/>
              <w:bottom w:val="single" w:sz="4" w:space="0" w:color="auto"/>
            </w:tcBorders>
          </w:tcPr>
          <w:p w:rsidR="00000000" w:rsidRDefault="00000000">
            <w:pPr>
              <w:spacing w:before="120" w:line="240" w:lineRule="auto"/>
              <w:ind w:left="57"/>
              <w:jc w:val="center"/>
              <w:rPr>
                <w:sz w:val="21"/>
              </w:rPr>
            </w:pPr>
            <w:r>
              <w:rPr>
                <w:sz w:val="21"/>
              </w:rPr>
              <w:t>1997-98</w:t>
            </w:r>
          </w:p>
        </w:tc>
      </w:tr>
      <w:tr w:rsidR="00000000">
        <w:tblPrEx>
          <w:tblCellMar>
            <w:top w:w="0" w:type="dxa"/>
            <w:bottom w:w="0" w:type="dxa"/>
          </w:tblCellMar>
        </w:tblPrEx>
        <w:trPr>
          <w:gridAfter w:val="1"/>
        </w:trPr>
        <w:tc>
          <w:tcPr>
            <w:tcW w:w="1790" w:type="dxa"/>
            <w:tcBorders>
              <w:top w:val="nil"/>
              <w:bottom w:val="nil"/>
            </w:tcBorders>
          </w:tcPr>
          <w:p w:rsidR="00000000" w:rsidRDefault="00000000">
            <w:pPr>
              <w:spacing w:before="60" w:line="240" w:lineRule="auto"/>
              <w:rPr>
                <w:sz w:val="21"/>
              </w:rPr>
            </w:pPr>
            <w:r>
              <w:rPr>
                <w:rFonts w:hint="eastAsia"/>
                <w:sz w:val="21"/>
              </w:rPr>
              <w:t>中四至中五</w:t>
            </w:r>
          </w:p>
        </w:tc>
        <w:tc>
          <w:tcPr>
            <w:tcW w:w="1263" w:type="dxa"/>
            <w:tcBorders>
              <w:top w:val="nil"/>
              <w:bottom w:val="nil"/>
              <w:right w:val="nil"/>
            </w:tcBorders>
          </w:tcPr>
          <w:p w:rsidR="00000000" w:rsidRDefault="00000000">
            <w:pPr>
              <w:spacing w:before="60" w:line="240" w:lineRule="auto"/>
              <w:ind w:right="284"/>
              <w:jc w:val="right"/>
              <w:rPr>
                <w:sz w:val="21"/>
              </w:rPr>
            </w:pPr>
            <w:r>
              <w:rPr>
                <w:sz w:val="21"/>
              </w:rPr>
              <w:t>2,550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3,150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3,500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3,950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4,450</w:t>
            </w:r>
          </w:p>
        </w:tc>
        <w:tc>
          <w:tcPr>
            <w:tcW w:w="1263" w:type="dxa"/>
            <w:tcBorders>
              <w:top w:val="nil"/>
              <w:left w:val="nil"/>
              <w:bottom w:val="nil"/>
            </w:tcBorders>
          </w:tcPr>
          <w:p w:rsidR="00000000" w:rsidRDefault="00000000">
            <w:pPr>
              <w:spacing w:before="60" w:line="240" w:lineRule="auto"/>
              <w:ind w:right="284"/>
              <w:jc w:val="right"/>
              <w:rPr>
                <w:sz w:val="21"/>
              </w:rPr>
            </w:pPr>
            <w:r>
              <w:rPr>
                <w:sz w:val="21"/>
              </w:rPr>
              <w:t>5,050</w:t>
            </w:r>
          </w:p>
        </w:tc>
      </w:tr>
      <w:tr w:rsidR="00000000">
        <w:tblPrEx>
          <w:tblCellMar>
            <w:top w:w="0" w:type="dxa"/>
            <w:bottom w:w="0" w:type="dxa"/>
          </w:tblCellMar>
        </w:tblPrEx>
        <w:trPr>
          <w:gridAfter w:val="1"/>
        </w:trPr>
        <w:tc>
          <w:tcPr>
            <w:tcW w:w="1790" w:type="dxa"/>
            <w:tcBorders>
              <w:top w:val="nil"/>
              <w:bottom w:val="nil"/>
            </w:tcBorders>
          </w:tcPr>
          <w:p w:rsidR="00000000" w:rsidRDefault="00000000">
            <w:pPr>
              <w:spacing w:before="60" w:after="60" w:line="240" w:lineRule="auto"/>
              <w:rPr>
                <w:sz w:val="21"/>
              </w:rPr>
            </w:pPr>
          </w:p>
        </w:tc>
        <w:tc>
          <w:tcPr>
            <w:tcW w:w="1263" w:type="dxa"/>
            <w:tcBorders>
              <w:top w:val="nil"/>
              <w:bottom w:val="nil"/>
              <w:right w:val="nil"/>
            </w:tcBorders>
          </w:tcPr>
          <w:p w:rsidR="00000000" w:rsidRDefault="00000000">
            <w:pPr>
              <w:spacing w:before="60" w:after="60" w:line="240" w:lineRule="auto"/>
              <w:ind w:right="284"/>
              <w:jc w:val="right"/>
              <w:rPr>
                <w:sz w:val="21"/>
              </w:rPr>
            </w:pPr>
            <w:r>
              <w:rPr>
                <w:sz w:val="21"/>
              </w:rPr>
              <w:t>(16%)</w:t>
            </w:r>
          </w:p>
        </w:tc>
        <w:tc>
          <w:tcPr>
            <w:tcW w:w="1263" w:type="dxa"/>
            <w:tcBorders>
              <w:top w:val="nil"/>
              <w:left w:val="nil"/>
              <w:bottom w:val="nil"/>
              <w:right w:val="nil"/>
            </w:tcBorders>
          </w:tcPr>
          <w:p w:rsidR="00000000" w:rsidRDefault="00000000">
            <w:pPr>
              <w:spacing w:before="60" w:after="60" w:line="240" w:lineRule="auto"/>
              <w:ind w:right="284"/>
              <w:jc w:val="right"/>
              <w:rPr>
                <w:sz w:val="21"/>
              </w:rPr>
            </w:pPr>
            <w:r>
              <w:rPr>
                <w:sz w:val="21"/>
              </w:rPr>
              <w:t>(18%)</w:t>
            </w:r>
          </w:p>
        </w:tc>
        <w:tc>
          <w:tcPr>
            <w:tcW w:w="1263" w:type="dxa"/>
            <w:tcBorders>
              <w:top w:val="nil"/>
              <w:left w:val="nil"/>
              <w:bottom w:val="nil"/>
              <w:right w:val="nil"/>
            </w:tcBorders>
          </w:tcPr>
          <w:p w:rsidR="00000000" w:rsidRDefault="00000000">
            <w:pPr>
              <w:spacing w:before="60" w:after="60" w:line="240" w:lineRule="auto"/>
              <w:ind w:right="284"/>
              <w:jc w:val="right"/>
              <w:rPr>
                <w:sz w:val="21"/>
              </w:rPr>
            </w:pPr>
            <w:r>
              <w:rPr>
                <w:sz w:val="21"/>
              </w:rPr>
              <w:t>(18%)</w:t>
            </w:r>
          </w:p>
        </w:tc>
        <w:tc>
          <w:tcPr>
            <w:tcW w:w="1263" w:type="dxa"/>
            <w:tcBorders>
              <w:top w:val="nil"/>
              <w:left w:val="nil"/>
              <w:bottom w:val="nil"/>
              <w:right w:val="nil"/>
            </w:tcBorders>
          </w:tcPr>
          <w:p w:rsidR="00000000" w:rsidRDefault="00000000">
            <w:pPr>
              <w:spacing w:before="60" w:after="60" w:line="240" w:lineRule="auto"/>
              <w:ind w:right="284"/>
              <w:jc w:val="right"/>
              <w:rPr>
                <w:sz w:val="21"/>
              </w:rPr>
            </w:pPr>
            <w:r>
              <w:rPr>
                <w:sz w:val="21"/>
              </w:rPr>
              <w:t>(18%)</w:t>
            </w:r>
          </w:p>
        </w:tc>
        <w:tc>
          <w:tcPr>
            <w:tcW w:w="1263" w:type="dxa"/>
            <w:tcBorders>
              <w:top w:val="nil"/>
              <w:left w:val="nil"/>
              <w:bottom w:val="nil"/>
              <w:right w:val="nil"/>
            </w:tcBorders>
          </w:tcPr>
          <w:p w:rsidR="00000000" w:rsidRDefault="00000000">
            <w:pPr>
              <w:spacing w:before="60" w:after="60" w:line="240" w:lineRule="auto"/>
              <w:ind w:right="284"/>
              <w:jc w:val="right"/>
              <w:rPr>
                <w:sz w:val="21"/>
              </w:rPr>
            </w:pPr>
            <w:r>
              <w:rPr>
                <w:sz w:val="21"/>
              </w:rPr>
              <w:t>(18%)</w:t>
            </w:r>
          </w:p>
        </w:tc>
        <w:tc>
          <w:tcPr>
            <w:tcW w:w="1263" w:type="dxa"/>
            <w:tcBorders>
              <w:top w:val="nil"/>
              <w:left w:val="nil"/>
              <w:bottom w:val="nil"/>
            </w:tcBorders>
          </w:tcPr>
          <w:p w:rsidR="00000000" w:rsidRDefault="00000000">
            <w:pPr>
              <w:spacing w:after="60" w:line="240" w:lineRule="auto"/>
              <w:ind w:right="284"/>
              <w:jc w:val="right"/>
              <w:textAlignment w:val="center"/>
              <w:rPr>
                <w:sz w:val="21"/>
              </w:rPr>
            </w:pPr>
            <w:r>
              <w:rPr>
                <w:sz w:val="21"/>
              </w:rPr>
              <w:t>(18%)</w:t>
            </w:r>
          </w:p>
        </w:tc>
      </w:tr>
      <w:tr w:rsidR="00000000">
        <w:tblPrEx>
          <w:tblCellMar>
            <w:top w:w="0" w:type="dxa"/>
            <w:bottom w:w="0" w:type="dxa"/>
          </w:tblCellMar>
        </w:tblPrEx>
        <w:trPr>
          <w:gridAfter w:val="1"/>
        </w:trPr>
        <w:tc>
          <w:tcPr>
            <w:tcW w:w="1790" w:type="dxa"/>
            <w:tcBorders>
              <w:top w:val="nil"/>
              <w:left w:val="single" w:sz="4" w:space="0" w:color="auto"/>
              <w:bottom w:val="nil"/>
            </w:tcBorders>
          </w:tcPr>
          <w:p w:rsidR="00000000" w:rsidRDefault="00000000">
            <w:pPr>
              <w:spacing w:before="60" w:line="240" w:lineRule="auto"/>
              <w:rPr>
                <w:sz w:val="21"/>
              </w:rPr>
            </w:pPr>
            <w:r>
              <w:rPr>
                <w:rFonts w:hint="eastAsia"/>
                <w:sz w:val="21"/>
              </w:rPr>
              <w:t>中六至中七</w:t>
            </w:r>
          </w:p>
        </w:tc>
        <w:tc>
          <w:tcPr>
            <w:tcW w:w="1263" w:type="dxa"/>
            <w:tcBorders>
              <w:top w:val="nil"/>
              <w:bottom w:val="nil"/>
              <w:right w:val="nil"/>
            </w:tcBorders>
          </w:tcPr>
          <w:p w:rsidR="00000000" w:rsidRDefault="00000000">
            <w:pPr>
              <w:spacing w:before="60" w:line="240" w:lineRule="auto"/>
              <w:ind w:right="284"/>
              <w:jc w:val="right"/>
              <w:rPr>
                <w:sz w:val="21"/>
              </w:rPr>
            </w:pPr>
            <w:r>
              <w:rPr>
                <w:sz w:val="21"/>
              </w:rPr>
              <w:t>3,300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4,300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5,550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7,100</w:t>
            </w:r>
          </w:p>
        </w:tc>
        <w:tc>
          <w:tcPr>
            <w:tcW w:w="1263" w:type="dxa"/>
            <w:tcBorders>
              <w:top w:val="nil"/>
              <w:left w:val="nil"/>
              <w:bottom w:val="nil"/>
              <w:right w:val="nil"/>
            </w:tcBorders>
          </w:tcPr>
          <w:p w:rsidR="00000000" w:rsidRDefault="00000000">
            <w:pPr>
              <w:spacing w:before="60" w:line="240" w:lineRule="auto"/>
              <w:ind w:right="284"/>
              <w:jc w:val="right"/>
              <w:rPr>
                <w:sz w:val="21"/>
              </w:rPr>
            </w:pPr>
            <w:r>
              <w:rPr>
                <w:sz w:val="21"/>
              </w:rPr>
              <w:t>7,800</w:t>
            </w:r>
          </w:p>
        </w:tc>
        <w:tc>
          <w:tcPr>
            <w:tcW w:w="1263" w:type="dxa"/>
            <w:tcBorders>
              <w:top w:val="nil"/>
              <w:left w:val="nil"/>
              <w:bottom w:val="nil"/>
              <w:right w:val="single" w:sz="4" w:space="0" w:color="auto"/>
            </w:tcBorders>
          </w:tcPr>
          <w:p w:rsidR="00000000" w:rsidRDefault="00000000">
            <w:pPr>
              <w:spacing w:before="60" w:line="240" w:lineRule="auto"/>
              <w:ind w:right="284"/>
              <w:jc w:val="right"/>
              <w:rPr>
                <w:sz w:val="21"/>
              </w:rPr>
            </w:pPr>
            <w:r>
              <w:rPr>
                <w:sz w:val="21"/>
              </w:rPr>
              <w:t>8,750</w:t>
            </w:r>
          </w:p>
        </w:tc>
      </w:tr>
      <w:tr w:rsidR="00000000">
        <w:tblPrEx>
          <w:tblCellMar>
            <w:top w:w="0" w:type="dxa"/>
            <w:bottom w:w="0" w:type="dxa"/>
          </w:tblCellMar>
        </w:tblPrEx>
        <w:trPr>
          <w:gridAfter w:val="1"/>
        </w:trPr>
        <w:tc>
          <w:tcPr>
            <w:tcW w:w="1790" w:type="dxa"/>
            <w:tcBorders>
              <w:top w:val="nil"/>
            </w:tcBorders>
          </w:tcPr>
          <w:p w:rsidR="00000000" w:rsidRDefault="00000000">
            <w:pPr>
              <w:spacing w:before="60" w:after="60" w:line="240" w:lineRule="auto"/>
              <w:rPr>
                <w:sz w:val="21"/>
              </w:rPr>
            </w:pPr>
          </w:p>
        </w:tc>
        <w:tc>
          <w:tcPr>
            <w:tcW w:w="1263" w:type="dxa"/>
            <w:tcBorders>
              <w:top w:val="nil"/>
              <w:right w:val="nil"/>
            </w:tcBorders>
          </w:tcPr>
          <w:p w:rsidR="00000000" w:rsidRDefault="00000000">
            <w:pPr>
              <w:spacing w:before="60" w:after="60" w:line="240" w:lineRule="auto"/>
              <w:ind w:right="284"/>
              <w:jc w:val="right"/>
              <w:rPr>
                <w:sz w:val="21"/>
              </w:rPr>
            </w:pPr>
            <w:r>
              <w:rPr>
                <w:sz w:val="21"/>
              </w:rPr>
              <w:t>(11%)</w:t>
            </w:r>
          </w:p>
        </w:tc>
        <w:tc>
          <w:tcPr>
            <w:tcW w:w="1263" w:type="dxa"/>
            <w:tcBorders>
              <w:top w:val="nil"/>
              <w:left w:val="nil"/>
              <w:right w:val="nil"/>
            </w:tcBorders>
          </w:tcPr>
          <w:p w:rsidR="00000000" w:rsidRDefault="00000000">
            <w:pPr>
              <w:spacing w:before="60" w:after="60" w:line="240" w:lineRule="auto"/>
              <w:ind w:right="284"/>
              <w:jc w:val="right"/>
              <w:rPr>
                <w:sz w:val="21"/>
              </w:rPr>
            </w:pPr>
            <w:r>
              <w:rPr>
                <w:sz w:val="21"/>
              </w:rPr>
              <w:t>(13%)</w:t>
            </w:r>
          </w:p>
        </w:tc>
        <w:tc>
          <w:tcPr>
            <w:tcW w:w="1263" w:type="dxa"/>
            <w:tcBorders>
              <w:top w:val="nil"/>
              <w:left w:val="nil"/>
              <w:right w:val="nil"/>
            </w:tcBorders>
          </w:tcPr>
          <w:p w:rsidR="00000000" w:rsidRDefault="00000000">
            <w:pPr>
              <w:spacing w:before="60" w:after="60" w:line="240" w:lineRule="auto"/>
              <w:ind w:right="284"/>
              <w:jc w:val="right"/>
              <w:rPr>
                <w:sz w:val="21"/>
              </w:rPr>
            </w:pPr>
            <w:r>
              <w:rPr>
                <w:sz w:val="21"/>
              </w:rPr>
              <w:t>(15%)</w:t>
            </w:r>
          </w:p>
        </w:tc>
        <w:tc>
          <w:tcPr>
            <w:tcW w:w="1263" w:type="dxa"/>
            <w:tcBorders>
              <w:top w:val="nil"/>
              <w:left w:val="nil"/>
              <w:right w:val="nil"/>
            </w:tcBorders>
          </w:tcPr>
          <w:p w:rsidR="00000000" w:rsidRDefault="00000000">
            <w:pPr>
              <w:spacing w:before="60" w:after="60" w:line="240" w:lineRule="auto"/>
              <w:ind w:right="284"/>
              <w:jc w:val="right"/>
              <w:rPr>
                <w:sz w:val="21"/>
              </w:rPr>
            </w:pPr>
            <w:r>
              <w:rPr>
                <w:sz w:val="21"/>
              </w:rPr>
              <w:t>(18%)</w:t>
            </w:r>
          </w:p>
        </w:tc>
        <w:tc>
          <w:tcPr>
            <w:tcW w:w="1263" w:type="dxa"/>
            <w:tcBorders>
              <w:top w:val="nil"/>
              <w:left w:val="nil"/>
              <w:right w:val="nil"/>
            </w:tcBorders>
          </w:tcPr>
          <w:p w:rsidR="00000000" w:rsidRDefault="00000000">
            <w:pPr>
              <w:spacing w:before="60" w:after="60" w:line="240" w:lineRule="auto"/>
              <w:ind w:right="284"/>
              <w:jc w:val="right"/>
              <w:rPr>
                <w:sz w:val="21"/>
              </w:rPr>
            </w:pPr>
            <w:r>
              <w:rPr>
                <w:sz w:val="21"/>
              </w:rPr>
              <w:t>(18%)</w:t>
            </w:r>
          </w:p>
        </w:tc>
        <w:tc>
          <w:tcPr>
            <w:tcW w:w="1263" w:type="dxa"/>
            <w:tcBorders>
              <w:top w:val="nil"/>
              <w:left w:val="nil"/>
            </w:tcBorders>
          </w:tcPr>
          <w:p w:rsidR="00000000" w:rsidRDefault="00000000">
            <w:pPr>
              <w:spacing w:before="60" w:after="60" w:line="240" w:lineRule="auto"/>
              <w:ind w:right="284"/>
              <w:jc w:val="right"/>
              <w:rPr>
                <w:sz w:val="21"/>
              </w:rPr>
            </w:pPr>
            <w:r>
              <w:rPr>
                <w:sz w:val="21"/>
              </w:rPr>
              <w:t>(18%)</w:t>
            </w:r>
          </w:p>
        </w:tc>
      </w:tr>
    </w:tbl>
    <w:p w:rsidR="00000000" w:rsidRDefault="00000000">
      <w:pPr>
        <w:pStyle w:val="a3"/>
        <w:widowControl/>
        <w:tabs>
          <w:tab w:val="clear" w:pos="6804"/>
          <w:tab w:val="clear" w:pos="7371"/>
          <w:tab w:val="clear" w:pos="7541"/>
          <w:tab w:val="clear" w:pos="7711"/>
          <w:tab w:val="clear" w:pos="9185"/>
          <w:tab w:val="left" w:pos="510"/>
          <w:tab w:val="left" w:pos="1021"/>
          <w:tab w:val="left" w:pos="1531"/>
          <w:tab w:val="left" w:pos="2041"/>
        </w:tabs>
        <w:spacing w:before="320" w:after="320" w:line="240" w:lineRule="auto"/>
        <w:textAlignment w:val="center"/>
      </w:pPr>
      <w:r>
        <w:rPr>
          <w:rFonts w:hint="eastAsia"/>
        </w:rPr>
        <w:t>就读官立及资助学校的高中学生，如经济有困难，可申请减免一半或全部学费。</w:t>
      </w:r>
    </w:p>
    <w:p w:rsidR="00000000" w:rsidRDefault="00000000">
      <w:pPr>
        <w:pStyle w:val="Heading4"/>
        <w:rPr>
          <w:rFonts w:ascii="SimSun"/>
        </w:rPr>
      </w:pPr>
      <w:r>
        <w:rPr>
          <w:rFonts w:ascii="SimSun" w:hint="eastAsia"/>
        </w:rPr>
        <w:t>教</w:t>
      </w:r>
      <w:r>
        <w:rPr>
          <w:rFonts w:ascii="SimSun"/>
        </w:rPr>
        <w:t xml:space="preserve">  </w:t>
      </w:r>
      <w:r>
        <w:rPr>
          <w:rFonts w:ascii="SimSun" w:hint="eastAsia"/>
        </w:rPr>
        <w:t>师</w:t>
      </w:r>
    </w:p>
    <w:p w:rsidR="00000000" w:rsidRDefault="00000000">
      <w:pPr>
        <w:pStyle w:val="Heading4"/>
      </w:pPr>
      <w:r>
        <w:rPr>
          <w:u w:val="none"/>
        </w:rPr>
        <w:tab/>
      </w:r>
      <w:r>
        <w:rPr>
          <w:rFonts w:hint="eastAsia"/>
        </w:rPr>
        <w:t>薪</w:t>
      </w:r>
      <w:r>
        <w:t xml:space="preserve">  </w:t>
      </w:r>
      <w:r>
        <w:rPr>
          <w:rFonts w:hint="eastAsia"/>
        </w:rPr>
        <w:t>酬</w:t>
      </w:r>
    </w:p>
    <w:p w:rsidR="00000000" w:rsidRDefault="00000000">
      <w:pPr>
        <w:spacing w:after="320"/>
        <w:textAlignment w:val="center"/>
      </w:pPr>
      <w:r>
        <w:tab/>
        <w:t xml:space="preserve">512.  </w:t>
      </w:r>
      <w:r>
        <w:rPr>
          <w:rFonts w:hint="eastAsia"/>
        </w:rPr>
        <w:t>在上次报告第</w:t>
      </w:r>
      <w:r>
        <w:t>358</w:t>
      </w:r>
      <w:r>
        <w:rPr>
          <w:rFonts w:hint="eastAsia"/>
        </w:rPr>
        <w:t>段，我们曾指出，教师享有优厚的薪酬和福利。这个情况至今维持不变。官立学校的教师，可享有房屋及其他公务员福利；在政府资助学校任教的教师，则可享有楼宇按揭资助。至于在私校任教的教师，其待遇及聘用条件须视他们与学校所订立的合约而定。</w:t>
      </w:r>
    </w:p>
    <w:p w:rsidR="00000000" w:rsidRDefault="00000000">
      <w:pPr>
        <w:pStyle w:val="Heading4"/>
      </w:pPr>
      <w:r>
        <w:rPr>
          <w:u w:val="none"/>
        </w:rPr>
        <w:tab/>
      </w:r>
      <w:r>
        <w:rPr>
          <w:rFonts w:hint="eastAsia"/>
        </w:rPr>
        <w:t>教师质素</w:t>
      </w:r>
    </w:p>
    <w:p w:rsidR="00000000" w:rsidRDefault="00000000">
      <w:pPr>
        <w:spacing w:after="320"/>
        <w:textAlignment w:val="center"/>
      </w:pPr>
      <w:r>
        <w:tab/>
        <w:t xml:space="preserve">513.  </w:t>
      </w:r>
      <w:r>
        <w:rPr>
          <w:rFonts w:hint="eastAsia"/>
        </w:rPr>
        <w:t>有关提高教学水平的各项现行措施，载于附件</w:t>
      </w:r>
      <w:r>
        <w:t>28</w:t>
      </w:r>
      <w:r>
        <w:rPr>
          <w:rFonts w:hint="eastAsia"/>
        </w:rPr>
        <w:t>。</w:t>
      </w:r>
    </w:p>
    <w:p w:rsidR="00000000" w:rsidRDefault="00000000">
      <w:pPr>
        <w:pStyle w:val="Heading4"/>
      </w:pPr>
      <w:r>
        <w:rPr>
          <w:u w:val="none"/>
        </w:rPr>
        <w:tab/>
      </w:r>
      <w:r>
        <w:rPr>
          <w:rFonts w:hint="eastAsia"/>
        </w:rPr>
        <w:t>师资培训</w:t>
      </w:r>
    </w:p>
    <w:p w:rsidR="00000000" w:rsidRDefault="00000000">
      <w:pPr>
        <w:spacing w:after="320"/>
        <w:textAlignment w:val="center"/>
      </w:pPr>
      <w:r>
        <w:tab/>
        <w:t xml:space="preserve">514.  </w:t>
      </w:r>
      <w:r>
        <w:rPr>
          <w:rFonts w:hint="eastAsia"/>
        </w:rPr>
        <w:t>香港教育学院、香港中文大学和香港大学均有提供各类职前教师课程。此外，这些院校和另外一些院校，亦有开办在职教师课程。凡自费修读这些课程的教师，均可获发还一半至全数的学费。</w:t>
      </w:r>
    </w:p>
    <w:p w:rsidR="00000000" w:rsidRDefault="00000000">
      <w:pPr>
        <w:pStyle w:val="Heading4"/>
        <w:rPr>
          <w:rFonts w:ascii="SimSun"/>
        </w:rPr>
      </w:pPr>
      <w:r>
        <w:rPr>
          <w:rFonts w:ascii="SimSun" w:hint="eastAsia"/>
        </w:rPr>
        <w:t>优质教育基金</w:t>
      </w:r>
    </w:p>
    <w:p w:rsidR="00000000" w:rsidRDefault="00000000">
      <w:r>
        <w:tab/>
        <w:t xml:space="preserve">515.  </w:t>
      </w:r>
      <w:r>
        <w:rPr>
          <w:rFonts w:hint="eastAsia"/>
        </w:rPr>
        <w:t>一九九八年一月，政府初步拨出</w:t>
      </w:r>
      <w:r>
        <w:t>50</w:t>
      </w:r>
      <w:r>
        <w:rPr>
          <w:rFonts w:hint="eastAsia"/>
        </w:rPr>
        <w:t>亿港元，设立优质教育基金。基金的宗旨，主要是为教育研究工作和校本管理措施提供资助，以发展新课程和提高教育质素。</w:t>
      </w:r>
    </w:p>
    <w:p w:rsidR="00000000" w:rsidRDefault="00000000">
      <w:pPr>
        <w:spacing w:after="320"/>
        <w:textAlignment w:val="center"/>
      </w:pPr>
      <w:r>
        <w:tab/>
        <w:t xml:space="preserve">516.  </w:t>
      </w:r>
      <w:r>
        <w:rPr>
          <w:rFonts w:hint="eastAsia"/>
        </w:rPr>
        <w:t>基金于一九九八年三、四月间首次接受申请，共收到</w:t>
      </w:r>
      <w:r>
        <w:t>2,300</w:t>
      </w:r>
      <w:r>
        <w:rPr>
          <w:rFonts w:hint="eastAsia"/>
        </w:rPr>
        <w:t>多份计划书，申请资助总额达</w:t>
      </w:r>
      <w:r>
        <w:t>23</w:t>
      </w:r>
      <w:r>
        <w:rPr>
          <w:rFonts w:hint="eastAsia"/>
        </w:rPr>
        <w:t>亿港元。其中</w:t>
      </w:r>
      <w:r>
        <w:t>522</w:t>
      </w:r>
      <w:r>
        <w:rPr>
          <w:rFonts w:hint="eastAsia"/>
        </w:rPr>
        <w:t>份计划获得批准，资助额合共</w:t>
      </w:r>
      <w:r>
        <w:t>3.66</w:t>
      </w:r>
      <w:r>
        <w:rPr>
          <w:rFonts w:hint="eastAsia"/>
        </w:rPr>
        <w:t>亿港元。基金于一九九八年九月三十日接受第二次申请。当局会由一九九九年四月起，分批公布申请结果，并会于一九九九年五月开始发放拨款。</w:t>
      </w:r>
    </w:p>
    <w:p w:rsidR="00000000" w:rsidRDefault="00000000">
      <w:pPr>
        <w:pStyle w:val="Heading4"/>
        <w:rPr>
          <w:rFonts w:ascii="SimSun"/>
        </w:rPr>
      </w:pPr>
      <w:r>
        <w:rPr>
          <w:rFonts w:ascii="SimSun" w:hint="eastAsia"/>
        </w:rPr>
        <w:t>语文政策—两文三语</w:t>
      </w:r>
    </w:p>
    <w:p w:rsidR="00000000" w:rsidRDefault="00000000">
      <w:r>
        <w:tab/>
        <w:t xml:space="preserve">517.  </w:t>
      </w:r>
      <w:r>
        <w:rPr>
          <w:rFonts w:hint="eastAsia"/>
        </w:rPr>
        <w:t>香港人口逾</w:t>
      </w:r>
      <w:r>
        <w:t>96%</w:t>
      </w:r>
      <w:r>
        <w:rPr>
          <w:rFonts w:hint="eastAsia"/>
        </w:rPr>
        <w:t>为中国人，</w:t>
      </w:r>
      <w:r>
        <w:t>94%</w:t>
      </w:r>
      <w:r>
        <w:rPr>
          <w:rFonts w:hint="eastAsia"/>
        </w:rPr>
        <w:t>以广东话为第一语言。广东话是大部分学生的日常用语和母语。与此同时，香港是国际商业和金融贸易中心，英语是国际商业用语。而普通话</w:t>
      </w:r>
      <w:r>
        <w:t xml:space="preserve"> </w:t>
      </w:r>
      <w:r>
        <w:rPr>
          <w:rStyle w:val="FootnoteReference"/>
        </w:rPr>
        <w:footnoteReference w:id="104"/>
      </w:r>
      <w:r>
        <w:t xml:space="preserve"> (</w:t>
      </w:r>
      <w:r>
        <w:rPr>
          <w:rFonts w:hint="eastAsia"/>
        </w:rPr>
        <w:t>或称“国语”</w:t>
      </w:r>
      <w:r>
        <w:t>)</w:t>
      </w:r>
      <w:r>
        <w:rPr>
          <w:rFonts w:hint="eastAsia"/>
        </w:rPr>
        <w:t>则是主权国的语言。因此，我们所订定的语文政策，是要让学生通晓中英两种语文，同时又能说流利的广东话、普通话和英语。</w:t>
      </w:r>
    </w:p>
    <w:p w:rsidR="00000000" w:rsidRDefault="00000000">
      <w:r>
        <w:tab/>
        <w:t xml:space="preserve">518.  </w:t>
      </w:r>
      <w:r>
        <w:rPr>
          <w:rFonts w:hint="eastAsia"/>
        </w:rPr>
        <w:t>政府为达成上述目标而采取的措施包括：</w:t>
      </w:r>
    </w:p>
    <w:p w:rsidR="00000000" w:rsidRDefault="00000000">
      <w:pPr>
        <w:pStyle w:val="a0"/>
        <w:numPr>
          <w:ilvl w:val="0"/>
          <w:numId w:val="78"/>
        </w:numPr>
        <w:ind w:left="1531" w:hanging="510"/>
      </w:pPr>
      <w:r>
        <w:rPr>
          <w:rFonts w:hint="eastAsia"/>
        </w:rPr>
        <w:t>设立语文资源中心，以改善有关的支援服务；</w:t>
      </w:r>
    </w:p>
    <w:p w:rsidR="00000000" w:rsidRDefault="00000000">
      <w:pPr>
        <w:pStyle w:val="a0"/>
        <w:numPr>
          <w:ilvl w:val="0"/>
          <w:numId w:val="78"/>
        </w:numPr>
        <w:ind w:left="1531" w:hanging="510"/>
      </w:pPr>
      <w:r>
        <w:rPr>
          <w:rFonts w:hint="eastAsia"/>
        </w:rPr>
        <w:t>继续推行上次报告附录</w:t>
      </w:r>
      <w:r>
        <w:t>22</w:t>
      </w:r>
      <w:r>
        <w:rPr>
          <w:rFonts w:hint="eastAsia"/>
        </w:rPr>
        <w:t>所述的“以英语为母语的英语教师计划”；</w:t>
      </w:r>
    </w:p>
    <w:p w:rsidR="00000000" w:rsidRDefault="00000000">
      <w:pPr>
        <w:pStyle w:val="a0"/>
        <w:numPr>
          <w:ilvl w:val="0"/>
          <w:numId w:val="78"/>
        </w:numPr>
        <w:ind w:left="1531" w:hanging="510"/>
      </w:pPr>
      <w:r>
        <w:rPr>
          <w:rFonts w:hint="eastAsia"/>
        </w:rPr>
        <w:t>为语文教师订定语文“基准”</w:t>
      </w:r>
      <w:r>
        <w:t>(</w:t>
      </w:r>
      <w:r>
        <w:rPr>
          <w:rFonts w:hint="eastAsia"/>
        </w:rPr>
        <w:t>见下文第</w:t>
      </w:r>
      <w:r>
        <w:t>526</w:t>
      </w:r>
      <w:r>
        <w:rPr>
          <w:rFonts w:hint="eastAsia"/>
        </w:rPr>
        <w:t>段</w:t>
      </w:r>
      <w:r>
        <w:t>)</w:t>
      </w:r>
      <w:r>
        <w:rPr>
          <w:rFonts w:hint="eastAsia"/>
        </w:rPr>
        <w:t>；</w:t>
      </w:r>
    </w:p>
    <w:p w:rsidR="00000000" w:rsidRDefault="00000000">
      <w:pPr>
        <w:pStyle w:val="a0"/>
        <w:numPr>
          <w:ilvl w:val="0"/>
          <w:numId w:val="78"/>
        </w:numPr>
        <w:ind w:left="1531" w:hanging="510"/>
      </w:pPr>
      <w:r>
        <w:rPr>
          <w:rFonts w:hint="eastAsia"/>
        </w:rPr>
        <w:t>推行中英文广泛阅读和写作计划；及</w:t>
      </w:r>
    </w:p>
    <w:p w:rsidR="00000000" w:rsidRDefault="00000000">
      <w:pPr>
        <w:pStyle w:val="a0"/>
        <w:numPr>
          <w:ilvl w:val="0"/>
          <w:numId w:val="78"/>
        </w:numPr>
        <w:spacing w:after="320"/>
        <w:ind w:left="1531" w:hanging="510"/>
        <w:textAlignment w:val="center"/>
      </w:pPr>
      <w:r>
        <w:rPr>
          <w:rFonts w:hint="eastAsia"/>
        </w:rPr>
        <w:t>把普通话列为小学课程的核心科目。</w:t>
      </w:r>
    </w:p>
    <w:p w:rsidR="00000000" w:rsidRDefault="00000000">
      <w:pPr>
        <w:pStyle w:val="Heading4"/>
        <w:rPr>
          <w:rFonts w:ascii="SimSun"/>
        </w:rPr>
      </w:pPr>
      <w:r>
        <w:rPr>
          <w:rFonts w:ascii="SimSun" w:hint="eastAsia"/>
        </w:rPr>
        <w:t>教学语言</w:t>
      </w:r>
    </w:p>
    <w:p w:rsidR="00000000" w:rsidRDefault="00000000">
      <w:r>
        <w:tab/>
        <w:t xml:space="preserve">519.  </w:t>
      </w:r>
      <w:r>
        <w:rPr>
          <w:rFonts w:hint="eastAsia"/>
        </w:rPr>
        <w:t>在上次报告第</w:t>
      </w:r>
      <w:r>
        <w:t>378</w:t>
      </w:r>
      <w:r>
        <w:rPr>
          <w:rFonts w:hint="eastAsia"/>
        </w:rPr>
        <w:t>至</w:t>
      </w:r>
      <w:r>
        <w:t>380</w:t>
      </w:r>
      <w:r>
        <w:rPr>
          <w:rFonts w:hint="eastAsia"/>
        </w:rPr>
        <w:t>段，我们曾指出，一九七九年所推行的九年普及和免费教育制度，意味着学校须收纳学习及语言能力比较参差的学生。在以英语教学的学校，教师往往因学生的英语程度欠佳，须在授课时以中文解释和进行讨论。这种中英夹杂的教学方式，确能帮助部分学生，但在大部分的情况下，教师得在课堂上花时间把英文课文翻译成中文；这种方式甚至会令学生以“死记死读”的方式学习英文课文。</w:t>
      </w:r>
    </w:p>
    <w:p w:rsidR="00000000" w:rsidRDefault="00000000">
      <w:r>
        <w:tab/>
        <w:t xml:space="preserve">520.  </w:t>
      </w:r>
      <w:r>
        <w:rPr>
          <w:rFonts w:hint="eastAsia"/>
        </w:rPr>
        <w:t>我们一贯认为，母语是最佳的学习语言。如果我们只将英语当作一个重要的科目来教授，加上良好的教学方法，相信大部分学生在学习英语上会更为容易。不过，如前所述，虽然政府和一些尝试转用中文教学的学校曾在这方面努力，但受到家长的抵制。尽管如此，我们仍继续鼓励学校采用中文教学，同时确保英语能力强的学生继续有机会以英语学习。</w:t>
      </w:r>
    </w:p>
    <w:p w:rsidR="00000000" w:rsidRDefault="00000000">
      <w:r>
        <w:tab/>
        <w:t xml:space="preserve">521.  </w:t>
      </w:r>
      <w:r>
        <w:rPr>
          <w:rFonts w:hint="eastAsia"/>
        </w:rPr>
        <w:t>如上次报告第</w:t>
      </w:r>
      <w:r>
        <w:t>380</w:t>
      </w:r>
      <w:r>
        <w:rPr>
          <w:rFonts w:hint="eastAsia"/>
        </w:rPr>
        <w:t>段所述，为达到这个目标，政府已建议各校于一九九七年年底前选择最适合其学生的教学语言。为了协助学校作出正确的选择，教育署向学校提供了以往所取录学生的语文能力剖析。不过，当局已向各校发出预早通告，由一九九八至九九学年起，如学校继续采用不适合学生能力的教学语言</w:t>
      </w:r>
      <w:r>
        <w:t>(</w:t>
      </w:r>
      <w:r>
        <w:rPr>
          <w:rFonts w:hint="eastAsia"/>
        </w:rPr>
        <w:t>或中英夹杂</w:t>
      </w:r>
      <w:r>
        <w:t>)</w:t>
      </w:r>
      <w:r>
        <w:rPr>
          <w:rFonts w:hint="eastAsia"/>
        </w:rPr>
        <w:t>，教育署会指令校方采用适合的教学语言。</w:t>
      </w:r>
    </w:p>
    <w:p w:rsidR="00000000" w:rsidRDefault="00000000">
      <w:r>
        <w:tab/>
        <w:t xml:space="preserve">522.  </w:t>
      </w:r>
      <w:r>
        <w:rPr>
          <w:rFonts w:hint="eastAsia"/>
        </w:rPr>
        <w:t>为此，我们于一九九七年九月发出了《中学教学语言指引》。这套指引由一九九八至九九学年起生效，到时会有超过</w:t>
      </w:r>
      <w:r>
        <w:t>70%(</w:t>
      </w:r>
      <w:r>
        <w:rPr>
          <w:rFonts w:hint="eastAsia"/>
        </w:rPr>
        <w:t>约</w:t>
      </w:r>
      <w:r>
        <w:t>300</w:t>
      </w:r>
      <w:r>
        <w:rPr>
          <w:rFonts w:hint="eastAsia"/>
        </w:rPr>
        <w:t>所</w:t>
      </w:r>
      <w:r>
        <w:t>)</w:t>
      </w:r>
      <w:r>
        <w:rPr>
          <w:rFonts w:hint="eastAsia"/>
        </w:rPr>
        <w:t>官立及资助中学采用中文教授所有学科</w:t>
      </w:r>
      <w:r>
        <w:t>(</w:t>
      </w:r>
      <w:r>
        <w:rPr>
          <w:rFonts w:hint="eastAsia"/>
        </w:rPr>
        <w:t>英文科除外</w:t>
      </w:r>
      <w:r>
        <w:t xml:space="preserve">) </w:t>
      </w:r>
      <w:r>
        <w:rPr>
          <w:rStyle w:val="FootnoteReference"/>
        </w:rPr>
        <w:footnoteReference w:id="105"/>
      </w:r>
      <w:r>
        <w:t xml:space="preserve"> </w:t>
      </w:r>
      <w:r>
        <w:rPr>
          <w:rFonts w:hint="eastAsia"/>
        </w:rPr>
        <w:t>。指引会首先应用于新收的中一学生，并会于第二年和第三年推展至中二和中三年级。届时我们会检讨这项政策，然后考虑会否把指引应用到中四年级。</w:t>
      </w:r>
    </w:p>
    <w:p w:rsidR="00000000" w:rsidRDefault="00000000">
      <w:r>
        <w:tab/>
        <w:t xml:space="preserve">523.  </w:t>
      </w:r>
      <w:r>
        <w:rPr>
          <w:rFonts w:hint="eastAsia"/>
        </w:rPr>
        <w:t>上述</w:t>
      </w:r>
      <w:r>
        <w:t>300</w:t>
      </w:r>
      <w:r>
        <w:rPr>
          <w:rFonts w:hint="eastAsia"/>
        </w:rPr>
        <w:t>所学校经接受</w:t>
      </w:r>
      <w:r>
        <w:t>(</w:t>
      </w:r>
      <w:r>
        <w:rPr>
          <w:rFonts w:hint="eastAsia"/>
        </w:rPr>
        <w:t>由教育署进行的</w:t>
      </w:r>
      <w:r>
        <w:t>)</w:t>
      </w:r>
      <w:r>
        <w:rPr>
          <w:rFonts w:hint="eastAsia"/>
        </w:rPr>
        <w:t>语言能力评估</w:t>
      </w:r>
      <w:r>
        <w:t xml:space="preserve"> </w:t>
      </w:r>
      <w:r>
        <w:rPr>
          <w:rStyle w:val="FootnoteReference"/>
        </w:rPr>
        <w:footnoteReference w:id="106"/>
      </w:r>
      <w:r>
        <w:t xml:space="preserve"> </w:t>
      </w:r>
      <w:r>
        <w:rPr>
          <w:rFonts w:hint="eastAsia"/>
        </w:rPr>
        <w:t>后，证实学生并不能因英语教学而得益，而学校本身也未能有效地以英语授课，因而须依照《指引》的指示授课。在评估过程中，我们共甄别出</w:t>
      </w:r>
      <w:r>
        <w:t>114</w:t>
      </w:r>
      <w:r>
        <w:rPr>
          <w:rFonts w:hint="eastAsia"/>
        </w:rPr>
        <w:t>所学校有能力以英语授课，其学生亦证明能通过英语教学而得益。这些学校会继续以英语作为教学语言。</w:t>
      </w:r>
    </w:p>
    <w:p w:rsidR="00000000" w:rsidRDefault="00000000">
      <w:pPr>
        <w:spacing w:after="320"/>
        <w:textAlignment w:val="center"/>
      </w:pPr>
      <w:r>
        <w:tab/>
        <w:t xml:space="preserve">524.  </w:t>
      </w:r>
      <w:r>
        <w:rPr>
          <w:rFonts w:hint="eastAsia"/>
        </w:rPr>
        <w:t>部分论者认为，这项政策会造成分化，且鼓吹精英教育。政府并不同意这个看法。这项政策旨在让学生能以最适合他们的学习语言接受教育，从而确保他们可在学业和未来事业方面得到最佳的发展。此外，学校的质素并不能以其教学语言来评定：不论是以中文教学或英语教学的学校，都能培育出优秀的学生。我们深信，母语教学政策日后定会有助培育出更多优秀的学生。</w:t>
      </w:r>
    </w:p>
    <w:p w:rsidR="00000000" w:rsidRDefault="00000000">
      <w:pPr>
        <w:pStyle w:val="Heading4"/>
      </w:pPr>
      <w:r>
        <w:rPr>
          <w:u w:val="none"/>
        </w:rPr>
        <w:tab/>
      </w:r>
      <w:r>
        <w:rPr>
          <w:rFonts w:hint="eastAsia"/>
        </w:rPr>
        <w:t>鼓励教师以母语教学及提高语文教学水平的师资培训</w:t>
      </w:r>
    </w:p>
    <w:p w:rsidR="00000000" w:rsidRDefault="00000000">
      <w:r>
        <w:tab/>
        <w:t xml:space="preserve">525.  </w:t>
      </w:r>
      <w:r>
        <w:rPr>
          <w:rFonts w:hint="eastAsia"/>
        </w:rPr>
        <w:t>语文教育学院于一九八二年成立，旨在提高语文教师的语文能力，并提高各校的语文教学及语文学习素质。语文教育学院现为香港教育学院一部分。香港教育学院于一九九四年成立，其中一项工作，是提供学位以下程度的师资训练，让受训教师对中文授课作好准备。此外，语文教育学院也举办兼读课程，培训在职教师以中文教授个别科目。在职教师也可修读有关以中文和英文授课的短期全日制课程。</w:t>
      </w:r>
    </w:p>
    <w:p w:rsidR="00000000" w:rsidRDefault="00000000">
      <w:pPr>
        <w:spacing w:after="320"/>
        <w:textAlignment w:val="center"/>
      </w:pPr>
      <w:r>
        <w:tab/>
        <w:t xml:space="preserve">526.  </w:t>
      </w:r>
      <w:r>
        <w:rPr>
          <w:rFonts w:hint="eastAsia"/>
        </w:rPr>
        <w:t>由二</w:t>
      </w:r>
      <w:r>
        <w:rPr>
          <w:rFonts w:hint="eastAsia"/>
          <w:sz w:val="32"/>
        </w:rPr>
        <w:t>○○○</w:t>
      </w:r>
      <w:r>
        <w:rPr>
          <w:rFonts w:hint="eastAsia"/>
        </w:rPr>
        <w:t>至</w:t>
      </w:r>
      <w:r>
        <w:rPr>
          <w:rFonts w:hint="eastAsia"/>
          <w:sz w:val="32"/>
        </w:rPr>
        <w:t>○</w:t>
      </w:r>
      <w:r>
        <w:rPr>
          <w:rFonts w:hint="eastAsia"/>
        </w:rPr>
        <w:t>一学年起，凡有志投身教学专业的学员，须达到既定的语文能力“基准”，才可毕业成为教师。在职语文教师须于二</w:t>
      </w:r>
      <w:r>
        <w:rPr>
          <w:rFonts w:hint="eastAsia"/>
          <w:sz w:val="32"/>
        </w:rPr>
        <w:t>○○</w:t>
      </w:r>
      <w:r>
        <w:rPr>
          <w:rFonts w:hint="eastAsia"/>
        </w:rPr>
        <w:t>五年年底前，符合这些基准。</w:t>
      </w:r>
    </w:p>
    <w:p w:rsidR="00000000" w:rsidRDefault="00000000">
      <w:pPr>
        <w:pStyle w:val="Heading4"/>
      </w:pPr>
      <w:r>
        <w:rPr>
          <w:u w:val="none"/>
        </w:rPr>
        <w:tab/>
      </w:r>
      <w:r>
        <w:rPr>
          <w:rFonts w:hint="eastAsia"/>
        </w:rPr>
        <w:t>少数族裔学生学习本身母语的机会</w:t>
      </w:r>
    </w:p>
    <w:p w:rsidR="00000000" w:rsidRDefault="00000000">
      <w:pPr>
        <w:spacing w:after="320"/>
        <w:textAlignment w:val="center"/>
      </w:pPr>
      <w:r>
        <w:tab/>
        <w:t xml:space="preserve">527.  </w:t>
      </w:r>
      <w:r>
        <w:rPr>
          <w:rFonts w:hint="eastAsia"/>
        </w:rPr>
        <w:t>如上次报告第</w:t>
      </w:r>
      <w:r>
        <w:t>343</w:t>
      </w:r>
      <w:r>
        <w:rPr>
          <w:rFonts w:hint="eastAsia"/>
        </w:rPr>
        <w:t>和第</w:t>
      </w:r>
      <w:r>
        <w:t>344</w:t>
      </w:r>
      <w:r>
        <w:rPr>
          <w:rFonts w:hint="eastAsia"/>
        </w:rPr>
        <w:t>段所述，政府办有两所小学及一所中学，为说英语的少数族裔人士提供学习其他语言的机会。这类学校一般以英语作为教学语言，但也会以学科形式教授其他语言，例如印地语、乌尔都语及法语。现时，另有</w:t>
      </w:r>
      <w:r>
        <w:t>43</w:t>
      </w:r>
      <w:r>
        <w:rPr>
          <w:rFonts w:hint="eastAsia"/>
        </w:rPr>
        <w:t>所私立国际学校提供英国、法国、德国、韩国、加拿大、日本、新加坡、澳洲及美国等国家的教育课程。这些学校大多接受政府提供拨地及</w:t>
      </w:r>
      <w:r>
        <w:t>/</w:t>
      </w:r>
      <w:r>
        <w:rPr>
          <w:rFonts w:hint="eastAsia"/>
        </w:rPr>
        <w:t>或津贴经常开支的资助。</w:t>
      </w:r>
    </w:p>
    <w:p w:rsidR="00000000" w:rsidRDefault="00000000">
      <w:pPr>
        <w:pStyle w:val="Heading4"/>
        <w:rPr>
          <w:rFonts w:ascii="SimSun"/>
        </w:rPr>
      </w:pPr>
      <w:r>
        <w:rPr>
          <w:rFonts w:ascii="SimSun" w:hint="eastAsia"/>
        </w:rPr>
        <w:t>高等教育</w:t>
      </w:r>
    </w:p>
    <w:p w:rsidR="00000000" w:rsidRDefault="00000000">
      <w:pPr>
        <w:pStyle w:val="Heading4"/>
      </w:pPr>
      <w:r>
        <w:rPr>
          <w:u w:val="none"/>
        </w:rPr>
        <w:tab/>
      </w:r>
      <w:r>
        <w:rPr>
          <w:rFonts w:hint="eastAsia"/>
        </w:rPr>
        <w:t>入学政策</w:t>
      </w:r>
    </w:p>
    <w:p w:rsidR="00000000" w:rsidRDefault="00000000">
      <w:pPr>
        <w:spacing w:after="320"/>
        <w:textAlignment w:val="center"/>
      </w:pPr>
      <w:r>
        <w:tab/>
        <w:t xml:space="preserve">528.  </w:t>
      </w:r>
      <w:r>
        <w:rPr>
          <w:rFonts w:hint="eastAsia"/>
        </w:rPr>
        <w:t>大专院校以学生成绩为收生标准。各院校都是独立的法定组织，可自行厘定和实施本身的收生准则。学位课程方面，由大学教育资助委员会</w:t>
      </w:r>
      <w:r>
        <w:t>(</w:t>
      </w:r>
      <w:r>
        <w:rPr>
          <w:rFonts w:hint="eastAsia"/>
        </w:rPr>
        <w:t>教资会</w:t>
      </w:r>
      <w:r>
        <w:t>)</w:t>
      </w:r>
      <w:r>
        <w:rPr>
          <w:rFonts w:hint="eastAsia"/>
        </w:rPr>
        <w:t>资助的各院校，主要通过大学联合招生办法收生</w:t>
      </w:r>
      <w:r>
        <w:t>(</w:t>
      </w:r>
      <w:r>
        <w:rPr>
          <w:rFonts w:hint="eastAsia"/>
        </w:rPr>
        <w:t>见下文第</w:t>
      </w:r>
      <w:r>
        <w:t>530</w:t>
      </w:r>
      <w:r>
        <w:rPr>
          <w:rFonts w:hint="eastAsia"/>
        </w:rPr>
        <w:t>段</w:t>
      </w:r>
      <w:r>
        <w:t>)</w:t>
      </w:r>
      <w:r>
        <w:rPr>
          <w:rFonts w:hint="eastAsia"/>
        </w:rPr>
        <w:t>。至于学位以下程度的课程方面，则通过香港大专学院专科课程联合招生办法招生。这两种招生办法，都是以学生的考试成绩为主要考虑。不过，个别课程可能须进行面试等额外的遴选程序。由一九九八至九九学年起，教资会资助的各间院校会取录一些在社会服务、美术和体育等非学科范畴上表现卓越的学生，入读学士学位课程。</w:t>
      </w:r>
    </w:p>
    <w:p w:rsidR="00000000" w:rsidRDefault="00000000">
      <w:pPr>
        <w:pStyle w:val="Heading4"/>
      </w:pPr>
      <w:r>
        <w:rPr>
          <w:u w:val="none"/>
        </w:rPr>
        <w:tab/>
      </w:r>
      <w:r>
        <w:rPr>
          <w:rFonts w:hint="eastAsia"/>
        </w:rPr>
        <w:t>提供大专教育学位</w:t>
      </w:r>
    </w:p>
    <w:p w:rsidR="00000000" w:rsidRDefault="00000000">
      <w:r>
        <w:tab/>
        <w:t xml:space="preserve">529.  </w:t>
      </w:r>
      <w:r>
        <w:rPr>
          <w:rFonts w:hint="eastAsia"/>
        </w:rPr>
        <w:t>过去十年来，第一年学士学位课程的学额，已由一九八七至八八学年的</w:t>
      </w:r>
      <w:r>
        <w:t>5,400</w:t>
      </w:r>
      <w:r>
        <w:rPr>
          <w:rFonts w:hint="eastAsia"/>
        </w:rPr>
        <w:t>个左右，增至一九九七至九八学年约</w:t>
      </w:r>
      <w:r>
        <w:t>14,500</w:t>
      </w:r>
      <w:r>
        <w:rPr>
          <w:rFonts w:hint="eastAsia"/>
        </w:rPr>
        <w:t>个。修读第一年学士学位课程的</w:t>
      </w:r>
      <w:r>
        <w:t>17</w:t>
      </w:r>
      <w:r>
        <w:rPr>
          <w:rFonts w:hint="eastAsia"/>
        </w:rPr>
        <w:t>至</w:t>
      </w:r>
      <w:r>
        <w:t>20</w:t>
      </w:r>
      <w:r>
        <w:rPr>
          <w:rFonts w:hint="eastAsia"/>
        </w:rPr>
        <w:t>岁年龄组别人士，其百分比也由一九八七至八八学年的</w:t>
      </w:r>
      <w:r>
        <w:t>6%</w:t>
      </w:r>
      <w:r>
        <w:rPr>
          <w:rFonts w:hint="eastAsia"/>
        </w:rPr>
        <w:t>，增至一九九七至九八学年的</w:t>
      </w:r>
      <w:r>
        <w:t>18%</w:t>
      </w:r>
      <w:r>
        <w:rPr>
          <w:rFonts w:hint="eastAsia"/>
        </w:rPr>
        <w:t>。在同一个年龄组别中，另有</w:t>
      </w:r>
      <w:r>
        <w:t>6%</w:t>
      </w:r>
      <w:r>
        <w:rPr>
          <w:rFonts w:hint="eastAsia"/>
        </w:rPr>
        <w:t>人士修读第一年的学位程度以下课程。教资会资助的各所院校，共提供</w:t>
      </w:r>
      <w:r>
        <w:t>45,000</w:t>
      </w:r>
      <w:r>
        <w:rPr>
          <w:rFonts w:hint="eastAsia"/>
        </w:rPr>
        <w:t>个学士学位课程学额、</w:t>
      </w:r>
      <w:r>
        <w:t>8,800</w:t>
      </w:r>
      <w:r>
        <w:rPr>
          <w:rFonts w:hint="eastAsia"/>
        </w:rPr>
        <w:t>个研究生课程学额，以及约</w:t>
      </w:r>
      <w:r>
        <w:t>14,700</w:t>
      </w:r>
      <w:r>
        <w:rPr>
          <w:rFonts w:hint="eastAsia"/>
        </w:rPr>
        <w:t>个学位以下程度课程学额</w:t>
      </w:r>
      <w:r>
        <w:t>(</w:t>
      </w:r>
      <w:r>
        <w:rPr>
          <w:rFonts w:hint="eastAsia"/>
        </w:rPr>
        <w:t>以相当于全日制学额计算</w:t>
      </w:r>
      <w:r>
        <w:t>)</w:t>
      </w:r>
      <w:r>
        <w:rPr>
          <w:rFonts w:hint="eastAsia"/>
        </w:rPr>
        <w:t>。</w:t>
      </w:r>
    </w:p>
    <w:p w:rsidR="00000000" w:rsidRDefault="00000000">
      <w:pPr>
        <w:spacing w:after="320"/>
        <w:textAlignment w:val="center"/>
      </w:pPr>
      <w:r>
        <w:tab/>
        <w:t xml:space="preserve">530.  </w:t>
      </w:r>
      <w:r>
        <w:rPr>
          <w:rFonts w:hint="eastAsia"/>
        </w:rPr>
        <w:t>现时，香港共有十所大专院校，其中八所由教资会资助。这八所大专院校中，有六所为可以全权自行评审资格和颁发认可学位的大学，另外两所则分别是岭南学院</w:t>
      </w:r>
      <w:r>
        <w:t>(</w:t>
      </w:r>
      <w:r>
        <w:rPr>
          <w:rFonts w:hint="eastAsia"/>
        </w:rPr>
        <w:t>由一九九八年九月起成为自行评审资格和颁发认可学位的文科学院</w:t>
      </w:r>
      <w:r>
        <w:t>)</w:t>
      </w:r>
      <w:r>
        <w:rPr>
          <w:rFonts w:hint="eastAsia"/>
        </w:rPr>
        <w:t>和香港教育学院</w:t>
      </w:r>
      <w:r>
        <w:t>(</w:t>
      </w:r>
      <w:r>
        <w:rPr>
          <w:rFonts w:hint="eastAsia"/>
        </w:rPr>
        <w:t>一所培训教师的学院，由一九九八至九九学年起开办学士学位及研究生课程</w:t>
      </w:r>
      <w:r>
        <w:t>)</w:t>
      </w:r>
      <w:r>
        <w:rPr>
          <w:rFonts w:hint="eastAsia"/>
        </w:rPr>
        <w:t>。此外，香港演艺学院</w:t>
      </w:r>
      <w:r>
        <w:t>(</w:t>
      </w:r>
      <w:r>
        <w:rPr>
          <w:rFonts w:hint="eastAsia"/>
        </w:rPr>
        <w:t>见下文第十五条下第</w:t>
      </w:r>
      <w:r>
        <w:t>586</w:t>
      </w:r>
      <w:r>
        <w:rPr>
          <w:rFonts w:hint="eastAsia"/>
        </w:rPr>
        <w:t>段</w:t>
      </w:r>
      <w:r>
        <w:t>)</w:t>
      </w:r>
      <w:r>
        <w:rPr>
          <w:rFonts w:hint="eastAsia"/>
        </w:rPr>
        <w:t>亦有颁授学位。不过，该学院并非由教资会资助，而是由政府直接资助的。至于香港公开大学</w:t>
      </w:r>
      <w:r>
        <w:t>(</w:t>
      </w:r>
      <w:r>
        <w:rPr>
          <w:rFonts w:hint="eastAsia"/>
        </w:rPr>
        <w:t>见下文第</w:t>
      </w:r>
      <w:r>
        <w:t>536</w:t>
      </w:r>
      <w:r>
        <w:rPr>
          <w:rFonts w:hint="eastAsia"/>
        </w:rPr>
        <w:t>至</w:t>
      </w:r>
      <w:r>
        <w:t>538</w:t>
      </w:r>
      <w:r>
        <w:rPr>
          <w:rFonts w:hint="eastAsia"/>
        </w:rPr>
        <w:t>段</w:t>
      </w:r>
      <w:r>
        <w:t>)</w:t>
      </w:r>
      <w:r>
        <w:rPr>
          <w:rFonts w:hint="eastAsia"/>
        </w:rPr>
        <w:t>则自负盈亏。此外，香港还有两所由职业训练局资助的科技学院，以及一所私人资助的专上学院。</w:t>
      </w:r>
    </w:p>
    <w:p w:rsidR="00000000" w:rsidRDefault="00000000">
      <w:pPr>
        <w:pStyle w:val="Heading4"/>
      </w:pPr>
      <w:r>
        <w:rPr>
          <w:u w:val="none"/>
        </w:rPr>
        <w:tab/>
      </w:r>
      <w:r>
        <w:rPr>
          <w:rFonts w:hint="eastAsia"/>
        </w:rPr>
        <w:t>为学生提供的学费资助及财政资助</w:t>
      </w:r>
    </w:p>
    <w:p w:rsidR="00000000" w:rsidRDefault="00000000">
      <w:pPr>
        <w:pStyle w:val="Heading4"/>
      </w:pPr>
      <w:r>
        <w:rPr>
          <w:u w:val="none"/>
        </w:rPr>
        <w:tab/>
      </w:r>
      <w:r>
        <w:rPr>
          <w:rFonts w:hint="eastAsia"/>
        </w:rPr>
        <w:t>教资会所资助院校的学费</w:t>
      </w:r>
    </w:p>
    <w:p w:rsidR="00000000" w:rsidRDefault="00000000">
      <w:pPr>
        <w:spacing w:after="320"/>
        <w:textAlignment w:val="center"/>
      </w:pPr>
      <w:r>
        <w:tab/>
        <w:t xml:space="preserve">531.  </w:t>
      </w:r>
      <w:r>
        <w:rPr>
          <w:rFonts w:hint="eastAsia"/>
        </w:rPr>
        <w:t>在上次报告第</w:t>
      </w:r>
      <w:r>
        <w:t>349</w:t>
      </w:r>
      <w:r>
        <w:rPr>
          <w:rFonts w:hint="eastAsia"/>
        </w:rPr>
        <w:t>段，我们解释，政府的政策，是要把教资会资助的各院校的学位课程学费，厘定于一个适当的水平，以收回每个学生平均教育成本的</w:t>
      </w:r>
      <w:r>
        <w:t>18%</w:t>
      </w:r>
      <w:r>
        <w:rPr>
          <w:rFonts w:hint="eastAsia"/>
        </w:rPr>
        <w:t>。这项政策旨在确保学生和社会能分担一个合理比例的教育成本。我们已于一九九七至九八学年达到这个目标。在该学年，政府资助的学位以下程度课程和学位课程的学费，分别为</w:t>
      </w:r>
      <w:r>
        <w:t>31,575</w:t>
      </w:r>
      <w:r>
        <w:rPr>
          <w:rFonts w:hint="eastAsia"/>
        </w:rPr>
        <w:t>港元和</w:t>
      </w:r>
      <w:r>
        <w:t>42,100</w:t>
      </w:r>
      <w:r>
        <w:rPr>
          <w:rFonts w:hint="eastAsia"/>
        </w:rPr>
        <w:t>港元。一九九八至九九学年的学费将维持于这个水平。</w:t>
      </w:r>
    </w:p>
    <w:p w:rsidR="00000000" w:rsidRDefault="00000000">
      <w:pPr>
        <w:pStyle w:val="Heading5"/>
        <w:rPr>
          <w:rFonts w:eastAsia="SimSun"/>
          <w:u w:val="single"/>
        </w:rPr>
      </w:pPr>
      <w:r>
        <w:tab/>
      </w:r>
      <w:r>
        <w:rPr>
          <w:rFonts w:eastAsia="SimSun" w:hint="eastAsia"/>
          <w:u w:val="single"/>
        </w:rPr>
        <w:t>为大专学生提供的财政资助</w:t>
      </w:r>
    </w:p>
    <w:p w:rsidR="00000000" w:rsidRDefault="00000000">
      <w:pPr>
        <w:spacing w:after="320"/>
        <w:textAlignment w:val="center"/>
      </w:pPr>
      <w:r>
        <w:tab/>
        <w:t xml:space="preserve">532.  </w:t>
      </w:r>
      <w:r>
        <w:rPr>
          <w:rFonts w:hint="eastAsia"/>
        </w:rPr>
        <w:t>政府的一贯政策，是所有合资格的学生，都不应因经济困难而丧失接受大专教育的机会。为此，学生资助办事处负责管理多项大专学生的财政资助计划，以及多项颁发给成绩优异学生的私人资助奖学金。有关详情载于附件</w:t>
      </w:r>
      <w:r>
        <w:t>29</w:t>
      </w:r>
      <w:r>
        <w:rPr>
          <w:rFonts w:hint="eastAsia"/>
        </w:rPr>
        <w:t>。</w:t>
      </w:r>
    </w:p>
    <w:p w:rsidR="00000000" w:rsidRDefault="00000000">
      <w:pPr>
        <w:pStyle w:val="Heading4"/>
      </w:pPr>
      <w:r>
        <w:rPr>
          <w:u w:val="none"/>
        </w:rPr>
        <w:tab/>
      </w:r>
      <w:r>
        <w:rPr>
          <w:rFonts w:hint="eastAsia"/>
        </w:rPr>
        <w:t>说外语人士接受大专教育的机会</w:t>
      </w:r>
    </w:p>
    <w:p w:rsidR="00000000" w:rsidRDefault="00000000">
      <w:pPr>
        <w:spacing w:after="320"/>
        <w:textAlignment w:val="center"/>
      </w:pPr>
      <w:r>
        <w:tab/>
        <w:t xml:space="preserve">533.  </w:t>
      </w:r>
      <w:r>
        <w:rPr>
          <w:rFonts w:hint="eastAsia"/>
        </w:rPr>
        <w:t>大部分大专院校在收生时，都要求申请人取得高级程度</w:t>
      </w:r>
      <w:r>
        <w:t>(</w:t>
      </w:r>
      <w:r>
        <w:rPr>
          <w:rFonts w:hint="eastAsia"/>
        </w:rPr>
        <w:t>大学预科</w:t>
      </w:r>
      <w:r>
        <w:t>)</w:t>
      </w:r>
      <w:r>
        <w:rPr>
          <w:rFonts w:hint="eastAsia"/>
        </w:rPr>
        <w:t>中英文两科及格的成绩。由一九九八至九九学年起，大部分申请人都必须符合这项规定。不过，说外语人士依旧有机会接受大专教育，因为各院校大部分课程均接受申请人以另一种第二语文</w:t>
      </w:r>
      <w:r>
        <w:t>(</w:t>
      </w:r>
      <w:r>
        <w:rPr>
          <w:rFonts w:hint="eastAsia"/>
        </w:rPr>
        <w:t>例如法文</w:t>
      </w:r>
      <w:r>
        <w:t>)</w:t>
      </w:r>
      <w:r>
        <w:rPr>
          <w:rFonts w:hint="eastAsia"/>
        </w:rPr>
        <w:t>的成绩报读。</w:t>
      </w:r>
    </w:p>
    <w:p w:rsidR="00000000" w:rsidRDefault="00000000">
      <w:pPr>
        <w:pStyle w:val="Heading4"/>
        <w:rPr>
          <w:rFonts w:ascii="SimSun"/>
        </w:rPr>
      </w:pPr>
      <w:r>
        <w:rPr>
          <w:rFonts w:ascii="SimSun" w:hint="eastAsia"/>
        </w:rPr>
        <w:t>成人教育</w:t>
      </w:r>
    </w:p>
    <w:p w:rsidR="00000000" w:rsidRDefault="00000000">
      <w:pPr>
        <w:pStyle w:val="Heading4"/>
      </w:pPr>
      <w:r>
        <w:rPr>
          <w:u w:val="none"/>
        </w:rPr>
        <w:tab/>
      </w:r>
      <w:r>
        <w:rPr>
          <w:rFonts w:hint="eastAsia"/>
        </w:rPr>
        <w:t>本地的成人教育</w:t>
      </w:r>
    </w:p>
    <w:p w:rsidR="00000000" w:rsidRDefault="00000000">
      <w:r>
        <w:tab/>
        <w:t xml:space="preserve">534.  </w:t>
      </w:r>
      <w:r>
        <w:rPr>
          <w:rFonts w:hint="eastAsia"/>
        </w:rPr>
        <w:t>对于年满</w:t>
      </w:r>
      <w:r>
        <w:t>15</w:t>
      </w:r>
      <w:r>
        <w:rPr>
          <w:rFonts w:hint="eastAsia"/>
        </w:rPr>
        <w:t>岁的香港居民，教育署有为他们开办各级中小学程度的课程和一项英语课程。截至一九九八年六月三十日为止，有关课程的学生已超过</w:t>
      </w:r>
      <w:r>
        <w:t>10,500</w:t>
      </w:r>
      <w:r>
        <w:rPr>
          <w:rFonts w:hint="eastAsia"/>
        </w:rPr>
        <w:t>人。</w:t>
      </w:r>
    </w:p>
    <w:p w:rsidR="00000000" w:rsidRDefault="00000000">
      <w:pPr>
        <w:spacing w:after="320"/>
        <w:textAlignment w:val="center"/>
      </w:pPr>
      <w:r>
        <w:tab/>
        <w:t xml:space="preserve">535.  </w:t>
      </w:r>
      <w:r>
        <w:rPr>
          <w:rFonts w:hint="eastAsia"/>
        </w:rPr>
        <w:t>此外，教育署也资助非政府机构开办各类课程，例如中文基础识字班、新来港人士粤语班、职前训练、职业辅导课程、残疾成人特殊教育课程、退休前</w:t>
      </w:r>
      <w:r>
        <w:t>/</w:t>
      </w:r>
      <w:r>
        <w:rPr>
          <w:rFonts w:hint="eastAsia"/>
        </w:rPr>
        <w:t>退休生活教育课程等。</w:t>
      </w:r>
    </w:p>
    <w:p w:rsidR="00000000" w:rsidRDefault="00000000">
      <w:pPr>
        <w:pStyle w:val="Heading4"/>
      </w:pPr>
      <w:r>
        <w:rPr>
          <w:u w:val="none"/>
        </w:rPr>
        <w:tab/>
      </w:r>
      <w:r>
        <w:rPr>
          <w:rFonts w:hint="eastAsia"/>
        </w:rPr>
        <w:t>大专程度的持续及专业教育</w:t>
      </w:r>
    </w:p>
    <w:p w:rsidR="00000000" w:rsidRDefault="00000000">
      <w:r>
        <w:tab/>
        <w:t xml:space="preserve">536.  </w:t>
      </w:r>
      <w:r>
        <w:rPr>
          <w:rFonts w:hint="eastAsia"/>
        </w:rPr>
        <w:t>一九九六年，教资会曾就香港的高等教育情况进行检讨。结果显示，约有</w:t>
      </w:r>
      <w:r>
        <w:t>320,000</w:t>
      </w:r>
      <w:r>
        <w:rPr>
          <w:rFonts w:hint="eastAsia"/>
        </w:rPr>
        <w:t>人</w:t>
      </w:r>
      <w:r>
        <w:t>(</w:t>
      </w:r>
      <w:r>
        <w:rPr>
          <w:rFonts w:hint="eastAsia"/>
        </w:rPr>
        <w:t>占工作人口一成</w:t>
      </w:r>
      <w:r>
        <w:t>)</w:t>
      </w:r>
      <w:r>
        <w:rPr>
          <w:rFonts w:hint="eastAsia"/>
        </w:rPr>
        <w:t>正在修读各类大专程度的持续及专业教育课程。香港公开大学</w:t>
      </w:r>
      <w:r>
        <w:t>(</w:t>
      </w:r>
      <w:r>
        <w:rPr>
          <w:rFonts w:hint="eastAsia"/>
        </w:rPr>
        <w:t>公开大学</w:t>
      </w:r>
      <w:r>
        <w:t>)</w:t>
      </w:r>
      <w:r>
        <w:rPr>
          <w:rFonts w:hint="eastAsia"/>
        </w:rPr>
        <w:t>是提供这类课程的其中一所主要大专院校。公开大学前身为公开进修学院，于一九九七年升格为本港第七所大学。</w:t>
      </w:r>
    </w:p>
    <w:p w:rsidR="00000000" w:rsidRDefault="00000000">
      <w:r>
        <w:tab/>
        <w:t xml:space="preserve">537.  </w:t>
      </w:r>
      <w:r>
        <w:rPr>
          <w:rFonts w:hint="eastAsia"/>
        </w:rPr>
        <w:t>如上次报告第</w:t>
      </w:r>
      <w:r>
        <w:t>352</w:t>
      </w:r>
      <w:r>
        <w:rPr>
          <w:rFonts w:hint="eastAsia"/>
        </w:rPr>
        <w:t>及第</w:t>
      </w:r>
      <w:r>
        <w:t>353</w:t>
      </w:r>
      <w:r>
        <w:rPr>
          <w:rFonts w:hint="eastAsia"/>
        </w:rPr>
        <w:t>段所述，公开进修学院于一九八九年成立，为那些因各种原因而错失机会入读正规大专院校的人士，提供另一个进修机会。此外，学院也为那些出于个人兴趣及希望充实自己的人士提供机会，让他们在余暇进修。学院升格为大学后，大部分课程仍公开让有兴趣的人士修读，不设任何正式的入学资格</w:t>
      </w:r>
      <w:r>
        <w:t>(</w:t>
      </w:r>
      <w:r>
        <w:rPr>
          <w:rFonts w:hint="eastAsia"/>
        </w:rPr>
        <w:t>但学生必须具备一定的语文及算术能力</w:t>
      </w:r>
      <w:r>
        <w:t>)</w:t>
      </w:r>
      <w:r>
        <w:rPr>
          <w:rFonts w:hint="eastAsia"/>
        </w:rPr>
        <w:t>。一如以往，公开大学采用遥距授课方式，再辅以面对面的课堂讲学。学费方面，仍按照课程的成本厘定。现时，每年学费平均约为</w:t>
      </w:r>
      <w:r>
        <w:t>19,000</w:t>
      </w:r>
      <w:r>
        <w:rPr>
          <w:rFonts w:hint="eastAsia"/>
        </w:rPr>
        <w:t>港元</w:t>
      </w:r>
      <w:r>
        <w:t xml:space="preserve"> </w:t>
      </w:r>
      <w:r>
        <w:rPr>
          <w:rStyle w:val="FootnoteReference"/>
        </w:rPr>
        <w:footnoteReference w:id="107"/>
      </w:r>
      <w:r>
        <w:t xml:space="preserve"> </w:t>
      </w:r>
      <w:r>
        <w:rPr>
          <w:rFonts w:hint="eastAsia"/>
        </w:rPr>
        <w:t>。</w:t>
      </w:r>
    </w:p>
    <w:p w:rsidR="00000000" w:rsidRDefault="00000000">
      <w:pPr>
        <w:spacing w:after="320"/>
        <w:textAlignment w:val="center"/>
      </w:pPr>
      <w:r>
        <w:tab/>
        <w:t xml:space="preserve">538.  </w:t>
      </w:r>
      <w:r>
        <w:rPr>
          <w:rFonts w:hint="eastAsia"/>
        </w:rPr>
        <w:t>一九九七至九八学年，公开大学有学生</w:t>
      </w:r>
      <w:r>
        <w:t>22,900</w:t>
      </w:r>
      <w:r>
        <w:rPr>
          <w:rFonts w:hint="eastAsia"/>
        </w:rPr>
        <w:t>多人，其中</w:t>
      </w:r>
      <w:r>
        <w:t>20,800</w:t>
      </w:r>
      <w:r>
        <w:rPr>
          <w:rFonts w:hint="eastAsia"/>
        </w:rPr>
        <w:t>人分别修读</w:t>
      </w:r>
      <w:r>
        <w:t>40</w:t>
      </w:r>
      <w:r>
        <w:rPr>
          <w:rFonts w:hint="eastAsia"/>
        </w:rPr>
        <w:t>个学位课程，另</w:t>
      </w:r>
      <w:r>
        <w:t>2,100</w:t>
      </w:r>
      <w:r>
        <w:rPr>
          <w:rFonts w:hint="eastAsia"/>
        </w:rPr>
        <w:t>人则分别修读</w:t>
      </w:r>
      <w:r>
        <w:t>24</w:t>
      </w:r>
      <w:r>
        <w:rPr>
          <w:rFonts w:hint="eastAsia"/>
        </w:rPr>
        <w:t>个学位以下程度课程。公开大学还开办了</w:t>
      </w:r>
      <w:r>
        <w:t>280</w:t>
      </w:r>
      <w:r>
        <w:rPr>
          <w:rFonts w:hint="eastAsia"/>
        </w:rPr>
        <w:t>个短期课程，包括为护士及教师等专业人士而设的职业深造课程，以及一些语文及电脑等科目的夜间课程。在一九九七至九八学年，这些短期课程吸引了</w:t>
      </w:r>
      <w:r>
        <w:t>6,000</w:t>
      </w:r>
      <w:r>
        <w:rPr>
          <w:rFonts w:hint="eastAsia"/>
        </w:rPr>
        <w:t>多人报读。</w:t>
      </w:r>
    </w:p>
    <w:p w:rsidR="00000000" w:rsidRDefault="00000000">
      <w:pPr>
        <w:pStyle w:val="Heading4"/>
      </w:pPr>
      <w:r>
        <w:rPr>
          <w:u w:val="none"/>
        </w:rPr>
        <w:tab/>
      </w:r>
      <w:r>
        <w:rPr>
          <w:rFonts w:hint="eastAsia"/>
        </w:rPr>
        <w:t>提供持续教育的其他教育机构</w:t>
      </w:r>
    </w:p>
    <w:p w:rsidR="00000000" w:rsidRDefault="00000000">
      <w:pPr>
        <w:spacing w:after="320"/>
        <w:textAlignment w:val="center"/>
      </w:pPr>
      <w:r>
        <w:tab/>
        <w:t xml:space="preserve">539.  </w:t>
      </w:r>
      <w:r>
        <w:rPr>
          <w:rFonts w:hint="eastAsia"/>
        </w:rPr>
        <w:t>教资会所资助的各间大专院校，均设有持续和专业教育部，是提供这类课程的主要教育机构。此外，一些非本地教育机构也有在港开办这类课程，为数超过</w:t>
      </w:r>
      <w:r>
        <w:t>430</w:t>
      </w:r>
      <w:r>
        <w:rPr>
          <w:rFonts w:hint="eastAsia"/>
        </w:rPr>
        <w:t>个。有关课程为香港市民提供更多进修的选择，并使他们毋需出国便能取得海外资格。由一九九七年六月起生效的《非本地高等及专业教育</w:t>
      </w:r>
      <w:r>
        <w:t>(</w:t>
      </w:r>
      <w:r>
        <w:rPr>
          <w:rFonts w:hint="eastAsia"/>
        </w:rPr>
        <w:t>规管</w:t>
      </w:r>
      <w:r>
        <w:t>)</w:t>
      </w:r>
      <w:r>
        <w:rPr>
          <w:rFonts w:hint="eastAsia"/>
        </w:rPr>
        <w:t>条例》</w:t>
      </w:r>
      <w:r>
        <w:t>(</w:t>
      </w:r>
      <w:r>
        <w:rPr>
          <w:rFonts w:hint="eastAsia"/>
        </w:rPr>
        <w:t>第</w:t>
      </w:r>
      <w:r>
        <w:t>493</w:t>
      </w:r>
      <w:r>
        <w:rPr>
          <w:rFonts w:hint="eastAsia"/>
        </w:rPr>
        <w:t>章</w:t>
      </w:r>
      <w:r>
        <w:t>)</w:t>
      </w:r>
      <w:r>
        <w:rPr>
          <w:rFonts w:hint="eastAsia"/>
        </w:rPr>
        <w:t>，对教育机构推销不合乎标准的课程作出规管，以免市民蒙受损失。不过，那些纯粹通过电讯或邮递方式授课的海外遥距课程，以及在业务过程中向公众售卖的材料，均不受该条例的规管，因为这涉及发表自由的权利。</w:t>
      </w:r>
    </w:p>
    <w:p w:rsidR="00000000" w:rsidRDefault="00000000">
      <w:pPr>
        <w:pStyle w:val="Heading4"/>
        <w:rPr>
          <w:rFonts w:ascii="SimSun"/>
        </w:rPr>
      </w:pPr>
      <w:r>
        <w:rPr>
          <w:rFonts w:ascii="SimSun" w:hint="eastAsia"/>
        </w:rPr>
        <w:t>职业训练及再培训</w:t>
      </w:r>
    </w:p>
    <w:p w:rsidR="00000000" w:rsidRDefault="00000000">
      <w:r>
        <w:tab/>
        <w:t xml:space="preserve">540.  </w:t>
      </w:r>
      <w:r>
        <w:rPr>
          <w:rFonts w:hint="eastAsia"/>
        </w:rPr>
        <w:t>职业训练局是提供职业训练的主要机构，同时负责就有关职业训练的政策，向政府提供意见。职业训练局辖下设有两所科技学校、七所工业学院，以及</w:t>
      </w:r>
      <w:r>
        <w:t>24</w:t>
      </w:r>
      <w:r>
        <w:rPr>
          <w:rFonts w:hint="eastAsia"/>
        </w:rPr>
        <w:t>个工业训练中心，分别开办多项课程，以提供专上程度的工业教育、工业技能训练、学徒训练及残疾人士职业训练。</w:t>
      </w:r>
    </w:p>
    <w:p w:rsidR="00000000" w:rsidRDefault="00000000">
      <w:r>
        <w:tab/>
        <w:t xml:space="preserve">541.  </w:t>
      </w:r>
      <w:r>
        <w:rPr>
          <w:rFonts w:hint="eastAsia"/>
        </w:rPr>
        <w:t>在一九九七至九八学年，职业训练局辖下各所工业学院，共提供了</w:t>
      </w:r>
      <w:r>
        <w:t>13,716</w:t>
      </w:r>
      <w:r>
        <w:rPr>
          <w:rFonts w:hint="eastAsia"/>
        </w:rPr>
        <w:t>个全日制学额、</w:t>
      </w:r>
      <w:r>
        <w:t>12,000</w:t>
      </w:r>
      <w:r>
        <w:rPr>
          <w:rFonts w:hint="eastAsia"/>
        </w:rPr>
        <w:t>个日间兼读学额、</w:t>
      </w:r>
      <w:r>
        <w:t>23,688</w:t>
      </w:r>
      <w:r>
        <w:rPr>
          <w:rFonts w:hint="eastAsia"/>
        </w:rPr>
        <w:t>个晚间兼读学额和</w:t>
      </w:r>
      <w:r>
        <w:t>12,700</w:t>
      </w:r>
      <w:r>
        <w:rPr>
          <w:rFonts w:hint="eastAsia"/>
        </w:rPr>
        <w:t>个短期课程学额。两所科技学校提供了</w:t>
      </w:r>
      <w:r>
        <w:t>5,075</w:t>
      </w:r>
      <w:r>
        <w:rPr>
          <w:rFonts w:hint="eastAsia"/>
        </w:rPr>
        <w:t>个全日制学额、</w:t>
      </w:r>
      <w:r>
        <w:t>1,256</w:t>
      </w:r>
      <w:r>
        <w:rPr>
          <w:rFonts w:hint="eastAsia"/>
        </w:rPr>
        <w:t>个日间兼读学额及</w:t>
      </w:r>
      <w:r>
        <w:t>7,641</w:t>
      </w:r>
      <w:r>
        <w:rPr>
          <w:rFonts w:hint="eastAsia"/>
        </w:rPr>
        <w:t>个晚间兼读学额。此外，</w:t>
      </w:r>
      <w:r>
        <w:t>24</w:t>
      </w:r>
      <w:r>
        <w:rPr>
          <w:rFonts w:hint="eastAsia"/>
        </w:rPr>
        <w:t>个工业训练中心则提供了</w:t>
      </w:r>
      <w:r>
        <w:t>48,968</w:t>
      </w:r>
      <w:r>
        <w:rPr>
          <w:rFonts w:hint="eastAsia"/>
        </w:rPr>
        <w:t>个全日制及兼读学额。一九九七至九八学年按上课方式及课程程度计算的学生人数统计资料，分载于附件</w:t>
      </w:r>
      <w:r>
        <w:t>30</w:t>
      </w:r>
      <w:r>
        <w:rPr>
          <w:rFonts w:hint="eastAsia"/>
        </w:rPr>
        <w:t>及</w:t>
      </w:r>
      <w:r>
        <w:t>31</w:t>
      </w:r>
      <w:r>
        <w:rPr>
          <w:rFonts w:hint="eastAsia"/>
        </w:rPr>
        <w:t>。</w:t>
      </w:r>
    </w:p>
    <w:p w:rsidR="00000000" w:rsidRDefault="00000000">
      <w:pPr>
        <w:spacing w:after="320"/>
        <w:textAlignment w:val="center"/>
      </w:pPr>
      <w:r>
        <w:tab/>
        <w:t xml:space="preserve">542.  </w:t>
      </w:r>
      <w:r>
        <w:rPr>
          <w:rFonts w:hint="eastAsia"/>
        </w:rPr>
        <w:t>建造业训练局及制衣业训练局方面，也分别为操作工人、技工和技术员提供其业内的职前训练和深入训练。雇员再培训局则为年满</w:t>
      </w:r>
      <w:r>
        <w:t>30</w:t>
      </w:r>
      <w:r>
        <w:rPr>
          <w:rFonts w:hint="eastAsia"/>
        </w:rPr>
        <w:t>岁的失业工人开办再培训课程。</w:t>
      </w:r>
    </w:p>
    <w:p w:rsidR="00000000" w:rsidRDefault="00000000">
      <w:pPr>
        <w:pStyle w:val="Heading4"/>
      </w:pPr>
      <w:r>
        <w:rPr>
          <w:u w:val="none"/>
        </w:rPr>
        <w:tab/>
      </w:r>
      <w:r>
        <w:rPr>
          <w:rFonts w:hint="eastAsia"/>
        </w:rPr>
        <w:t>学徒训练</w:t>
      </w:r>
    </w:p>
    <w:p w:rsidR="00000000" w:rsidRDefault="00000000">
      <w:pPr>
        <w:spacing w:after="320"/>
        <w:textAlignment w:val="center"/>
      </w:pPr>
      <w:r>
        <w:tab/>
        <w:t xml:space="preserve">543.  </w:t>
      </w:r>
      <w:r>
        <w:rPr>
          <w:rFonts w:hint="eastAsia"/>
        </w:rPr>
        <w:t>《学徒制度条例》</w:t>
      </w:r>
      <w:r>
        <w:t>(</w:t>
      </w:r>
      <w:r>
        <w:rPr>
          <w:rFonts w:hint="eastAsia"/>
        </w:rPr>
        <w:t>第</w:t>
      </w:r>
      <w:r>
        <w:t>47</w:t>
      </w:r>
      <w:r>
        <w:rPr>
          <w:rFonts w:hint="eastAsia"/>
        </w:rPr>
        <w:t>章</w:t>
      </w:r>
      <w:r>
        <w:t>)</w:t>
      </w:r>
      <w:r>
        <w:rPr>
          <w:rFonts w:hint="eastAsia"/>
        </w:rPr>
        <w:t>就雇主于指定行业训练及雇用学徒事宜作出规管，以确保学徒在有关工作上能得到有系统的训练和辅助。年龄介乎</w:t>
      </w:r>
      <w:r>
        <w:t>14</w:t>
      </w:r>
      <w:r>
        <w:rPr>
          <w:rFonts w:hint="eastAsia"/>
        </w:rPr>
        <w:t>至</w:t>
      </w:r>
      <w:r>
        <w:t>18</w:t>
      </w:r>
      <w:r>
        <w:rPr>
          <w:rFonts w:hint="eastAsia"/>
        </w:rPr>
        <w:t>岁的青少年，如受聘从事指定行业，但未完成学徒训练，均须与雇主签订合约。雇主必须将合约交予学徒事务专员注册。一九九七年，注册合约有</w:t>
      </w:r>
      <w:r>
        <w:t>3,580</w:t>
      </w:r>
      <w:r>
        <w:rPr>
          <w:rFonts w:hint="eastAsia"/>
        </w:rPr>
        <w:t>份，其中</w:t>
      </w:r>
      <w:r>
        <w:t>2,809</w:t>
      </w:r>
      <w:r>
        <w:rPr>
          <w:rFonts w:hint="eastAsia"/>
        </w:rPr>
        <w:t>份为技工学徒合约，</w:t>
      </w:r>
      <w:r>
        <w:t>771</w:t>
      </w:r>
      <w:r>
        <w:rPr>
          <w:rFonts w:hint="eastAsia"/>
        </w:rPr>
        <w:t>份则为技术员学徒合约。截至一九九七年年底，有</w:t>
      </w:r>
      <w:r>
        <w:t>7,938</w:t>
      </w:r>
      <w:r>
        <w:rPr>
          <w:rFonts w:hint="eastAsia"/>
        </w:rPr>
        <w:t>名学徒正接受训练。</w:t>
      </w:r>
    </w:p>
    <w:p w:rsidR="00000000" w:rsidRDefault="00000000">
      <w:pPr>
        <w:pStyle w:val="Heading4"/>
        <w:rPr>
          <w:rFonts w:ascii="SimSun"/>
        </w:rPr>
      </w:pPr>
      <w:r>
        <w:rPr>
          <w:rFonts w:ascii="SimSun" w:hint="eastAsia"/>
        </w:rPr>
        <w:t>为残疾学生提供教育</w:t>
      </w:r>
    </w:p>
    <w:p w:rsidR="00000000" w:rsidRDefault="00000000">
      <w:pPr>
        <w:pStyle w:val="Heading4"/>
      </w:pPr>
      <w:r>
        <w:rPr>
          <w:u w:val="none"/>
        </w:rPr>
        <w:tab/>
      </w:r>
      <w:r>
        <w:rPr>
          <w:rFonts w:hint="eastAsia"/>
        </w:rPr>
        <w:t>为残障儿童提供中小学教育</w:t>
      </w:r>
    </w:p>
    <w:p w:rsidR="00000000" w:rsidRDefault="00000000">
      <w:r>
        <w:tab/>
        <w:t xml:space="preserve">544.  </w:t>
      </w:r>
      <w:r>
        <w:rPr>
          <w:rFonts w:hint="eastAsia"/>
        </w:rPr>
        <w:t>如上次报告第</w:t>
      </w:r>
      <w:r>
        <w:t>359</w:t>
      </w:r>
      <w:r>
        <w:rPr>
          <w:rFonts w:hint="eastAsia"/>
        </w:rPr>
        <w:t>及第</w:t>
      </w:r>
      <w:r>
        <w:t>360</w:t>
      </w:r>
      <w:r>
        <w:rPr>
          <w:rFonts w:hint="eastAsia"/>
        </w:rPr>
        <w:t>段所述，政府鼓励有特殊需要的儿童尽可能在普通学校接受教育，并向他们提供适当的支持。附件</w:t>
      </w:r>
      <w:r>
        <w:t>32</w:t>
      </w:r>
      <w:r>
        <w:rPr>
          <w:rFonts w:hint="eastAsia"/>
        </w:rPr>
        <w:t>开列各类残疾的认可定义；附件</w:t>
      </w:r>
      <w:r>
        <w:t>33</w:t>
      </w:r>
      <w:r>
        <w:rPr>
          <w:rFonts w:hint="eastAsia"/>
        </w:rPr>
        <w:t>则开列普通学校残疾学童可获提供的各项支持服务。</w:t>
      </w:r>
    </w:p>
    <w:p w:rsidR="00000000" w:rsidRDefault="00000000">
      <w:pPr>
        <w:jc w:val="both"/>
      </w:pPr>
      <w:r>
        <w:tab/>
        <w:t xml:space="preserve">545.  </w:t>
      </w:r>
      <w:r>
        <w:rPr>
          <w:rFonts w:hint="eastAsia"/>
        </w:rPr>
        <w:t>有较复杂需要的儿童，或有严重残疾以致不能从主流教育中获益的儿童，均在特殊学校接受免费的强迫普通教育，直至初中程度为止。肢体或感官机能有缺陷的儿童，最少应接受九年教育；弱智儿童则应接受十年教育。</w:t>
      </w:r>
    </w:p>
    <w:p w:rsidR="00000000" w:rsidRDefault="00000000">
      <w:pPr>
        <w:spacing w:after="320"/>
        <w:jc w:val="both"/>
      </w:pPr>
      <w:r>
        <w:tab/>
        <w:t xml:space="preserve">546.  </w:t>
      </w:r>
      <w:r>
        <w:rPr>
          <w:rFonts w:hint="eastAsia"/>
        </w:rPr>
        <w:t>有能力继续升学的残疾儿童，可视需要而入读普通学校或特殊学校，接受高中</w:t>
      </w:r>
      <w:r>
        <w:t>(</w:t>
      </w:r>
      <w:r>
        <w:rPr>
          <w:rFonts w:hint="eastAsia"/>
        </w:rPr>
        <w:t>中四及中五</w:t>
      </w:r>
      <w:r>
        <w:t>)</w:t>
      </w:r>
      <w:r>
        <w:rPr>
          <w:rFonts w:hint="eastAsia"/>
        </w:rPr>
        <w:t>教育。至于无意继续修读高中课程的学生，则可接受职业训练。各类特殊学校的供求情况载于附件</w:t>
      </w:r>
      <w:r>
        <w:t>34</w:t>
      </w:r>
      <w:r>
        <w:rPr>
          <w:rFonts w:hint="eastAsia"/>
        </w:rPr>
        <w:t>。</w:t>
      </w:r>
    </w:p>
    <w:p w:rsidR="00000000" w:rsidRDefault="00000000">
      <w:pPr>
        <w:pStyle w:val="Heading4"/>
        <w:widowControl/>
        <w:ind w:left="500"/>
      </w:pPr>
      <w:r>
        <w:rPr>
          <w:rFonts w:hint="eastAsia"/>
        </w:rPr>
        <w:t>未来路向</w:t>
      </w:r>
    </w:p>
    <w:p w:rsidR="00000000" w:rsidRDefault="00000000">
      <w:pPr>
        <w:spacing w:after="320"/>
        <w:jc w:val="both"/>
      </w:pPr>
      <w:r>
        <w:tab/>
        <w:t xml:space="preserve">547.  </w:t>
      </w:r>
      <w:r>
        <w:rPr>
          <w:rFonts w:hint="eastAsia"/>
        </w:rPr>
        <w:t>一九九七年九月，教育署推出了一项为期两年的试验计划，让普通学校的教职员在残疾学生融入主流教育的过程中，能作出更大程度的参与。基本上，这个试验计划是一个对照研究，有九所学校及</w:t>
      </w:r>
      <w:r>
        <w:t>48</w:t>
      </w:r>
      <w:r>
        <w:rPr>
          <w:rFonts w:hint="eastAsia"/>
        </w:rPr>
        <w:t>名学生参与。我们将于一九九九年进行检讨，并会从中汲取经验，以便订定长远战略，让有特别教育需要的学生更容易融入普通学校。</w:t>
      </w:r>
    </w:p>
    <w:p w:rsidR="00000000" w:rsidRDefault="00000000">
      <w:pPr>
        <w:pStyle w:val="Heading4"/>
        <w:widowControl/>
        <w:ind w:left="518"/>
      </w:pPr>
      <w:r>
        <w:rPr>
          <w:rFonts w:hint="eastAsia"/>
        </w:rPr>
        <w:t>残疾人士：校舍的进出通道设计</w:t>
      </w:r>
    </w:p>
    <w:p w:rsidR="00000000" w:rsidRDefault="00000000">
      <w:pPr>
        <w:spacing w:after="320"/>
        <w:jc w:val="both"/>
      </w:pPr>
      <w:r>
        <w:tab/>
        <w:t xml:space="preserve">548.  </w:t>
      </w:r>
      <w:r>
        <w:rPr>
          <w:rFonts w:hint="eastAsia"/>
        </w:rPr>
        <w:t>如上次报告第</w:t>
      </w:r>
      <w:r>
        <w:t>361</w:t>
      </w:r>
      <w:r>
        <w:rPr>
          <w:rFonts w:hint="eastAsia"/>
        </w:rPr>
        <w:t>段所述，所有在一九九七年五月或以后落成的新校舍，均有特别的设计，确保方便残疾儿童进出。当局亦已采取步骤，在技术上可行而又合乎成本效益的情况下，于现有学校加建残障人士通道。</w:t>
      </w:r>
    </w:p>
    <w:p w:rsidR="00000000" w:rsidRDefault="00000000">
      <w:pPr>
        <w:pStyle w:val="Heading4"/>
        <w:widowControl/>
        <w:ind w:left="518"/>
      </w:pPr>
      <w:r>
        <w:rPr>
          <w:rFonts w:hint="eastAsia"/>
        </w:rPr>
        <w:t>残疾学生接受大专教育的机会</w:t>
      </w:r>
    </w:p>
    <w:p w:rsidR="00000000" w:rsidRDefault="00000000">
      <w:pPr>
        <w:jc w:val="both"/>
      </w:pPr>
      <w:r>
        <w:tab/>
        <w:t xml:space="preserve">549.  </w:t>
      </w:r>
      <w:r>
        <w:rPr>
          <w:rFonts w:hint="eastAsia"/>
        </w:rPr>
        <w:t>如上文第</w:t>
      </w:r>
      <w:r>
        <w:t>528</w:t>
      </w:r>
      <w:r>
        <w:rPr>
          <w:rFonts w:hint="eastAsia"/>
        </w:rPr>
        <w:t>段所述，大专院校纯粹以学生的学业成绩作为收生标准。为了让残疾学生能尽可能享有入读大学的机会，并在某程度上弥补他们部分人所须克服的特殊困难，各所大学已于一九九七年在“联招办法”</w:t>
      </w:r>
      <w:r>
        <w:t>(</w:t>
      </w:r>
      <w:r>
        <w:rPr>
          <w:rFonts w:hint="eastAsia"/>
        </w:rPr>
        <w:t>见上文第</w:t>
      </w:r>
      <w:r>
        <w:t>528</w:t>
      </w:r>
      <w:r>
        <w:rPr>
          <w:rFonts w:hint="eastAsia"/>
        </w:rPr>
        <w:t>段</w:t>
      </w:r>
      <w:r>
        <w:t>)</w:t>
      </w:r>
      <w:r>
        <w:rPr>
          <w:rFonts w:hint="eastAsia"/>
        </w:rPr>
        <w:t>下新设一项辅助计划，让残疾学生报读学士学位课程。基本上，这个辅助计划让残疾申请人有机会接触大专院校。根据这计划，申请人可早日知悉所选择报读的大专院校会为他们提供什么协助和设备；这计划亦有助大专院校确定有多少报读学生是残疾人士及其残疾种类，以便知会他们校方可提供什么形式的协助。通过“辅助计划”提出申请的学生，毋须与联招办法的其他申请学生一同竞争，但须符合有关课程的最低修读条件。通过辅助计划获取录的申请人，毋须立即接受取录。校方在通过联招办法考虑其他学生的申请时，仍会一并考虑他们的申请，以决定能否将他们编配入读更理想的课程。一九九八年，大学共收到</w:t>
      </w:r>
      <w:r>
        <w:t>20</w:t>
      </w:r>
      <w:r>
        <w:rPr>
          <w:rFonts w:hint="eastAsia"/>
        </w:rPr>
        <w:t>宗申请，其中有</w:t>
      </w:r>
      <w:r>
        <w:t>5</w:t>
      </w:r>
      <w:r>
        <w:rPr>
          <w:rFonts w:hint="eastAsia"/>
        </w:rPr>
        <w:t>人接纳“辅助计划”所编配的学额，另有</w:t>
      </w:r>
      <w:r>
        <w:t>4</w:t>
      </w:r>
      <w:r>
        <w:rPr>
          <w:rFonts w:hint="eastAsia"/>
        </w:rPr>
        <w:t>人则通过联招办法获得提供学额</w:t>
      </w:r>
      <w:r>
        <w:rPr>
          <w:rStyle w:val="FootnoteReference"/>
        </w:rPr>
        <w:footnoteReference w:id="108"/>
      </w:r>
      <w:r>
        <w:t xml:space="preserve"> </w:t>
      </w:r>
      <w:r>
        <w:rPr>
          <w:rFonts w:hint="eastAsia"/>
        </w:rPr>
        <w:t>。</w:t>
      </w:r>
    </w:p>
    <w:p w:rsidR="00000000" w:rsidRDefault="00000000">
      <w:pPr>
        <w:jc w:val="both"/>
      </w:pPr>
      <w:r>
        <w:tab/>
        <w:t xml:space="preserve">550.  </w:t>
      </w:r>
      <w:r>
        <w:rPr>
          <w:rFonts w:hint="eastAsia"/>
        </w:rPr>
        <w:t>大专院校取录了残疾学生后，会尽量按照所需安排辅导服务、装置特别的学习和考试设施，以及给予财政资助。这些安排都是校方因应个别学生的情况及就读科目而作出的。</w:t>
      </w:r>
    </w:p>
    <w:p w:rsidR="00000000" w:rsidRDefault="00000000">
      <w:pPr>
        <w:spacing w:after="320"/>
        <w:jc w:val="both"/>
      </w:pPr>
      <w:r>
        <w:tab/>
        <w:t xml:space="preserve">551.  </w:t>
      </w:r>
      <w:r>
        <w:rPr>
          <w:rFonts w:hint="eastAsia"/>
        </w:rPr>
        <w:t>在一九九八至九九和一九九九至二○○○两个学年，各所大专院校将获拨款共</w:t>
      </w:r>
      <w:r>
        <w:t>2,800</w:t>
      </w:r>
      <w:r>
        <w:rPr>
          <w:rFonts w:hint="eastAsia"/>
        </w:rPr>
        <w:t>万港元，以因应残疾学生的需要，进行大型基本工程及改善设施工程。</w:t>
      </w:r>
    </w:p>
    <w:p w:rsidR="00000000" w:rsidRDefault="00000000">
      <w:pPr>
        <w:pStyle w:val="Heading4"/>
        <w:widowControl/>
        <w:ind w:left="536"/>
        <w:rPr>
          <w:sz w:val="26"/>
        </w:rPr>
      </w:pPr>
      <w:r>
        <w:rPr>
          <w:rFonts w:hint="eastAsia"/>
          <w:sz w:val="26"/>
        </w:rPr>
        <w:t>特别为残疾人士而设的职业训练计划</w:t>
      </w:r>
    </w:p>
    <w:p w:rsidR="00000000" w:rsidRDefault="00000000">
      <w:pPr>
        <w:spacing w:after="320"/>
        <w:jc w:val="both"/>
      </w:pPr>
      <w:r>
        <w:tab/>
        <w:t xml:space="preserve">552.  </w:t>
      </w:r>
      <w:r>
        <w:rPr>
          <w:rFonts w:hint="eastAsia"/>
        </w:rPr>
        <w:t>由非政府机构及职业训练局开办的技能训练中心，为残疾人士举办职业训练和再培训计划，并提供指导：在一九九七至九八学年，共为残疾人士提供了</w:t>
      </w:r>
      <w:r>
        <w:t>953</w:t>
      </w:r>
      <w:r>
        <w:rPr>
          <w:rFonts w:hint="eastAsia"/>
        </w:rPr>
        <w:t>个全日制训练课程名额。职业训练局还举办弹性短期课程，以单元为基础，借此配合残疾人士在职业训练方面的特殊需要。各项训练课程均定期进行检讨和修订，以因应就业市场不断变化的需求。</w:t>
      </w:r>
    </w:p>
    <w:p w:rsidR="00000000" w:rsidRDefault="00000000">
      <w:pPr>
        <w:pStyle w:val="Heading4"/>
        <w:widowControl/>
        <w:ind w:left="498"/>
      </w:pPr>
      <w:r>
        <w:rPr>
          <w:rFonts w:hint="eastAsia"/>
        </w:rPr>
        <w:t>为残疾人士而设的职业评估服务</w:t>
      </w:r>
    </w:p>
    <w:p w:rsidR="00000000" w:rsidRDefault="00000000">
      <w:pPr>
        <w:jc w:val="both"/>
      </w:pPr>
      <w:r>
        <w:tab/>
        <w:t xml:space="preserve">553.  </w:t>
      </w:r>
      <w:r>
        <w:rPr>
          <w:rFonts w:hint="eastAsia"/>
        </w:rPr>
        <w:t>这项服务由职业训练局提供。职业训练局遵照国际既定的职业评估程序，为残疾人士制定就业计划。</w:t>
      </w:r>
    </w:p>
    <w:p w:rsidR="00000000" w:rsidRDefault="00000000">
      <w:pPr>
        <w:spacing w:after="320"/>
        <w:jc w:val="both"/>
      </w:pPr>
      <w:r>
        <w:tab/>
        <w:t xml:space="preserve">554.  </w:t>
      </w:r>
      <w:r>
        <w:rPr>
          <w:rFonts w:hint="eastAsia"/>
        </w:rPr>
        <w:t>此外，政府的“雇员再培训计划”，为超过</w:t>
      </w:r>
      <w:r>
        <w:t>30</w:t>
      </w:r>
      <w:r>
        <w:rPr>
          <w:rFonts w:hint="eastAsia"/>
        </w:rPr>
        <w:t>岁的失业工人</w:t>
      </w:r>
      <w:r>
        <w:t>(</w:t>
      </w:r>
      <w:r>
        <w:rPr>
          <w:rFonts w:hint="eastAsia"/>
        </w:rPr>
        <w:t>包括残疾工人</w:t>
      </w:r>
      <w:r>
        <w:t>)</w:t>
      </w:r>
      <w:r>
        <w:rPr>
          <w:rFonts w:hint="eastAsia"/>
        </w:rPr>
        <w:t>教授新技能，帮助他们重投劳工市场。</w:t>
      </w:r>
    </w:p>
    <w:p w:rsidR="00000000" w:rsidRDefault="00000000">
      <w:pPr>
        <w:pStyle w:val="Heading4"/>
        <w:widowControl/>
      </w:pPr>
      <w:r>
        <w:rPr>
          <w:rFonts w:hint="eastAsia"/>
        </w:rPr>
        <w:t>为囚犯提供教育</w:t>
      </w:r>
    </w:p>
    <w:p w:rsidR="00000000" w:rsidRDefault="00000000">
      <w:pPr>
        <w:spacing w:after="320"/>
        <w:jc w:val="both"/>
      </w:pPr>
      <w:r>
        <w:tab/>
        <w:t xml:space="preserve">555.  </w:t>
      </w:r>
      <w:r>
        <w:rPr>
          <w:rFonts w:hint="eastAsia"/>
        </w:rPr>
        <w:t>惩教署聘请合格教师和导师，为</w:t>
      </w:r>
      <w:r>
        <w:t>21</w:t>
      </w:r>
      <w:r>
        <w:rPr>
          <w:rFonts w:hint="eastAsia"/>
        </w:rPr>
        <w:t>岁以下的教导所所员和青少年罪犯提供通才教育及职业训练</w:t>
      </w:r>
      <w:r>
        <w:t>(</w:t>
      </w:r>
      <w:r>
        <w:rPr>
          <w:rFonts w:hint="eastAsia"/>
        </w:rPr>
        <w:t>各占半日</w:t>
      </w:r>
      <w:r>
        <w:t>)</w:t>
      </w:r>
      <w:r>
        <w:rPr>
          <w:rFonts w:hint="eastAsia"/>
        </w:rPr>
        <w:t>。有关详情载于附件</w:t>
      </w:r>
      <w:r>
        <w:t>35</w:t>
      </w:r>
      <w:r>
        <w:rPr>
          <w:rFonts w:hint="eastAsia"/>
        </w:rPr>
        <w:t>。至于其他报考公开考试的囚犯，也会获得教师和导师提供指导。</w:t>
      </w:r>
    </w:p>
    <w:p w:rsidR="00000000" w:rsidRDefault="00000000">
      <w:pPr>
        <w:pStyle w:val="Heading4"/>
        <w:widowControl/>
        <w:ind w:left="498"/>
      </w:pPr>
      <w:r>
        <w:rPr>
          <w:rFonts w:hint="eastAsia"/>
        </w:rPr>
        <w:t>在囚人士教育信托基金</w:t>
      </w:r>
    </w:p>
    <w:p w:rsidR="00000000" w:rsidRDefault="00000000">
      <w:pPr>
        <w:spacing w:after="320"/>
        <w:jc w:val="both"/>
      </w:pPr>
      <w:r>
        <w:tab/>
        <w:t xml:space="preserve">556.  </w:t>
      </w:r>
      <w:r>
        <w:rPr>
          <w:rFonts w:hint="eastAsia"/>
        </w:rPr>
        <w:t>这基金于一九九五年十二月根据《在囚人士教育信托基金条例》</w:t>
      </w:r>
      <w:r>
        <w:t>(</w:t>
      </w:r>
      <w:r>
        <w:rPr>
          <w:rFonts w:hint="eastAsia"/>
        </w:rPr>
        <w:t>第</w:t>
      </w:r>
      <w:r>
        <w:t>467</w:t>
      </w:r>
      <w:r>
        <w:rPr>
          <w:rFonts w:hint="eastAsia"/>
        </w:rPr>
        <w:t>章</w:t>
      </w:r>
      <w:r>
        <w:t>)</w:t>
      </w:r>
      <w:r>
        <w:rPr>
          <w:rFonts w:hint="eastAsia"/>
        </w:rPr>
        <w:t>成立，目的是为有意进修的囚犯提供设施，并为那些修读小学以上程度课程且有需要的囚犯提供经济援助。</w:t>
      </w:r>
    </w:p>
    <w:p w:rsidR="00000000" w:rsidRDefault="00000000">
      <w:pPr>
        <w:pStyle w:val="Heading4"/>
        <w:widowControl/>
      </w:pPr>
      <w:r>
        <w:rPr>
          <w:rFonts w:hint="eastAsia"/>
        </w:rPr>
        <w:t>寻求庇护的越南人子女教育问题</w:t>
      </w:r>
    </w:p>
    <w:p w:rsidR="00000000" w:rsidRDefault="00000000">
      <w:pPr>
        <w:jc w:val="both"/>
      </w:pPr>
      <w:r>
        <w:tab/>
        <w:t xml:space="preserve">557.  </w:t>
      </w:r>
      <w:r>
        <w:rPr>
          <w:rFonts w:hint="eastAsia"/>
        </w:rPr>
        <w:t>来港寻求庇护并经审定为难民的越南人，目前居住在由联合国难民事务高级专员署管理的望后石开放中心，等候移居海外。至于来港寻求庇护，经审定为非难民并已获准保释的越南人，他们大多也在望后石开放中心居住。上述越南人全部都可使用由联合国难民事务高级专员署和指定非政府机构提供的社会和教育服务。</w:t>
      </w:r>
    </w:p>
    <w:p w:rsidR="00000000" w:rsidRDefault="00000000">
      <w:pPr>
        <w:jc w:val="both"/>
      </w:pPr>
      <w:r>
        <w:tab/>
        <w:t xml:space="preserve">558.  </w:t>
      </w:r>
      <w:r>
        <w:rPr>
          <w:rFonts w:hint="eastAsia"/>
        </w:rPr>
        <w:t>凡居住在开放中心的越南人，均可自由外出生活、工作和使用中心以外的服务，与一般香港市民无异。由一九九八年九月起，他们的子女可入读本地学校。</w:t>
      </w:r>
    </w:p>
    <w:p w:rsidR="00000000" w:rsidRDefault="00000000">
      <w:pPr>
        <w:spacing w:after="320"/>
      </w:pPr>
      <w:r>
        <w:tab/>
        <w:t xml:space="preserve">559.  </w:t>
      </w:r>
      <w:r>
        <w:rPr>
          <w:rFonts w:hint="eastAsia"/>
        </w:rPr>
        <w:t>有关寻求庇护的越南人问题，在《公民和政治权利公约报告一》第</w:t>
      </w:r>
      <w:r>
        <w:t>156</w:t>
      </w:r>
      <w:r>
        <w:rPr>
          <w:rFonts w:hint="eastAsia"/>
        </w:rPr>
        <w:t>至</w:t>
      </w:r>
      <w:r>
        <w:t>172</w:t>
      </w:r>
      <w:r>
        <w:rPr>
          <w:rFonts w:hint="eastAsia"/>
        </w:rPr>
        <w:t>段针对公约第九条，有更详尽的论述。</w:t>
      </w:r>
    </w:p>
    <w:p w:rsidR="00000000" w:rsidRDefault="00000000">
      <w:pPr>
        <w:pStyle w:val="Heading4"/>
        <w:widowControl/>
      </w:pPr>
      <w:r>
        <w:rPr>
          <w:rFonts w:hint="eastAsia"/>
        </w:rPr>
        <w:t>内地儿童在等候核实居留身份期间的教育问题</w:t>
      </w:r>
    </w:p>
    <w:p w:rsidR="00000000" w:rsidRDefault="00000000">
      <w:pPr>
        <w:jc w:val="both"/>
      </w:pPr>
      <w:r>
        <w:tab/>
        <w:t xml:space="preserve">560.  </w:t>
      </w:r>
      <w:r>
        <w:rPr>
          <w:rFonts w:hint="eastAsia"/>
        </w:rPr>
        <w:t>在香港没有合法权利居留的内地儿童，不能入读本地学校。不过，他们在等候核实居留身份期间，当局会因应其个别情况，准予暂时入读本地学校。截至一九九八年六月三十日为止，约有</w:t>
      </w:r>
      <w:r>
        <w:t>1,200</w:t>
      </w:r>
      <w:r>
        <w:rPr>
          <w:rFonts w:hint="eastAsia"/>
        </w:rPr>
        <w:t>名内地儿童因此获得暂准在本地学校就读。</w:t>
      </w:r>
    </w:p>
    <w:p w:rsidR="00000000" w:rsidRDefault="00000000">
      <w:pPr>
        <w:pStyle w:val="Heading4"/>
        <w:widowControl/>
        <w:spacing w:before="320"/>
      </w:pPr>
      <w:r>
        <w:rPr>
          <w:rFonts w:hint="eastAsia"/>
        </w:rPr>
        <w:t>内地新来港儿童</w:t>
      </w:r>
      <w:r>
        <w:t>/</w:t>
      </w:r>
      <w:r>
        <w:rPr>
          <w:rFonts w:hint="eastAsia"/>
        </w:rPr>
        <w:t>青年的教育问题</w:t>
      </w:r>
    </w:p>
    <w:p w:rsidR="00000000" w:rsidRDefault="00000000">
      <w:pPr>
        <w:jc w:val="both"/>
      </w:pPr>
      <w:r>
        <w:tab/>
        <w:t xml:space="preserve">561.  </w:t>
      </w:r>
      <w:r>
        <w:rPr>
          <w:rFonts w:hint="eastAsia"/>
        </w:rPr>
        <w:t>在上次报告的审议结论第</w:t>
      </w:r>
      <w:r>
        <w:t>44</w:t>
      </w:r>
      <w:r>
        <w:rPr>
          <w:rFonts w:hint="eastAsia"/>
        </w:rPr>
        <w:t>段，委员会建议“政府各有关部门在实施将中国来港家庭的子女融入一般教育制度内的措施时，必须密切留意其实施情况”。委员会的建议与政府政策是一致的。</w:t>
      </w:r>
    </w:p>
    <w:p w:rsidR="00000000" w:rsidRDefault="00000000">
      <w:pPr>
        <w:jc w:val="both"/>
      </w:pPr>
      <w:r>
        <w:tab/>
        <w:t xml:space="preserve">562.  </w:t>
      </w:r>
      <w:r>
        <w:rPr>
          <w:rFonts w:hint="eastAsia"/>
        </w:rPr>
        <w:t>新来港儿童有权获得与本地学生无异的教育服务和支援。他们可接受各种辅导服务，例如教育辅导、个人辅导，以及中文、英文和数学科的辅导教学服务等。倘符合有关条件，他们也可以申请政府提供的各项资助。</w:t>
      </w:r>
    </w:p>
    <w:p w:rsidR="00000000" w:rsidRDefault="00000000">
      <w:pPr>
        <w:jc w:val="both"/>
      </w:pPr>
      <w:r>
        <w:tab/>
        <w:t xml:space="preserve">563.  </w:t>
      </w:r>
      <w:r>
        <w:rPr>
          <w:rFonts w:hint="eastAsia"/>
        </w:rPr>
        <w:t>一九九七至九八学年，政府以整笔津贴形式，协助官立及资助学校为新来港学童提供以学校为本的支援服务。每名小学生和中学生分别可获得</w:t>
      </w:r>
      <w:r>
        <w:t>2,000</w:t>
      </w:r>
      <w:r>
        <w:rPr>
          <w:rFonts w:hint="eastAsia"/>
        </w:rPr>
        <w:t>港元和</w:t>
      </w:r>
      <w:r>
        <w:t>3,330</w:t>
      </w:r>
      <w:r>
        <w:rPr>
          <w:rFonts w:hint="eastAsia"/>
        </w:rPr>
        <w:t>港元的津贴。</w:t>
      </w:r>
    </w:p>
    <w:p w:rsidR="00000000" w:rsidRDefault="00000000">
      <w:pPr>
        <w:jc w:val="both"/>
      </w:pPr>
      <w:r>
        <w:tab/>
        <w:t xml:space="preserve">564.  </w:t>
      </w:r>
      <w:r>
        <w:rPr>
          <w:rFonts w:hint="eastAsia"/>
        </w:rPr>
        <w:t>教育署成立了中央安排入学小组，与各分区办事处紧密合作，协助新来港儿童觅得入学名额，当中</w:t>
      </w:r>
      <w:r>
        <w:t>6</w:t>
      </w:r>
      <w:r>
        <w:rPr>
          <w:rFonts w:hint="eastAsia"/>
        </w:rPr>
        <w:t>至</w:t>
      </w:r>
      <w:r>
        <w:t>15</w:t>
      </w:r>
      <w:r>
        <w:rPr>
          <w:rFonts w:hint="eastAsia"/>
        </w:rPr>
        <w:t>岁的儿童能迅速入学。为协助他们适应本地的教育制度，教育署为学校提供中文、英文和数学三科的课程指引。该署也举行上述科目的测验，协助学校评估新来港儿童的程度，以安排他们入读合适的班级。</w:t>
      </w:r>
    </w:p>
    <w:p w:rsidR="00000000" w:rsidRDefault="00000000">
      <w:pPr>
        <w:jc w:val="both"/>
      </w:pPr>
      <w:r>
        <w:tab/>
        <w:t xml:space="preserve">565.  </w:t>
      </w:r>
      <w:r>
        <w:rPr>
          <w:rFonts w:hint="eastAsia"/>
        </w:rPr>
        <w:t>如果新来港儿童年满</w:t>
      </w:r>
      <w:r>
        <w:t>15</w:t>
      </w:r>
      <w:r>
        <w:rPr>
          <w:rFonts w:hint="eastAsia"/>
        </w:rPr>
        <w:t>岁，教育署会因应他们的要求而提供入学安排协助。此外，他们亦可修读职业训练局辖下工业学院的技工课程，或修读由教育署和非政府机构举办的成人教育课程。修读这些成人教育课程的最低年龄，已于一九九六年九月由</w:t>
      </w:r>
      <w:r>
        <w:t>18</w:t>
      </w:r>
      <w:r>
        <w:rPr>
          <w:rFonts w:hint="eastAsia"/>
        </w:rPr>
        <w:t>岁降至</w:t>
      </w:r>
      <w:r>
        <w:t>15</w:t>
      </w:r>
      <w:r>
        <w:rPr>
          <w:rFonts w:hint="eastAsia"/>
        </w:rPr>
        <w:t>岁。</w:t>
      </w:r>
    </w:p>
    <w:p w:rsidR="00000000" w:rsidRDefault="00000000">
      <w:pPr>
        <w:pStyle w:val="Heading4"/>
        <w:widowControl/>
        <w:spacing w:before="320"/>
        <w:ind w:left="498"/>
      </w:pPr>
      <w:r>
        <w:rPr>
          <w:rFonts w:hint="eastAsia"/>
        </w:rPr>
        <w:t>未来路向</w:t>
      </w:r>
    </w:p>
    <w:p w:rsidR="00000000" w:rsidRDefault="00000000">
      <w:pPr>
        <w:jc w:val="both"/>
      </w:pPr>
      <w:r>
        <w:tab/>
        <w:t xml:space="preserve">566.  </w:t>
      </w:r>
      <w:r>
        <w:rPr>
          <w:rFonts w:hint="eastAsia"/>
        </w:rPr>
        <w:t>新来港儿童增加了学额的需求，而且我们预计这情况会持续下去。因此，我们现正兴建新的学校，确保能提供足够的学额应付需求。过去两年间，七所小学已经开始运作；九所中学亦正在兴建阶段，预计可在一九九九至二○○○学年启用。此外，在二○○一至○二学年开始时，会有额外</w:t>
      </w:r>
      <w:r>
        <w:t>16</w:t>
      </w:r>
      <w:r>
        <w:rPr>
          <w:rFonts w:hint="eastAsia"/>
        </w:rPr>
        <w:t>所新学校</w:t>
      </w:r>
      <w:r>
        <w:t>(</w:t>
      </w:r>
      <w:r>
        <w:rPr>
          <w:rFonts w:hint="eastAsia"/>
        </w:rPr>
        <w:t>六所小学和十所中学</w:t>
      </w:r>
      <w:r>
        <w:t>)</w:t>
      </w:r>
      <w:r>
        <w:rPr>
          <w:rFonts w:hint="eastAsia"/>
        </w:rPr>
        <w:t>落成。</w:t>
      </w:r>
    </w:p>
    <w:p w:rsidR="00000000" w:rsidRDefault="00000000">
      <w:pPr>
        <w:pStyle w:val="Heading4"/>
        <w:widowControl/>
      </w:pPr>
      <w:r>
        <w:rPr>
          <w:rFonts w:hint="eastAsia"/>
        </w:rPr>
        <w:t>公民教育、人权教育和反歧视教育</w:t>
      </w:r>
    </w:p>
    <w:p w:rsidR="00000000" w:rsidRDefault="00000000">
      <w:pPr>
        <w:pStyle w:val="Heading4"/>
        <w:widowControl/>
        <w:ind w:left="498"/>
      </w:pPr>
      <w:r>
        <w:rPr>
          <w:rFonts w:hint="eastAsia"/>
        </w:rPr>
        <w:t>学校课程和其他措施</w:t>
      </w:r>
    </w:p>
    <w:p w:rsidR="00000000" w:rsidRDefault="00000000">
      <w:pPr>
        <w:jc w:val="both"/>
      </w:pPr>
      <w:r>
        <w:tab/>
        <w:t xml:space="preserve">567.  </w:t>
      </w:r>
      <w:r>
        <w:rPr>
          <w:rFonts w:hint="eastAsia"/>
        </w:rPr>
        <w:t>如上次报告第</w:t>
      </w:r>
      <w:r>
        <w:t>326</w:t>
      </w:r>
      <w:r>
        <w:rPr>
          <w:rFonts w:hint="eastAsia"/>
        </w:rPr>
        <w:t>至</w:t>
      </w:r>
      <w:r>
        <w:t>332</w:t>
      </w:r>
      <w:r>
        <w:rPr>
          <w:rFonts w:hint="eastAsia"/>
        </w:rPr>
        <w:t>段所述，公民教育、人权教育和反歧视教育是学校课程不可或缺的部分，并已广泛纳入多个不同的科目内，涵盖范围至今大致相同。如上次报告第</w:t>
      </w:r>
      <w:r>
        <w:t>332</w:t>
      </w:r>
      <w:r>
        <w:rPr>
          <w:rFonts w:hint="eastAsia"/>
        </w:rPr>
        <w:t>段所述，新设的“常识科”课题现已包括：认识残疾人士的需要；康复服务；以及对待困乏人士的正确态度。此外，我们继续推行上次报告所述的“姊妹学校计划”、“交朋友”和“青年实践计划”等课外活动计划，鼓励健全儿童与残疾儿童之间多作沟通和结交。</w:t>
      </w:r>
    </w:p>
    <w:p w:rsidR="00000000" w:rsidRDefault="00000000">
      <w:pPr>
        <w:jc w:val="both"/>
      </w:pPr>
      <w:r>
        <w:tab/>
        <w:t xml:space="preserve">568.  </w:t>
      </w:r>
      <w:r>
        <w:rPr>
          <w:rFonts w:hint="eastAsia"/>
        </w:rPr>
        <w:t>在一九九六至九七学年，政府在《学校公民教育指引》公布了新的课程架构。该“架构”涵盖人权教育和反歧视教育。由一九九八至九九学年起，“公民教育”将成为初中的独立科目，该科亦会讲述人权和歧视的课题。</w:t>
      </w:r>
    </w:p>
    <w:p w:rsidR="00000000" w:rsidRDefault="00000000">
      <w:pPr>
        <w:jc w:val="both"/>
      </w:pPr>
      <w:r>
        <w:tab/>
        <w:t xml:space="preserve">569.  </w:t>
      </w:r>
      <w:r>
        <w:rPr>
          <w:rFonts w:hint="eastAsia"/>
        </w:rPr>
        <w:t>教育署了解到，不应让儿童养成对性别有偏颇的态度。教育署的政策，是要促使男女学生同时享有平等机会</w:t>
      </w:r>
      <w:r>
        <w:rPr>
          <w:rStyle w:val="FootnoteReference"/>
        </w:rPr>
        <w:footnoteReference w:id="109"/>
      </w:r>
      <w:r>
        <w:t xml:space="preserve"> </w:t>
      </w:r>
      <w:r>
        <w:rPr>
          <w:rFonts w:hint="eastAsia"/>
        </w:rPr>
        <w:t>，并鼓励学校让两者都有机会修读所有学科。在中学课程的社会教育科、宗教科和通识教育科，以及小学课程的常识科，都已把彼此尊重和男女平等的观念列为重要课题。</w:t>
      </w:r>
    </w:p>
    <w:p w:rsidR="00000000" w:rsidRDefault="00000000">
      <w:pPr>
        <w:pStyle w:val="Heading4"/>
        <w:widowControl/>
        <w:spacing w:before="320"/>
        <w:ind w:left="498"/>
      </w:pPr>
      <w:r>
        <w:rPr>
          <w:rFonts w:hint="eastAsia"/>
        </w:rPr>
        <w:t>生活教育</w:t>
      </w:r>
    </w:p>
    <w:p w:rsidR="00000000" w:rsidRDefault="00000000">
      <w:pPr>
        <w:jc w:val="both"/>
      </w:pPr>
      <w:r>
        <w:tab/>
        <w:t xml:space="preserve">570.  </w:t>
      </w:r>
      <w:r>
        <w:rPr>
          <w:rFonts w:hint="eastAsia"/>
        </w:rPr>
        <w:t>“生活教育”的各个范畴，如性和毒品等，均是中学社会教育科和小学常识科课程的一环。如上次报告第</w:t>
      </w:r>
      <w:r>
        <w:t>340</w:t>
      </w:r>
      <w:r>
        <w:rPr>
          <w:rFonts w:hint="eastAsia"/>
        </w:rPr>
        <w:t>段所述，有论者认为，这类课题应在课程内另设科目教授。不过，政府仍维持一贯的立场，认为有关课程的内容广泛，已“综合”了各种不同的学科，带给学童一个堪称“全面”的世界观。况且，课程本身已经过分繁多。因此，除属自愿外，在课程再加入新科目只会加重学童本已很重的负担。</w:t>
      </w:r>
    </w:p>
    <w:p w:rsidR="00000000" w:rsidRDefault="00000000">
      <w:pPr>
        <w:pStyle w:val="Heading4"/>
        <w:widowControl/>
        <w:spacing w:before="320"/>
        <w:ind w:left="498"/>
      </w:pPr>
      <w:r>
        <w:rPr>
          <w:rFonts w:hint="eastAsia"/>
        </w:rPr>
        <w:t>为教师举办的计划</w:t>
      </w:r>
    </w:p>
    <w:p w:rsidR="00000000" w:rsidRDefault="00000000">
      <w:pPr>
        <w:jc w:val="both"/>
      </w:pPr>
      <w:r>
        <w:tab/>
        <w:t xml:space="preserve">571.  </w:t>
      </w:r>
      <w:r>
        <w:rPr>
          <w:rFonts w:hint="eastAsia"/>
        </w:rPr>
        <w:t>教育署定期为教师举办公民教育研讨会。在一九九七和九八年，该署举办了四个研讨会，主题与人权事宜息息相关，它们分别为“反歧视”、“自由”、“中国传统价值观与现代公民”，以及“知识产权”，出席教师达</w:t>
      </w:r>
      <w:r>
        <w:t>350</w:t>
      </w:r>
      <w:r>
        <w:rPr>
          <w:rFonts w:hint="eastAsia"/>
        </w:rPr>
        <w:t>多人。教署将继续举办这类活动。</w:t>
      </w:r>
    </w:p>
    <w:p w:rsidR="00000000" w:rsidRDefault="00000000">
      <w:pPr>
        <w:jc w:val="both"/>
      </w:pPr>
      <w:r>
        <w:tab/>
        <w:t xml:space="preserve">572.  </w:t>
      </w:r>
      <w:r>
        <w:rPr>
          <w:rFonts w:hint="eastAsia"/>
        </w:rPr>
        <w:t>一九九八年，教育署为在职教师安排了多个公民教育精修训练课程。这些课程由两所大专院校为该署举办，包括关于“人权与公民教育”的单元。此外，至少其他三个单元也会包括人权的主题。上述课程费用全免。教署将于一</w:t>
      </w:r>
      <w:r>
        <w:t xml:space="preserve"> </w:t>
      </w:r>
      <w:r>
        <w:rPr>
          <w:rFonts w:hint="eastAsia"/>
        </w:rPr>
        <w:t>九九九年继续安排类似课程。</w:t>
      </w:r>
    </w:p>
    <w:p w:rsidR="00000000" w:rsidRDefault="00000000">
      <w:pPr>
        <w:pStyle w:val="Heading4"/>
        <w:widowControl/>
        <w:spacing w:before="320"/>
        <w:ind w:left="498"/>
      </w:pPr>
      <w:r>
        <w:rPr>
          <w:rFonts w:hint="eastAsia"/>
        </w:rPr>
        <w:t>残疾人士康复服务的公众教育</w:t>
      </w:r>
    </w:p>
    <w:p w:rsidR="00000000" w:rsidRDefault="00000000">
      <w:pPr>
        <w:jc w:val="both"/>
      </w:pPr>
      <w:r>
        <w:tab/>
        <w:t xml:space="preserve">573.  </w:t>
      </w:r>
      <w:r>
        <w:rPr>
          <w:rFonts w:hint="eastAsia"/>
        </w:rPr>
        <w:t>在上次报告第</w:t>
      </w:r>
      <w:r>
        <w:t>333</w:t>
      </w:r>
      <w:r>
        <w:rPr>
          <w:rFonts w:hint="eastAsia"/>
        </w:rPr>
        <w:t>至</w:t>
      </w:r>
      <w:r>
        <w:t>336</w:t>
      </w:r>
      <w:r>
        <w:rPr>
          <w:rFonts w:hint="eastAsia"/>
        </w:rPr>
        <w:t>段，我们阐述了康复服务教育委员会的工作。一九九六年一月，康复咨询委员会属下的康复服务公众教育小组委员会取代了康复服务教育委员会，负责监察、统筹有关下列事宜的活动和评估有关公众教育活动的成效：</w:t>
      </w:r>
    </w:p>
    <w:p w:rsidR="00000000" w:rsidRDefault="00000000">
      <w:pPr>
        <w:ind w:left="996"/>
        <w:jc w:val="both"/>
      </w:pPr>
      <w:r>
        <w:tab/>
      </w:r>
      <w:r>
        <w:rPr>
          <w:rFonts w:hint="eastAsia"/>
        </w:rPr>
        <w:t>减少造成残疾的意外；</w:t>
      </w:r>
    </w:p>
    <w:p w:rsidR="00000000" w:rsidRDefault="00000000">
      <w:pPr>
        <w:ind w:left="996"/>
        <w:jc w:val="both"/>
      </w:pPr>
      <w:r>
        <w:tab/>
      </w:r>
      <w:r>
        <w:rPr>
          <w:rFonts w:hint="eastAsia"/>
        </w:rPr>
        <w:t>尽可能发挥残疾人士的体能、智能和社交能力；及</w:t>
      </w:r>
    </w:p>
    <w:p w:rsidR="00000000" w:rsidRDefault="00000000">
      <w:pPr>
        <w:ind w:left="996"/>
        <w:jc w:val="both"/>
      </w:pPr>
      <w:r>
        <w:tab/>
      </w:r>
      <w:r>
        <w:rPr>
          <w:rFonts w:hint="eastAsia"/>
        </w:rPr>
        <w:t>提高大众对残疾人士的认识，并宣传残疾人士融入社会的重要性。</w:t>
      </w:r>
    </w:p>
    <w:p w:rsidR="00000000" w:rsidRDefault="00000000">
      <w:pPr>
        <w:jc w:val="both"/>
      </w:pPr>
      <w:r>
        <w:rPr>
          <w:rFonts w:hint="eastAsia"/>
        </w:rPr>
        <w:t>在一九九四至九五和一九九七至九八年度期间，用于上述活动的政府拨款和捐助金额共约为</w:t>
      </w:r>
      <w:r>
        <w:t>4,500</w:t>
      </w:r>
      <w:r>
        <w:rPr>
          <w:rFonts w:hint="eastAsia"/>
        </w:rPr>
        <w:t>万港元。这类活动会继续举办下去。</w:t>
      </w:r>
    </w:p>
    <w:p w:rsidR="00000000" w:rsidRDefault="00000000">
      <w:pPr>
        <w:pStyle w:val="Heading4"/>
        <w:widowControl/>
        <w:spacing w:before="320"/>
        <w:ind w:left="498"/>
      </w:pPr>
      <w:r>
        <w:rPr>
          <w:rFonts w:hint="eastAsia"/>
        </w:rPr>
        <w:t>平等机会委员会的工作</w:t>
      </w:r>
    </w:p>
    <w:p w:rsidR="00000000" w:rsidRDefault="00000000">
      <w:pPr>
        <w:jc w:val="both"/>
      </w:pPr>
      <w:r>
        <w:tab/>
        <w:t xml:space="preserve">574.  </w:t>
      </w:r>
      <w:r>
        <w:rPr>
          <w:rFonts w:hint="eastAsia"/>
        </w:rPr>
        <w:t>平等机会委员会</w:t>
      </w:r>
      <w:r>
        <w:t>(</w:t>
      </w:r>
      <w:r>
        <w:rPr>
          <w:rFonts w:hint="eastAsia"/>
        </w:rPr>
        <w:t>平机会</w:t>
      </w:r>
      <w:r>
        <w:t>)</w:t>
      </w:r>
      <w:r>
        <w:rPr>
          <w:rFonts w:hint="eastAsia"/>
        </w:rPr>
        <w:t>自一九九六年九月开始全面运作以来，一直举办公众教育计划，以促进残疾人士、两性和不同家庭地位人士均享有平等机会。平机会的工作详情列于附件</w:t>
      </w:r>
      <w:r>
        <w:t>36</w:t>
      </w:r>
      <w:r>
        <w:rPr>
          <w:rFonts w:hint="eastAsia"/>
        </w:rPr>
        <w:t>。此外，《公民和政治权利公约报告一》第</w:t>
      </w:r>
      <w:r>
        <w:t>23</w:t>
      </w:r>
      <w:r>
        <w:rPr>
          <w:rFonts w:hint="eastAsia"/>
        </w:rPr>
        <w:t>至</w:t>
      </w:r>
      <w:r>
        <w:t>26</w:t>
      </w:r>
      <w:r>
        <w:rPr>
          <w:rFonts w:hint="eastAsia"/>
        </w:rPr>
        <w:t>段，也针对公约第二条论述了平机会的工作。</w:t>
      </w:r>
    </w:p>
    <w:p w:rsidR="00000000" w:rsidRDefault="00000000">
      <w:pPr>
        <w:pStyle w:val="Heading4"/>
        <w:widowControl/>
        <w:spacing w:before="320"/>
        <w:ind w:left="498"/>
      </w:pPr>
      <w:r>
        <w:rPr>
          <w:rFonts w:hint="eastAsia"/>
        </w:rPr>
        <w:t>校外的人权教育</w:t>
      </w:r>
    </w:p>
    <w:p w:rsidR="00000000" w:rsidRDefault="00000000">
      <w:pPr>
        <w:jc w:val="both"/>
      </w:pPr>
      <w:r>
        <w:tab/>
        <w:t xml:space="preserve">575.  </w:t>
      </w:r>
      <w:r>
        <w:rPr>
          <w:rFonts w:hint="eastAsia"/>
        </w:rPr>
        <w:t>公民教育委员会不断举办和资助各项教育和宣传活动，以提高市民对个人权利、平等机会和保障个人资料私隐方面的意识。公民教育委员会还致力促使市民认识和了解《基本法》，以确保市民熟悉这份保障人权的宪制性文件。此外，公民教育委员会将在一九九八至九九年度斥资超过</w:t>
      </w:r>
      <w:r>
        <w:t>1,000</w:t>
      </w:r>
      <w:r>
        <w:rPr>
          <w:rFonts w:hint="eastAsia"/>
        </w:rPr>
        <w:t>万港元，制作各类教材、唯读光碟和电视电台节目，以推广人权和《基本法》。不过，除了公民教育委员会外，其他机构也有致力于推广《基本法》的工作；至于其他机构在这方面的工作，下文第</w:t>
      </w:r>
      <w:r>
        <w:t>576</w:t>
      </w:r>
      <w:r>
        <w:rPr>
          <w:rFonts w:hint="eastAsia"/>
        </w:rPr>
        <w:t>段将有所论述。</w:t>
      </w:r>
    </w:p>
    <w:p w:rsidR="00000000" w:rsidRDefault="00000000">
      <w:pPr>
        <w:pStyle w:val="Heading4"/>
        <w:widowControl/>
        <w:spacing w:before="320"/>
      </w:pPr>
      <w:r>
        <w:rPr>
          <w:rFonts w:hint="eastAsia"/>
        </w:rPr>
        <w:t>基本法推广督导委员会：教育公众认识《基本法</w:t>
      </w:r>
      <w:r>
        <w:rPr>
          <w:rFonts w:hint="eastAsia"/>
          <w:u w:val="none"/>
        </w:rPr>
        <w:t>》</w:t>
      </w:r>
    </w:p>
    <w:p w:rsidR="00000000" w:rsidRDefault="00000000">
      <w:pPr>
        <w:jc w:val="both"/>
      </w:pPr>
      <w:r>
        <w:tab/>
        <w:t xml:space="preserve">576.  </w:t>
      </w:r>
      <w:r>
        <w:rPr>
          <w:rFonts w:hint="eastAsia"/>
        </w:rPr>
        <w:t>由于《基本法》是香港特区的宪制性文件，而且载明每个香港居民都可以享有的人权保障和公民自由，所以政府非常重视《基本法》的推广工作，以确保市民认识和了解《基本法》。我们已经在上文第</w:t>
      </w:r>
      <w:r>
        <w:t>575</w:t>
      </w:r>
      <w:r>
        <w:rPr>
          <w:rFonts w:hint="eastAsia"/>
        </w:rPr>
        <w:t>段介绍过公民教育委员会的工作。此外，《基本法》与列入学校课程</w:t>
      </w:r>
      <w:r>
        <w:t>(</w:t>
      </w:r>
      <w:r>
        <w:rPr>
          <w:rFonts w:hint="eastAsia"/>
        </w:rPr>
        <w:t>见下文第</w:t>
      </w:r>
      <w:r>
        <w:t>578</w:t>
      </w:r>
      <w:r>
        <w:rPr>
          <w:rFonts w:hint="eastAsia"/>
        </w:rPr>
        <w:t>段</w:t>
      </w:r>
      <w:r>
        <w:t>)</w:t>
      </w:r>
      <w:r>
        <w:rPr>
          <w:rFonts w:hint="eastAsia"/>
        </w:rPr>
        <w:t>和公务员培训课程内；而一些社区组织和个别人士，也致力在地区</w:t>
      </w:r>
      <w:r>
        <w:t>/</w:t>
      </w:r>
      <w:r>
        <w:rPr>
          <w:rFonts w:hint="eastAsia"/>
        </w:rPr>
        <w:t>地方层面推广《基本法》。</w:t>
      </w:r>
    </w:p>
    <w:p w:rsidR="00000000" w:rsidRDefault="00000000">
      <w:pPr>
        <w:jc w:val="both"/>
      </w:pPr>
      <w:r>
        <w:tab/>
        <w:t xml:space="preserve">577.  </w:t>
      </w:r>
      <w:r>
        <w:rPr>
          <w:rFonts w:hint="eastAsia"/>
        </w:rPr>
        <w:t>“基本法推广督导委员会”</w:t>
      </w:r>
      <w:r>
        <w:t>(</w:t>
      </w:r>
      <w:r>
        <w:rPr>
          <w:rFonts w:hint="eastAsia"/>
        </w:rPr>
        <w:t>基广会</w:t>
      </w:r>
      <w:r>
        <w:t>)</w:t>
      </w:r>
      <w:r>
        <w:rPr>
          <w:rFonts w:hint="eastAsia"/>
        </w:rPr>
        <w:t>于一九九八年一月成立。基广会由政务司司长担任主席，成员包括政府人员和非公职人士，负责为《基本法》的整体推广战略提供指引。基广会的推广对象为本地社区人士、教师和学生、公务员和海外人士</w:t>
      </w:r>
      <w:r>
        <w:t>(</w:t>
      </w:r>
      <w:r>
        <w:rPr>
          <w:rFonts w:hint="eastAsia"/>
        </w:rPr>
        <w:t>包括来港游客</w:t>
      </w:r>
      <w:r>
        <w:t>)</w:t>
      </w:r>
      <w:r>
        <w:rPr>
          <w:rFonts w:hint="eastAsia"/>
        </w:rPr>
        <w:t>。</w:t>
      </w:r>
    </w:p>
    <w:p w:rsidR="00000000" w:rsidRDefault="00000000">
      <w:pPr>
        <w:pStyle w:val="Heading4"/>
        <w:widowControl/>
        <w:spacing w:before="320"/>
        <w:ind w:left="498"/>
      </w:pPr>
      <w:r>
        <w:rPr>
          <w:rFonts w:hint="eastAsia"/>
        </w:rPr>
        <w:t>学校课程和其他措施</w:t>
      </w:r>
    </w:p>
    <w:p w:rsidR="00000000" w:rsidRDefault="00000000">
      <w:pPr>
        <w:jc w:val="both"/>
      </w:pPr>
      <w:r>
        <w:tab/>
        <w:t xml:space="preserve">578.  </w:t>
      </w:r>
      <w:r>
        <w:rPr>
          <w:rFonts w:hint="eastAsia"/>
        </w:rPr>
        <w:t>所有香港教师和学生，都应该对《基本法》有基本的认识。跟其他形式的人权教育一样</w:t>
      </w:r>
      <w:r>
        <w:t>(</w:t>
      </w:r>
      <w:r>
        <w:rPr>
          <w:rFonts w:hint="eastAsia"/>
        </w:rPr>
        <w:t>见上文第</w:t>
      </w:r>
      <w:r>
        <w:t>567</w:t>
      </w:r>
      <w:r>
        <w:rPr>
          <w:rFonts w:hint="eastAsia"/>
        </w:rPr>
        <w:t>至</w:t>
      </w:r>
      <w:r>
        <w:t>575</w:t>
      </w:r>
      <w:r>
        <w:rPr>
          <w:rFonts w:hint="eastAsia"/>
        </w:rPr>
        <w:t>段</w:t>
      </w:r>
      <w:r>
        <w:t>)</w:t>
      </w:r>
      <w:r>
        <w:rPr>
          <w:rFonts w:hint="eastAsia"/>
        </w:rPr>
        <w:t>，我们通过整体课程令学生认识《基本法》。这即是说，小学生通过“常识科”学习《基本法》；中学生则通过社会教育科、经济与公共事务科、历史科、政府与公共事务科以及通识教育科来学习《基本法》。由一九九八年九月起，这个课题也将包括在新独立开设的“公民教育科”内。另一方面，我们还鼓励学校举办校际比赛等课外活动，加深学生对《基本法》的认识。</w:t>
      </w:r>
    </w:p>
    <w:p w:rsidR="00000000" w:rsidRDefault="00000000">
      <w:pPr>
        <w:spacing w:after="320"/>
        <w:jc w:val="both"/>
      </w:pPr>
      <w:r>
        <w:tab/>
        <w:t xml:space="preserve">579.  </w:t>
      </w:r>
      <w:r>
        <w:rPr>
          <w:rFonts w:hint="eastAsia"/>
        </w:rPr>
        <w:t>为了确保教师具备所需的知识和技巧教授《基本法》，教育署已举办了一系列有关的研讨会：一九九七和一九九八年共举行了六次。在一九九八年，教育署亦委托了两所大专院校为中小学教师举办公民教育精修课程，当中包括与《基本法》直接有关的单元。教育署在一九九九年将继续举办这类课程。此外，该署也协助教育机构为教师举办设有《基本法》研讨会的日营。一九九七和一九九八年共举办了四次这类活动。</w:t>
      </w:r>
    </w:p>
    <w:p w:rsidR="00000000" w:rsidRDefault="00000000">
      <w:pPr>
        <w:pStyle w:val="Heading3"/>
        <w:widowControl/>
      </w:pPr>
      <w:r>
        <w:rPr>
          <w:rFonts w:hint="eastAsia"/>
        </w:rPr>
        <w:t>第十四条</w:t>
      </w:r>
      <w:r>
        <w:t xml:space="preserve">.  </w:t>
      </w:r>
      <w:r>
        <w:rPr>
          <w:rFonts w:hint="eastAsia"/>
        </w:rPr>
        <w:t>免费及强迫小学教育</w:t>
      </w:r>
    </w:p>
    <w:p w:rsidR="00000000" w:rsidRDefault="00000000">
      <w:pPr>
        <w:spacing w:after="320"/>
        <w:jc w:val="both"/>
      </w:pPr>
      <w:r>
        <w:tab/>
        <w:t xml:space="preserve">580.  </w:t>
      </w:r>
      <w:r>
        <w:rPr>
          <w:rFonts w:hint="eastAsia"/>
        </w:rPr>
        <w:t>有关政府提供免费及强迫小学教育，以及提供中学教育的情况，已在第十三条下论述。</w:t>
      </w:r>
    </w:p>
    <w:p w:rsidR="00000000" w:rsidRDefault="00000000">
      <w:pPr>
        <w:pStyle w:val="Heading3"/>
        <w:widowControl/>
      </w:pPr>
      <w:r>
        <w:rPr>
          <w:rFonts w:hint="eastAsia"/>
        </w:rPr>
        <w:t>第十五条</w:t>
      </w:r>
      <w:r>
        <w:t xml:space="preserve">.  </w:t>
      </w:r>
      <w:r>
        <w:rPr>
          <w:rFonts w:hint="eastAsia"/>
        </w:rPr>
        <w:t>参与文化生活、享受科学进步及其应用之惠的权利</w:t>
      </w:r>
    </w:p>
    <w:p w:rsidR="00000000" w:rsidRDefault="00000000">
      <w:r>
        <w:tab/>
        <w:t xml:space="preserve">581.  </w:t>
      </w:r>
      <w:r>
        <w:rPr>
          <w:rFonts w:hint="eastAsia"/>
        </w:rPr>
        <w:t>《基本法》第三十四条订明，香港居民有进行学术研究、文学艺术创作和其他文化活动的自由。第二十七条中订明，香港居民享有言论、新闻和出版的自由。第一百三十九及第一百四十条订明，香港特区政府自行制定科学技术和文化政策，并以法律保护这些方面的成果，此外，第一百四十四条又规定，政府须保持原在香港实行的对文化艺术工作等方面的民间团体机构的资助政策。</w:t>
      </w:r>
    </w:p>
    <w:p w:rsidR="00000000" w:rsidRDefault="00000000">
      <w:pPr>
        <w:pStyle w:val="Heading4"/>
        <w:widowControl/>
        <w:spacing w:before="320"/>
      </w:pPr>
      <w:r>
        <w:rPr>
          <w:rFonts w:hint="eastAsia"/>
        </w:rPr>
        <w:t>文化政策</w:t>
      </w:r>
    </w:p>
    <w:p w:rsidR="00000000" w:rsidRDefault="00000000">
      <w:pPr>
        <w:jc w:val="both"/>
      </w:pPr>
      <w:r>
        <w:tab/>
        <w:t xml:space="preserve">582.  </w:t>
      </w:r>
      <w:r>
        <w:rPr>
          <w:rFonts w:hint="eastAsia"/>
        </w:rPr>
        <w:t>政府的政策，是缔造一个有利表达自由和艺术创作，并鼓励市民自由参与各类文化活动的环境；只有那些很可能会煽动仇恨、破坏秩序和法纪，或严重损害公众健康或败坏社会道德的资料，其传布才会受到限制。艺术创作版权是受到法律保障的。</w:t>
      </w:r>
    </w:p>
    <w:p w:rsidR="00000000" w:rsidRDefault="00000000">
      <w:pPr>
        <w:jc w:val="both"/>
      </w:pPr>
      <w:r>
        <w:tab/>
        <w:t xml:space="preserve">583.  </w:t>
      </w:r>
      <w:r>
        <w:rPr>
          <w:rFonts w:hint="eastAsia"/>
        </w:rPr>
        <w:t>如上次报告第</w:t>
      </w:r>
      <w:r>
        <w:t>389</w:t>
      </w:r>
      <w:r>
        <w:rPr>
          <w:rFonts w:hint="eastAsia"/>
        </w:rPr>
        <w:t>段所述，政府致力发展多姿多采的文化生活，把东西方的艺术传统熔于一炉。政府认为本身所担当的角色，是负责提供必要的基础支援，尤其是兴建文化活动场地和资助艺术发展。为此，政府与各个推动艺术发展的主要团体，包括临时市政局及临时区域市政局</w:t>
      </w:r>
      <w:r>
        <w:t>(</w:t>
      </w:r>
      <w:r>
        <w:rPr>
          <w:rFonts w:hint="eastAsia"/>
        </w:rPr>
        <w:t>见下文第</w:t>
      </w:r>
      <w:r>
        <w:t>594</w:t>
      </w:r>
      <w:r>
        <w:rPr>
          <w:rFonts w:hint="eastAsia"/>
        </w:rPr>
        <w:t>至</w:t>
      </w:r>
      <w:r>
        <w:t>601</w:t>
      </w:r>
      <w:r>
        <w:rPr>
          <w:rFonts w:hint="eastAsia"/>
        </w:rPr>
        <w:t>段</w:t>
      </w:r>
      <w:r>
        <w:t>)</w:t>
      </w:r>
      <w:r>
        <w:rPr>
          <w:rFonts w:hint="eastAsia"/>
        </w:rPr>
        <w:t>、香港艺术中心、香港艺术发展局、香港演艺学院等，建立起伙伴关系。在一九九七至九八年度，政府及两个临时市政局在各类文化活动方面的开支，合共逾</w:t>
      </w:r>
      <w:r>
        <w:t>20</w:t>
      </w:r>
      <w:r>
        <w:rPr>
          <w:rFonts w:hint="eastAsia"/>
        </w:rPr>
        <w:t>亿元。</w:t>
      </w:r>
    </w:p>
    <w:p w:rsidR="00000000" w:rsidRDefault="00000000">
      <w:pPr>
        <w:pStyle w:val="Heading4"/>
        <w:widowControl/>
        <w:spacing w:before="320"/>
      </w:pPr>
      <w:r>
        <w:rPr>
          <w:rFonts w:hint="eastAsia"/>
        </w:rPr>
        <w:t>香港艺术发展局</w:t>
      </w:r>
    </w:p>
    <w:p w:rsidR="00000000" w:rsidRDefault="00000000">
      <w:pPr>
        <w:jc w:val="both"/>
      </w:pPr>
      <w:r>
        <w:tab/>
        <w:t xml:space="preserve">584.  </w:t>
      </w:r>
      <w:r>
        <w:rPr>
          <w:rFonts w:hint="eastAsia"/>
        </w:rPr>
        <w:t>如上次报告第</w:t>
      </w:r>
      <w:r>
        <w:t>395</w:t>
      </w:r>
      <w:r>
        <w:rPr>
          <w:rFonts w:hint="eastAsia"/>
        </w:rPr>
        <w:t>段所述，当局是根据一九九三年艺术政策检讨报告的建议，而于一九九四年四月成立香港艺术发展局</w:t>
      </w:r>
      <w:r>
        <w:t>(</w:t>
      </w:r>
      <w:r>
        <w:rPr>
          <w:rFonts w:hint="eastAsia"/>
        </w:rPr>
        <w:t>艺展局</w:t>
      </w:r>
      <w:r>
        <w:t>)</w:t>
      </w:r>
      <w:r>
        <w:rPr>
          <w:rFonts w:hint="eastAsia"/>
        </w:rPr>
        <w:t>的。一九九五年六月，《香港艺术发展局条例》</w:t>
      </w:r>
      <w:r>
        <w:t>(</w:t>
      </w:r>
      <w:r>
        <w:rPr>
          <w:rFonts w:hint="eastAsia"/>
        </w:rPr>
        <w:t>第</w:t>
      </w:r>
      <w:r>
        <w:t>472</w:t>
      </w:r>
      <w:r>
        <w:rPr>
          <w:rFonts w:hint="eastAsia"/>
        </w:rPr>
        <w:t>章</w:t>
      </w:r>
      <w:r>
        <w:t>)</w:t>
      </w:r>
      <w:r>
        <w:rPr>
          <w:rFonts w:hint="eastAsia"/>
        </w:rPr>
        <w:t>制定后，艺展局便成为独立的法定机构。根据该条例，艺展局的使命如下：</w:t>
      </w:r>
    </w:p>
    <w:p w:rsidR="00000000" w:rsidRDefault="00000000">
      <w:pPr>
        <w:ind w:left="1000"/>
        <w:jc w:val="both"/>
      </w:pPr>
      <w:r>
        <w:tab/>
      </w:r>
      <w:r>
        <w:tab/>
      </w:r>
      <w:r>
        <w:rPr>
          <w:rFonts w:hint="eastAsia"/>
        </w:rPr>
        <w:t>“策划、推广及支持艺术</w:t>
      </w:r>
      <w:r>
        <w:t>(</w:t>
      </w:r>
      <w:r>
        <w:rPr>
          <w:rFonts w:hint="eastAsia"/>
        </w:rPr>
        <w:t>包括文学艺术、表演艺术、视觉艺术及电影艺术</w:t>
      </w:r>
      <w:r>
        <w:t>)</w:t>
      </w:r>
      <w:r>
        <w:rPr>
          <w:rFonts w:hint="eastAsia"/>
        </w:rPr>
        <w:t>的广泛发展，并培养及提高在艺术方面的参与、教育、知识、技艺、欣赏能力、接触机会及明达的评论，以期改善整体社会的生活素质。”</w:t>
      </w:r>
    </w:p>
    <w:p w:rsidR="00000000" w:rsidRDefault="00000000">
      <w:pPr>
        <w:jc w:val="both"/>
      </w:pPr>
      <w:r>
        <w:rPr>
          <w:rFonts w:hint="eastAsia"/>
        </w:rPr>
        <w:t>艺展局通过一个独立的秘书处执行职务。如上次报告第</w:t>
      </w:r>
      <w:r>
        <w:t>398</w:t>
      </w:r>
      <w:r>
        <w:rPr>
          <w:rFonts w:hint="eastAsia"/>
        </w:rPr>
        <w:t>段所述，艺展局会议公开让市民旁听，所有讨论文件和会议纪录也可供市民查阅。该局设有一个艺术资料中心，并印发通讯刊物。</w:t>
      </w:r>
    </w:p>
    <w:p w:rsidR="00000000" w:rsidRDefault="00000000">
      <w:r>
        <w:tab/>
        <w:t xml:space="preserve">585.  </w:t>
      </w:r>
      <w:r>
        <w:rPr>
          <w:rFonts w:hint="eastAsia"/>
        </w:rPr>
        <w:t>目前，艺展局正按照上次报告第</w:t>
      </w:r>
      <w:r>
        <w:t>396</w:t>
      </w:r>
      <w:r>
        <w:rPr>
          <w:rFonts w:hint="eastAsia"/>
        </w:rPr>
        <w:t>及第</w:t>
      </w:r>
      <w:r>
        <w:t>397</w:t>
      </w:r>
      <w:r>
        <w:rPr>
          <w:rFonts w:hint="eastAsia"/>
        </w:rPr>
        <w:t>段所述的战略计划工作。该项计划为艺展局在一九九六至二○○一年五年内，就策划、发展、推广和支持艺术等方面订定工作蓝图。政府与艺展局正紧密合作，以期完成是项计划。</w:t>
      </w:r>
    </w:p>
    <w:p w:rsidR="00000000" w:rsidRDefault="00000000">
      <w:pPr>
        <w:pStyle w:val="Heading4"/>
        <w:widowControl/>
        <w:spacing w:before="320"/>
      </w:pPr>
      <w:r>
        <w:rPr>
          <w:rFonts w:hint="eastAsia"/>
        </w:rPr>
        <w:t>香港演艺学院</w:t>
      </w:r>
    </w:p>
    <w:p w:rsidR="00000000" w:rsidRDefault="00000000">
      <w:pPr>
        <w:jc w:val="both"/>
      </w:pPr>
      <w:r>
        <w:tab/>
        <w:t xml:space="preserve">586.  </w:t>
      </w:r>
      <w:r>
        <w:rPr>
          <w:rFonts w:hint="eastAsia"/>
        </w:rPr>
        <w:t>香港演艺学院于一九八四年成立，以“促进和提供表演艺术及相关科艺的训练、教育及研究</w:t>
      </w:r>
      <w:r>
        <w:rPr>
          <w:rStyle w:val="FootnoteReference"/>
        </w:rPr>
        <w:footnoteReference w:id="110"/>
      </w:r>
      <w:r>
        <w:t xml:space="preserve"> </w:t>
      </w:r>
      <w:r>
        <w:rPr>
          <w:rFonts w:hint="eastAsia"/>
        </w:rPr>
        <w:t>”为宗旨。一九九二年，该院成为认可学位的颁发机构。自成立至今，其舞蹈、戏剧、电影电视</w:t>
      </w:r>
      <w:r>
        <w:rPr>
          <w:rStyle w:val="FootnoteReference"/>
        </w:rPr>
        <w:footnoteReference w:id="111"/>
      </w:r>
      <w:r>
        <w:t xml:space="preserve"> </w:t>
      </w:r>
      <w:r>
        <w:rPr>
          <w:rFonts w:hint="eastAsia"/>
        </w:rPr>
        <w:t>、音乐和科艺五个学院，已培育了</w:t>
      </w:r>
      <w:r>
        <w:t>2,000</w:t>
      </w:r>
      <w:r>
        <w:rPr>
          <w:rFonts w:hint="eastAsia"/>
        </w:rPr>
        <w:t>多名毕业生。他们很多成为专业艺术家，对香港的表演艺术贡献良多。</w:t>
      </w:r>
    </w:p>
    <w:p w:rsidR="00000000" w:rsidRDefault="00000000"/>
    <w:p w:rsidR="00000000" w:rsidRDefault="00000000"/>
    <w:p w:rsidR="00000000" w:rsidRDefault="00000000">
      <w:pPr>
        <w:pStyle w:val="Heading4"/>
        <w:textAlignment w:val="bottom"/>
      </w:pPr>
      <w:r>
        <w:rPr>
          <w:rFonts w:hint="eastAsia"/>
        </w:rPr>
        <w:t>古物古迹办事处</w:t>
      </w:r>
    </w:p>
    <w:p w:rsidR="00000000" w:rsidRDefault="00000000">
      <w:pPr>
        <w:textAlignment w:val="bottom"/>
      </w:pPr>
      <w:r>
        <w:tab/>
        <w:t xml:space="preserve">587.  </w:t>
      </w:r>
      <w:r>
        <w:rPr>
          <w:rFonts w:hint="eastAsia"/>
        </w:rPr>
        <w:t>古物古迹办事处负责修复和保存香港的文物古迹，而古物咨询委员会则负责向古物古迹办事处提供意见。古物古迹办事处的工作包括：推行各项修复和保存文物的计划；展开考古研究和挖掘工作；以及提高市民对香港文物古迹的认识和兴趣。</w:t>
      </w:r>
    </w:p>
    <w:p w:rsidR="00000000" w:rsidRDefault="00000000">
      <w:r>
        <w:tab/>
        <w:t xml:space="preserve">588.  </w:t>
      </w:r>
      <w:r>
        <w:rPr>
          <w:rFonts w:hint="eastAsia"/>
        </w:rPr>
        <w:t>香港具有历史价值的建筑物，会获得宣布或认定为古迹，加以保护和保存。至于古代遗址，亦会加以保存或挖掘，把香港的历史和史前资料留存下来。截至一九九八年六月三十日为止，全港共有</w:t>
      </w:r>
      <w:r>
        <w:t>66</w:t>
      </w:r>
      <w:r>
        <w:rPr>
          <w:rFonts w:hint="eastAsia"/>
        </w:rPr>
        <w:t>个法定古迹</w:t>
      </w:r>
      <w:r>
        <w:t xml:space="preserve"> </w:t>
      </w:r>
      <w:r>
        <w:rPr>
          <w:rStyle w:val="FootnoteReference"/>
        </w:rPr>
        <w:footnoteReference w:id="112"/>
      </w:r>
      <w:r>
        <w:t xml:space="preserve"> </w:t>
      </w:r>
      <w:r>
        <w:rPr>
          <w:rFonts w:hint="eastAsia"/>
        </w:rPr>
        <w:t>和</w:t>
      </w:r>
      <w:r>
        <w:t>8</w:t>
      </w:r>
      <w:r>
        <w:rPr>
          <w:rFonts w:hint="eastAsia"/>
        </w:rPr>
        <w:t>个认定古迹</w:t>
      </w:r>
      <w:r>
        <w:t xml:space="preserve"> </w:t>
      </w:r>
      <w:r>
        <w:rPr>
          <w:rStyle w:val="FootnoteReference"/>
        </w:rPr>
        <w:footnoteReference w:id="113"/>
      </w:r>
      <w:r>
        <w:rPr>
          <w:rFonts w:hint="eastAsia"/>
        </w:rPr>
        <w:t>。大部分古迹均开放给市民免费参观。</w:t>
      </w:r>
    </w:p>
    <w:p w:rsidR="00000000" w:rsidRDefault="00000000">
      <w:pPr>
        <w:textAlignment w:val="bottom"/>
      </w:pPr>
      <w:r>
        <w:tab/>
        <w:t xml:space="preserve">589.  </w:t>
      </w:r>
      <w:r>
        <w:rPr>
          <w:rFonts w:hint="eastAsia"/>
        </w:rPr>
        <w:t>古物古迹办事处现正进行两项有关历史建筑物和古代遗址的全港调查，以更新具历史和考古价值的资料纪录。有关调查工作预计可于一九九八年年底完成。</w:t>
      </w:r>
    </w:p>
    <w:p w:rsidR="00000000" w:rsidRDefault="00000000">
      <w:pPr>
        <w:spacing w:after="320"/>
        <w:textAlignment w:val="bottom"/>
      </w:pPr>
      <w:r>
        <w:tab/>
        <w:t xml:space="preserve">590.  </w:t>
      </w:r>
      <w:r>
        <w:rPr>
          <w:rFonts w:hint="eastAsia"/>
        </w:rPr>
        <w:t>为纪念《古物及古迹条例》</w:t>
      </w:r>
      <w:r>
        <w:t>(</w:t>
      </w:r>
      <w:r>
        <w:rPr>
          <w:rFonts w:hint="eastAsia"/>
        </w:rPr>
        <w:t>第</w:t>
      </w:r>
      <w:r>
        <w:t>53</w:t>
      </w:r>
      <w:r>
        <w:rPr>
          <w:rFonts w:hint="eastAsia"/>
        </w:rPr>
        <w:t>章</w:t>
      </w:r>
      <w:r>
        <w:t>)</w:t>
      </w:r>
      <w:r>
        <w:rPr>
          <w:rFonts w:hint="eastAsia"/>
        </w:rPr>
        <w:t>制定暨古物咨询委员会成立二十周年，古物古迹办事处、古物咨询委员会和卫奕信勋爵文物信托基金特别于一九九七年合办“文物年计划”，并举办多项活动，包括“文物与教育国际研讨会”、文物参观、展览、讲座和考古工作坊，让市民认识到保护文物的重要性。</w:t>
      </w:r>
    </w:p>
    <w:p w:rsidR="00000000" w:rsidRDefault="00000000">
      <w:pPr>
        <w:pStyle w:val="Heading4"/>
        <w:textAlignment w:val="bottom"/>
      </w:pPr>
      <w:r>
        <w:rPr>
          <w:rFonts w:hint="eastAsia"/>
        </w:rPr>
        <w:t>历史档案</w:t>
      </w:r>
    </w:p>
    <w:p w:rsidR="00000000" w:rsidRDefault="00000000">
      <w:pPr>
        <w:textAlignment w:val="bottom"/>
      </w:pPr>
      <w:r>
        <w:tab/>
        <w:t xml:space="preserve">591.  </w:t>
      </w:r>
      <w:r>
        <w:rPr>
          <w:rFonts w:hint="eastAsia"/>
        </w:rPr>
        <w:t>政府档案局辖下的历史档案处，负责保存具有历史价值的档案，并管理历史档案系统的运作。该处有全港最多的历史资料，包括历史档案、书籍、地图和照片等。一般来说，只有不足</w:t>
      </w:r>
      <w:r>
        <w:t>5%</w:t>
      </w:r>
      <w:r>
        <w:rPr>
          <w:rFonts w:hint="eastAsia"/>
        </w:rPr>
        <w:t>的政府档案，是值得保存作为历史档案的。大部分的历史档案，在保存满</w:t>
      </w:r>
      <w:r>
        <w:t>30</w:t>
      </w:r>
      <w:r>
        <w:rPr>
          <w:rFonts w:hint="eastAsia"/>
        </w:rPr>
        <w:t>年后，便可公开让市民查阅；不过，政务司司长可批准例外延长某些历史档案的保存期。市民可以免费查阅历史资料；也可以在缴付既定的费用后，取得大部分资料的影印本。</w:t>
      </w:r>
    </w:p>
    <w:p w:rsidR="00000000" w:rsidRDefault="00000000">
      <w:pPr>
        <w:textAlignment w:val="bottom"/>
      </w:pPr>
      <w:r>
        <w:tab/>
        <w:t xml:space="preserve">592.  </w:t>
      </w:r>
      <w:r>
        <w:rPr>
          <w:rFonts w:hint="eastAsia"/>
        </w:rPr>
        <w:t>历史档案处现设于专为储存历史档案而建的大楼内。该大楼于一九九七年六月落成，为历史档案的储存和保存提供全自动化的设施，并有一套自动化的检索辅助系统，方便市民检索和索阅档案。</w:t>
      </w:r>
    </w:p>
    <w:p w:rsidR="00000000" w:rsidRDefault="00000000">
      <w:pPr>
        <w:spacing w:after="320"/>
        <w:textAlignment w:val="bottom"/>
      </w:pPr>
      <w:r>
        <w:tab/>
        <w:t xml:space="preserve">593.  </w:t>
      </w:r>
      <w:r>
        <w:rPr>
          <w:rFonts w:hint="eastAsia"/>
        </w:rPr>
        <w:t>历史档案处早前曾推行公众教育和宣传计划，以提高市民对香港历史文物的认识和兴趣。</w:t>
      </w:r>
    </w:p>
    <w:p w:rsidR="00000000" w:rsidRDefault="00000000">
      <w:pPr>
        <w:pStyle w:val="Heading4"/>
        <w:textAlignment w:val="bottom"/>
      </w:pPr>
      <w:r>
        <w:rPr>
          <w:rFonts w:hint="eastAsia"/>
        </w:rPr>
        <w:t>两个临时市政局</w:t>
      </w:r>
    </w:p>
    <w:p w:rsidR="00000000" w:rsidRDefault="00000000">
      <w:pPr>
        <w:textAlignment w:val="bottom"/>
      </w:pPr>
      <w:r>
        <w:tab/>
        <w:t xml:space="preserve">594.  </w:t>
      </w:r>
      <w:r>
        <w:rPr>
          <w:rFonts w:hint="eastAsia"/>
        </w:rPr>
        <w:t>香港特区的文娱设施，主要由临时市政局和临时区域市政局提供。在上次报告第</w:t>
      </w:r>
      <w:r>
        <w:t>401</w:t>
      </w:r>
      <w:r>
        <w:rPr>
          <w:rFonts w:hint="eastAsia"/>
        </w:rPr>
        <w:t>段，我们已指出，过去十年间，两个市政局先后开设了数个表演场地。目前这项工作仍继续进行。临时区域市政局现正在葵青和元朗</w:t>
      </w:r>
      <w:r>
        <w:t>(</w:t>
      </w:r>
      <w:r>
        <w:rPr>
          <w:rFonts w:hint="eastAsia"/>
        </w:rPr>
        <w:t>分别在新界西部和西北部</w:t>
      </w:r>
      <w:r>
        <w:t>)</w:t>
      </w:r>
      <w:r>
        <w:rPr>
          <w:rFonts w:hint="eastAsia"/>
        </w:rPr>
        <w:t>兴建两个新的表演场地。这些场地预计可于一九九九至二○○○年度落成。非牟利团体和地方团体使用两个临时市政局的文娱设施时，费用可获折扣优惠。</w:t>
      </w:r>
    </w:p>
    <w:p w:rsidR="00000000" w:rsidRDefault="00000000">
      <w:pPr>
        <w:textAlignment w:val="bottom"/>
      </w:pPr>
      <w:r>
        <w:tab/>
        <w:t xml:space="preserve">595.  </w:t>
      </w:r>
      <w:r>
        <w:rPr>
          <w:rFonts w:hint="eastAsia"/>
        </w:rPr>
        <w:t>两个临时市政局亦为市民提供各式各样的文娱节目，包括中西音乐、歌剧、戏剧、舞蹈和电影。这些节目的演出者有本地艺术家，也有来自不同国家和不同文化背景的海外艺术家。此外，两个临时市政局也安排整年的文娱节目，并举办每年一度的香港国际电影节、国际综艺合家欢、国际儿童艺术节，以及两年一度的区局节、亚洲艺术节和中国演艺专题艺术节。至于一九九七年的中国戏曲节，共有</w:t>
      </w:r>
      <w:r>
        <w:t>18</w:t>
      </w:r>
      <w:r>
        <w:rPr>
          <w:rFonts w:hint="eastAsia"/>
        </w:rPr>
        <w:t>个访港剧团和</w:t>
      </w:r>
      <w:r>
        <w:t>26</w:t>
      </w:r>
      <w:r>
        <w:rPr>
          <w:rFonts w:hint="eastAsia"/>
        </w:rPr>
        <w:t>个本地剧团参加演出。</w:t>
      </w:r>
    </w:p>
    <w:p w:rsidR="00000000" w:rsidRDefault="00000000">
      <w:pPr>
        <w:textAlignment w:val="bottom"/>
      </w:pPr>
      <w:r>
        <w:tab/>
        <w:t xml:space="preserve">596.  </w:t>
      </w:r>
      <w:r>
        <w:rPr>
          <w:rFonts w:hint="eastAsia"/>
        </w:rPr>
        <w:t>临时市政局负责管理香港中乐团、香港舞蹈团和香港话剧团，并为香港管弦乐团、香港艺术中心、香港艺术节协会和香港艺穗节提供拨款资助。</w:t>
      </w:r>
    </w:p>
    <w:p w:rsidR="00000000" w:rsidRDefault="00000000">
      <w:pPr>
        <w:textAlignment w:val="bottom"/>
      </w:pPr>
      <w:r>
        <w:tab/>
        <w:t xml:space="preserve">597.  </w:t>
      </w:r>
      <w:r>
        <w:rPr>
          <w:rFonts w:hint="eastAsia"/>
        </w:rPr>
        <w:t>两个临时市政局均大力支援本地艺术家</w:t>
      </w:r>
      <w:r>
        <w:t>/</w:t>
      </w:r>
      <w:r>
        <w:rPr>
          <w:rFonts w:hint="eastAsia"/>
        </w:rPr>
        <w:t>艺术团体，让他们在辖下场地演出，并赞助他们的节目。举例来说，两个临时市政局有下列多项计划：</w:t>
      </w:r>
    </w:p>
    <w:p w:rsidR="00000000" w:rsidRDefault="00000000">
      <w:pPr>
        <w:pStyle w:val="a0"/>
        <w:numPr>
          <w:ilvl w:val="0"/>
          <w:numId w:val="79"/>
        </w:numPr>
        <w:ind w:left="1531" w:hanging="510"/>
        <w:textAlignment w:val="bottom"/>
      </w:pPr>
      <w:r>
        <w:rPr>
          <w:rFonts w:hint="eastAsia"/>
        </w:rPr>
        <w:t>“文件大使计划”：邀请本地艺术家向一些平日甚少参与文化活动的社群推广艺术；</w:t>
      </w:r>
    </w:p>
    <w:p w:rsidR="00000000" w:rsidRDefault="00000000">
      <w:pPr>
        <w:pStyle w:val="a0"/>
        <w:numPr>
          <w:ilvl w:val="0"/>
          <w:numId w:val="79"/>
        </w:numPr>
        <w:ind w:left="1531" w:hanging="510"/>
        <w:textAlignment w:val="bottom"/>
      </w:pPr>
      <w:r>
        <w:rPr>
          <w:rFonts w:hint="eastAsia"/>
        </w:rPr>
        <w:t>“特约艺术家计划”：邀请演艺名家在两个临时市政局辖下的文娱中心作推广演出和举办展览等活动，以促使观众与艺术家建立联系；</w:t>
      </w:r>
    </w:p>
    <w:p w:rsidR="00000000" w:rsidRDefault="00000000">
      <w:pPr>
        <w:pStyle w:val="a0"/>
        <w:numPr>
          <w:ilvl w:val="0"/>
          <w:numId w:val="79"/>
        </w:numPr>
        <w:ind w:left="1531" w:hanging="510"/>
        <w:textAlignment w:val="bottom"/>
      </w:pPr>
      <w:r>
        <w:rPr>
          <w:rFonts w:hint="eastAsia"/>
        </w:rPr>
        <w:t>“支持地区艺术计划”资助“最基层”筹办的各项文娱活动。非牟利团体可获得直接资助，并免费使用场地；及</w:t>
      </w:r>
    </w:p>
    <w:p w:rsidR="00000000" w:rsidRDefault="00000000">
      <w:pPr>
        <w:pStyle w:val="a0"/>
        <w:numPr>
          <w:ilvl w:val="0"/>
          <w:numId w:val="79"/>
        </w:numPr>
        <w:ind w:left="1531" w:hanging="510"/>
        <w:textAlignment w:val="bottom"/>
      </w:pPr>
      <w:r>
        <w:rPr>
          <w:rFonts w:hint="eastAsia"/>
        </w:rPr>
        <w:t>培训计划：两个临时市政局与各方面的专业艺术家合作，为学生筹办示范表演、工作坊和排演活动。</w:t>
      </w:r>
    </w:p>
    <w:p w:rsidR="00000000" w:rsidRDefault="00000000">
      <w:pPr>
        <w:spacing w:after="320"/>
        <w:textAlignment w:val="bottom"/>
      </w:pPr>
      <w:r>
        <w:tab/>
        <w:t xml:space="preserve">598.  </w:t>
      </w:r>
      <w:r>
        <w:rPr>
          <w:rFonts w:hint="eastAsia"/>
        </w:rPr>
        <w:t>临时区域市政局成立了一个公众艺术基金，向艺术家特约创作或购买艺术品，在辖下公众场地展出。基金初步拨款为</w:t>
      </w:r>
      <w:r>
        <w:t>4,700</w:t>
      </w:r>
      <w:r>
        <w:rPr>
          <w:rFonts w:hint="eastAsia"/>
        </w:rPr>
        <w:t>万元，当中最少半数会用以资助本地艺术家的工作。</w:t>
      </w:r>
    </w:p>
    <w:p w:rsidR="00000000" w:rsidRDefault="00000000">
      <w:pPr>
        <w:pStyle w:val="Heading4"/>
        <w:textAlignment w:val="bottom"/>
      </w:pPr>
      <w:r>
        <w:rPr>
          <w:u w:val="none"/>
        </w:rPr>
        <w:tab/>
      </w:r>
      <w:r>
        <w:rPr>
          <w:rFonts w:hint="eastAsia"/>
        </w:rPr>
        <w:t>图书馆</w:t>
      </w:r>
    </w:p>
    <w:p w:rsidR="00000000" w:rsidRDefault="00000000">
      <w:pPr>
        <w:spacing w:after="320"/>
        <w:textAlignment w:val="bottom"/>
      </w:pPr>
      <w:r>
        <w:tab/>
        <w:t xml:space="preserve">599.  </w:t>
      </w:r>
      <w:r>
        <w:rPr>
          <w:rFonts w:hint="eastAsia"/>
        </w:rPr>
        <w:t>两个临时市政局共设有</w:t>
      </w:r>
      <w:r>
        <w:t>65</w:t>
      </w:r>
      <w:r>
        <w:rPr>
          <w:rFonts w:hint="eastAsia"/>
        </w:rPr>
        <w:t>个图书馆，供市民免费使用。其公共图书馆的主网页是互相连结的，可利用互联网查阅图书馆的最新服务和书目。同时，两个临时市政局亦设有流动图书馆，并提供集体借阅服务，以照顾学校、社团和偏远地方居民的需要。此外，临时市政局辖下面积达</w:t>
      </w:r>
      <w:r>
        <w:t>33,800</w:t>
      </w:r>
      <w:r>
        <w:rPr>
          <w:rFonts w:hint="eastAsia"/>
        </w:rPr>
        <w:t>平方米的香港中央图书馆，现正在兴建阶段，预计可于二○○○年落成。</w:t>
      </w:r>
    </w:p>
    <w:p w:rsidR="00000000" w:rsidRDefault="00000000">
      <w:pPr>
        <w:pStyle w:val="Heading4"/>
        <w:ind w:left="500"/>
      </w:pPr>
      <w:r>
        <w:rPr>
          <w:rFonts w:hint="eastAsia"/>
        </w:rPr>
        <w:t>博物馆</w:t>
      </w:r>
    </w:p>
    <w:p w:rsidR="00000000" w:rsidRDefault="00000000">
      <w:pPr>
        <w:textAlignment w:val="bottom"/>
      </w:pPr>
      <w:r>
        <w:tab/>
        <w:t xml:space="preserve">600.  </w:t>
      </w:r>
      <w:r>
        <w:rPr>
          <w:rFonts w:hint="eastAsia"/>
        </w:rPr>
        <w:t>两个临时市政局为公众提供的博物馆服务，不但具有教育意义，而且趣味盎然。博物馆一般免费入场，或只收取低廉的入场费，而长者、学生和团体参观人士更可享有特别优惠。目前，三所新博物馆正在兴建当中，分别是：用以取代旧香港博物馆的新馆、香港文物博物馆和香港海防博物馆</w:t>
      </w:r>
      <w:r>
        <w:t>,</w:t>
      </w:r>
      <w:r>
        <w:rPr>
          <w:rFonts w:hint="eastAsia"/>
        </w:rPr>
        <w:t>预计于一九九九至二○○○年度落成。</w:t>
      </w:r>
    </w:p>
    <w:p w:rsidR="00000000" w:rsidRDefault="00000000">
      <w:pPr>
        <w:spacing w:after="320"/>
        <w:textAlignment w:val="bottom"/>
      </w:pPr>
      <w:r>
        <w:tab/>
        <w:t xml:space="preserve">601.  </w:t>
      </w:r>
      <w:r>
        <w:rPr>
          <w:rFonts w:hint="eastAsia"/>
        </w:rPr>
        <w:t>此外，临时市政局现正兴建一所香港电影资料馆，以保存香港电影的历史资料。预计该馆可于二○○○年落成。</w:t>
      </w:r>
    </w:p>
    <w:p w:rsidR="00000000" w:rsidRDefault="00000000">
      <w:pPr>
        <w:pStyle w:val="Heading4"/>
        <w:textAlignment w:val="bottom"/>
      </w:pPr>
      <w:r>
        <w:rPr>
          <w:rFonts w:hint="eastAsia"/>
        </w:rPr>
        <w:t>处理有关使用两个临时市政局辖下场地的申请</w:t>
      </w:r>
    </w:p>
    <w:p w:rsidR="00000000" w:rsidRDefault="00000000">
      <w:pPr>
        <w:textAlignment w:val="bottom"/>
      </w:pPr>
      <w:r>
        <w:tab/>
        <w:t xml:space="preserve">602.  </w:t>
      </w:r>
      <w:r>
        <w:rPr>
          <w:rFonts w:hint="eastAsia"/>
        </w:rPr>
        <w:t>两个临时市政局提供各类场地和设施，例如公园等，供市民消闲和舒展身心。一九九七年五月，两个市政局的行政部门，即市政总署及区域市政总署，分别收到一个非政府机构的申请，要求使用当时市政局辖下的两个公园及区域市政局辖下的一个公园，以展示一座名为“国殇之柱”</w:t>
      </w:r>
      <w:r>
        <w:t xml:space="preserve"> </w:t>
      </w:r>
      <w:r>
        <w:rPr>
          <w:rStyle w:val="FootnoteReference"/>
        </w:rPr>
        <w:footnoteReference w:id="114"/>
      </w:r>
      <w:r>
        <w:t xml:space="preserve"> </w:t>
      </w:r>
      <w:r>
        <w:rPr>
          <w:rFonts w:hint="eastAsia"/>
        </w:rPr>
        <w:t>的雕塑，为期三个月，并举办一个有关一九八九年中国的六四事件的展览。</w:t>
      </w:r>
    </w:p>
    <w:p w:rsidR="00000000" w:rsidRDefault="00000000">
      <w:pPr>
        <w:textAlignment w:val="bottom"/>
      </w:pPr>
      <w:r>
        <w:tab/>
        <w:t xml:space="preserve">603.  </w:t>
      </w:r>
      <w:r>
        <w:rPr>
          <w:rFonts w:hint="eastAsia"/>
        </w:rPr>
        <w:t>在两个市政局的会议席上，议员经辩论后，否决了有关申请。不过，有论者认为，两个市政局的决定，违反了第十五条所订明的艺术表达自由，以及《公民权利和政治权利国际公约》第十九条所订明的发表自由。</w:t>
      </w:r>
    </w:p>
    <w:p w:rsidR="00000000" w:rsidRDefault="00000000">
      <w:pPr>
        <w:textAlignment w:val="bottom"/>
      </w:pPr>
      <w:r>
        <w:tab/>
        <w:t xml:space="preserve">604.  </w:t>
      </w:r>
      <w:r>
        <w:rPr>
          <w:rFonts w:hint="eastAsia"/>
        </w:rPr>
        <w:t>政府并不同意上述见解。临时市政局在决定否决有关申请时，已考虑过所有因素，包括申请人拟租用有关公园的日期，早已被临时市政局批给其他申请人举办活动这一点。此外，临时市政局亦关注到，若把该雕塑及展板放置在公园内，会对游人造成不便，而且这做法亦不符合公园的基本用途。两个临时市政局是按照民主程序，以公开会议方式审议有关申请的。临时市政局于一九九七及一九九八年曾批准同一个非政府机构在其辖下公园举行悼念六四事件的烛光晚会，这明确显示出，当局并无压制表达自由。在烛光晚会进行期间，“国殇之柱”一直竖立在会场内。</w:t>
      </w:r>
    </w:p>
    <w:p w:rsidR="00000000" w:rsidRDefault="00000000">
      <w:pPr>
        <w:pStyle w:val="Heading4"/>
        <w:spacing w:before="320"/>
        <w:textAlignment w:val="bottom"/>
      </w:pPr>
      <w:r>
        <w:rPr>
          <w:rFonts w:hint="eastAsia"/>
        </w:rPr>
        <w:t>科</w:t>
      </w:r>
      <w:r>
        <w:t xml:space="preserve">  </w:t>
      </w:r>
      <w:r>
        <w:rPr>
          <w:rFonts w:hint="eastAsia"/>
        </w:rPr>
        <w:t>技</w:t>
      </w:r>
    </w:p>
    <w:p w:rsidR="00000000" w:rsidRDefault="00000000">
      <w:pPr>
        <w:pStyle w:val="Heading4"/>
        <w:spacing w:before="320"/>
        <w:ind w:left="498"/>
        <w:textAlignment w:val="bottom"/>
      </w:pPr>
      <w:r>
        <w:tab/>
      </w:r>
      <w:r>
        <w:rPr>
          <w:rFonts w:hint="eastAsia"/>
        </w:rPr>
        <w:t>促进科学技术政策</w:t>
      </w:r>
    </w:p>
    <w:p w:rsidR="00000000" w:rsidRDefault="00000000">
      <w:pPr>
        <w:textAlignment w:val="bottom"/>
      </w:pPr>
      <w:r>
        <w:tab/>
        <w:t xml:space="preserve">605.  </w:t>
      </w:r>
      <w:r>
        <w:rPr>
          <w:rFonts w:hint="eastAsia"/>
        </w:rPr>
        <w:t>《基本法》第一百三十九条订明，香港特区政府自行制定科学技术政策，以法律保护科学技术的研究成果、专利和发明创造。</w:t>
      </w:r>
    </w:p>
    <w:p w:rsidR="00000000" w:rsidRDefault="00000000">
      <w:pPr>
        <w:pStyle w:val="Heading4"/>
        <w:spacing w:before="320"/>
        <w:ind w:left="498"/>
        <w:textAlignment w:val="bottom"/>
      </w:pPr>
      <w:r>
        <w:rPr>
          <w:rFonts w:hint="eastAsia"/>
        </w:rPr>
        <w:t>政府的角色</w:t>
      </w:r>
    </w:p>
    <w:p w:rsidR="00000000" w:rsidRDefault="00000000">
      <w:pPr>
        <w:textAlignment w:val="bottom"/>
      </w:pPr>
      <w:r>
        <w:tab/>
        <w:t xml:space="preserve">606.  </w:t>
      </w:r>
      <w:r>
        <w:rPr>
          <w:rFonts w:hint="eastAsia"/>
        </w:rPr>
        <w:t>政府鼓励香港发展高科技和高增值的行业，并通过提供适当的基本设施、人力资源、财政资助，以及其他计划，促进科技转移和发展。基本设施支援方面，包括设立工业村，以及生产力促进局</w:t>
      </w:r>
      <w:r>
        <w:t xml:space="preserve"> </w:t>
      </w:r>
      <w:r>
        <w:rPr>
          <w:rStyle w:val="FootnoteReference"/>
        </w:rPr>
        <w:footnoteReference w:id="115"/>
      </w:r>
      <w:r>
        <w:t xml:space="preserve"> </w:t>
      </w:r>
      <w:r>
        <w:rPr>
          <w:rFonts w:hint="eastAsia"/>
        </w:rPr>
        <w:t>、工业科技中心</w:t>
      </w:r>
      <w:r>
        <w:t xml:space="preserve"> </w:t>
      </w:r>
      <w:r>
        <w:rPr>
          <w:rStyle w:val="FootnoteReference"/>
        </w:rPr>
        <w:footnoteReference w:id="116"/>
      </w:r>
      <w:r>
        <w:t xml:space="preserve"> </w:t>
      </w:r>
      <w:r>
        <w:rPr>
          <w:rFonts w:hint="eastAsia"/>
        </w:rPr>
        <w:t>等机构。现正展开的计划，包括筹</w:t>
      </w:r>
      <w:r>
        <w:rPr>
          <w:rFonts w:hint="eastAsia"/>
          <w:spacing w:val="12"/>
        </w:rPr>
        <w:t>建科学园</w:t>
      </w:r>
      <w:r>
        <w:rPr>
          <w:spacing w:val="12"/>
        </w:rPr>
        <w:t xml:space="preserve"> </w:t>
      </w:r>
      <w:r>
        <w:rPr>
          <w:rStyle w:val="FootnoteReference"/>
          <w:spacing w:val="12"/>
        </w:rPr>
        <w:footnoteReference w:id="117"/>
      </w:r>
      <w:r>
        <w:rPr>
          <w:spacing w:val="12"/>
        </w:rPr>
        <w:t xml:space="preserve"> </w:t>
      </w:r>
      <w:r>
        <w:rPr>
          <w:rFonts w:hint="eastAsia"/>
          <w:spacing w:val="12"/>
        </w:rPr>
        <w:t>及第二所工业科技中心。至于财政资助，则主要是透过工业支援资助计划</w:t>
      </w:r>
      <w:r>
        <w:t xml:space="preserve"> </w:t>
      </w:r>
      <w:r>
        <w:rPr>
          <w:rStyle w:val="FootnoteReference"/>
        </w:rPr>
        <w:footnoteReference w:id="118"/>
      </w:r>
      <w:r>
        <w:t xml:space="preserve"> </w:t>
      </w:r>
      <w:r>
        <w:rPr>
          <w:rFonts w:hint="eastAsia"/>
        </w:rPr>
        <w:t>、应用研究基金</w:t>
      </w:r>
      <w:r>
        <w:t xml:space="preserve"> </w:t>
      </w:r>
      <w:r>
        <w:rPr>
          <w:rStyle w:val="FootnoteReference"/>
        </w:rPr>
        <w:footnoteReference w:id="119"/>
      </w:r>
      <w:r>
        <w:t xml:space="preserve"> </w:t>
      </w:r>
      <w:r>
        <w:rPr>
          <w:rFonts w:hint="eastAsia"/>
        </w:rPr>
        <w:t>及服务业支援资助计划</w:t>
      </w:r>
      <w:r>
        <w:t xml:space="preserve"> </w:t>
      </w:r>
      <w:r>
        <w:rPr>
          <w:rStyle w:val="FootnoteReference"/>
        </w:rPr>
        <w:footnoteReference w:id="120"/>
      </w:r>
      <w:r>
        <w:t xml:space="preserve"> </w:t>
      </w:r>
      <w:r>
        <w:rPr>
          <w:rFonts w:hint="eastAsia"/>
        </w:rPr>
        <w:t>提供。</w:t>
      </w:r>
    </w:p>
    <w:p w:rsidR="00000000" w:rsidRDefault="00000000">
      <w:pPr>
        <w:textAlignment w:val="bottom"/>
      </w:pPr>
      <w:r>
        <w:tab/>
        <w:t xml:space="preserve">607.  </w:t>
      </w:r>
      <w:r>
        <w:rPr>
          <w:rFonts w:hint="eastAsia"/>
        </w:rPr>
        <w:t>此外，政府还通过加入亚太区经济合作组织辖下的工业科学技术工作小组，以及太平洋经济合作议会辖下的科学技术专责小组，与世界各国进行科技交流。</w:t>
      </w:r>
    </w:p>
    <w:p w:rsidR="00000000" w:rsidRDefault="00000000">
      <w:pPr>
        <w:pStyle w:val="Heading4"/>
        <w:spacing w:before="320"/>
        <w:ind w:left="498"/>
        <w:textAlignment w:val="bottom"/>
      </w:pPr>
      <w:r>
        <w:rPr>
          <w:rFonts w:hint="eastAsia"/>
        </w:rPr>
        <w:t>研究资助局的角色</w:t>
      </w:r>
    </w:p>
    <w:p w:rsidR="00000000" w:rsidRDefault="00000000">
      <w:pPr>
        <w:textAlignment w:val="bottom"/>
      </w:pPr>
      <w:r>
        <w:tab/>
        <w:t xml:space="preserve">608.  </w:t>
      </w:r>
      <w:r>
        <w:rPr>
          <w:rFonts w:hint="eastAsia"/>
        </w:rPr>
        <w:t>研究资助局于一九九一年成立，就香港高等教育院校在学术研究方面的需要</w:t>
      </w:r>
      <w:r>
        <w:t>(</w:t>
      </w:r>
      <w:r>
        <w:rPr>
          <w:rFonts w:hint="eastAsia"/>
        </w:rPr>
        <w:t>包括确定优先进行的研究项目</w:t>
      </w:r>
      <w:r>
        <w:t>)</w:t>
      </w:r>
      <w:r>
        <w:rPr>
          <w:rFonts w:hint="eastAsia"/>
        </w:rPr>
        <w:t>，通过大学教育资助委员会向政府提供意见。研究资助局成立的目的，是要建立一个足以维持学术发展和切合香港需要的研究基地。研究资助局以遴选方式，定出资助研究项目。在一九九一至九二年度及一九九七至九八年度期间，研究资助局用于资助研究项目的拨款，由</w:t>
      </w:r>
      <w:r>
        <w:t>1</w:t>
      </w:r>
      <w:r>
        <w:rPr>
          <w:rFonts w:hint="eastAsia"/>
        </w:rPr>
        <w:t>亿元增至</w:t>
      </w:r>
      <w:r>
        <w:t>4.23</w:t>
      </w:r>
      <w:r>
        <w:rPr>
          <w:rFonts w:hint="eastAsia"/>
        </w:rPr>
        <w:t>亿元。这些拨款大致分配予四个主要范畴：即工程学；生物学及医学；自然科学；以及人文、社会科学及商学。这四个范畴的拨款比率分别大约为</w:t>
      </w:r>
      <w:r>
        <w:t>38%</w:t>
      </w:r>
      <w:r>
        <w:rPr>
          <w:rFonts w:hint="eastAsia"/>
        </w:rPr>
        <w:t>、</w:t>
      </w:r>
      <w:r>
        <w:t>27%</w:t>
      </w:r>
      <w:r>
        <w:rPr>
          <w:rFonts w:hint="eastAsia"/>
        </w:rPr>
        <w:t>、</w:t>
      </w:r>
      <w:r>
        <w:t>16%</w:t>
      </w:r>
      <w:r>
        <w:rPr>
          <w:rFonts w:hint="eastAsia"/>
        </w:rPr>
        <w:t>和</w:t>
      </w:r>
      <w:r>
        <w:t>19%</w:t>
      </w:r>
      <w:r>
        <w:rPr>
          <w:rFonts w:hint="eastAsia"/>
        </w:rPr>
        <w:t>。</w:t>
      </w:r>
    </w:p>
    <w:p w:rsidR="00000000" w:rsidRDefault="00000000">
      <w:pPr>
        <w:textAlignment w:val="bottom"/>
      </w:pPr>
      <w:r>
        <w:tab/>
        <w:t xml:space="preserve">609.  </w:t>
      </w:r>
      <w:r>
        <w:rPr>
          <w:rFonts w:hint="eastAsia"/>
        </w:rPr>
        <w:t>研究资助局于一九九三年制订了“合作研究中心计划”，鼓励大学与工业界合作进行研究工作。此外，研究资助局又与英国文化协会、德国学术交流协进会及法国国家科学研究中心等机构合作，分别与英国、德国和法国进行联合研究计划。透过这些计划，香港学者可与海外学者在学术研究方面加强交流和合作，从而有助香港培养本地学术研究和探索学问的文化。</w:t>
      </w:r>
    </w:p>
    <w:p w:rsidR="00000000" w:rsidRDefault="00000000">
      <w:pPr>
        <w:pStyle w:val="Heading4"/>
        <w:spacing w:before="320"/>
        <w:textAlignment w:val="bottom"/>
      </w:pPr>
      <w:r>
        <w:rPr>
          <w:rFonts w:hint="eastAsia"/>
        </w:rPr>
        <w:t>防止利用科技发展妨碍他人享受人权</w:t>
      </w:r>
    </w:p>
    <w:p w:rsidR="00000000" w:rsidRDefault="00000000">
      <w:pPr>
        <w:textAlignment w:val="bottom"/>
      </w:pPr>
      <w:r>
        <w:tab/>
        <w:t xml:space="preserve">610.  </w:t>
      </w:r>
      <w:r>
        <w:rPr>
          <w:rFonts w:hint="eastAsia"/>
        </w:rPr>
        <w:t>如上次报告第</w:t>
      </w:r>
      <w:r>
        <w:t>405</w:t>
      </w:r>
      <w:r>
        <w:rPr>
          <w:rFonts w:hint="eastAsia"/>
        </w:rPr>
        <w:t>至</w:t>
      </w:r>
      <w:r>
        <w:t>406</w:t>
      </w:r>
      <w:r>
        <w:rPr>
          <w:rFonts w:hint="eastAsia"/>
        </w:rPr>
        <w:t>段所述，政府知道有必要防止科技进步被利用</w:t>
      </w:r>
    </w:p>
    <w:p w:rsidR="00000000" w:rsidRDefault="00000000">
      <w:pPr>
        <w:textAlignment w:val="bottom"/>
      </w:pPr>
      <w:r>
        <w:br w:type="page"/>
      </w:r>
      <w:r>
        <w:rPr>
          <w:rFonts w:hint="eastAsia"/>
        </w:rPr>
        <w:t>于妨碍他人享受人权。《人权法案》第三条使《公民权利和政治权利国际公约》第七条得以在本地法律实施。该条订明，对任何人不得施以酷刑，或予以残忍、不人道或侮辱之待遇或惩罚。非经本人自愿同意，尤不得对任何人作医学或科学试验。此外，《禁止酷刑和其他残忍、不人道或有辱人格的待遇或处罚公约》也适用于香港特区：我们根据该公约向禁止酷刑委员会提交的报告，将纳入中国的第三次报告内。</w:t>
      </w:r>
    </w:p>
    <w:p w:rsidR="00000000" w:rsidRDefault="00000000">
      <w:pPr>
        <w:pStyle w:val="Heading4"/>
        <w:spacing w:before="320"/>
        <w:ind w:left="498"/>
        <w:textAlignment w:val="bottom"/>
      </w:pPr>
      <w:r>
        <w:rPr>
          <w:rFonts w:hint="eastAsia"/>
        </w:rPr>
        <w:t>资料私隐的保障</w:t>
      </w:r>
    </w:p>
    <w:p w:rsidR="00000000" w:rsidRDefault="00000000">
      <w:pPr>
        <w:textAlignment w:val="bottom"/>
      </w:pPr>
      <w:r>
        <w:tab/>
        <w:t xml:space="preserve">611.  </w:t>
      </w:r>
      <w:r>
        <w:rPr>
          <w:rFonts w:hint="eastAsia"/>
        </w:rPr>
        <w:t>资讯科技不断发展，电脑及电讯设备因而被广泛使用。现时如要收集、取得和处理个人资料，实在十分容易；不过，这亦同时威胁到市民保障个人资料私隐的权利。根据一九九五年八月颁布的《个人资料</w:t>
      </w:r>
      <w:r>
        <w:t>(</w:t>
      </w:r>
      <w:r>
        <w:rPr>
          <w:rFonts w:hint="eastAsia"/>
        </w:rPr>
        <w:t>私隐</w:t>
      </w:r>
      <w:r>
        <w:t>)</w:t>
      </w:r>
      <w:r>
        <w:rPr>
          <w:rFonts w:hint="eastAsia"/>
        </w:rPr>
        <w:t>条例》，当局委任了个人资料私隐专员，作为独立的法定主管当局</w:t>
      </w:r>
      <w:r>
        <w:t xml:space="preserve"> </w:t>
      </w:r>
      <w:r>
        <w:rPr>
          <w:rStyle w:val="FootnoteReference"/>
        </w:rPr>
        <w:footnoteReference w:id="121"/>
      </w:r>
      <w:r>
        <w:rPr>
          <w:rFonts w:hint="eastAsia"/>
        </w:rPr>
        <w:t>。其法定职能之一，是就资讯科技发展对私隐权的影响进行研究。为此，个人资料私隐专员公署已发布有关保障互联网上个人资料私隐的指引。</w:t>
      </w:r>
    </w:p>
    <w:p w:rsidR="00000000" w:rsidRDefault="00000000">
      <w:pPr>
        <w:pStyle w:val="Heading4"/>
        <w:spacing w:before="320"/>
        <w:ind w:left="498"/>
        <w:textAlignment w:val="bottom"/>
      </w:pPr>
      <w:r>
        <w:rPr>
          <w:rFonts w:hint="eastAsia"/>
        </w:rPr>
        <w:t>生殖科技管理局</w:t>
      </w:r>
    </w:p>
    <w:p w:rsidR="00000000" w:rsidRDefault="00000000">
      <w:pPr>
        <w:textAlignment w:val="bottom"/>
      </w:pPr>
      <w:r>
        <w:tab/>
        <w:t xml:space="preserve">612.  </w:t>
      </w:r>
      <w:r>
        <w:rPr>
          <w:rFonts w:hint="eastAsia"/>
        </w:rPr>
        <w:t>在上次报告第</w:t>
      </w:r>
      <w:r>
        <w:t>407</w:t>
      </w:r>
      <w:r>
        <w:rPr>
          <w:rFonts w:hint="eastAsia"/>
        </w:rPr>
        <w:t>段，我们已提及科学协助人类生殖研究委员会曾提出多项建议，管制香港的生殖科技行业。一九九三年，我们发表有关建议，咨询市民的意见。在提交上次报告时，政府正草拟法例，以成立生殖科技管理局。该管理局会是一个规管、发牌及监察机构，有权管制以人工方法</w:t>
      </w:r>
      <w:r>
        <w:t>(</w:t>
      </w:r>
      <w:r>
        <w:rPr>
          <w:rFonts w:hint="eastAsia"/>
        </w:rPr>
        <w:t>包括体外受精、人工受精、性别选择、配子，以及胚胎在体外受精等</w:t>
      </w:r>
      <w:r>
        <w:t>)</w:t>
      </w:r>
      <w:r>
        <w:rPr>
          <w:rFonts w:hint="eastAsia"/>
        </w:rPr>
        <w:t>协助人类生殖的一切医疗及科学干预事宜。该法例的草拟工作现已接近完成阶段。在法例正式制定前，政府于一九九五年十二月成立了生殖科技临时管理局，就《人类生殖科技条例草案》及有关实务守则的草拟工作提供意见。该条例草案将于一九九八年九月提交立法会审议，一经通过，我们便会正式成立生殖科技管理局。</w:t>
      </w:r>
    </w:p>
    <w:p w:rsidR="00000000" w:rsidRDefault="00000000">
      <w:pPr>
        <w:pStyle w:val="Heading4"/>
        <w:spacing w:before="320"/>
        <w:textAlignment w:val="bottom"/>
      </w:pPr>
      <w:r>
        <w:rPr>
          <w:rFonts w:hint="eastAsia"/>
        </w:rPr>
        <w:t>保障知识产权</w:t>
      </w:r>
    </w:p>
    <w:p w:rsidR="00000000" w:rsidRDefault="00000000">
      <w:pPr>
        <w:textAlignment w:val="bottom"/>
      </w:pPr>
      <w:r>
        <w:tab/>
        <w:t xml:space="preserve">613.  </w:t>
      </w:r>
      <w:r>
        <w:rPr>
          <w:rFonts w:hint="eastAsia"/>
        </w:rPr>
        <w:t>在保障知识产权方面，所有在一九九七年七月一日或之前适用于香港的主要国际条约和公约，现仍继续适用</w:t>
      </w:r>
      <w:r>
        <w:t xml:space="preserve"> </w:t>
      </w:r>
      <w:r>
        <w:rPr>
          <w:rStyle w:val="FootnoteReference"/>
        </w:rPr>
        <w:footnoteReference w:id="122"/>
      </w:r>
      <w:r>
        <w:t xml:space="preserve"> </w:t>
      </w:r>
      <w:r>
        <w:rPr>
          <w:rFonts w:hint="eastAsia"/>
        </w:rPr>
        <w:t>。香港以“中国香港”的名义加入了世界贸易组织</w:t>
      </w:r>
      <w:r>
        <w:t>(</w:t>
      </w:r>
      <w:r>
        <w:rPr>
          <w:rFonts w:hint="eastAsia"/>
        </w:rPr>
        <w:t>“世贸组织”</w:t>
      </w:r>
      <w:r>
        <w:t>)</w:t>
      </w:r>
      <w:r>
        <w:rPr>
          <w:rFonts w:hint="eastAsia"/>
        </w:rPr>
        <w:t>。作为该组织的成员，香港特区须遵守世贸组织于一九九四年所订定的《与贸易有关的知识产权协议》</w:t>
      </w:r>
      <w:r>
        <w:rPr>
          <w:rStyle w:val="FootnoteReference"/>
        </w:rPr>
        <w:footnoteReference w:id="123"/>
      </w:r>
      <w:r>
        <w:t xml:space="preserve"> </w:t>
      </w:r>
      <w:r>
        <w:rPr>
          <w:rFonts w:hint="eastAsia"/>
        </w:rPr>
        <w:t>各项条文。此外，香港特区也经常参与有关知识产权的国际会议。</w:t>
      </w:r>
    </w:p>
    <w:p w:rsidR="00000000" w:rsidRDefault="00000000">
      <w:pPr>
        <w:textAlignment w:val="bottom"/>
      </w:pPr>
      <w:r>
        <w:tab/>
        <w:t xml:space="preserve">614.  </w:t>
      </w:r>
      <w:r>
        <w:rPr>
          <w:rFonts w:hint="eastAsia"/>
        </w:rPr>
        <w:t>政府通过普通法制度，以及就版权、专利、注册外观设计、商标、集成电路的布图设计</w:t>
      </w:r>
      <w:r>
        <w:t>(</w:t>
      </w:r>
      <w:r>
        <w:rPr>
          <w:rFonts w:hint="eastAsia"/>
        </w:rPr>
        <w:t>拓朴图</w:t>
      </w:r>
      <w:r>
        <w:t>)</w:t>
      </w:r>
      <w:r>
        <w:rPr>
          <w:rFonts w:hint="eastAsia"/>
        </w:rPr>
        <w:t>和新植物品种方面所制定的法规，保障香港的知识产权。这些措施完全符合《与贸易有关的知识产权协议》的规定。</w:t>
      </w:r>
    </w:p>
    <w:p w:rsidR="00000000" w:rsidRDefault="00000000">
      <w:pPr>
        <w:textAlignment w:val="bottom"/>
      </w:pPr>
      <w:r>
        <w:tab/>
        <w:t xml:space="preserve">615.  </w:t>
      </w:r>
      <w:r>
        <w:rPr>
          <w:rFonts w:hint="eastAsia"/>
        </w:rPr>
        <w:t>政府设有知识产权署，负责监察香港和国际知识产权的发展趋势，并就制定政策方面提供法律意见，俾能符合最高的国际标准。此外，该署亦致力提高市民对保障知识产权的意识，管理商标注册处、专利及外观设计注册处，并提供有关可予注册知识产权的注册和注册管理服务。</w:t>
      </w:r>
    </w:p>
    <w:p w:rsidR="00000000" w:rsidRDefault="00000000">
      <w:pPr>
        <w:textAlignment w:val="bottom"/>
      </w:pPr>
      <w:r>
        <w:tab/>
        <w:t xml:space="preserve">616.  </w:t>
      </w:r>
      <w:r>
        <w:rPr>
          <w:rFonts w:hint="eastAsia"/>
        </w:rPr>
        <w:t>香港海关负责就保障知识产权的刑事罪行方面进行执法工作，并有权扣押违例物品、拘捕违例人士，以及调查有关涉嫌侵犯版权、冒认商标或提供虚假商品说明作商业用途的投诉。此外，香港海关还与其他司法管辖区的执法机关和知识产权所有人合作，就侵犯商标及版权的活动采取执法行动。</w:t>
      </w:r>
    </w:p>
    <w:p w:rsidR="00000000" w:rsidRDefault="00000000">
      <w:pPr>
        <w:pStyle w:val="Heading4"/>
        <w:spacing w:before="320"/>
        <w:ind w:left="498"/>
        <w:textAlignment w:val="bottom"/>
      </w:pPr>
      <w:r>
        <w:rPr>
          <w:rFonts w:hint="eastAsia"/>
        </w:rPr>
        <w:t>排解纠纷</w:t>
      </w:r>
    </w:p>
    <w:p w:rsidR="00000000" w:rsidRDefault="00000000">
      <w:pPr>
        <w:textAlignment w:val="bottom"/>
      </w:pPr>
      <w:r>
        <w:tab/>
        <w:t xml:space="preserve">617.  </w:t>
      </w:r>
      <w:r>
        <w:rPr>
          <w:rFonts w:hint="eastAsia"/>
        </w:rPr>
        <w:t>有关知识产权的纠纷，通常须由法庭裁决。根据《版权条例》，版权审裁处是一个法定组织，其职能类似司法机构，有权就集体版权管理所涉及的版权税及牌照费纠纷作出仲裁。此外，该处又有权就委托作品或雇员作品受到商业剥削而引起的纠纷作出裁决。有关人士可就版权审裁处裁决的法律论点，向原讼法庭提出上诉。</w:t>
      </w:r>
    </w:p>
    <w:p w:rsidR="00000000" w:rsidRDefault="00000000">
      <w:pPr>
        <w:pStyle w:val="Heading4"/>
        <w:spacing w:before="320"/>
        <w:textAlignment w:val="bottom"/>
      </w:pPr>
      <w:r>
        <w:rPr>
          <w:rFonts w:hint="eastAsia"/>
        </w:rPr>
        <w:t>成立资讯科技及广播局</w:t>
      </w:r>
    </w:p>
    <w:p w:rsidR="00000000" w:rsidRDefault="00000000">
      <w:pPr>
        <w:textAlignment w:val="bottom"/>
      </w:pPr>
      <w:r>
        <w:tab/>
        <w:t xml:space="preserve">618.  </w:t>
      </w:r>
      <w:r>
        <w:rPr>
          <w:rFonts w:hint="eastAsia"/>
        </w:rPr>
        <w:t>鉴于资讯科技日益重要，加上资讯科技、电讯和广播的技术趋向一体化，政府于一九九八年四月成立了资讯科技及广播局，负责制定广播和电讯政策，并向公营部门和私营机构推广进一步应用资讯科技。</w:t>
      </w:r>
    </w:p>
    <w:p w:rsidR="00000000" w:rsidRDefault="00000000">
      <w:pPr>
        <w:pStyle w:val="Heading4"/>
        <w:spacing w:before="320"/>
        <w:textAlignment w:val="bottom"/>
      </w:pPr>
      <w:r>
        <w:rPr>
          <w:rFonts w:hint="eastAsia"/>
        </w:rPr>
        <w:t>郊野公园和自然保育区</w:t>
      </w:r>
    </w:p>
    <w:p w:rsidR="00000000" w:rsidRDefault="00000000">
      <w:pPr>
        <w:spacing w:after="320"/>
        <w:textAlignment w:val="bottom"/>
      </w:pPr>
      <w:r>
        <w:tab/>
        <w:t xml:space="preserve">619.  </w:t>
      </w:r>
      <w:r>
        <w:rPr>
          <w:rFonts w:hint="eastAsia"/>
        </w:rPr>
        <w:t>尽管香港是全球人口最稠密的地方之一，但却有</w:t>
      </w:r>
      <w:r>
        <w:t>38%</w:t>
      </w:r>
      <w:r>
        <w:rPr>
          <w:rFonts w:hint="eastAsia"/>
        </w:rPr>
        <w:t>的土地面积划为郊野公园。目前，香港共有三个指定的海岸公园，而多片位于指定郊野公园外的广阔土地，亦已列为受保护的郊野保护区、绿化地带或特具科学价值的地方。米埔沼泽区和后海湾栖息地，是季候鸟筑巢的主要地方，并已根据《拉姆萨尔公约》</w:t>
      </w:r>
      <w:r>
        <w:rPr>
          <w:rStyle w:val="FootnoteReference"/>
        </w:rPr>
        <w:footnoteReference w:id="124"/>
      </w:r>
      <w:r>
        <w:t xml:space="preserve"> </w:t>
      </w:r>
      <w:r>
        <w:rPr>
          <w:rFonts w:hint="eastAsia"/>
        </w:rPr>
        <w:t>定为“具有国际意义的湿地”。这些保育区对香港的环境卫生至为重要，同时又提供了户外活动和环境教育的场地，且有助保护泥土和水源。此外，政府推行了多项大型造林计划，使香港于过去</w:t>
      </w:r>
      <w:r>
        <w:t>50</w:t>
      </w:r>
      <w:r>
        <w:rPr>
          <w:rFonts w:hint="eastAsia"/>
        </w:rPr>
        <w:t>年间，林木区的面积大幅增加。虽然人类发展对环境构成不少压力，但在香港这幅面积仅</w:t>
      </w:r>
      <w:r>
        <w:t>1,095</w:t>
      </w:r>
      <w:r>
        <w:rPr>
          <w:rFonts w:hint="eastAsia"/>
        </w:rPr>
        <w:t>平方公里的土地上，生物种类较其他地方</w:t>
      </w:r>
      <w:r>
        <w:t>(</w:t>
      </w:r>
      <w:r>
        <w:rPr>
          <w:rFonts w:hint="eastAsia"/>
        </w:rPr>
        <w:t>例如英伦三岛</w:t>
      </w:r>
      <w:r>
        <w:t>)</w:t>
      </w:r>
      <w:r>
        <w:rPr>
          <w:rFonts w:hint="eastAsia"/>
        </w:rPr>
        <w:t>还要多。</w:t>
      </w:r>
    </w:p>
    <w:p w:rsidR="00000000" w:rsidRDefault="00000000">
      <w:pPr>
        <w:pStyle w:val="Heading3"/>
        <w:textAlignment w:val="bottom"/>
      </w:pPr>
      <w:r>
        <w:rPr>
          <w:rFonts w:hint="eastAsia"/>
        </w:rPr>
        <w:t>第十六条</w:t>
      </w:r>
      <w:r>
        <w:t xml:space="preserve">.  </w:t>
      </w:r>
      <w:r>
        <w:rPr>
          <w:rFonts w:hint="eastAsia"/>
        </w:rPr>
        <w:t>递交报告的安排</w:t>
      </w:r>
    </w:p>
    <w:p w:rsidR="00000000" w:rsidRDefault="00000000">
      <w:pPr>
        <w:pStyle w:val="a3"/>
        <w:tabs>
          <w:tab w:val="clear" w:pos="6804"/>
          <w:tab w:val="clear" w:pos="7371"/>
          <w:tab w:val="clear" w:pos="7541"/>
          <w:tab w:val="clear" w:pos="7711"/>
          <w:tab w:val="clear" w:pos="9185"/>
        </w:tabs>
        <w:textAlignment w:val="bottom"/>
      </w:pPr>
      <w:r>
        <w:tab/>
        <w:t xml:space="preserve">620.  </w:t>
      </w:r>
      <w:r>
        <w:rPr>
          <w:rFonts w:hint="eastAsia"/>
        </w:rPr>
        <w:t>政府在拟备这份报告时，已咨询过立法会议员，非政府机构和社会热心人士的意见。</w:t>
      </w:r>
    </w:p>
    <w:p w:rsidR="00000000" w:rsidRDefault="00000000">
      <w:pPr>
        <w:pStyle w:val="a3"/>
        <w:tabs>
          <w:tab w:val="clear" w:pos="6804"/>
          <w:tab w:val="clear" w:pos="7371"/>
          <w:tab w:val="clear" w:pos="7541"/>
          <w:tab w:val="clear" w:pos="7711"/>
          <w:tab w:val="clear" w:pos="9185"/>
        </w:tabs>
        <w:textAlignment w:val="bottom"/>
      </w:pPr>
      <w:r>
        <w:tab/>
        <w:t xml:space="preserve">621.  </w:t>
      </w:r>
      <w:r>
        <w:rPr>
          <w:rFonts w:hint="eastAsia"/>
        </w:rPr>
        <w:t>按照一贯采用的咨询方法，我们先向公众发表一份论题大纲，内里按条列出我们打算在报告内论述的论题，然后邀请各界就各项论题所涉及的公约实施情况提供意见，并提出他们认为应该在报告加添的其他项目。对于各界提出的意见，我们已在报告内相关条文的适当部分有所论及。</w:t>
      </w:r>
    </w:p>
    <w:p w:rsidR="00000000" w:rsidRDefault="00000000">
      <w:pPr>
        <w:pStyle w:val="a3"/>
        <w:tabs>
          <w:tab w:val="clear" w:pos="6804"/>
          <w:tab w:val="clear" w:pos="7371"/>
          <w:tab w:val="clear" w:pos="7541"/>
          <w:tab w:val="clear" w:pos="7711"/>
          <w:tab w:val="clear" w:pos="9185"/>
        </w:tabs>
        <w:textAlignment w:val="bottom"/>
      </w:pPr>
      <w:r>
        <w:tab/>
        <w:t xml:space="preserve">622.  </w:t>
      </w:r>
      <w:r>
        <w:rPr>
          <w:rFonts w:hint="eastAsia"/>
        </w:rPr>
        <w:t>这次咨询为期五周，于一九九八年三月至四月间进行。在咨询期内，政府草拟小组曾与非政府机构及其他人等会面，商讨有关问题，并就咨询程序交换意见。按照惯例，报告于提交委员会后，将以中英文双语钉装本形式印发。</w:t>
      </w:r>
    </w:p>
    <w:p w:rsidR="00000000" w:rsidRDefault="00000000">
      <w:pPr>
        <w:pStyle w:val="Heading4"/>
        <w:spacing w:before="320"/>
        <w:textAlignment w:val="bottom"/>
      </w:pPr>
      <w:r>
        <w:rPr>
          <w:rFonts w:hint="eastAsia"/>
        </w:rPr>
        <w:t>委员会审议结论的派发事宜</w:t>
      </w:r>
    </w:p>
    <w:p w:rsidR="00000000" w:rsidRDefault="00000000">
      <w:pPr>
        <w:pStyle w:val="a3"/>
        <w:tabs>
          <w:tab w:val="clear" w:pos="6804"/>
          <w:tab w:val="clear" w:pos="7371"/>
          <w:tab w:val="clear" w:pos="7541"/>
          <w:tab w:val="clear" w:pos="7711"/>
          <w:tab w:val="clear" w:pos="9185"/>
        </w:tabs>
        <w:textAlignment w:val="bottom"/>
      </w:pPr>
      <w:r>
        <w:tab/>
        <w:t xml:space="preserve">623.  </w:t>
      </w:r>
      <w:r>
        <w:rPr>
          <w:rFonts w:hint="eastAsia"/>
        </w:rPr>
        <w:t>委员会于上次报告审议结论第</w:t>
      </w:r>
      <w:r>
        <w:t>45</w:t>
      </w:r>
      <w:r>
        <w:rPr>
          <w:rFonts w:hint="eastAsia"/>
        </w:rPr>
        <w:t>段，建议当局把其审议结论在香港广泛派发，同时更应派发给司法机构所有人员和各政府部门有关人员。一九九七年二月，当局按照惯例，把该份审议结论发送所有法官、司法人员、立法局议员、非政府机构，以及其他关注团体和热心人士。</w:t>
      </w:r>
    </w:p>
    <w:p w:rsidR="00000000" w:rsidRDefault="00000000">
      <w:pPr>
        <w:pStyle w:val="a3"/>
        <w:tabs>
          <w:tab w:val="clear" w:pos="6804"/>
          <w:tab w:val="clear" w:pos="7371"/>
          <w:tab w:val="clear" w:pos="7541"/>
          <w:tab w:val="clear" w:pos="7711"/>
          <w:tab w:val="clear" w:pos="9185"/>
        </w:tabs>
        <w:textAlignment w:val="bottom"/>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altName w:val="黑体"/>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KaiTi_GB2312">
    <w:altName w:val="楷体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p>
  <w:p w:rsidR="00000000" w:rsidRDefault="00000000">
    <w:pPr>
      <w:pStyle w:val="Footer"/>
      <w:rPr>
        <w:rFonts w:ascii="Courier" w:hAnsi="Courier"/>
      </w:rPr>
    </w:pPr>
    <w:r>
      <w:rPr>
        <w:rFonts w:ascii="Courier" w:hAnsi="Courier"/>
      </w:rPr>
      <w:t>GE. 99-44210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t>*</w:t>
      </w:r>
      <w:r>
        <w:t xml:space="preserve"> </w:t>
      </w:r>
      <w:r>
        <w:tab/>
      </w:r>
      <w:r>
        <w:rPr>
          <w:rFonts w:hint="eastAsia"/>
        </w:rPr>
        <w:t>中国按准则提交缔约国报告有关开头部分材料载于核心文件</w:t>
      </w:r>
      <w:r>
        <w:t>(HRI/CORE/1/ Add.21/Rev.1)</w:t>
      </w:r>
      <w:r>
        <w:rPr>
          <w:rFonts w:hint="eastAsia"/>
        </w:rPr>
        <w:t>。</w:t>
      </w:r>
    </w:p>
    <w:p w:rsidR="00000000" w:rsidRDefault="00000000">
      <w:pPr>
        <w:pStyle w:val="FootnoteText"/>
      </w:pPr>
      <w:r>
        <w:rPr>
          <w:rFonts w:hint="eastAsia"/>
        </w:rPr>
        <w:t>本次报告所涉附件可到秘书处查阅。</w:t>
      </w:r>
    </w:p>
  </w:footnote>
  <w:footnote w:id="2">
    <w:p w:rsidR="00000000" w:rsidRDefault="00000000">
      <w:pPr>
        <w:pStyle w:val="FootnoteText"/>
      </w:pPr>
      <w:r>
        <w:rPr>
          <w:rStyle w:val="FootnoteReference"/>
        </w:rPr>
        <w:footnoteRef/>
      </w:r>
      <w:r>
        <w:t xml:space="preserve"> </w:t>
      </w:r>
      <w:r>
        <w:tab/>
      </w:r>
      <w:r>
        <w:rPr>
          <w:rFonts w:hint="eastAsia"/>
        </w:rPr>
        <w:t>“上次报告”是指委员会在一九九六年十一月审议由英国提交有关香港实施《经济、社会、文化权利国际公约》第二至十六条的情况的第三次定期报告。</w:t>
      </w:r>
    </w:p>
  </w:footnote>
  <w:footnote w:id="3">
    <w:p w:rsidR="00000000" w:rsidRDefault="00000000">
      <w:pPr>
        <w:pStyle w:val="FootnoteText"/>
      </w:pPr>
      <w:r>
        <w:rPr>
          <w:rStyle w:val="FootnoteReference"/>
        </w:rPr>
        <w:footnoteRef/>
      </w:r>
      <w:r>
        <w:t xml:space="preserve"> </w:t>
      </w:r>
      <w:r>
        <w:tab/>
      </w:r>
      <w:r>
        <w:rPr>
          <w:rFonts w:hint="eastAsia"/>
        </w:rPr>
        <w:t>我们亦已就年龄歧视问题发出类似的实务守则；见下文第六条第７６段。</w:t>
      </w:r>
    </w:p>
  </w:footnote>
  <w:footnote w:id="4">
    <w:p w:rsidR="00000000" w:rsidRDefault="00000000">
      <w:pPr>
        <w:pStyle w:val="FootnoteText"/>
      </w:pPr>
      <w:r>
        <w:rPr>
          <w:rStyle w:val="FootnoteReference"/>
        </w:rPr>
        <w:footnoteRef/>
      </w:r>
      <w:r>
        <w:t xml:space="preserve"> </w:t>
      </w:r>
      <w:r>
        <w:tab/>
      </w:r>
      <w:r>
        <w:rPr>
          <w:rFonts w:hint="eastAsia"/>
        </w:rPr>
        <w:t>教育委员会学校教育检讨小组</w:t>
      </w:r>
      <w:r>
        <w:t>(</w:t>
      </w:r>
      <w:r>
        <w:rPr>
          <w:rFonts w:hint="eastAsia"/>
        </w:rPr>
        <w:t>为检讨九年强迫教育制度而设立</w:t>
      </w:r>
      <w:r>
        <w:t>)</w:t>
      </w:r>
      <w:r>
        <w:rPr>
          <w:rFonts w:hint="eastAsia"/>
        </w:rPr>
        <w:t>在一九九七年发表的检讨报告中指出，由于“强迫教育”一词带有迫使青年入学就读的负面意义，同时也为了表明当局肩负为所有儿童提供普及教育的使命，所以该词可能须作修改。不过，为顾及本公约第十三</w:t>
      </w:r>
      <w:r>
        <w:t>(</w:t>
      </w:r>
      <w:r>
        <w:rPr>
          <w:rFonts w:hint="eastAsia"/>
        </w:rPr>
        <w:t>二</w:t>
      </w:r>
      <w:r>
        <w:t>)(</w:t>
      </w:r>
      <w:r>
        <w:rPr>
          <w:rFonts w:hint="eastAsia"/>
        </w:rPr>
        <w:t>甲</w:t>
      </w:r>
      <w:r>
        <w:t>)</w:t>
      </w:r>
      <w:r>
        <w:rPr>
          <w:rFonts w:hint="eastAsia"/>
        </w:rPr>
        <w:t>条的规定，我们在本报告内仍保留使用“免费强迫教育”一词。</w:t>
      </w:r>
    </w:p>
  </w:footnote>
  <w:footnote w:id="5">
    <w:p w:rsidR="00000000" w:rsidRDefault="00000000">
      <w:pPr>
        <w:pStyle w:val="FootnoteText"/>
      </w:pPr>
      <w:r>
        <w:rPr>
          <w:rStyle w:val="FootnoteReference"/>
        </w:rPr>
        <w:footnoteRef/>
      </w:r>
      <w:r>
        <w:t xml:space="preserve"> </w:t>
      </w:r>
      <w:r>
        <w:tab/>
      </w:r>
      <w:r>
        <w:rPr>
          <w:rFonts w:hint="eastAsia"/>
        </w:rPr>
        <w:t>《教育条例》</w:t>
      </w:r>
      <w:r>
        <w:t>(</w:t>
      </w:r>
      <w:r>
        <w:rPr>
          <w:rFonts w:hint="eastAsia"/>
        </w:rPr>
        <w:t>第</w:t>
      </w:r>
      <w:r>
        <w:t>279</w:t>
      </w:r>
      <w:r>
        <w:rPr>
          <w:rFonts w:hint="eastAsia"/>
        </w:rPr>
        <w:t>章</w:t>
      </w:r>
      <w:r>
        <w:t>)</w:t>
      </w:r>
      <w:r>
        <w:rPr>
          <w:rFonts w:hint="eastAsia"/>
        </w:rPr>
        <w:t>。</w:t>
      </w:r>
    </w:p>
  </w:footnote>
  <w:footnote w:id="6">
    <w:p w:rsidR="00000000" w:rsidRDefault="00000000">
      <w:pPr>
        <w:pStyle w:val="FootnoteText"/>
      </w:pPr>
      <w:r>
        <w:rPr>
          <w:rStyle w:val="FootnoteReference"/>
        </w:rPr>
        <w:footnoteRef/>
      </w:r>
      <w:r>
        <w:t xml:space="preserve"> </w:t>
      </w:r>
      <w:r>
        <w:tab/>
      </w:r>
      <w:r>
        <w:rPr>
          <w:rFonts w:hint="eastAsia"/>
        </w:rPr>
        <w:t>《建筑物</w:t>
      </w:r>
      <w:r>
        <w:t>(</w:t>
      </w:r>
      <w:r>
        <w:rPr>
          <w:rFonts w:hint="eastAsia"/>
        </w:rPr>
        <w:t>规划</w:t>
      </w:r>
      <w:r>
        <w:t>)</w:t>
      </w:r>
      <w:r>
        <w:rPr>
          <w:rFonts w:hint="eastAsia"/>
        </w:rPr>
        <w:t>规例》</w:t>
      </w:r>
      <w:r>
        <w:t>(</w:t>
      </w:r>
      <w:r>
        <w:rPr>
          <w:rFonts w:hint="eastAsia"/>
        </w:rPr>
        <w:t>第</w:t>
      </w:r>
      <w:r>
        <w:t>123</w:t>
      </w:r>
      <w:r>
        <w:rPr>
          <w:rFonts w:hint="eastAsia"/>
        </w:rPr>
        <w:t>章附属法例</w:t>
      </w:r>
      <w:r>
        <w:t>)</w:t>
      </w:r>
      <w:r>
        <w:rPr>
          <w:rFonts w:hint="eastAsia"/>
        </w:rPr>
        <w:t>。</w:t>
      </w:r>
    </w:p>
  </w:footnote>
  <w:footnote w:id="7">
    <w:p w:rsidR="00000000" w:rsidRDefault="00000000">
      <w:pPr>
        <w:pStyle w:val="FootnoteText"/>
      </w:pPr>
      <w:r>
        <w:rPr>
          <w:rStyle w:val="FootnoteReference"/>
        </w:rPr>
        <w:footnoteRef/>
      </w:r>
      <w:r>
        <w:t xml:space="preserve"> </w:t>
      </w:r>
      <w:r>
        <w:tab/>
      </w:r>
      <w:r>
        <w:rPr>
          <w:rFonts w:hint="eastAsia"/>
        </w:rPr>
        <w:t>康复咨询委员会及其小组委员会是由康复组</w:t>
      </w:r>
      <w:r>
        <w:t>(</w:t>
      </w:r>
      <w:r>
        <w:rPr>
          <w:rFonts w:hint="eastAsia"/>
        </w:rPr>
        <w:t>卫生福利局辖下的政府办事处</w:t>
      </w:r>
      <w:r>
        <w:t>)</w:t>
      </w:r>
      <w:r>
        <w:rPr>
          <w:rFonts w:hint="eastAsia"/>
        </w:rPr>
        <w:t>提供所需的支援服务。</w:t>
      </w:r>
    </w:p>
  </w:footnote>
  <w:footnote w:id="8">
    <w:p w:rsidR="00000000" w:rsidRDefault="00000000">
      <w:pPr>
        <w:pStyle w:val="FootnoteText"/>
      </w:pPr>
      <w:r>
        <w:rPr>
          <w:rStyle w:val="FootnoteReference"/>
        </w:rPr>
        <w:footnoteRef/>
      </w:r>
      <w:r>
        <w:t xml:space="preserve"> </w:t>
      </w:r>
      <w:r>
        <w:tab/>
      </w:r>
      <w:r>
        <w:rPr>
          <w:rFonts w:hint="eastAsia"/>
        </w:rPr>
        <w:t>称为“宣传短片”。</w:t>
      </w:r>
    </w:p>
  </w:footnote>
  <w:footnote w:id="9">
    <w:p w:rsidR="00000000" w:rsidRDefault="00000000">
      <w:pPr>
        <w:pStyle w:val="FootnoteText"/>
      </w:pPr>
      <w:r>
        <w:rPr>
          <w:rStyle w:val="FootnoteReference"/>
        </w:rPr>
        <w:footnoteRef/>
      </w:r>
      <w:r>
        <w:t xml:space="preserve"> </w:t>
      </w:r>
      <w:r>
        <w:tab/>
      </w:r>
      <w:r>
        <w:rPr>
          <w:rFonts w:hint="eastAsia"/>
        </w:rPr>
        <w:t>我们已分别在《公民和政治权利报告一》和英国根据《公民权利和政治权利国际公约》而提交有关香港的补充报告</w:t>
      </w:r>
      <w:r>
        <w:t>(</w:t>
      </w:r>
      <w:r>
        <w:rPr>
          <w:rFonts w:hint="eastAsia"/>
        </w:rPr>
        <w:t>于一九九六年十月由人权事务委员会审议</w:t>
      </w:r>
      <w:r>
        <w:t>)</w:t>
      </w:r>
      <w:r>
        <w:rPr>
          <w:rFonts w:hint="eastAsia"/>
        </w:rPr>
        <w:t>第</w:t>
      </w:r>
      <w:r>
        <w:t>13</w:t>
      </w:r>
      <w:r>
        <w:rPr>
          <w:rFonts w:hint="eastAsia"/>
        </w:rPr>
        <w:t>至</w:t>
      </w:r>
      <w:r>
        <w:t>16</w:t>
      </w:r>
      <w:r>
        <w:rPr>
          <w:rFonts w:hint="eastAsia"/>
        </w:rPr>
        <w:t>段中，向人权事务委员会表达同样的意见。</w:t>
      </w:r>
    </w:p>
  </w:footnote>
  <w:footnote w:id="10">
    <w:p w:rsidR="00000000" w:rsidRDefault="00000000">
      <w:pPr>
        <w:pStyle w:val="FootnoteText"/>
      </w:pPr>
      <w:r>
        <w:rPr>
          <w:rStyle w:val="FootnoteReference"/>
        </w:rPr>
        <w:footnoteRef/>
      </w:r>
      <w:r>
        <w:tab/>
      </w:r>
      <w:r>
        <w:rPr>
          <w:rFonts w:hint="eastAsia"/>
        </w:rPr>
        <w:t>［第</w:t>
      </w:r>
      <w:r>
        <w:t>22</w:t>
      </w:r>
      <w:r>
        <w:rPr>
          <w:rFonts w:hint="eastAsia"/>
        </w:rPr>
        <w:t>条报告］指根据</w:t>
      </w:r>
      <w:r>
        <w:rPr>
          <w:rFonts w:eastAsia="SimSun" w:hint="eastAsia"/>
        </w:rPr>
        <w:t>《</w:t>
      </w:r>
      <w:r>
        <w:rPr>
          <w:rFonts w:hint="eastAsia"/>
        </w:rPr>
        <w:t>国际劳工组织章程</w:t>
      </w:r>
      <w:r>
        <w:rPr>
          <w:rFonts w:eastAsia="SimSun" w:hint="eastAsia"/>
        </w:rPr>
        <w:t>》</w:t>
      </w:r>
      <w:r>
        <w:rPr>
          <w:rFonts w:hint="eastAsia"/>
        </w:rPr>
        <w:t>第</w:t>
      </w:r>
      <w:r>
        <w:t>22</w:t>
      </w:r>
      <w:r>
        <w:rPr>
          <w:rFonts w:hint="eastAsia"/>
        </w:rPr>
        <w:t>条向国际劳工组织提交的报告</w:t>
      </w:r>
      <w:r>
        <w:rPr>
          <w:rFonts w:eastAsia="SimSun" w:hint="eastAsia"/>
        </w:rPr>
        <w:t>。</w:t>
      </w:r>
    </w:p>
  </w:footnote>
  <w:footnote w:id="11">
    <w:p w:rsidR="00000000" w:rsidRDefault="00000000">
      <w:pPr>
        <w:pStyle w:val="FootnoteText"/>
      </w:pPr>
      <w:r>
        <w:rPr>
          <w:rStyle w:val="FootnoteReference"/>
        </w:rPr>
        <w:footnoteRef/>
      </w:r>
      <w:r>
        <w:tab/>
      </w:r>
      <w:r>
        <w:rPr>
          <w:rFonts w:hint="eastAsia"/>
        </w:rPr>
        <w:t>劳资审裁处只会在劳资双方同意下才作出这项命令，</w:t>
      </w:r>
      <w:r>
        <w:t xml:space="preserve"> </w:t>
      </w:r>
      <w:r>
        <w:rPr>
          <w:rFonts w:hint="eastAsia"/>
        </w:rPr>
        <w:t>因为香港主要为小型企业，如果未经劳资双方同意而强制判令雇员复职或再次获得聘用，</w:t>
      </w:r>
      <w:r>
        <w:t xml:space="preserve"> </w:t>
      </w:r>
      <w:r>
        <w:rPr>
          <w:rFonts w:hint="eastAsia"/>
        </w:rPr>
        <w:t>不但不切实际，</w:t>
      </w:r>
      <w:r>
        <w:t xml:space="preserve"> </w:t>
      </w:r>
      <w:r>
        <w:rPr>
          <w:rFonts w:hint="eastAsia"/>
        </w:rPr>
        <w:t>更会损害和谐的劳资关系</w:t>
      </w:r>
      <w:r>
        <w:rPr>
          <w:rFonts w:eastAsia="SimSun" w:hint="eastAsia"/>
        </w:rPr>
        <w:t>。</w:t>
      </w:r>
    </w:p>
  </w:footnote>
  <w:footnote w:id="12">
    <w:p w:rsidR="00000000" w:rsidRDefault="00000000">
      <w:pPr>
        <w:pStyle w:val="FootnoteText"/>
      </w:pPr>
      <w:r>
        <w:rPr>
          <w:rStyle w:val="FootnoteReference"/>
        </w:rPr>
        <w:footnoteRef/>
      </w:r>
      <w:r>
        <w:tab/>
      </w:r>
      <w:r>
        <w:rPr>
          <w:rFonts w:hint="eastAsia"/>
        </w:rPr>
        <w:t>凡雇主在以下情况解雇雇员，即属违反</w:t>
      </w:r>
      <w:r>
        <w:t>(</w:t>
      </w:r>
      <w:r>
        <w:rPr>
          <w:rFonts w:hint="eastAsia"/>
        </w:rPr>
        <w:t>雇佣条例</w:t>
      </w:r>
      <w:r>
        <w:t>)(</w:t>
      </w:r>
      <w:r>
        <w:rPr>
          <w:rFonts w:hint="eastAsia"/>
        </w:rPr>
        <w:t>第</w:t>
      </w:r>
      <w:r>
        <w:t>57</w:t>
      </w:r>
      <w:r>
        <w:rPr>
          <w:rFonts w:hint="eastAsia"/>
        </w:rPr>
        <w:t>章</w:t>
      </w:r>
      <w:r>
        <w:t>)</w:t>
      </w:r>
      <w:r>
        <w:rPr>
          <w:rFonts w:eastAsia="SimSun" w:hint="eastAsia"/>
        </w:rPr>
        <w:t>、《</w:t>
      </w:r>
      <w:r>
        <w:rPr>
          <w:rFonts w:hint="eastAsia"/>
        </w:rPr>
        <w:t>工厂及工业经营条例</w:t>
      </w:r>
      <w:r>
        <w:rPr>
          <w:rFonts w:eastAsia="SimSun" w:hint="eastAsia"/>
        </w:rPr>
        <w:t>》</w:t>
      </w:r>
      <w:r>
        <w:t>(</w:t>
      </w:r>
      <w:r>
        <w:rPr>
          <w:rFonts w:hint="eastAsia"/>
        </w:rPr>
        <w:t>第</w:t>
      </w:r>
      <w:r>
        <w:t>59</w:t>
      </w:r>
      <w:r>
        <w:rPr>
          <w:rFonts w:hint="eastAsia"/>
        </w:rPr>
        <w:t>章</w:t>
      </w:r>
      <w:r>
        <w:t>)</w:t>
      </w:r>
      <w:r>
        <w:rPr>
          <w:rFonts w:hint="eastAsia"/>
        </w:rPr>
        <w:t>或</w:t>
      </w:r>
      <w:r>
        <w:rPr>
          <w:rFonts w:eastAsia="SimSun" w:hint="eastAsia"/>
        </w:rPr>
        <w:t>《</w:t>
      </w:r>
      <w:r>
        <w:rPr>
          <w:rFonts w:hint="eastAsia"/>
        </w:rPr>
        <w:t>雇员补偿条例</w:t>
      </w:r>
      <w:r>
        <w:rPr>
          <w:rFonts w:eastAsia="SimSun" w:hint="eastAsia"/>
        </w:rPr>
        <w:t>》</w:t>
      </w:r>
      <w:r>
        <w:t>(</w:t>
      </w:r>
      <w:r>
        <w:rPr>
          <w:rFonts w:hint="eastAsia"/>
        </w:rPr>
        <w:t>第</w:t>
      </w:r>
      <w:r>
        <w:t>282</w:t>
      </w:r>
      <w:r>
        <w:rPr>
          <w:rFonts w:hint="eastAsia"/>
        </w:rPr>
        <w:t>章</w:t>
      </w:r>
      <w:r>
        <w:t>)</w:t>
      </w:r>
      <w:r>
        <w:rPr>
          <w:rFonts w:hint="eastAsia"/>
        </w:rPr>
        <w:t>的指定条文：</w:t>
      </w:r>
    </w:p>
    <w:p w:rsidR="00000000" w:rsidRDefault="00000000">
      <w:pPr>
        <w:pStyle w:val="a0"/>
        <w:numPr>
          <w:ilvl w:val="0"/>
          <w:numId w:val="4"/>
        </w:numPr>
        <w:spacing w:line="288" w:lineRule="auto"/>
        <w:ind w:left="1531" w:hanging="510"/>
        <w:rPr>
          <w:rFonts w:ascii="长城楷体" w:eastAsia="长城楷体"/>
        </w:rPr>
      </w:pPr>
      <w:r>
        <w:rPr>
          <w:rFonts w:ascii="长城楷体" w:eastAsia="长城楷体" w:hint="eastAsia"/>
        </w:rPr>
        <w:t>在雇员送达怀孕通知后将其解雇；</w:t>
      </w:r>
    </w:p>
    <w:p w:rsidR="00000000" w:rsidRDefault="00000000">
      <w:pPr>
        <w:pStyle w:val="a0"/>
        <w:numPr>
          <w:ilvl w:val="0"/>
          <w:numId w:val="4"/>
        </w:numPr>
        <w:spacing w:line="288" w:lineRule="auto"/>
        <w:ind w:left="1531" w:hanging="510"/>
        <w:rPr>
          <w:rFonts w:ascii="长城楷体" w:eastAsia="长城楷体"/>
        </w:rPr>
      </w:pPr>
      <w:r>
        <w:rPr>
          <w:rFonts w:ascii="长城楷体" w:eastAsia="长城楷体" w:hint="eastAsia"/>
        </w:rPr>
        <w:t>因雇员参加职工会或职工会活动而将其解雇；</w:t>
      </w:r>
    </w:p>
    <w:p w:rsidR="00000000" w:rsidRDefault="00000000">
      <w:pPr>
        <w:pStyle w:val="a0"/>
        <w:numPr>
          <w:ilvl w:val="0"/>
          <w:numId w:val="4"/>
        </w:numPr>
        <w:spacing w:line="288" w:lineRule="auto"/>
        <w:ind w:left="1531" w:hanging="510"/>
        <w:rPr>
          <w:rFonts w:ascii="长城楷体" w:eastAsia="长城楷体"/>
        </w:rPr>
      </w:pPr>
      <w:r>
        <w:rPr>
          <w:rFonts w:ascii="长城楷体" w:eastAsia="长城楷体" w:hint="eastAsia"/>
        </w:rPr>
        <w:t>在雇员放取有薪病假期间将其解雇；</w:t>
      </w:r>
    </w:p>
    <w:p w:rsidR="00000000" w:rsidRDefault="00000000">
      <w:pPr>
        <w:pStyle w:val="a0"/>
        <w:numPr>
          <w:ilvl w:val="0"/>
          <w:numId w:val="4"/>
        </w:numPr>
        <w:spacing w:line="288" w:lineRule="auto"/>
        <w:ind w:left="1531" w:hanging="510"/>
        <w:rPr>
          <w:rFonts w:ascii="长城楷体" w:eastAsia="长城楷体"/>
        </w:rPr>
      </w:pPr>
      <w:r>
        <w:rPr>
          <w:rFonts w:ascii="长城楷体" w:eastAsia="长城楷体" w:hint="eastAsia"/>
        </w:rPr>
        <w:t>因雇员在有关强制执行劳工法例、工业意外或违反工作安全规例而进行的法律程序或查讯中作供或提供资料，而将其解雇；及</w:t>
      </w:r>
    </w:p>
    <w:p w:rsidR="00000000" w:rsidRDefault="00000000">
      <w:pPr>
        <w:pStyle w:val="a0"/>
        <w:numPr>
          <w:ilvl w:val="0"/>
          <w:numId w:val="4"/>
        </w:numPr>
        <w:spacing w:line="288" w:lineRule="auto"/>
        <w:ind w:left="1531" w:hanging="510"/>
        <w:rPr>
          <w:rFonts w:ascii="长城楷体" w:eastAsia="长城楷体"/>
        </w:rPr>
      </w:pPr>
      <w:r>
        <w:rPr>
          <w:rFonts w:ascii="长城楷体" w:eastAsia="长城楷体" w:hint="eastAsia"/>
        </w:rPr>
        <w:t>在劳资双方尚未就受伤雇员的补偿事宜订立协议或在评估证明书尚未发出前，将其解雇。</w:t>
      </w:r>
    </w:p>
  </w:footnote>
  <w:footnote w:id="13">
    <w:p w:rsidR="00000000" w:rsidRDefault="00000000">
      <w:pPr>
        <w:pStyle w:val="FootnoteText"/>
      </w:pPr>
      <w:r>
        <w:rPr>
          <w:rStyle w:val="FootnoteReference"/>
        </w:rPr>
        <w:footnoteRef/>
      </w:r>
      <w:r>
        <w:tab/>
      </w:r>
      <w:r>
        <w:rPr>
          <w:rFonts w:hint="eastAsia"/>
        </w:rPr>
        <w:t>指在香港尚未住满七年的居民</w:t>
      </w:r>
      <w:r>
        <w:rPr>
          <w:rFonts w:eastAsia="SimSun" w:hint="eastAsia"/>
        </w:rPr>
        <w:t>。</w:t>
      </w:r>
    </w:p>
  </w:footnote>
  <w:footnote w:id="14">
    <w:p w:rsidR="00000000" w:rsidRDefault="00000000">
      <w:pPr>
        <w:pStyle w:val="FootnoteText"/>
      </w:pPr>
      <w:r>
        <w:rPr>
          <w:rStyle w:val="FootnoteReference"/>
        </w:rPr>
        <w:footnoteRef/>
      </w:r>
      <w:r>
        <w:tab/>
      </w:r>
      <w:r>
        <w:rPr>
          <w:rFonts w:hint="eastAsia"/>
        </w:rPr>
        <w:t>根据</w:t>
      </w:r>
      <w:r>
        <w:rPr>
          <w:rFonts w:eastAsia="SimSun" w:hint="eastAsia"/>
        </w:rPr>
        <w:t>《</w:t>
      </w:r>
      <w:r>
        <w:rPr>
          <w:rFonts w:hint="eastAsia"/>
        </w:rPr>
        <w:t>雇员再培训条例</w:t>
      </w:r>
      <w:r>
        <w:rPr>
          <w:rFonts w:eastAsia="SimSun" w:hint="eastAsia"/>
        </w:rPr>
        <w:t>》</w:t>
      </w:r>
      <w:r>
        <w:t>(</w:t>
      </w:r>
      <w:r>
        <w:rPr>
          <w:rFonts w:hint="eastAsia"/>
        </w:rPr>
        <w:t>第</w:t>
      </w:r>
      <w:r>
        <w:t>423</w:t>
      </w:r>
      <w:r>
        <w:rPr>
          <w:rFonts w:hint="eastAsia"/>
        </w:rPr>
        <w:t>章</w:t>
      </w:r>
      <w:r>
        <w:t>)</w:t>
      </w:r>
      <w:r>
        <w:rPr>
          <w:rFonts w:hint="eastAsia"/>
        </w:rPr>
        <w:t>第</w:t>
      </w:r>
      <w:r>
        <w:t>6(1)</w:t>
      </w:r>
      <w:r>
        <w:rPr>
          <w:rFonts w:hint="eastAsia"/>
        </w:rPr>
        <w:t>条设立</w:t>
      </w:r>
      <w:r>
        <w:rPr>
          <w:rFonts w:eastAsia="SimSun" w:hint="eastAsia"/>
        </w:rPr>
        <w:t>。</w:t>
      </w:r>
    </w:p>
  </w:footnote>
  <w:footnote w:id="15">
    <w:p w:rsidR="00000000" w:rsidRDefault="00000000">
      <w:pPr>
        <w:pStyle w:val="FootnoteText"/>
      </w:pPr>
      <w:r>
        <w:rPr>
          <w:rStyle w:val="FootnoteReference"/>
        </w:rPr>
        <w:footnoteRef/>
      </w:r>
      <w:r>
        <w:tab/>
      </w:r>
      <w:r>
        <w:rPr>
          <w:rFonts w:eastAsia="SimSun" w:hint="eastAsia"/>
        </w:rPr>
        <w:t>《</w:t>
      </w:r>
      <w:r>
        <w:rPr>
          <w:rFonts w:hint="eastAsia"/>
        </w:rPr>
        <w:t>入境条例</w:t>
      </w:r>
      <w:r>
        <w:rPr>
          <w:rFonts w:eastAsia="SimSun" w:hint="eastAsia"/>
        </w:rPr>
        <w:t>》</w:t>
      </w:r>
      <w:r>
        <w:t>(</w:t>
      </w:r>
      <w:r>
        <w:rPr>
          <w:rFonts w:hint="eastAsia"/>
        </w:rPr>
        <w:t>第</w:t>
      </w:r>
      <w:r>
        <w:t>115</w:t>
      </w:r>
      <w:r>
        <w:rPr>
          <w:rFonts w:hint="eastAsia"/>
        </w:rPr>
        <w:t>章</w:t>
      </w:r>
      <w:r>
        <w:t>)</w:t>
      </w:r>
      <w:r>
        <w:rPr>
          <w:rFonts w:hint="eastAsia"/>
        </w:rPr>
        <w:t>第</w:t>
      </w:r>
      <w:r>
        <w:t>41</w:t>
      </w:r>
      <w:r>
        <w:rPr>
          <w:rFonts w:hint="eastAsia"/>
        </w:rPr>
        <w:t>条订明，任何人士若违反其逗留条件，即属违法，可被判罚款</w:t>
      </w:r>
      <w:r>
        <w:t>50,000</w:t>
      </w:r>
      <w:r>
        <w:rPr>
          <w:rFonts w:hint="eastAsia"/>
        </w:rPr>
        <w:t>港元及监禁两年</w:t>
      </w:r>
      <w:r>
        <w:rPr>
          <w:rFonts w:eastAsia="SimSun" w:hint="eastAsia"/>
        </w:rPr>
        <w:t>。</w:t>
      </w:r>
      <w:r>
        <w:rPr>
          <w:rFonts w:hint="eastAsia"/>
        </w:rPr>
        <w:t>同时，根据</w:t>
      </w:r>
      <w:r>
        <w:rPr>
          <w:rFonts w:eastAsia="SimSun" w:hint="eastAsia"/>
        </w:rPr>
        <w:t>《</w:t>
      </w:r>
      <w:r>
        <w:rPr>
          <w:rFonts w:hint="eastAsia"/>
        </w:rPr>
        <w:t>入境条例</w:t>
      </w:r>
      <w:r>
        <w:rPr>
          <w:rFonts w:eastAsia="SimSun" w:hint="eastAsia"/>
        </w:rPr>
        <w:t>》</w:t>
      </w:r>
      <w:r>
        <w:rPr>
          <w:rFonts w:hint="eastAsia"/>
        </w:rPr>
        <w:t>第</w:t>
      </w:r>
      <w:r>
        <w:t>171</w:t>
      </w:r>
      <w:r>
        <w:rPr>
          <w:rFonts w:hint="eastAsia"/>
        </w:rPr>
        <w:t>条，雇用非法劳工的雇主亦属违法，可被判罚款</w:t>
      </w:r>
      <w:r>
        <w:t>350,000</w:t>
      </w:r>
      <w:r>
        <w:rPr>
          <w:rFonts w:hint="eastAsia"/>
        </w:rPr>
        <w:t>港元及监禁三年</w:t>
      </w:r>
      <w:r>
        <w:rPr>
          <w:rFonts w:eastAsia="SimSun" w:hint="eastAsia"/>
        </w:rPr>
        <w:t>。</w:t>
      </w:r>
    </w:p>
  </w:footnote>
  <w:footnote w:id="16">
    <w:p w:rsidR="00000000" w:rsidRDefault="00000000">
      <w:pPr>
        <w:pStyle w:val="FootnoteText"/>
      </w:pPr>
      <w:r>
        <w:rPr>
          <w:rStyle w:val="FootnoteReference"/>
        </w:rPr>
        <w:footnoteRef/>
      </w:r>
      <w:r>
        <w:tab/>
      </w:r>
      <w:r>
        <w:rPr>
          <w:rFonts w:eastAsia="SimSun" w:hint="eastAsia"/>
        </w:rPr>
        <w:t>《</w:t>
      </w:r>
      <w:r>
        <w:rPr>
          <w:rFonts w:hint="eastAsia"/>
        </w:rPr>
        <w:t>雇佣条例</w:t>
      </w:r>
      <w:r>
        <w:rPr>
          <w:rFonts w:eastAsia="SimSun" w:hint="eastAsia"/>
        </w:rPr>
        <w:t>》</w:t>
      </w:r>
      <w:r>
        <w:rPr>
          <w:rFonts w:hint="eastAsia"/>
        </w:rPr>
        <w:t>的附属法例</w:t>
      </w:r>
      <w:r>
        <w:rPr>
          <w:rFonts w:eastAsia="SimSun" w:hint="eastAsia"/>
        </w:rPr>
        <w:t>。</w:t>
      </w:r>
    </w:p>
  </w:footnote>
  <w:footnote w:id="17">
    <w:p w:rsidR="00000000" w:rsidRDefault="00000000">
      <w:pPr>
        <w:pStyle w:val="FootnoteText"/>
      </w:pPr>
      <w:r>
        <w:rPr>
          <w:rStyle w:val="FootnoteReference"/>
        </w:rPr>
        <w:footnoteRef/>
      </w:r>
      <w:r>
        <w:tab/>
      </w:r>
      <w:r>
        <w:rPr>
          <w:rFonts w:hint="eastAsia"/>
        </w:rPr>
        <w:t>文中所称的</w:t>
      </w:r>
      <w:r>
        <w:rPr>
          <w:rFonts w:eastAsia="SimSun" w:hint="eastAsia"/>
        </w:rPr>
        <w:t>“</w:t>
      </w:r>
      <w:r>
        <w:rPr>
          <w:rFonts w:hint="eastAsia"/>
        </w:rPr>
        <w:t>年长工人</w:t>
      </w:r>
      <w:r>
        <w:rPr>
          <w:rFonts w:eastAsia="SimSun" w:hint="eastAsia"/>
        </w:rPr>
        <w:t>”</w:t>
      </w:r>
      <w:r>
        <w:rPr>
          <w:rFonts w:hint="eastAsia"/>
        </w:rPr>
        <w:t>是指</w:t>
      </w:r>
      <w:r>
        <w:t>35</w:t>
      </w:r>
      <w:r>
        <w:rPr>
          <w:rFonts w:hint="eastAsia"/>
        </w:rPr>
        <w:t>岁或以上的工人</w:t>
      </w:r>
      <w:r>
        <w:rPr>
          <w:rFonts w:eastAsia="SimSun" w:hint="eastAsia"/>
        </w:rPr>
        <w:t>。</w:t>
      </w:r>
    </w:p>
  </w:footnote>
  <w:footnote w:id="18">
    <w:p w:rsidR="00000000" w:rsidRDefault="00000000">
      <w:pPr>
        <w:pStyle w:val="FootnoteText"/>
      </w:pPr>
      <w:r>
        <w:rPr>
          <w:rStyle w:val="FootnoteReference"/>
        </w:rPr>
        <w:footnoteRef/>
      </w:r>
      <w:r>
        <w:tab/>
      </w:r>
      <w:r>
        <w:rPr>
          <w:rFonts w:hint="eastAsia"/>
        </w:rPr>
        <w:t>在拟备本报告时，香港正值经济衰退，结构性失业的人数升至历来最高水平</w:t>
      </w:r>
      <w:r>
        <w:t>(</w:t>
      </w:r>
      <w:r>
        <w:rPr>
          <w:rFonts w:hint="eastAsia"/>
        </w:rPr>
        <w:t>但以国际标准来说，仍不算很高</w:t>
      </w:r>
      <w:r>
        <w:t>)</w:t>
      </w:r>
      <w:r>
        <w:rPr>
          <w:rFonts w:eastAsia="SimSun" w:hint="eastAsia"/>
        </w:rPr>
        <w:t>。</w:t>
      </w:r>
      <w:r>
        <w:rPr>
          <w:rFonts w:hint="eastAsia"/>
        </w:rPr>
        <w:t>政府为解决这些问题和协助失业工人寻找新工作而采取的措施，已在上文第</w:t>
      </w:r>
      <w:r>
        <w:t>50</w:t>
      </w:r>
      <w:r>
        <w:rPr>
          <w:rFonts w:hint="eastAsia"/>
        </w:rPr>
        <w:t>段有所论述</w:t>
      </w:r>
      <w:r>
        <w:rPr>
          <w:rFonts w:eastAsia="SimSun" w:hint="eastAsia"/>
        </w:rPr>
        <w:t>。</w:t>
      </w:r>
    </w:p>
  </w:footnote>
  <w:footnote w:id="19">
    <w:p w:rsidR="00000000" w:rsidRDefault="00000000">
      <w:pPr>
        <w:pStyle w:val="FootnoteText"/>
      </w:pPr>
      <w:r>
        <w:rPr>
          <w:rStyle w:val="FootnoteReference"/>
        </w:rPr>
        <w:footnoteRef/>
      </w:r>
      <w:r>
        <w:tab/>
      </w:r>
      <w:r>
        <w:rPr>
          <w:rFonts w:hint="eastAsia"/>
        </w:rPr>
        <w:t>参看第六条项下注脚</w:t>
      </w:r>
      <w:r>
        <w:t>(1)</w:t>
      </w:r>
      <w:r>
        <w:rPr>
          <w:rFonts w:eastAsia="SimSun" w:hint="eastAsia"/>
        </w:rPr>
        <w:t>。</w:t>
      </w:r>
    </w:p>
  </w:footnote>
  <w:footnote w:id="20">
    <w:p w:rsidR="00000000" w:rsidRDefault="00000000">
      <w:pPr>
        <w:pStyle w:val="FootnoteText"/>
      </w:pPr>
      <w:r>
        <w:rPr>
          <w:rStyle w:val="FootnoteReference"/>
        </w:rPr>
        <w:footnoteRef/>
      </w:r>
      <w:r>
        <w:tab/>
      </w:r>
      <w:r>
        <w:rPr>
          <w:rFonts w:hint="eastAsia"/>
        </w:rPr>
        <w:t>政府的财政年度由四月一日起至翌年三月三十一日止</w:t>
      </w:r>
      <w:r>
        <w:rPr>
          <w:rFonts w:eastAsia="SimSun" w:hint="eastAsia"/>
        </w:rPr>
        <w:t>。</w:t>
      </w:r>
    </w:p>
  </w:footnote>
  <w:footnote w:id="21">
    <w:p w:rsidR="00000000" w:rsidRDefault="00000000">
      <w:pPr>
        <w:pStyle w:val="FootnoteText"/>
      </w:pPr>
      <w:r>
        <w:rPr>
          <w:rStyle w:val="FootnoteReference"/>
        </w:rPr>
        <w:footnoteRef/>
      </w:r>
      <w:r>
        <w:tab/>
      </w:r>
      <w:r>
        <w:rPr>
          <w:rFonts w:hint="eastAsia"/>
        </w:rPr>
        <w:t>如雇员连续受雇于同一雇主至少四星期，且每星期工作至少</w:t>
      </w:r>
      <w:r>
        <w:t>18</w:t>
      </w:r>
      <w:r>
        <w:rPr>
          <w:rFonts w:hint="eastAsia"/>
        </w:rPr>
        <w:t>小时，即为根据连续性合约受雇</w:t>
      </w:r>
      <w:r>
        <w:rPr>
          <w:rFonts w:eastAsia="SimSun" w:hint="eastAsia"/>
        </w:rPr>
        <w:t>。</w:t>
      </w:r>
    </w:p>
  </w:footnote>
  <w:footnote w:id="22">
    <w:p w:rsidR="00000000" w:rsidRDefault="00000000">
      <w:pPr>
        <w:pStyle w:val="FootnoteText"/>
        <w:spacing w:line="240" w:lineRule="auto"/>
      </w:pPr>
      <w:r>
        <w:rPr>
          <w:rStyle w:val="FootnoteReference"/>
        </w:rPr>
        <w:footnoteRef/>
      </w:r>
      <w:r>
        <w:tab/>
      </w:r>
      <w:r>
        <w:rPr>
          <w:rFonts w:hint="eastAsia"/>
        </w:rPr>
        <w:t>例如：</w:t>
      </w:r>
      <w:r>
        <w:t>Deere, Murphy and Welch</w:t>
      </w:r>
      <w:r>
        <w:rPr>
          <w:rFonts w:hint="eastAsia"/>
        </w:rPr>
        <w:t>：</w:t>
      </w:r>
      <w:r>
        <w:rPr>
          <w:rFonts w:eastAsia="SimSun" w:hint="eastAsia"/>
        </w:rPr>
        <w:t>“</w:t>
      </w:r>
      <w:r>
        <w:t>Sense and Nonsense in Minimum Wage</w:t>
      </w:r>
      <w:r>
        <w:rPr>
          <w:rFonts w:eastAsia="SimSun" w:hint="eastAsia"/>
        </w:rPr>
        <w:t>”</w:t>
      </w:r>
      <w:r>
        <w:t>(</w:t>
      </w:r>
      <w:r>
        <w:rPr>
          <w:rFonts w:hint="eastAsia"/>
        </w:rPr>
        <w:t>刊登于</w:t>
      </w:r>
      <w:r>
        <w:rPr>
          <w:rFonts w:eastAsia="SimSun" w:hint="eastAsia"/>
        </w:rPr>
        <w:t>“</w:t>
      </w:r>
      <w:r>
        <w:t>Regulation</w:t>
      </w:r>
      <w:r>
        <w:rPr>
          <w:rFonts w:eastAsia="SimSun" w:hint="eastAsia"/>
        </w:rPr>
        <w:t>”</w:t>
      </w:r>
      <w:r>
        <w:rPr>
          <w:rFonts w:hint="eastAsia"/>
        </w:rPr>
        <w:t>，</w:t>
      </w:r>
      <w:r>
        <w:t>Cato Review of Business and Government)</w:t>
      </w:r>
      <w:r>
        <w:rPr>
          <w:rFonts w:hint="eastAsia"/>
        </w:rPr>
        <w:t>；</w:t>
      </w:r>
      <w:r>
        <w:t>Kaufman</w:t>
      </w:r>
      <w:r>
        <w:rPr>
          <w:rFonts w:hint="eastAsia"/>
        </w:rPr>
        <w:t>：</w:t>
      </w:r>
      <w:r>
        <w:rPr>
          <w:rFonts w:eastAsia="SimSun" w:hint="eastAsia"/>
        </w:rPr>
        <w:t>“</w:t>
      </w:r>
      <w:r>
        <w:t>The Economics of Labor Markets</w:t>
      </w:r>
      <w:r>
        <w:rPr>
          <w:rFonts w:eastAsia="SimSun" w:hint="eastAsia"/>
        </w:rPr>
        <w:t>”</w:t>
      </w:r>
      <w:r>
        <w:t>(Dryden Press, 1991</w:t>
      </w:r>
      <w:r>
        <w:rPr>
          <w:rFonts w:hint="eastAsia"/>
        </w:rPr>
        <w:t>：第</w:t>
      </w:r>
      <w:r>
        <w:t>252</w:t>
      </w:r>
      <w:r>
        <w:rPr>
          <w:rFonts w:hint="eastAsia"/>
        </w:rPr>
        <w:t>至</w:t>
      </w:r>
      <w:r>
        <w:t>258</w:t>
      </w:r>
      <w:r>
        <w:rPr>
          <w:rFonts w:hint="eastAsia"/>
        </w:rPr>
        <w:t>页</w:t>
      </w:r>
      <w:r>
        <w:t>)</w:t>
      </w:r>
      <w:r>
        <w:rPr>
          <w:rFonts w:hint="eastAsia"/>
        </w:rPr>
        <w:t>；</w:t>
      </w:r>
      <w:r>
        <w:rPr>
          <w:rFonts w:eastAsia="SimSun" w:hint="eastAsia"/>
        </w:rPr>
        <w:t>“</w:t>
      </w:r>
      <w:r>
        <w:t>the Economist</w:t>
      </w:r>
      <w:r>
        <w:rPr>
          <w:rFonts w:eastAsia="SimSun" w:hint="eastAsia"/>
        </w:rPr>
        <w:t>”</w:t>
      </w:r>
      <w:r>
        <w:rPr>
          <w:rFonts w:hint="eastAsia"/>
        </w:rPr>
        <w:t>：</w:t>
      </w:r>
      <w:r>
        <w:t>1998</w:t>
      </w:r>
      <w:r>
        <w:rPr>
          <w:rFonts w:hint="eastAsia"/>
        </w:rPr>
        <w:t>年</w:t>
      </w:r>
      <w:r>
        <w:t>6</w:t>
      </w:r>
      <w:r>
        <w:rPr>
          <w:rFonts w:hint="eastAsia"/>
        </w:rPr>
        <w:t>月</w:t>
      </w:r>
      <w:r>
        <w:t>27</w:t>
      </w:r>
      <w:r>
        <w:rPr>
          <w:rFonts w:hint="eastAsia"/>
        </w:rPr>
        <w:t>日，第</w:t>
      </w:r>
      <w:r>
        <w:t>88</w:t>
      </w:r>
      <w:r>
        <w:rPr>
          <w:rFonts w:hint="eastAsia"/>
        </w:rPr>
        <w:t>页；</w:t>
      </w:r>
      <w:r>
        <w:t>Lipsey</w:t>
      </w:r>
      <w:r>
        <w:rPr>
          <w:rFonts w:hint="eastAsia"/>
        </w:rPr>
        <w:t>：</w:t>
      </w:r>
      <w:r>
        <w:rPr>
          <w:rFonts w:eastAsia="SimSun" w:hint="eastAsia"/>
        </w:rPr>
        <w:t>“</w:t>
      </w:r>
      <w:r>
        <w:t>Economics(Eleventh edition)</w:t>
      </w:r>
      <w:r>
        <w:rPr>
          <w:rFonts w:eastAsia="SimSun" w:hint="eastAsia"/>
        </w:rPr>
        <w:t>”</w:t>
      </w:r>
      <w:r>
        <w:t>(Harper  Collins College Publishers, 1995</w:t>
      </w:r>
      <w:r>
        <w:rPr>
          <w:rFonts w:hint="eastAsia"/>
        </w:rPr>
        <w:t>：第</w:t>
      </w:r>
      <w:r>
        <w:t>326</w:t>
      </w:r>
      <w:r>
        <w:rPr>
          <w:rFonts w:hint="eastAsia"/>
        </w:rPr>
        <w:t>至</w:t>
      </w:r>
      <w:r>
        <w:t>327</w:t>
      </w:r>
      <w:r>
        <w:rPr>
          <w:rFonts w:hint="eastAsia"/>
        </w:rPr>
        <w:t>页</w:t>
      </w:r>
      <w:r>
        <w:t>)</w:t>
      </w:r>
      <w:r>
        <w:rPr>
          <w:rFonts w:hint="eastAsia"/>
        </w:rPr>
        <w:t>；</w:t>
      </w:r>
      <w:r>
        <w:t>Begg, Fischer and Dornbusch</w:t>
      </w:r>
      <w:r>
        <w:rPr>
          <w:rFonts w:hint="eastAsia"/>
        </w:rPr>
        <w:t>：</w:t>
      </w:r>
      <w:r>
        <w:rPr>
          <w:rFonts w:eastAsia="SimSun" w:hint="eastAsia"/>
        </w:rPr>
        <w:t>“</w:t>
      </w:r>
      <w:r>
        <w:t>Economics(Fifth edition)</w:t>
      </w:r>
      <w:r>
        <w:rPr>
          <w:rFonts w:eastAsia="SimSun" w:hint="eastAsia"/>
        </w:rPr>
        <w:t>”</w:t>
      </w:r>
      <w:r>
        <w:t>(McGraw-Hill, 1997</w:t>
      </w:r>
      <w:r>
        <w:rPr>
          <w:rFonts w:hint="eastAsia"/>
        </w:rPr>
        <w:t>：第</w:t>
      </w:r>
      <w:r>
        <w:t>177</w:t>
      </w:r>
      <w:r>
        <w:rPr>
          <w:rFonts w:hint="eastAsia"/>
        </w:rPr>
        <w:t>至</w:t>
      </w:r>
      <w:r>
        <w:t>178</w:t>
      </w:r>
      <w:r>
        <w:rPr>
          <w:rFonts w:hint="eastAsia"/>
        </w:rPr>
        <w:t>页</w:t>
      </w:r>
      <w:r>
        <w:t>)</w:t>
      </w:r>
      <w:r>
        <w:rPr>
          <w:rFonts w:hint="eastAsia"/>
        </w:rPr>
        <w:t>；</w:t>
      </w:r>
      <w:r>
        <w:t>McConnell and Brue</w:t>
      </w:r>
      <w:r>
        <w:rPr>
          <w:rFonts w:hint="eastAsia"/>
        </w:rPr>
        <w:t>：</w:t>
      </w:r>
      <w:r>
        <w:rPr>
          <w:rFonts w:eastAsia="SimSun" w:hint="eastAsia"/>
        </w:rPr>
        <w:t>“</w:t>
      </w:r>
      <w:r>
        <w:t>Economics(Thirteenth edition)</w:t>
      </w:r>
      <w:r>
        <w:rPr>
          <w:rFonts w:eastAsia="SimSun" w:hint="eastAsia"/>
        </w:rPr>
        <w:t>”</w:t>
      </w:r>
      <w:r>
        <w:t>(McCraw-Hill 1996</w:t>
      </w:r>
      <w:r>
        <w:rPr>
          <w:rFonts w:hint="eastAsia"/>
        </w:rPr>
        <w:t>：第</w:t>
      </w:r>
      <w:r>
        <w:t>569-570</w:t>
      </w:r>
      <w:r>
        <w:rPr>
          <w:rFonts w:hint="eastAsia"/>
        </w:rPr>
        <w:t>页</w:t>
      </w:r>
      <w:r>
        <w:t>)</w:t>
      </w:r>
      <w:r>
        <w:rPr>
          <w:rFonts w:eastAsia="SimSun" w:hint="eastAsia"/>
        </w:rPr>
        <w:t>。</w:t>
      </w:r>
    </w:p>
  </w:footnote>
  <w:footnote w:id="23">
    <w:p w:rsidR="00000000" w:rsidRDefault="00000000">
      <w:pPr>
        <w:pStyle w:val="FootnoteText"/>
      </w:pPr>
      <w:r>
        <w:rPr>
          <w:rStyle w:val="FootnoteReference"/>
        </w:rPr>
        <w:footnoteRef/>
      </w:r>
      <w:r>
        <w:tab/>
      </w:r>
      <w:r>
        <w:rPr>
          <w:rFonts w:hint="eastAsia"/>
        </w:rPr>
        <w:t>在亚洲金融风暴下，区内多个国家的货币大幅贬值</w:t>
      </w:r>
      <w:r>
        <w:rPr>
          <w:rFonts w:eastAsia="SimSun" w:hint="eastAsia"/>
        </w:rPr>
        <w:t>。</w:t>
      </w:r>
      <w:r>
        <w:rPr>
          <w:rFonts w:hint="eastAsia"/>
        </w:rPr>
        <w:t>不过</w:t>
      </w:r>
      <w:r>
        <w:rPr>
          <w:rFonts w:eastAsia="SimSun" w:hint="eastAsia"/>
        </w:rPr>
        <w:t>。</w:t>
      </w:r>
      <w:r>
        <w:rPr>
          <w:rFonts w:hint="eastAsia"/>
        </w:rPr>
        <w:t>由于港元与美元</w:t>
      </w:r>
      <w:r>
        <w:rPr>
          <w:rFonts w:eastAsia="SimSun" w:hint="eastAsia"/>
        </w:rPr>
        <w:t>“</w:t>
      </w:r>
      <w:r>
        <w:rPr>
          <w:rFonts w:hint="eastAsia"/>
        </w:rPr>
        <w:t>挂钩</w:t>
      </w:r>
      <w:r>
        <w:rPr>
          <w:rFonts w:eastAsia="SimSun" w:hint="eastAsia"/>
        </w:rPr>
        <w:t>”</w:t>
      </w:r>
      <w:r>
        <w:rPr>
          <w:rFonts w:hint="eastAsia"/>
        </w:rPr>
        <w:t>，得以维持固定的汇价</w:t>
      </w:r>
      <w:r>
        <w:rPr>
          <w:rFonts w:eastAsia="SimSun" w:hint="eastAsia"/>
        </w:rPr>
        <w:t>。</w:t>
      </w:r>
      <w:r>
        <w:rPr>
          <w:rFonts w:hint="eastAsia"/>
        </w:rPr>
        <w:t>换言之，外籍家庭佣工所赚取的港元，相对于他们原居地的货币来说，价值越来越高</w:t>
      </w:r>
      <w:r>
        <w:rPr>
          <w:rFonts w:eastAsia="SimSun" w:hint="eastAsia"/>
        </w:rPr>
        <w:t>。</w:t>
      </w:r>
    </w:p>
  </w:footnote>
  <w:footnote w:id="24">
    <w:p w:rsidR="00000000" w:rsidRDefault="00000000">
      <w:pPr>
        <w:pStyle w:val="FootnoteText"/>
      </w:pPr>
      <w:r>
        <w:rPr>
          <w:rStyle w:val="FootnoteReference"/>
        </w:rPr>
        <w:footnoteRef/>
      </w:r>
      <w:r>
        <w:t xml:space="preserve"> </w:t>
      </w:r>
      <w:r>
        <w:tab/>
      </w:r>
      <w:r>
        <w:rPr>
          <w:rFonts w:hint="eastAsia"/>
        </w:rPr>
        <w:t>雇员倘在雇用期内发生意外而引致受伤，有权向雇主要求补偿</w:t>
      </w:r>
      <w:r>
        <w:rPr>
          <w:rFonts w:eastAsia="SimSun" w:hint="eastAsia"/>
        </w:rPr>
        <w:t>。</w:t>
      </w:r>
      <w:r>
        <w:rPr>
          <w:rFonts w:hint="eastAsia"/>
        </w:rPr>
        <w:t>如受伤程度导致永久完全丧失工作能力，补偿金额可达</w:t>
      </w:r>
      <w:r>
        <w:t>173</w:t>
      </w:r>
      <w:r>
        <w:rPr>
          <w:rFonts w:hint="eastAsia"/>
        </w:rPr>
        <w:t>万港元；如工伤导致死亡，补偿金额则可达</w:t>
      </w:r>
      <w:r>
        <w:t>151</w:t>
      </w:r>
      <w:r>
        <w:rPr>
          <w:rFonts w:hint="eastAsia"/>
        </w:rPr>
        <w:t>万港元</w:t>
      </w:r>
      <w:r>
        <w:rPr>
          <w:rFonts w:eastAsia="SimSun" w:hint="eastAsia"/>
        </w:rPr>
        <w:t>。</w:t>
      </w:r>
      <w:r>
        <w:rPr>
          <w:rFonts w:hint="eastAsia"/>
        </w:rPr>
        <w:t>倘雇主破产，工人可向破产欠薪保障基金申请特惠赔偿</w:t>
      </w:r>
      <w:r>
        <w:t>(</w:t>
      </w:r>
      <w:r>
        <w:rPr>
          <w:rFonts w:hint="eastAsia"/>
        </w:rPr>
        <w:t>赔偿范围包括工资</w:t>
      </w:r>
      <w:r>
        <w:rPr>
          <w:rFonts w:eastAsia="SimSun" w:hint="eastAsia"/>
        </w:rPr>
        <w:t>、</w:t>
      </w:r>
      <w:r>
        <w:rPr>
          <w:rFonts w:hint="eastAsia"/>
        </w:rPr>
        <w:t>代通知金及遣散费</w:t>
      </w:r>
      <w:r>
        <w:t>)(</w:t>
      </w:r>
      <w:r>
        <w:rPr>
          <w:rFonts w:hint="eastAsia"/>
        </w:rPr>
        <w:t>见下文第九条下第</w:t>
      </w:r>
      <w:r>
        <w:t>173</w:t>
      </w:r>
      <w:r>
        <w:rPr>
          <w:rFonts w:hint="eastAsia"/>
        </w:rPr>
        <w:t>段</w:t>
      </w:r>
      <w:r>
        <w:t>)</w:t>
      </w:r>
      <w:r>
        <w:rPr>
          <w:rFonts w:eastAsia="SimSun" w:hint="eastAsia"/>
        </w:rPr>
        <w:t>。</w:t>
      </w:r>
    </w:p>
  </w:footnote>
  <w:footnote w:id="25">
    <w:p w:rsidR="00000000" w:rsidRDefault="00000000">
      <w:pPr>
        <w:pStyle w:val="FootnoteText"/>
        <w:rPr>
          <w:rFonts w:ascii="KaiTi_GB2312" w:eastAsia="KaiTi_GB2312"/>
        </w:rPr>
      </w:pPr>
      <w:r>
        <w:rPr>
          <w:rStyle w:val="FootnoteReference"/>
        </w:rPr>
        <w:footnoteRef/>
      </w:r>
      <w:r>
        <w:rPr>
          <w:rFonts w:ascii="KaiTi_GB2312" w:eastAsia="KaiTi_GB2312"/>
        </w:rPr>
        <w:tab/>
      </w:r>
      <w:r>
        <w:rPr>
          <w:rFonts w:ascii="KaiTi_GB2312" w:eastAsia="KaiTi_GB2312" w:hint="eastAsia"/>
        </w:rPr>
        <w:t>有关福利包括休息日、有薪假日、有薪年假、疾病津贴、生育保障、遣散费、长期服务金，以及职工会不受歧视的保障等。</w:t>
      </w:r>
    </w:p>
  </w:footnote>
  <w:footnote w:id="26">
    <w:p w:rsidR="00000000" w:rsidRDefault="00000000">
      <w:pPr>
        <w:pStyle w:val="FootnoteText"/>
        <w:rPr>
          <w:rFonts w:ascii="KaiTi_GB2312" w:eastAsia="KaiTi_GB2312"/>
        </w:rPr>
      </w:pPr>
      <w:r>
        <w:rPr>
          <w:rStyle w:val="FootnoteReference"/>
        </w:rPr>
        <w:footnoteRef/>
      </w:r>
      <w:r>
        <w:rPr>
          <w:rFonts w:ascii="KaiTi_GB2312" w:eastAsia="KaiTi_GB2312"/>
        </w:rPr>
        <w:t xml:space="preserve"> </w:t>
      </w:r>
      <w:r>
        <w:rPr>
          <w:rFonts w:ascii="KaiTi_GB2312" w:eastAsia="KaiTi_GB2312"/>
        </w:rPr>
        <w:tab/>
      </w:r>
      <w:r>
        <w:rPr>
          <w:rFonts w:ascii="KaiTi_GB2312" w:eastAsia="KaiTi_GB2312" w:hint="eastAsia"/>
        </w:rPr>
        <w:t>《雇员补偿条例》</w:t>
      </w:r>
      <w:r>
        <w:rPr>
          <w:rFonts w:ascii="KaiTi_GB2312" w:eastAsia="KaiTi_GB2312"/>
        </w:rPr>
        <w:t>(</w:t>
      </w:r>
      <w:r>
        <w:rPr>
          <w:rFonts w:ascii="KaiTi_GB2312" w:eastAsia="KaiTi_GB2312" w:hint="eastAsia"/>
        </w:rPr>
        <w:t>第</w:t>
      </w:r>
      <w:r>
        <w:rPr>
          <w:rFonts w:ascii="KaiTi_GB2312" w:eastAsia="KaiTi_GB2312"/>
        </w:rPr>
        <w:t>282</w:t>
      </w:r>
      <w:r>
        <w:rPr>
          <w:rFonts w:ascii="KaiTi_GB2312" w:eastAsia="KaiTi_GB2312" w:hint="eastAsia"/>
        </w:rPr>
        <w:t>章</w:t>
      </w:r>
      <w:r>
        <w:rPr>
          <w:rFonts w:ascii="KaiTi_GB2312" w:eastAsia="KaiTi_GB2312"/>
        </w:rPr>
        <w:t>)</w:t>
      </w:r>
    </w:p>
  </w:footnote>
  <w:footnote w:id="27">
    <w:p w:rsidR="00000000" w:rsidRDefault="00000000">
      <w:pPr>
        <w:pStyle w:val="FootnoteText"/>
      </w:pPr>
      <w:r>
        <w:rPr>
          <w:rStyle w:val="FootnoteReference"/>
        </w:rPr>
        <w:footnoteRef/>
      </w:r>
      <w:r>
        <w:t xml:space="preserve"> </w:t>
      </w:r>
      <w:r>
        <w:tab/>
      </w:r>
      <w:r>
        <w:rPr>
          <w:rFonts w:hint="eastAsia"/>
        </w:rPr>
        <w:t>参看第六条项下注脚</w:t>
      </w:r>
      <w:r>
        <w:t>(1)</w:t>
      </w:r>
      <w:r>
        <w:rPr>
          <w:rFonts w:eastAsia="SimSun" w:hint="eastAsia"/>
        </w:rPr>
        <w:t>。</w:t>
      </w:r>
    </w:p>
  </w:footnote>
  <w:footnote w:id="28">
    <w:p w:rsidR="00000000" w:rsidRDefault="00000000">
      <w:pPr>
        <w:pStyle w:val="FootnoteText"/>
      </w:pPr>
      <w:r>
        <w:rPr>
          <w:rStyle w:val="FootnoteReference"/>
        </w:rPr>
        <w:footnoteRef/>
      </w:r>
      <w:r>
        <w:t xml:space="preserve"> </w:t>
      </w:r>
      <w:r>
        <w:tab/>
      </w:r>
      <w:r>
        <w:rPr>
          <w:rFonts w:hint="eastAsia"/>
        </w:rPr>
        <w:t>截至一九九八年六月三十日，本港所有工商业合共有</w:t>
      </w:r>
      <w:r>
        <w:t>274,027</w:t>
      </w:r>
      <w:r>
        <w:rPr>
          <w:rFonts w:hint="eastAsia"/>
        </w:rPr>
        <w:t>个机构单位，当中</w:t>
      </w:r>
      <w:r>
        <w:t>257,420</w:t>
      </w:r>
      <w:r>
        <w:rPr>
          <w:rFonts w:hint="eastAsia"/>
        </w:rPr>
        <w:t>个聘用少于</w:t>
      </w:r>
      <w:r>
        <w:t>20</w:t>
      </w:r>
      <w:r>
        <w:rPr>
          <w:rFonts w:hint="eastAsia"/>
        </w:rPr>
        <w:t>人</w:t>
      </w:r>
      <w:r>
        <w:rPr>
          <w:rFonts w:eastAsia="SimSun" w:hint="eastAsia"/>
        </w:rPr>
        <w:t>。</w:t>
      </w:r>
      <w:r>
        <w:t>(</w:t>
      </w:r>
      <w:r>
        <w:rPr>
          <w:rFonts w:hint="eastAsia"/>
        </w:rPr>
        <w:t>见政府统计处出版的</w:t>
      </w:r>
      <w:r>
        <w:rPr>
          <w:rFonts w:eastAsia="SimSun" w:hint="eastAsia"/>
        </w:rPr>
        <w:t>“</w:t>
      </w:r>
      <w:r>
        <w:rPr>
          <w:rFonts w:hint="eastAsia"/>
        </w:rPr>
        <w:t>就业</w:t>
      </w:r>
      <w:r>
        <w:rPr>
          <w:rFonts w:eastAsia="SimSun" w:hint="eastAsia"/>
        </w:rPr>
        <w:t>、</w:t>
      </w:r>
      <w:r>
        <w:rPr>
          <w:rFonts w:hint="eastAsia"/>
        </w:rPr>
        <w:t>空缺及薪金总额按季统计报告一九九八年六月</w:t>
      </w:r>
      <w:r>
        <w:rPr>
          <w:rFonts w:eastAsia="SimSun" w:hint="eastAsia"/>
        </w:rPr>
        <w:t>”。</w:t>
      </w:r>
      <w:r>
        <w:t>)</w:t>
      </w:r>
    </w:p>
  </w:footnote>
  <w:footnote w:id="29">
    <w:p w:rsidR="00000000" w:rsidRDefault="00000000">
      <w:pPr>
        <w:pStyle w:val="FootnoteText"/>
      </w:pPr>
      <w:r>
        <w:rPr>
          <w:rStyle w:val="FootnoteReference"/>
        </w:rPr>
        <w:footnoteRef/>
      </w:r>
      <w:r>
        <w:t xml:space="preserve"> </w:t>
      </w:r>
      <w:r>
        <w:tab/>
      </w:r>
      <w:r>
        <w:rPr>
          <w:rFonts w:hint="eastAsia"/>
        </w:rPr>
        <w:t>见上文第六条下第</w:t>
      </w:r>
      <w:r>
        <w:t>42</w:t>
      </w:r>
      <w:r>
        <w:rPr>
          <w:rFonts w:hint="eastAsia"/>
        </w:rPr>
        <w:t>段</w:t>
      </w:r>
      <w:r>
        <w:rPr>
          <w:rFonts w:eastAsia="SimSun" w:hint="eastAsia"/>
        </w:rPr>
        <w:t>。</w:t>
      </w:r>
    </w:p>
  </w:footnote>
  <w:footnote w:id="30">
    <w:p w:rsidR="00000000" w:rsidRDefault="00000000">
      <w:pPr>
        <w:pStyle w:val="FootnoteText"/>
      </w:pPr>
      <w:r>
        <w:rPr>
          <w:rStyle w:val="FootnoteReference"/>
        </w:rPr>
        <w:footnoteRef/>
      </w:r>
      <w:r>
        <w:t xml:space="preserve"> </w:t>
      </w:r>
      <w:r>
        <w:tab/>
      </w:r>
      <w:r>
        <w:rPr>
          <w:rFonts w:hint="eastAsia"/>
        </w:rPr>
        <w:t>由</w:t>
      </w:r>
      <w:r>
        <w:rPr>
          <w:rFonts w:eastAsia="SimSun" w:hint="eastAsia"/>
        </w:rPr>
        <w:t>《</w:t>
      </w:r>
      <w:r>
        <w:t>1997</w:t>
      </w:r>
      <w:r>
        <w:rPr>
          <w:rFonts w:hint="eastAsia"/>
        </w:rPr>
        <w:t>年雇佣及劳资关系</w:t>
      </w:r>
      <w:r>
        <w:t>(</w:t>
      </w:r>
      <w:r>
        <w:rPr>
          <w:rFonts w:hint="eastAsia"/>
        </w:rPr>
        <w:t>杂项修订</w:t>
      </w:r>
      <w:r>
        <w:t>)</w:t>
      </w:r>
      <w:r>
        <w:rPr>
          <w:rFonts w:hint="eastAsia"/>
        </w:rPr>
        <w:t>条例</w:t>
      </w:r>
      <w:r>
        <w:rPr>
          <w:rFonts w:eastAsia="SimSun" w:hint="eastAsia"/>
        </w:rPr>
        <w:t>》</w:t>
      </w:r>
      <w:r>
        <w:rPr>
          <w:rFonts w:hint="eastAsia"/>
        </w:rPr>
        <w:t>作出修订</w:t>
      </w:r>
      <w:r>
        <w:rPr>
          <w:rFonts w:eastAsia="SimSun" w:hint="eastAsia"/>
        </w:rPr>
        <w:t>。</w:t>
      </w:r>
    </w:p>
  </w:footnote>
  <w:footnote w:id="31">
    <w:p w:rsidR="00000000" w:rsidRDefault="00000000">
      <w:pPr>
        <w:pStyle w:val="FootnoteText"/>
      </w:pPr>
      <w:r>
        <w:rPr>
          <w:rStyle w:val="FootnoteReference"/>
        </w:rPr>
        <w:footnoteRef/>
      </w:r>
      <w:r>
        <w:t xml:space="preserve"> </w:t>
      </w:r>
      <w:r>
        <w:tab/>
      </w:r>
      <w:r>
        <w:rPr>
          <w:rFonts w:eastAsia="SimSun" w:hint="eastAsia"/>
        </w:rPr>
        <w:t>《</w:t>
      </w:r>
      <w:r>
        <w:rPr>
          <w:rFonts w:hint="eastAsia"/>
        </w:rPr>
        <w:t>雇佣条例</w:t>
      </w:r>
      <w:r>
        <w:rPr>
          <w:rFonts w:eastAsia="SimSun" w:hint="eastAsia"/>
        </w:rPr>
        <w:t>》</w:t>
      </w:r>
      <w:r>
        <w:rPr>
          <w:rFonts w:hint="eastAsia"/>
        </w:rPr>
        <w:t>第</w:t>
      </w:r>
      <w:r>
        <w:t>32K</w:t>
      </w:r>
      <w:r>
        <w:rPr>
          <w:rFonts w:hint="eastAsia"/>
        </w:rPr>
        <w:t>条订明，如雇主能证明因以下理由而将雇员解雇，即属具有正当理由：</w:t>
      </w:r>
    </w:p>
    <w:p w:rsidR="00000000" w:rsidRDefault="00000000">
      <w:pPr>
        <w:pStyle w:val="FootnoteText"/>
        <w:ind w:left="480"/>
      </w:pPr>
      <w:r>
        <w:t xml:space="preserve">(a)  </w:t>
      </w:r>
      <w:r>
        <w:rPr>
          <w:rFonts w:hint="eastAsia"/>
        </w:rPr>
        <w:t>该雇员的行为；</w:t>
      </w:r>
    </w:p>
    <w:p w:rsidR="00000000" w:rsidRDefault="00000000">
      <w:pPr>
        <w:pStyle w:val="FootnoteText"/>
        <w:ind w:left="480"/>
      </w:pPr>
      <w:r>
        <w:t xml:space="preserve">(b)  </w:t>
      </w:r>
      <w:r>
        <w:rPr>
          <w:rFonts w:hint="eastAsia"/>
        </w:rPr>
        <w:t>该雇员执行工作的能力或资格；</w:t>
      </w:r>
    </w:p>
    <w:p w:rsidR="00000000" w:rsidRDefault="00000000">
      <w:pPr>
        <w:pStyle w:val="FootnoteText"/>
        <w:ind w:left="480"/>
      </w:pPr>
      <w:r>
        <w:t xml:space="preserve">(c)  </w:t>
      </w:r>
      <w:r>
        <w:rPr>
          <w:rFonts w:hint="eastAsia"/>
        </w:rPr>
        <w:t>该雇员属裁员对象或基于其他真正的业务运作需要；</w:t>
      </w:r>
    </w:p>
    <w:p w:rsidR="00000000" w:rsidRDefault="00000000">
      <w:pPr>
        <w:pStyle w:val="FootnoteText"/>
        <w:ind w:left="480"/>
      </w:pPr>
      <w:r>
        <w:t xml:space="preserve">(d)  </w:t>
      </w:r>
      <w:r>
        <w:rPr>
          <w:rFonts w:hint="eastAsia"/>
        </w:rPr>
        <w:t>法例规定</w:t>
      </w:r>
      <w:r>
        <w:t>(</w:t>
      </w:r>
      <w:r>
        <w:rPr>
          <w:rFonts w:hint="eastAsia"/>
        </w:rPr>
        <w:t>即让该雇员继续受雇便会违反法例</w:t>
      </w:r>
      <w:r>
        <w:t>)</w:t>
      </w:r>
      <w:r>
        <w:rPr>
          <w:rFonts w:hint="eastAsia"/>
        </w:rPr>
        <w:t>；或</w:t>
      </w:r>
    </w:p>
    <w:p w:rsidR="00000000" w:rsidRDefault="00000000">
      <w:pPr>
        <w:pStyle w:val="FootnoteText"/>
        <w:ind w:left="480"/>
      </w:pPr>
      <w:r>
        <w:t xml:space="preserve">(e)  </w:t>
      </w:r>
      <w:r>
        <w:rPr>
          <w:rFonts w:hint="eastAsia"/>
        </w:rPr>
        <w:t>其他实质理由</w:t>
      </w:r>
      <w:r>
        <w:rPr>
          <w:rFonts w:eastAsia="SimSun" w:hint="eastAsia"/>
        </w:rPr>
        <w:t>。</w:t>
      </w:r>
    </w:p>
  </w:footnote>
  <w:footnote w:id="32">
    <w:p w:rsidR="00000000" w:rsidRDefault="00000000">
      <w:pPr>
        <w:pStyle w:val="FootnoteText"/>
      </w:pPr>
      <w:r>
        <w:rPr>
          <w:rStyle w:val="FootnoteReference"/>
        </w:rPr>
        <w:footnoteRef/>
      </w:r>
      <w:r>
        <w:t xml:space="preserve"> </w:t>
      </w:r>
      <w:r>
        <w:tab/>
      </w:r>
      <w:r>
        <w:rPr>
          <w:rFonts w:hint="eastAsia"/>
        </w:rPr>
        <w:t>在综援计划范畴内，</w:t>
      </w:r>
      <w:r>
        <w:rPr>
          <w:rFonts w:eastAsia="SimSun" w:hint="eastAsia"/>
        </w:rPr>
        <w:t>“</w:t>
      </w:r>
      <w:r>
        <w:rPr>
          <w:rFonts w:hint="eastAsia"/>
        </w:rPr>
        <w:t>高龄人士</w:t>
      </w:r>
      <w:r>
        <w:rPr>
          <w:rFonts w:eastAsia="SimSun" w:hint="eastAsia"/>
        </w:rPr>
        <w:t>”</w:t>
      </w:r>
      <w:r>
        <w:rPr>
          <w:rFonts w:hint="eastAsia"/>
        </w:rPr>
        <w:t>指</w:t>
      </w:r>
      <w:r>
        <w:t>60</w:t>
      </w:r>
      <w:r>
        <w:rPr>
          <w:rFonts w:hint="eastAsia"/>
        </w:rPr>
        <w:t>岁或以上的长者</w:t>
      </w:r>
      <w:r>
        <w:rPr>
          <w:rFonts w:eastAsia="SimSun" w:hint="eastAsia"/>
        </w:rPr>
        <w:t>。</w:t>
      </w:r>
    </w:p>
  </w:footnote>
  <w:footnote w:id="33">
    <w:p w:rsidR="00000000" w:rsidRDefault="00000000">
      <w:pPr>
        <w:pStyle w:val="FootnoteText"/>
      </w:pPr>
      <w:r>
        <w:rPr>
          <w:rStyle w:val="FootnoteReference"/>
        </w:rPr>
        <w:footnoteRef/>
      </w:r>
      <w:r>
        <w:t xml:space="preserve"> </w:t>
      </w:r>
      <w:r>
        <w:tab/>
      </w:r>
      <w:r>
        <w:rPr>
          <w:rFonts w:hint="eastAsia"/>
        </w:rPr>
        <w:t>广东是中国内地与香港最接近的省份，大部分香港居民所来自并有家庭联系的地方</w:t>
      </w:r>
      <w:r>
        <w:rPr>
          <w:rFonts w:eastAsia="SimSun" w:hint="eastAsia"/>
        </w:rPr>
        <w:t>。</w:t>
      </w:r>
      <w:r>
        <w:rPr>
          <w:rFonts w:hint="eastAsia"/>
        </w:rPr>
        <w:t>因此，</w:t>
      </w:r>
      <w:r>
        <w:rPr>
          <w:rFonts w:eastAsia="SimSun" w:hint="eastAsia"/>
        </w:rPr>
        <w:t>“</w:t>
      </w:r>
      <w:r>
        <w:rPr>
          <w:rFonts w:hint="eastAsia"/>
        </w:rPr>
        <w:t>长者定居广东省续领综援计划</w:t>
      </w:r>
      <w:r>
        <w:rPr>
          <w:rFonts w:eastAsia="SimSun" w:hint="eastAsia"/>
        </w:rPr>
        <w:t>”</w:t>
      </w:r>
      <w:r>
        <w:rPr>
          <w:rFonts w:hint="eastAsia"/>
        </w:rPr>
        <w:t>最初只限往广东省定居人士申领</w:t>
      </w:r>
      <w:r>
        <w:rPr>
          <w:rFonts w:eastAsia="SimSun" w:hint="eastAsia"/>
        </w:rPr>
        <w:t>。</w:t>
      </w:r>
      <w:r>
        <w:rPr>
          <w:rFonts w:hint="eastAsia"/>
        </w:rPr>
        <w:t>我们正检讨这项计划，其中包括研究把计划推广至其他省份的可行性</w:t>
      </w:r>
      <w:r>
        <w:rPr>
          <w:rFonts w:eastAsia="SimSun" w:hint="eastAsia"/>
        </w:rPr>
        <w:t>。</w:t>
      </w:r>
    </w:p>
  </w:footnote>
  <w:footnote w:id="34">
    <w:p w:rsidR="00000000" w:rsidRDefault="00000000">
      <w:pPr>
        <w:pStyle w:val="FootnoteText"/>
      </w:pPr>
      <w:r>
        <w:rPr>
          <w:rStyle w:val="FootnoteReference"/>
        </w:rPr>
        <w:footnoteRef/>
      </w:r>
      <w:r>
        <w:t xml:space="preserve"> </w:t>
      </w:r>
      <w:r>
        <w:tab/>
      </w:r>
      <w:r>
        <w:rPr>
          <w:rFonts w:hint="eastAsia"/>
        </w:rPr>
        <w:t>这是指所有工业界内工人工资的中位数</w:t>
      </w:r>
      <w:r>
        <w:rPr>
          <w:rFonts w:eastAsia="SimSun" w:hint="eastAsia"/>
        </w:rPr>
        <w:t>。</w:t>
      </w:r>
    </w:p>
  </w:footnote>
  <w:footnote w:id="35">
    <w:p w:rsidR="00000000" w:rsidRDefault="00000000">
      <w:pPr>
        <w:pStyle w:val="FootnoteText"/>
      </w:pPr>
      <w:r>
        <w:rPr>
          <w:rStyle w:val="FootnoteReference"/>
        </w:rPr>
        <w:footnoteRef/>
      </w:r>
      <w:r>
        <w:t xml:space="preserve"> </w:t>
      </w:r>
      <w:r>
        <w:tab/>
      </w:r>
      <w:r>
        <w:rPr>
          <w:rFonts w:hint="eastAsia"/>
        </w:rPr>
        <w:t>根据一九九四至九五年度住户开支统计调查所得的资料。</w:t>
      </w:r>
    </w:p>
  </w:footnote>
  <w:footnote w:id="36">
    <w:p w:rsidR="00000000" w:rsidRDefault="00000000">
      <w:pPr>
        <w:pStyle w:val="FootnoteText"/>
      </w:pPr>
      <w:r>
        <w:rPr>
          <w:rStyle w:val="FootnoteReference"/>
        </w:rPr>
        <w:footnoteRef/>
      </w:r>
      <w:r>
        <w:t xml:space="preserve"> </w:t>
      </w:r>
      <w:r>
        <w:tab/>
      </w:r>
      <w:r>
        <w:rPr>
          <w:rFonts w:hint="eastAsia"/>
        </w:rPr>
        <w:t>单身人士的收入限额为每月</w:t>
      </w:r>
      <w:r>
        <w:t>5,910</w:t>
      </w:r>
      <w:r>
        <w:rPr>
          <w:rFonts w:hint="eastAsia"/>
        </w:rPr>
        <w:t>港元，资产限额为</w:t>
      </w:r>
      <w:r>
        <w:t>169,000</w:t>
      </w:r>
      <w:r>
        <w:rPr>
          <w:rFonts w:hint="eastAsia"/>
        </w:rPr>
        <w:t>港元；而夫妇的收入及资产限额则分别为每月</w:t>
      </w:r>
      <w:r>
        <w:t>9,740</w:t>
      </w:r>
      <w:r>
        <w:rPr>
          <w:rFonts w:hint="eastAsia"/>
        </w:rPr>
        <w:t>港元及</w:t>
      </w:r>
      <w:r>
        <w:t>254,000</w:t>
      </w:r>
      <w:r>
        <w:rPr>
          <w:rFonts w:hint="eastAsia"/>
        </w:rPr>
        <w:t>港元。</w:t>
      </w:r>
    </w:p>
  </w:footnote>
  <w:footnote w:id="37">
    <w:p w:rsidR="00000000" w:rsidRDefault="00000000">
      <w:pPr>
        <w:pStyle w:val="FootnoteText"/>
      </w:pPr>
      <w:r>
        <w:rPr>
          <w:rStyle w:val="FootnoteReference"/>
        </w:rPr>
        <w:footnoteRef/>
      </w:r>
      <w:r>
        <w:t xml:space="preserve"> </w:t>
      </w:r>
      <w:r>
        <w:tab/>
      </w:r>
      <w:r>
        <w:rPr>
          <w:rFonts w:hint="eastAsia"/>
        </w:rPr>
        <w:t>《雇佣条例》第</w:t>
      </w:r>
      <w:r>
        <w:t>33</w:t>
      </w:r>
      <w:r>
        <w:rPr>
          <w:rFonts w:hint="eastAsia"/>
        </w:rPr>
        <w:t>条。</w:t>
      </w:r>
    </w:p>
  </w:footnote>
  <w:footnote w:id="38">
    <w:p w:rsidR="00000000" w:rsidRDefault="00000000">
      <w:pPr>
        <w:pStyle w:val="FootnoteText"/>
      </w:pPr>
      <w:r>
        <w:rPr>
          <w:rStyle w:val="FootnoteReference"/>
        </w:rPr>
        <w:footnoteRef/>
      </w:r>
      <w:r>
        <w:t xml:space="preserve"> </w:t>
      </w:r>
      <w:r>
        <w:tab/>
      </w:r>
      <w:r>
        <w:rPr>
          <w:rFonts w:hint="eastAsia"/>
        </w:rPr>
        <w:t>《雇佣条例》第</w:t>
      </w:r>
      <w:r>
        <w:t>31R</w:t>
      </w:r>
      <w:r>
        <w:rPr>
          <w:rFonts w:hint="eastAsia"/>
        </w:rPr>
        <w:t>条。</w:t>
      </w:r>
    </w:p>
  </w:footnote>
  <w:footnote w:id="39">
    <w:p w:rsidR="00000000" w:rsidRDefault="00000000">
      <w:pPr>
        <w:pStyle w:val="FootnoteText"/>
      </w:pPr>
      <w:r>
        <w:rPr>
          <w:rStyle w:val="FootnoteReference"/>
        </w:rPr>
        <w:footnoteRef/>
      </w:r>
      <w:r>
        <w:t xml:space="preserve"> </w:t>
      </w:r>
      <w:r>
        <w:tab/>
      </w:r>
      <w:r>
        <w:rPr>
          <w:rFonts w:hint="eastAsia"/>
        </w:rPr>
        <w:t>《雇佣条例》第</w:t>
      </w:r>
      <w:r>
        <w:t>31RA</w:t>
      </w:r>
      <w:r>
        <w:rPr>
          <w:rFonts w:hint="eastAsia"/>
        </w:rPr>
        <w:t>条。</w:t>
      </w:r>
    </w:p>
  </w:footnote>
  <w:footnote w:id="40">
    <w:p w:rsidR="00000000" w:rsidRDefault="00000000">
      <w:pPr>
        <w:pStyle w:val="FootnoteText"/>
      </w:pPr>
      <w:r>
        <w:rPr>
          <w:rStyle w:val="FootnoteReference"/>
        </w:rPr>
        <w:footnoteRef/>
      </w:r>
      <w:r>
        <w:t xml:space="preserve"> </w:t>
      </w:r>
      <w:r>
        <w:tab/>
      </w:r>
      <w:r>
        <w:rPr>
          <w:rFonts w:hint="eastAsia"/>
        </w:rPr>
        <w:t>《雇佣条例》第</w:t>
      </w:r>
      <w:r>
        <w:t>31V</w:t>
      </w:r>
      <w:r>
        <w:rPr>
          <w:rFonts w:hint="eastAsia"/>
        </w:rPr>
        <w:t>条及附表</w:t>
      </w:r>
      <w:r>
        <w:t>7</w:t>
      </w:r>
      <w:r>
        <w:rPr>
          <w:rFonts w:hint="eastAsia"/>
        </w:rPr>
        <w:t>。</w:t>
      </w:r>
    </w:p>
  </w:footnote>
  <w:footnote w:id="41">
    <w:p w:rsidR="00000000" w:rsidRDefault="00000000">
      <w:pPr>
        <w:pStyle w:val="FootnoteText"/>
      </w:pPr>
      <w:r>
        <w:rPr>
          <w:rStyle w:val="FootnoteReference"/>
        </w:rPr>
        <w:footnoteRef/>
      </w:r>
      <w:r>
        <w:t xml:space="preserve"> </w:t>
      </w:r>
      <w:r>
        <w:tab/>
      </w:r>
      <w:r>
        <w:rPr>
          <w:rFonts w:hint="eastAsia"/>
        </w:rPr>
        <w:t>《雇佣条例》第</w:t>
      </w:r>
      <w:r>
        <w:t>23</w:t>
      </w:r>
      <w:r>
        <w:rPr>
          <w:rFonts w:hint="eastAsia"/>
        </w:rPr>
        <w:t>及第</w:t>
      </w:r>
      <w:r>
        <w:t>25</w:t>
      </w:r>
      <w:r>
        <w:rPr>
          <w:rFonts w:hint="eastAsia"/>
        </w:rPr>
        <w:t>条。</w:t>
      </w:r>
    </w:p>
  </w:footnote>
  <w:footnote w:id="42">
    <w:p w:rsidR="00000000" w:rsidRDefault="00000000">
      <w:pPr>
        <w:pStyle w:val="FootnoteText"/>
      </w:pPr>
      <w:r>
        <w:rPr>
          <w:rStyle w:val="FootnoteReference"/>
        </w:rPr>
        <w:footnoteRef/>
      </w:r>
      <w:r>
        <w:t xml:space="preserve"> </w:t>
      </w:r>
      <w:r>
        <w:tab/>
      </w:r>
      <w:r>
        <w:rPr>
          <w:rFonts w:hint="eastAsia"/>
        </w:rPr>
        <w:t>参看第六条项下注脚</w:t>
      </w:r>
      <w:r>
        <w:t xml:space="preserve"> (1)</w:t>
      </w:r>
      <w:r>
        <w:rPr>
          <w:rFonts w:hint="eastAsia"/>
        </w:rPr>
        <w:t>。</w:t>
      </w:r>
    </w:p>
  </w:footnote>
  <w:footnote w:id="43">
    <w:p w:rsidR="00000000" w:rsidRDefault="00000000">
      <w:pPr>
        <w:pStyle w:val="FootnoteText"/>
      </w:pPr>
      <w:r>
        <w:rPr>
          <w:rStyle w:val="FootnoteReference"/>
        </w:rPr>
        <w:footnoteRef/>
      </w:r>
      <w:r>
        <w:t xml:space="preserve"> </w:t>
      </w:r>
      <w:r>
        <w:tab/>
      </w:r>
      <w:r>
        <w:rPr>
          <w:rFonts w:hint="eastAsia"/>
        </w:rPr>
        <w:t>获认可海外监管当局批准或注册的离岸计划可获豁免。此外，如在参与计划的成员中，只有不超过</w:t>
      </w:r>
      <w:r>
        <w:t>10%</w:t>
      </w:r>
      <w:r>
        <w:rPr>
          <w:rFonts w:hint="eastAsia"/>
        </w:rPr>
        <w:t>或</w:t>
      </w:r>
      <w:r>
        <w:t>50</w:t>
      </w:r>
      <w:r>
        <w:rPr>
          <w:rFonts w:hint="eastAsia"/>
        </w:rPr>
        <w:t>人</w:t>
      </w:r>
      <w:r>
        <w:t>(</w:t>
      </w:r>
      <w:r>
        <w:rPr>
          <w:rFonts w:hint="eastAsia"/>
        </w:rPr>
        <w:t>以较少者为准</w:t>
      </w:r>
      <w:r>
        <w:t>)</w:t>
      </w:r>
      <w:r>
        <w:rPr>
          <w:rFonts w:hint="eastAsia"/>
        </w:rPr>
        <w:t>为香港永久性居民身分证持有人，则该计划也可获得豁免。</w:t>
      </w:r>
    </w:p>
  </w:footnote>
  <w:footnote w:id="44">
    <w:p w:rsidR="00000000" w:rsidRDefault="00000000">
      <w:pPr>
        <w:pStyle w:val="FootnoteText"/>
      </w:pPr>
      <w:r>
        <w:rPr>
          <w:rStyle w:val="FootnoteReference"/>
        </w:rPr>
        <w:footnoteRef/>
      </w:r>
      <w:r>
        <w:t xml:space="preserve"> </w:t>
      </w:r>
      <w:r>
        <w:tab/>
      </w:r>
      <w:r>
        <w:rPr>
          <w:rFonts w:hint="eastAsia"/>
        </w:rPr>
        <w:t>这类投资最高以注册计划资产的</w:t>
      </w:r>
      <w:r>
        <w:t>10%</w:t>
      </w:r>
      <w:r>
        <w:rPr>
          <w:rFonts w:hint="eastAsia"/>
        </w:rPr>
        <w:t>为限。</w:t>
      </w:r>
    </w:p>
  </w:footnote>
  <w:footnote w:id="45">
    <w:p w:rsidR="00000000" w:rsidRDefault="00000000">
      <w:pPr>
        <w:pStyle w:val="FootnoteText"/>
      </w:pPr>
      <w:r>
        <w:rPr>
          <w:rStyle w:val="FootnoteReference"/>
        </w:rPr>
        <w:footnoteRef/>
      </w:r>
      <w:r>
        <w:t xml:space="preserve"> </w:t>
      </w:r>
      <w:r>
        <w:tab/>
      </w:r>
      <w:r>
        <w:rPr>
          <w:rFonts w:hint="eastAsia"/>
        </w:rPr>
        <w:t>“界定利益”是指以计划成员年资和最后薪金作为计算公式所计算出来的退休计划福利。</w:t>
      </w:r>
    </w:p>
  </w:footnote>
  <w:footnote w:id="46">
    <w:p w:rsidR="00000000" w:rsidRDefault="00000000">
      <w:pPr>
        <w:pStyle w:val="FootnoteText"/>
      </w:pPr>
      <w:r>
        <w:rPr>
          <w:rStyle w:val="FootnoteReference"/>
        </w:rPr>
        <w:footnoteRef/>
      </w:r>
      <w:r>
        <w:t xml:space="preserve"> </w:t>
      </w:r>
      <w:r>
        <w:tab/>
      </w:r>
      <w:r>
        <w:rPr>
          <w:rFonts w:hint="eastAsia"/>
        </w:rPr>
        <w:t>“</w:t>
      </w:r>
      <w:r>
        <w:t>Averting Old Age Crisis</w:t>
      </w:r>
      <w:r>
        <w:rPr>
          <w:rFonts w:hint="eastAsia"/>
        </w:rPr>
        <w:t>：</w:t>
      </w:r>
      <w:r>
        <w:t>Policies to Protect the Old and Promote Growth</w:t>
      </w:r>
      <w:r>
        <w:rPr>
          <w:rFonts w:hint="eastAsia"/>
        </w:rPr>
        <w:t>”</w:t>
      </w:r>
      <w:r>
        <w:t xml:space="preserve"> (Oxford University Press, New York, 1994)</w:t>
      </w:r>
    </w:p>
  </w:footnote>
  <w:footnote w:id="47">
    <w:p w:rsidR="00000000" w:rsidRDefault="00000000">
      <w:pPr>
        <w:pStyle w:val="FootnoteText"/>
      </w:pPr>
      <w:r>
        <w:rPr>
          <w:rStyle w:val="FootnoteReference"/>
        </w:rPr>
        <w:footnoteRef/>
      </w:r>
      <w:r>
        <w:t xml:space="preserve">  </w:t>
      </w:r>
      <w:r>
        <w:rPr>
          <w:rFonts w:eastAsia="SimSun" w:hint="eastAsia"/>
        </w:rPr>
        <w:t>《</w:t>
      </w:r>
      <w:r>
        <w:rPr>
          <w:rFonts w:hint="eastAsia"/>
        </w:rPr>
        <w:t>强制性公积金计划条例</w:t>
      </w:r>
      <w:r>
        <w:rPr>
          <w:rFonts w:eastAsia="SimSun" w:hint="eastAsia"/>
        </w:rPr>
        <w:t>》</w:t>
      </w:r>
      <w:r>
        <w:rPr>
          <w:rFonts w:hint="eastAsia"/>
        </w:rPr>
        <w:t>第</w:t>
      </w:r>
      <w:r>
        <w:t>15</w:t>
      </w:r>
      <w:r>
        <w:rPr>
          <w:rFonts w:hint="eastAsia"/>
        </w:rPr>
        <w:t>条，指明了在甚么情况下可准许于退休年龄前提取累积权益</w:t>
      </w:r>
      <w:r>
        <w:rPr>
          <w:rFonts w:eastAsia="SimSun" w:hint="eastAsia"/>
        </w:rPr>
        <w:t>。</w:t>
      </w:r>
      <w:r>
        <w:rPr>
          <w:rFonts w:hint="eastAsia"/>
        </w:rPr>
        <w:t>该等情况可包括计划成员死亡</w:t>
      </w:r>
      <w:r>
        <w:rPr>
          <w:rFonts w:eastAsia="SimSun" w:hint="eastAsia"/>
        </w:rPr>
        <w:t>、</w:t>
      </w:r>
      <w:r>
        <w:rPr>
          <w:rFonts w:hint="eastAsia"/>
        </w:rPr>
        <w:t>计划成员已达到</w:t>
      </w:r>
      <w:r>
        <w:t>60</w:t>
      </w:r>
      <w:r>
        <w:rPr>
          <w:rFonts w:hint="eastAsia"/>
        </w:rPr>
        <w:t>岁，并已永久性地终止他的受雇或自雇，及计划成员永久性地离开香港或完全丧失行为能力</w:t>
      </w:r>
      <w:r>
        <w:rPr>
          <w:rFonts w:eastAsia="SimSun" w:hint="eastAsia"/>
        </w:rPr>
        <w:t>。</w:t>
      </w:r>
    </w:p>
  </w:footnote>
  <w:footnote w:id="48">
    <w:p w:rsidR="00000000" w:rsidRDefault="00000000">
      <w:pPr>
        <w:pStyle w:val="FootnoteText"/>
      </w:pPr>
      <w:r>
        <w:rPr>
          <w:rStyle w:val="FootnoteReference"/>
        </w:rPr>
        <w:footnoteRef/>
      </w:r>
      <w:r>
        <w:t xml:space="preserve">  </w:t>
      </w:r>
      <w:r>
        <w:rPr>
          <w:rFonts w:eastAsia="SimSun" w:hint="eastAsia"/>
        </w:rPr>
        <w:t>《</w:t>
      </w:r>
      <w:r>
        <w:rPr>
          <w:rFonts w:hint="eastAsia"/>
        </w:rPr>
        <w:t>基本法</w:t>
      </w:r>
      <w:r>
        <w:rPr>
          <w:rFonts w:eastAsia="SimSun" w:hint="eastAsia"/>
        </w:rPr>
        <w:t>》</w:t>
      </w:r>
      <w:r>
        <w:rPr>
          <w:rFonts w:hint="eastAsia"/>
        </w:rPr>
        <w:t>第四十一条订明非香港居民</w:t>
      </w:r>
      <w:r>
        <w:rPr>
          <w:rFonts w:eastAsia="SimSun" w:hint="eastAsia"/>
        </w:rPr>
        <w:t>“</w:t>
      </w:r>
      <w:r>
        <w:rPr>
          <w:rFonts w:hint="eastAsia"/>
        </w:rPr>
        <w:t>依法享有香港居民的权利和自由</w:t>
      </w:r>
      <w:r>
        <w:rPr>
          <w:rFonts w:eastAsia="SimSun" w:hint="eastAsia"/>
        </w:rPr>
        <w:t>”。</w:t>
      </w:r>
    </w:p>
  </w:footnote>
  <w:footnote w:id="49">
    <w:p w:rsidR="00000000" w:rsidRDefault="00000000">
      <w:pPr>
        <w:pStyle w:val="FootnoteText"/>
      </w:pPr>
      <w:r>
        <w:rPr>
          <w:rStyle w:val="FootnoteReference"/>
        </w:rPr>
        <w:footnoteRef/>
      </w:r>
      <w:r>
        <w:t xml:space="preserve">  </w:t>
      </w:r>
      <w:r>
        <w:rPr>
          <w:rFonts w:eastAsia="SimSun" w:hint="eastAsia"/>
        </w:rPr>
        <w:t>“</w:t>
      </w:r>
      <w:r>
        <w:rPr>
          <w:rFonts w:hint="eastAsia"/>
        </w:rPr>
        <w:t>家庭核心</w:t>
      </w:r>
      <w:r>
        <w:rPr>
          <w:rFonts w:eastAsia="SimSun" w:hint="eastAsia"/>
        </w:rPr>
        <w:t>”</w:t>
      </w:r>
      <w:r>
        <w:rPr>
          <w:rFonts w:hint="eastAsia"/>
        </w:rPr>
        <w:t>是指一对没有子女的夫妇，或一对夫妇和一个或以上未婚子女，或单亲家长和一个或以上未婚子女</w:t>
      </w:r>
      <w:r>
        <w:rPr>
          <w:rFonts w:eastAsia="SimSun" w:hint="eastAsia"/>
        </w:rPr>
        <w:t>。</w:t>
      </w:r>
    </w:p>
  </w:footnote>
  <w:footnote w:id="50">
    <w:p w:rsidR="00000000" w:rsidRDefault="00000000">
      <w:pPr>
        <w:pStyle w:val="FootnoteText"/>
      </w:pPr>
      <w:r>
        <w:rPr>
          <w:rStyle w:val="FootnoteReference"/>
        </w:rPr>
        <w:footnoteRef/>
      </w:r>
      <w:r>
        <w:t xml:space="preserve">  </w:t>
      </w:r>
      <w:r>
        <w:rPr>
          <w:rFonts w:eastAsia="SimSun" w:hint="eastAsia"/>
        </w:rPr>
        <w:t>《</w:t>
      </w:r>
      <w:r>
        <w:rPr>
          <w:rFonts w:hint="eastAsia"/>
        </w:rPr>
        <w:t>基本法</w:t>
      </w:r>
      <w:r>
        <w:rPr>
          <w:rFonts w:eastAsia="SimSun" w:hint="eastAsia"/>
        </w:rPr>
        <w:t>》</w:t>
      </w:r>
      <w:r>
        <w:rPr>
          <w:rFonts w:hint="eastAsia"/>
        </w:rPr>
        <w:t>第二十四</w:t>
      </w:r>
      <w:r>
        <w:t>(</w:t>
      </w:r>
      <w:r>
        <w:rPr>
          <w:rFonts w:hint="eastAsia"/>
        </w:rPr>
        <w:t>三</w:t>
      </w:r>
      <w:r>
        <w:t>)</w:t>
      </w:r>
      <w:r>
        <w:rPr>
          <w:rFonts w:hint="eastAsia"/>
        </w:rPr>
        <w:t>条的规定，已在</w:t>
      </w:r>
      <w:r>
        <w:rPr>
          <w:rFonts w:eastAsia="SimSun" w:hint="eastAsia"/>
        </w:rPr>
        <w:t>《</w:t>
      </w:r>
      <w:r>
        <w:rPr>
          <w:rFonts w:hint="eastAsia"/>
        </w:rPr>
        <w:t>入境条例</w:t>
      </w:r>
      <w:r>
        <w:rPr>
          <w:rFonts w:eastAsia="SimSun" w:hint="eastAsia"/>
        </w:rPr>
        <w:t>》</w:t>
      </w:r>
      <w:r>
        <w:rPr>
          <w:rFonts w:hint="eastAsia"/>
        </w:rPr>
        <w:t>附表</w:t>
      </w:r>
      <w:r>
        <w:t>1</w:t>
      </w:r>
      <w:r>
        <w:rPr>
          <w:rFonts w:hint="eastAsia"/>
        </w:rPr>
        <w:t>内反映出来；该附表订明，任何人如属中国籍，并为香港特别行政区永久性居民在香港以外所生子女，而在其出生时，其父亲或母亲已享有香港居留权，则该人即为香港特别行政区永久性居民</w:t>
      </w:r>
      <w:r>
        <w:rPr>
          <w:rFonts w:eastAsia="SimSun" w:hint="eastAsia"/>
        </w:rPr>
        <w:t>。</w:t>
      </w:r>
    </w:p>
  </w:footnote>
  <w:footnote w:id="51">
    <w:p w:rsidR="00000000" w:rsidRDefault="00000000">
      <w:pPr>
        <w:pStyle w:val="FootnoteText"/>
      </w:pPr>
      <w:r>
        <w:rPr>
          <w:rStyle w:val="FootnoteReference"/>
        </w:rPr>
        <w:footnoteRef/>
      </w:r>
      <w:r>
        <w:t xml:space="preserve">  </w:t>
      </w:r>
      <w:r>
        <w:rPr>
          <w:rFonts w:hint="eastAsia"/>
        </w:rPr>
        <w:t>民政事务总署定期进行调查，协助该统筹委员会找出和研究新来港定居人士所遇到的困难</w:t>
      </w:r>
      <w:r>
        <w:rPr>
          <w:rFonts w:eastAsia="SimSun" w:hint="eastAsia"/>
        </w:rPr>
        <w:t>。</w:t>
      </w:r>
      <w:r>
        <w:rPr>
          <w:rFonts w:hint="eastAsia"/>
        </w:rPr>
        <w:t>该署也会直接向新来港定居人士搜集资料</w:t>
      </w:r>
      <w:r>
        <w:rPr>
          <w:rFonts w:eastAsia="SimSun" w:hint="eastAsia"/>
        </w:rPr>
        <w:t>。</w:t>
      </w:r>
    </w:p>
  </w:footnote>
  <w:footnote w:id="52">
    <w:p w:rsidR="00000000" w:rsidRDefault="00000000">
      <w:pPr>
        <w:pStyle w:val="FootnoteText"/>
      </w:pPr>
      <w:r>
        <w:rPr>
          <w:rStyle w:val="FootnoteReference"/>
        </w:rPr>
        <w:footnoteRef/>
      </w:r>
      <w:r>
        <w:t xml:space="preserve">  </w:t>
      </w:r>
      <w:r>
        <w:rPr>
          <w:rFonts w:eastAsia="SimSun" w:hint="eastAsia"/>
        </w:rPr>
        <w:t>“</w:t>
      </w:r>
      <w:r>
        <w:rPr>
          <w:rFonts w:hint="eastAsia"/>
        </w:rPr>
        <w:t>中国公民</w:t>
      </w:r>
      <w:r>
        <w:rPr>
          <w:rFonts w:eastAsia="SimSun" w:hint="eastAsia"/>
        </w:rPr>
        <w:t>”</w:t>
      </w:r>
      <w:r>
        <w:rPr>
          <w:rFonts w:hint="eastAsia"/>
        </w:rPr>
        <w:t>在这里指所有在中国领土</w:t>
      </w:r>
      <w:r>
        <w:t>(</w:t>
      </w:r>
      <w:r>
        <w:rPr>
          <w:rFonts w:hint="eastAsia"/>
        </w:rPr>
        <w:t>包括香港</w:t>
      </w:r>
      <w:r>
        <w:t>)</w:t>
      </w:r>
      <w:r>
        <w:rPr>
          <w:rFonts w:hint="eastAsia"/>
        </w:rPr>
        <w:t>出生，具中国血统的香港居民</w:t>
      </w:r>
      <w:r>
        <w:rPr>
          <w:rFonts w:eastAsia="SimSun" w:hint="eastAsia"/>
        </w:rPr>
        <w:t>。</w:t>
      </w:r>
    </w:p>
  </w:footnote>
  <w:footnote w:id="53">
    <w:p w:rsidR="00000000" w:rsidRDefault="00000000">
      <w:pPr>
        <w:pStyle w:val="FootnoteText"/>
      </w:pPr>
      <w:r>
        <w:rPr>
          <w:rStyle w:val="FootnoteReference"/>
        </w:rPr>
        <w:footnoteRef/>
      </w:r>
      <w:r>
        <w:t xml:space="preserve">  </w:t>
      </w:r>
      <w:r>
        <w:rPr>
          <w:rFonts w:hint="eastAsia"/>
        </w:rPr>
        <w:t>服务包括：家庭生活教育</w:t>
      </w:r>
      <w:r>
        <w:rPr>
          <w:rFonts w:eastAsia="SimSun" w:hint="eastAsia"/>
        </w:rPr>
        <w:t>、</w:t>
      </w:r>
      <w:r>
        <w:rPr>
          <w:rFonts w:hint="eastAsia"/>
        </w:rPr>
        <w:t>家庭资源及活动园地</w:t>
      </w:r>
      <w:r>
        <w:t>(</w:t>
      </w:r>
      <w:r>
        <w:rPr>
          <w:rFonts w:hint="eastAsia"/>
        </w:rPr>
        <w:t>有问题的家庭与社会服务人士初步接触的途径</w:t>
      </w:r>
      <w:r>
        <w:t>)</w:t>
      </w:r>
      <w:r>
        <w:rPr>
          <w:rFonts w:eastAsia="SimSun" w:hint="eastAsia"/>
        </w:rPr>
        <w:t>、</w:t>
      </w:r>
      <w:r>
        <w:rPr>
          <w:rFonts w:hint="eastAsia"/>
        </w:rPr>
        <w:t>家庭照顾示范及资源中心</w:t>
      </w:r>
      <w:r>
        <w:t>(</w:t>
      </w:r>
      <w:r>
        <w:rPr>
          <w:rFonts w:hint="eastAsia"/>
        </w:rPr>
        <w:t>教导父母持家及为人父母之道，以及沟通技巧</w:t>
      </w:r>
      <w:r>
        <w:t>)</w:t>
      </w:r>
      <w:r>
        <w:rPr>
          <w:rFonts w:hint="eastAsia"/>
        </w:rPr>
        <w:t>，及家长资源中心</w:t>
      </w:r>
      <w:r>
        <w:t>(</w:t>
      </w:r>
      <w:r>
        <w:rPr>
          <w:rFonts w:hint="eastAsia"/>
        </w:rPr>
        <w:t>为残疾儿童的家长提供支援</w:t>
      </w:r>
      <w:r>
        <w:t>)</w:t>
      </w:r>
      <w:r>
        <w:rPr>
          <w:rFonts w:eastAsia="SimSun" w:hint="eastAsia"/>
        </w:rPr>
        <w:t>。</w:t>
      </w:r>
    </w:p>
  </w:footnote>
  <w:footnote w:id="54">
    <w:p w:rsidR="00000000" w:rsidRDefault="00000000">
      <w:pPr>
        <w:pStyle w:val="FootnoteText"/>
      </w:pPr>
      <w:r>
        <w:rPr>
          <w:rStyle w:val="FootnoteReference"/>
        </w:rPr>
        <w:footnoteRef/>
      </w:r>
      <w:r>
        <w:t xml:space="preserve">  </w:t>
      </w:r>
      <w:r>
        <w:rPr>
          <w:rFonts w:eastAsia="SimSun" w:hint="eastAsia"/>
        </w:rPr>
        <w:t>“</w:t>
      </w:r>
      <w:r>
        <w:rPr>
          <w:rFonts w:hint="eastAsia"/>
        </w:rPr>
        <w:t>互助幼儿小组</w:t>
      </w:r>
      <w:r>
        <w:rPr>
          <w:rFonts w:eastAsia="SimSun" w:hint="eastAsia"/>
        </w:rPr>
        <w:t>”</w:t>
      </w:r>
      <w:r>
        <w:rPr>
          <w:rFonts w:hint="eastAsia"/>
        </w:rPr>
        <w:t>指由真正非牟利机构设立并以非牟利性质营办的小组，该小组为其成员的子女提供非经常照顾及看管</w:t>
      </w:r>
      <w:r>
        <w:rPr>
          <w:rFonts w:eastAsia="SimSun" w:hint="eastAsia"/>
        </w:rPr>
        <w:t>。</w:t>
      </w:r>
    </w:p>
  </w:footnote>
  <w:footnote w:id="55">
    <w:p w:rsidR="00000000" w:rsidRDefault="00000000">
      <w:pPr>
        <w:pStyle w:val="FootnoteText"/>
      </w:pPr>
      <w:r>
        <w:rPr>
          <w:rStyle w:val="FootnoteReference"/>
        </w:rPr>
        <w:footnoteRef/>
      </w:r>
      <w:r>
        <w:t xml:space="preserve">  </w:t>
      </w:r>
      <w:r>
        <w:rPr>
          <w:rFonts w:eastAsia="SimSun" w:hint="eastAsia"/>
        </w:rPr>
        <w:t>“</w:t>
      </w:r>
      <w:r>
        <w:rPr>
          <w:rFonts w:hint="eastAsia"/>
        </w:rPr>
        <w:t>主办机构</w:t>
      </w:r>
      <w:r>
        <w:rPr>
          <w:rFonts w:eastAsia="SimSun" w:hint="eastAsia"/>
        </w:rPr>
        <w:t>”</w:t>
      </w:r>
      <w:r>
        <w:rPr>
          <w:rFonts w:hint="eastAsia"/>
        </w:rPr>
        <w:t>就互助幼儿小组而言，指设立该互助幼儿小组的真正非牟利机构</w:t>
      </w:r>
      <w:r>
        <w:rPr>
          <w:rFonts w:eastAsia="SimSun" w:hint="eastAsia"/>
        </w:rPr>
        <w:t>。</w:t>
      </w:r>
    </w:p>
  </w:footnote>
  <w:footnote w:id="56">
    <w:p w:rsidR="00000000" w:rsidRDefault="00000000">
      <w:pPr>
        <w:pStyle w:val="FootnoteText"/>
      </w:pPr>
      <w:r>
        <w:rPr>
          <w:rStyle w:val="FootnoteReference"/>
        </w:rPr>
        <w:footnoteRef/>
      </w:r>
      <w:r>
        <w:t xml:space="preserve">  </w:t>
      </w:r>
      <w:r>
        <w:rPr>
          <w:rFonts w:hint="eastAsia"/>
        </w:rPr>
        <w:t>如上次报告所述，经济有困难而有资格申领综援的父母可申请全费资助，以供子女参加课余托管计划</w:t>
      </w:r>
      <w:r>
        <w:rPr>
          <w:rFonts w:eastAsia="SimSun" w:hint="eastAsia"/>
        </w:rPr>
        <w:t>。</w:t>
      </w:r>
      <w:r>
        <w:rPr>
          <w:rFonts w:hint="eastAsia"/>
        </w:rPr>
        <w:t>至于有社会福利需要但不符合资格领取综援的父母，则可向由政府管理的慈善信托基金申请资助</w:t>
      </w:r>
      <w:r>
        <w:rPr>
          <w:rFonts w:eastAsia="SimSun" w:hint="eastAsia"/>
        </w:rPr>
        <w:t>。</w:t>
      </w:r>
    </w:p>
  </w:footnote>
  <w:footnote w:id="57">
    <w:p w:rsidR="00000000" w:rsidRDefault="00000000">
      <w:pPr>
        <w:pStyle w:val="FootnoteText"/>
      </w:pPr>
      <w:r>
        <w:rPr>
          <w:rStyle w:val="FootnoteReference"/>
        </w:rPr>
        <w:footnoteRef/>
      </w:r>
      <w:r>
        <w:t xml:space="preserve">  </w:t>
      </w:r>
      <w:r>
        <w:rPr>
          <w:rFonts w:hint="eastAsia"/>
        </w:rPr>
        <w:t>虐待配偶指夫妇其中一方使用暴力，令配偶在身体</w:t>
      </w:r>
      <w:r>
        <w:rPr>
          <w:rFonts w:eastAsia="SimSun" w:hint="eastAsia"/>
        </w:rPr>
        <w:t>、</w:t>
      </w:r>
      <w:r>
        <w:rPr>
          <w:rFonts w:hint="eastAsia"/>
        </w:rPr>
        <w:t>心理</w:t>
      </w:r>
      <w:r>
        <w:rPr>
          <w:rFonts w:eastAsia="SimSun" w:hint="eastAsia"/>
        </w:rPr>
        <w:t>、</w:t>
      </w:r>
      <w:r>
        <w:rPr>
          <w:rFonts w:hint="eastAsia"/>
        </w:rPr>
        <w:t>精神或性方面受到伤害</w:t>
      </w:r>
      <w:r>
        <w:rPr>
          <w:rFonts w:eastAsia="SimSun" w:hint="eastAsia"/>
        </w:rPr>
        <w:t>。</w:t>
      </w:r>
    </w:p>
  </w:footnote>
  <w:footnote w:id="58">
    <w:p w:rsidR="00000000" w:rsidRDefault="00000000">
      <w:pPr>
        <w:pStyle w:val="FootnoteText"/>
      </w:pPr>
      <w:r>
        <w:rPr>
          <w:rStyle w:val="FootnoteReference"/>
        </w:rPr>
        <w:footnoteRef/>
      </w:r>
      <w:r>
        <w:t xml:space="preserve">  </w:t>
      </w:r>
      <w:r>
        <w:rPr>
          <w:rFonts w:eastAsia="SimSun" w:hint="eastAsia"/>
        </w:rPr>
        <w:t>《</w:t>
      </w:r>
      <w:r>
        <w:rPr>
          <w:rFonts w:hint="eastAsia"/>
        </w:rPr>
        <w:t>家庭暴力条例</w:t>
      </w:r>
      <w:r>
        <w:rPr>
          <w:rFonts w:eastAsia="SimSun" w:hint="eastAsia"/>
        </w:rPr>
        <w:t>》</w:t>
      </w:r>
      <w:r>
        <w:rPr>
          <w:rFonts w:hint="eastAsia"/>
        </w:rPr>
        <w:t>第</w:t>
      </w:r>
      <w:r>
        <w:t>3</w:t>
      </w:r>
      <w:r>
        <w:rPr>
          <w:rFonts w:hint="eastAsia"/>
        </w:rPr>
        <w:t>条</w:t>
      </w:r>
      <w:r>
        <w:rPr>
          <w:rFonts w:eastAsia="SimSun" w:hint="eastAsia"/>
        </w:rPr>
        <w:t>。</w:t>
      </w:r>
    </w:p>
  </w:footnote>
  <w:footnote w:id="59">
    <w:p w:rsidR="00000000" w:rsidRDefault="00000000">
      <w:pPr>
        <w:pStyle w:val="FootnoteText"/>
      </w:pPr>
      <w:r>
        <w:rPr>
          <w:rStyle w:val="FootnoteReference"/>
        </w:rPr>
        <w:footnoteRef/>
      </w:r>
      <w:r>
        <w:t xml:space="preserve">  </w:t>
      </w:r>
      <w:r>
        <w:rPr>
          <w:rFonts w:hint="eastAsia"/>
        </w:rPr>
        <w:t>制作海报和通过电台及电视广作宣传</w:t>
      </w:r>
      <w:r>
        <w:rPr>
          <w:rFonts w:eastAsia="SimSun" w:hint="eastAsia"/>
        </w:rPr>
        <w:t>。</w:t>
      </w:r>
    </w:p>
  </w:footnote>
  <w:footnote w:id="60">
    <w:p w:rsidR="00000000" w:rsidRDefault="00000000">
      <w:pPr>
        <w:pStyle w:val="FootnoteText"/>
      </w:pPr>
      <w:r>
        <w:rPr>
          <w:rStyle w:val="FootnoteReference"/>
        </w:rPr>
        <w:footnoteRef/>
      </w:r>
      <w:r>
        <w:t xml:space="preserve">  </w:t>
      </w:r>
      <w:r>
        <w:rPr>
          <w:rFonts w:hint="eastAsia"/>
        </w:rPr>
        <w:t>例外情况指雇员因严重失当行为而被即时解雇，或雇员仍在试用期内，工作不超过</w:t>
      </w:r>
      <w:r>
        <w:t>12</w:t>
      </w:r>
      <w:r>
        <w:rPr>
          <w:rFonts w:hint="eastAsia"/>
        </w:rPr>
        <w:t>星期</w:t>
      </w:r>
      <w:r>
        <w:rPr>
          <w:rFonts w:eastAsia="SimSun" w:hint="eastAsia"/>
        </w:rPr>
        <w:t>。</w:t>
      </w:r>
    </w:p>
  </w:footnote>
  <w:footnote w:id="61">
    <w:p w:rsidR="00000000" w:rsidRDefault="00000000">
      <w:pPr>
        <w:pStyle w:val="FootnoteText"/>
      </w:pPr>
      <w:r>
        <w:rPr>
          <w:rStyle w:val="FootnoteReference"/>
        </w:rPr>
        <w:footnoteRef/>
      </w:r>
      <w:r>
        <w:t xml:space="preserve">  </w:t>
      </w:r>
      <w:r>
        <w:rPr>
          <w:rFonts w:eastAsia="SimSun" w:hint="eastAsia"/>
        </w:rPr>
        <w:t>《</w:t>
      </w:r>
      <w:r>
        <w:rPr>
          <w:rFonts w:hint="eastAsia"/>
        </w:rPr>
        <w:t>监狱条例</w:t>
      </w:r>
      <w:r>
        <w:rPr>
          <w:rFonts w:eastAsia="SimSun" w:hint="eastAsia"/>
        </w:rPr>
        <w:t>》</w:t>
      </w:r>
      <w:r>
        <w:t>(</w:t>
      </w:r>
      <w:r>
        <w:rPr>
          <w:rFonts w:hint="eastAsia"/>
        </w:rPr>
        <w:t>第</w:t>
      </w:r>
      <w:r>
        <w:t>234</w:t>
      </w:r>
      <w:r>
        <w:rPr>
          <w:rFonts w:hint="eastAsia"/>
        </w:rPr>
        <w:t>章</w:t>
      </w:r>
      <w:r>
        <w:t>)</w:t>
      </w:r>
      <w:r>
        <w:rPr>
          <w:rFonts w:hint="eastAsia"/>
        </w:rPr>
        <w:t>附属法例</w:t>
      </w:r>
      <w:r>
        <w:rPr>
          <w:rFonts w:eastAsia="SimSun" w:hint="eastAsia"/>
        </w:rPr>
        <w:t>。</w:t>
      </w:r>
    </w:p>
  </w:footnote>
  <w:footnote w:id="62">
    <w:p w:rsidR="00000000" w:rsidRDefault="00000000">
      <w:pPr>
        <w:pStyle w:val="FootnoteText"/>
      </w:pPr>
      <w:r>
        <w:rPr>
          <w:rStyle w:val="FootnoteReference"/>
        </w:rPr>
        <w:footnoteRef/>
      </w:r>
      <w:r>
        <w:t xml:space="preserve">  </w:t>
      </w:r>
      <w:r>
        <w:rPr>
          <w:rFonts w:eastAsia="SimSun" w:hint="eastAsia"/>
        </w:rPr>
        <w:t>《</w:t>
      </w:r>
      <w:r>
        <w:rPr>
          <w:rFonts w:hint="eastAsia"/>
        </w:rPr>
        <w:t>基本法</w:t>
      </w:r>
      <w:r>
        <w:rPr>
          <w:rFonts w:eastAsia="SimSun" w:hint="eastAsia"/>
        </w:rPr>
        <w:t>》</w:t>
      </w:r>
      <w:r>
        <w:rPr>
          <w:rFonts w:hint="eastAsia"/>
        </w:rPr>
        <w:t>第二十四</w:t>
      </w:r>
      <w:r>
        <w:t>(</w:t>
      </w:r>
      <w:r>
        <w:rPr>
          <w:rFonts w:hint="eastAsia"/>
        </w:rPr>
        <w:t>一</w:t>
      </w:r>
      <w:r>
        <w:t>)</w:t>
      </w:r>
      <w:r>
        <w:rPr>
          <w:rFonts w:hint="eastAsia"/>
        </w:rPr>
        <w:t>条及</w:t>
      </w:r>
      <w:r>
        <w:rPr>
          <w:rFonts w:eastAsia="SimSun" w:hint="eastAsia"/>
        </w:rPr>
        <w:t>《</w:t>
      </w:r>
      <w:r>
        <w:rPr>
          <w:rFonts w:hint="eastAsia"/>
        </w:rPr>
        <w:t>入境条例</w:t>
      </w:r>
      <w:r>
        <w:rPr>
          <w:rFonts w:eastAsia="SimSun" w:hint="eastAsia"/>
        </w:rPr>
        <w:t>》</w:t>
      </w:r>
      <w:r>
        <w:rPr>
          <w:rFonts w:hint="eastAsia"/>
        </w:rPr>
        <w:t>附表</w:t>
      </w:r>
      <w:r>
        <w:t>1</w:t>
      </w:r>
      <w:r>
        <w:rPr>
          <w:rFonts w:eastAsia="SimSun" w:hint="eastAsia"/>
        </w:rPr>
        <w:t>。</w:t>
      </w:r>
      <w:r>
        <w:rPr>
          <w:rFonts w:hint="eastAsia"/>
        </w:rPr>
        <w:t>这方面的法律规定与回归前的大致相若，而上文所述的措施是长期性的</w:t>
      </w:r>
      <w:r>
        <w:rPr>
          <w:rFonts w:eastAsia="SimSun" w:hint="eastAsia"/>
        </w:rPr>
        <w:t>。</w:t>
      </w:r>
    </w:p>
  </w:footnote>
  <w:footnote w:id="63">
    <w:p w:rsidR="00000000" w:rsidRDefault="00000000">
      <w:pPr>
        <w:pStyle w:val="FootnoteText"/>
      </w:pPr>
      <w:r>
        <w:rPr>
          <w:rStyle w:val="FootnoteReference"/>
        </w:rPr>
        <w:footnoteRef/>
      </w:r>
      <w:r>
        <w:t xml:space="preserve">  </w:t>
      </w:r>
      <w:r>
        <w:rPr>
          <w:rFonts w:hint="eastAsia"/>
        </w:rPr>
        <w:t>请参阅联合国儿童权利委员会的审议结论</w:t>
      </w:r>
      <w:r>
        <w:t>(</w:t>
      </w:r>
      <w:r>
        <w:rPr>
          <w:rFonts w:hint="eastAsia"/>
        </w:rPr>
        <w:t>一九九六年十月三十日</w:t>
      </w:r>
      <w:r>
        <w:t>CRC/C/15/ Add.63)</w:t>
      </w:r>
      <w:r>
        <w:rPr>
          <w:rFonts w:hint="eastAsia"/>
        </w:rPr>
        <w:t>第</w:t>
      </w:r>
      <w:r>
        <w:t>20</w:t>
      </w:r>
      <w:r>
        <w:rPr>
          <w:rFonts w:hint="eastAsia"/>
        </w:rPr>
        <w:t>段所载建议</w:t>
      </w:r>
      <w:r>
        <w:t>(</w:t>
      </w:r>
      <w:r>
        <w:rPr>
          <w:rFonts w:hint="eastAsia"/>
        </w:rPr>
        <w:t>转录于附件</w:t>
      </w:r>
      <w:r>
        <w:t>20)</w:t>
      </w:r>
      <w:r>
        <w:rPr>
          <w:rFonts w:eastAsia="SimSun" w:hint="eastAsia"/>
        </w:rPr>
        <w:t>。</w:t>
      </w:r>
    </w:p>
  </w:footnote>
  <w:footnote w:id="64">
    <w:p w:rsidR="00000000" w:rsidRDefault="00000000">
      <w:pPr>
        <w:pStyle w:val="FootnoteText"/>
      </w:pPr>
      <w:r>
        <w:rPr>
          <w:rStyle w:val="FootnoteReference"/>
        </w:rPr>
        <w:footnoteRef/>
      </w:r>
      <w:r>
        <w:t xml:space="preserve">  </w:t>
      </w:r>
      <w:r>
        <w:rPr>
          <w:rFonts w:eastAsia="SimSun" w:hint="eastAsia"/>
        </w:rPr>
        <w:t>《</w:t>
      </w:r>
      <w:r>
        <w:rPr>
          <w:rFonts w:hint="eastAsia"/>
        </w:rPr>
        <w:t>儿童权利公约</w:t>
      </w:r>
      <w:r>
        <w:rPr>
          <w:rFonts w:eastAsia="SimSun" w:hint="eastAsia"/>
        </w:rPr>
        <w:t>》</w:t>
      </w:r>
      <w:r>
        <w:rPr>
          <w:rFonts w:hint="eastAsia"/>
        </w:rPr>
        <w:t>第</w:t>
      </w:r>
      <w:r>
        <w:t>34</w:t>
      </w:r>
      <w:r>
        <w:rPr>
          <w:rFonts w:hint="eastAsia"/>
        </w:rPr>
        <w:t>条订明，缔约国承担保护儿童免遭一切形式的色情剥削和性侵犯之害，为此目的，缔约国尤应采取一切适当的国家</w:t>
      </w:r>
      <w:r>
        <w:rPr>
          <w:rFonts w:eastAsia="SimSun" w:hint="eastAsia"/>
        </w:rPr>
        <w:t>、</w:t>
      </w:r>
      <w:r>
        <w:rPr>
          <w:rFonts w:hint="eastAsia"/>
        </w:rPr>
        <w:t>双边和多边措施，以防止：</w:t>
      </w:r>
    </w:p>
    <w:p w:rsidR="00000000" w:rsidRDefault="00000000">
      <w:pPr>
        <w:pStyle w:val="a0"/>
        <w:numPr>
          <w:ilvl w:val="0"/>
          <w:numId w:val="19"/>
        </w:numPr>
        <w:spacing w:line="288" w:lineRule="auto"/>
        <w:ind w:left="1531" w:hanging="510"/>
        <w:rPr>
          <w:rFonts w:ascii="长城楷体" w:eastAsia="长城楷体"/>
        </w:rPr>
      </w:pPr>
      <w:r>
        <w:rPr>
          <w:rFonts w:ascii="长城楷体" w:eastAsia="长城楷体" w:hint="eastAsia"/>
        </w:rPr>
        <w:t>引诱或强迫儿童从事任何非法的性活动；</w:t>
      </w:r>
    </w:p>
    <w:p w:rsidR="00000000" w:rsidRDefault="00000000">
      <w:pPr>
        <w:pStyle w:val="a0"/>
        <w:numPr>
          <w:ilvl w:val="0"/>
          <w:numId w:val="19"/>
        </w:numPr>
        <w:spacing w:line="288" w:lineRule="auto"/>
        <w:ind w:left="1531" w:hanging="510"/>
        <w:rPr>
          <w:rFonts w:ascii="长城楷体" w:eastAsia="长城楷体"/>
        </w:rPr>
      </w:pPr>
      <w:r>
        <w:rPr>
          <w:rFonts w:ascii="长城楷体" w:eastAsia="长城楷体" w:hint="eastAsia"/>
        </w:rPr>
        <w:t>利用儿童卖淫或从事其他非法的性行为；</w:t>
      </w:r>
    </w:p>
    <w:p w:rsidR="00000000" w:rsidRDefault="00000000">
      <w:pPr>
        <w:pStyle w:val="a0"/>
        <w:numPr>
          <w:ilvl w:val="0"/>
          <w:numId w:val="19"/>
        </w:numPr>
        <w:spacing w:line="288" w:lineRule="auto"/>
        <w:ind w:left="1531" w:hanging="510"/>
        <w:rPr>
          <w:rFonts w:ascii="长城楷体" w:eastAsia="长城楷体"/>
        </w:rPr>
      </w:pPr>
      <w:r>
        <w:rPr>
          <w:rFonts w:ascii="长城楷体" w:eastAsia="长城楷体" w:hint="eastAsia"/>
        </w:rPr>
        <w:t>利用儿童进行色情表演和充当色情物品的题材。</w:t>
      </w:r>
    </w:p>
  </w:footnote>
  <w:footnote w:id="65">
    <w:p w:rsidR="00000000" w:rsidRDefault="00000000">
      <w:pPr>
        <w:pStyle w:val="FootnoteText"/>
      </w:pPr>
      <w:r>
        <w:rPr>
          <w:rStyle w:val="FootnoteReference"/>
        </w:rPr>
        <w:footnoteRef/>
      </w:r>
      <w:r>
        <w:t xml:space="preserve">  </w:t>
      </w:r>
      <w:r>
        <w:rPr>
          <w:rFonts w:hint="eastAsia"/>
        </w:rPr>
        <w:t>儿童及青年福利服务统筹委员会由卫生福利局局长担任主席：上次报告第</w:t>
      </w:r>
      <w:r>
        <w:t>135</w:t>
      </w:r>
      <w:r>
        <w:rPr>
          <w:rFonts w:hint="eastAsia"/>
        </w:rPr>
        <w:t>段</w:t>
      </w:r>
      <w:r>
        <w:rPr>
          <w:rFonts w:eastAsia="SimSun" w:hint="eastAsia"/>
        </w:rPr>
        <w:t>。</w:t>
      </w:r>
    </w:p>
  </w:footnote>
  <w:footnote w:id="66">
    <w:p w:rsidR="00000000" w:rsidRDefault="00000000">
      <w:pPr>
        <w:pStyle w:val="FootnoteText"/>
      </w:pPr>
      <w:r>
        <w:rPr>
          <w:rStyle w:val="FootnoteReference"/>
        </w:rPr>
        <w:footnoteRef/>
      </w:r>
      <w:r>
        <w:t xml:space="preserve">  </w:t>
      </w:r>
      <w:r>
        <w:rPr>
          <w:rFonts w:hint="eastAsia"/>
        </w:rPr>
        <w:t>一九九七年的数据所代表的实际人数为</w:t>
      </w:r>
      <w:r>
        <w:t>1,227</w:t>
      </w:r>
      <w:r>
        <w:rPr>
          <w:rFonts w:hint="eastAsia"/>
        </w:rPr>
        <w:t>人：占药物滥用资料中央档案室所接报的全部个案的</w:t>
      </w:r>
      <w:r>
        <w:t>7%</w:t>
      </w:r>
      <w:r>
        <w:rPr>
          <w:rFonts w:eastAsia="SimSun" w:hint="eastAsia"/>
        </w:rPr>
        <w:t>。</w:t>
      </w:r>
      <w:r>
        <w:rPr>
          <w:rFonts w:hint="eastAsia"/>
        </w:rPr>
        <w:t>以人数来说，一九九七年的数字无疑较一九九五年上半年的</w:t>
      </w:r>
      <w:r>
        <w:t>1,107</w:t>
      </w:r>
      <w:r>
        <w:rPr>
          <w:rFonts w:hint="eastAsia"/>
        </w:rPr>
        <w:t>人为高</w:t>
      </w:r>
      <w:r>
        <w:t>(</w:t>
      </w:r>
      <w:r>
        <w:rPr>
          <w:rFonts w:hint="eastAsia"/>
        </w:rPr>
        <w:t>一九九五年的数字载于上次报告第</w:t>
      </w:r>
      <w:r>
        <w:t>137</w:t>
      </w:r>
      <w:r>
        <w:rPr>
          <w:rFonts w:hint="eastAsia"/>
        </w:rPr>
        <w:t>段</w:t>
      </w:r>
      <w:r>
        <w:t>)</w:t>
      </w:r>
      <w:r>
        <w:rPr>
          <w:rFonts w:eastAsia="SimSun" w:hint="eastAsia"/>
        </w:rPr>
        <w:t>。</w:t>
      </w:r>
      <w:r>
        <w:rPr>
          <w:rFonts w:hint="eastAsia"/>
        </w:rPr>
        <w:t>不过，若以所占全部接报个案的百分比计算，一九九七年的数字则较一九九五年</w:t>
      </w:r>
      <w:r>
        <w:t>(9.2%)</w:t>
      </w:r>
      <w:r>
        <w:rPr>
          <w:rFonts w:hint="eastAsia"/>
        </w:rPr>
        <w:t>为低</w:t>
      </w:r>
      <w:r>
        <w:rPr>
          <w:rFonts w:eastAsia="SimSun" w:hint="eastAsia"/>
        </w:rPr>
        <w:t>。</w:t>
      </w:r>
    </w:p>
  </w:footnote>
  <w:footnote w:id="67">
    <w:p w:rsidR="00000000" w:rsidRDefault="00000000">
      <w:pPr>
        <w:pStyle w:val="FootnoteText"/>
      </w:pPr>
      <w:r>
        <w:rPr>
          <w:rStyle w:val="FootnoteReference"/>
        </w:rPr>
        <w:footnoteRef/>
      </w:r>
      <w:r>
        <w:tab/>
      </w:r>
      <w:r>
        <w:rPr>
          <w:rFonts w:hint="eastAsia"/>
        </w:rPr>
        <w:t>这些措施包括上次报告第</w:t>
      </w:r>
      <w:r>
        <w:t>139</w:t>
      </w:r>
      <w:r>
        <w:rPr>
          <w:rFonts w:hint="eastAsia"/>
        </w:rPr>
        <w:t>段所载述的</w:t>
      </w:r>
      <w:r>
        <w:t>26</w:t>
      </w:r>
      <w:r>
        <w:rPr>
          <w:rFonts w:hint="eastAsia"/>
        </w:rPr>
        <w:t>点</w:t>
      </w:r>
      <w:r>
        <w:rPr>
          <w:rFonts w:eastAsia="SimSun" w:hint="eastAsia"/>
        </w:rPr>
        <w:t>“</w:t>
      </w:r>
      <w:r>
        <w:rPr>
          <w:rFonts w:hint="eastAsia"/>
        </w:rPr>
        <w:t>未来工作计划</w:t>
      </w:r>
      <w:r>
        <w:rPr>
          <w:rFonts w:eastAsia="SimSun" w:hint="eastAsia"/>
        </w:rPr>
        <w:t>”。</w:t>
      </w:r>
    </w:p>
  </w:footnote>
  <w:footnote w:id="68">
    <w:p w:rsidR="00000000" w:rsidRDefault="00000000">
      <w:pPr>
        <w:pStyle w:val="FootnoteText"/>
      </w:pPr>
      <w:r>
        <w:rPr>
          <w:rStyle w:val="FootnoteReference"/>
        </w:rPr>
        <w:footnoteRef/>
      </w:r>
      <w:r>
        <w:tab/>
      </w:r>
      <w:r>
        <w:rPr>
          <w:rFonts w:hint="eastAsia"/>
        </w:rPr>
        <w:t>一九九七年十月的</w:t>
      </w:r>
      <w:r>
        <w:rPr>
          <w:rFonts w:eastAsia="SimSun" w:hint="eastAsia"/>
        </w:rPr>
        <w:t>《</w:t>
      </w:r>
      <w:r>
        <w:rPr>
          <w:rFonts w:hint="eastAsia"/>
        </w:rPr>
        <w:t>行政长官施政报告</w:t>
      </w:r>
      <w:r>
        <w:rPr>
          <w:rFonts w:eastAsia="SimSun" w:hint="eastAsia"/>
        </w:rPr>
        <w:t>》。</w:t>
      </w:r>
    </w:p>
  </w:footnote>
  <w:footnote w:id="69">
    <w:p w:rsidR="00000000" w:rsidRDefault="00000000">
      <w:pPr>
        <w:pStyle w:val="FootnoteText"/>
      </w:pPr>
      <w:r>
        <w:rPr>
          <w:rStyle w:val="FootnoteReference"/>
        </w:rPr>
        <w:footnoteRef/>
      </w:r>
      <w:r>
        <w:tab/>
      </w:r>
      <w:r>
        <w:rPr>
          <w:rFonts w:hint="eastAsia"/>
        </w:rPr>
        <w:t>在上次报告第</w:t>
      </w:r>
      <w:r>
        <w:t>280</w:t>
      </w:r>
      <w:r>
        <w:rPr>
          <w:rFonts w:hint="eastAsia"/>
        </w:rPr>
        <w:t>段</w:t>
      </w:r>
      <w:r>
        <w:t>，</w:t>
      </w:r>
      <w:r>
        <w:rPr>
          <w:rFonts w:hint="eastAsia"/>
        </w:rPr>
        <w:t>我们曾指出</w:t>
      </w:r>
      <w:r>
        <w:t>，</w:t>
      </w:r>
      <w:r>
        <w:rPr>
          <w:rFonts w:hint="eastAsia"/>
        </w:rPr>
        <w:t>当时</w:t>
      </w:r>
      <w:r>
        <w:t>(</w:t>
      </w:r>
      <w:r>
        <w:rPr>
          <w:rFonts w:hint="eastAsia"/>
        </w:rPr>
        <w:t>即一九九五年</w:t>
      </w:r>
      <w:r>
        <w:t>)</w:t>
      </w:r>
      <w:r>
        <w:rPr>
          <w:rFonts w:hint="eastAsia"/>
        </w:rPr>
        <w:t>所欠缺的护理安老宿位为</w:t>
      </w:r>
      <w:r>
        <w:t>2,301</w:t>
      </w:r>
      <w:r>
        <w:rPr>
          <w:rFonts w:hint="eastAsia"/>
        </w:rPr>
        <w:t>个。这个数字是按每</w:t>
      </w:r>
      <w:r>
        <w:t>1,000</w:t>
      </w:r>
      <w:r>
        <w:rPr>
          <w:rFonts w:hint="eastAsia"/>
        </w:rPr>
        <w:t>名</w:t>
      </w:r>
      <w:r>
        <w:t>65</w:t>
      </w:r>
      <w:r>
        <w:rPr>
          <w:rFonts w:hint="eastAsia"/>
        </w:rPr>
        <w:t>岁或以上的人士有</w:t>
      </w:r>
      <w:r>
        <w:t>17</w:t>
      </w:r>
      <w:r>
        <w:rPr>
          <w:rFonts w:hint="eastAsia"/>
        </w:rPr>
        <w:t>个宿位的规划比例计算</w:t>
      </w:r>
      <w:r>
        <w:t>，</w:t>
      </w:r>
      <w:r>
        <w:rPr>
          <w:rFonts w:hint="eastAsia"/>
        </w:rPr>
        <w:t>未能反映实际的轮候人数。见下文注</w:t>
      </w:r>
      <w:r>
        <w:t>(23)</w:t>
      </w:r>
      <w:r>
        <w:rPr>
          <w:rFonts w:hint="eastAsia"/>
        </w:rPr>
        <w:t>。</w:t>
      </w:r>
    </w:p>
  </w:footnote>
  <w:footnote w:id="70">
    <w:p w:rsidR="00000000" w:rsidRDefault="00000000">
      <w:pPr>
        <w:pStyle w:val="FootnoteText"/>
      </w:pPr>
      <w:r>
        <w:rPr>
          <w:rStyle w:val="FootnoteReference"/>
        </w:rPr>
        <w:footnoteRef/>
      </w:r>
      <w:r>
        <w:tab/>
      </w:r>
      <w:r>
        <w:rPr>
          <w:rFonts w:hint="eastAsia"/>
        </w:rPr>
        <w:t>根据本段所引述的数字</w:t>
      </w:r>
      <w:r>
        <w:t>，</w:t>
      </w:r>
      <w:r>
        <w:rPr>
          <w:rFonts w:hint="eastAsia"/>
        </w:rPr>
        <w:t>到二○○二年时</w:t>
      </w:r>
      <w:r>
        <w:t>，</w:t>
      </w:r>
      <w:r>
        <w:rPr>
          <w:rFonts w:hint="eastAsia"/>
        </w:rPr>
        <w:t>所欠缺宿位的总数将达</w:t>
      </w:r>
      <w:r>
        <w:t>27,900</w:t>
      </w:r>
      <w:r>
        <w:rPr>
          <w:rFonts w:hint="eastAsia"/>
        </w:rPr>
        <w:t>个</w:t>
      </w:r>
      <w:r>
        <w:t>(35,000</w:t>
      </w:r>
      <w:r>
        <w:rPr>
          <w:rFonts w:hint="eastAsia"/>
          <w:spacing w:val="-40"/>
        </w:rPr>
        <w:t>——</w:t>
      </w:r>
      <w:r>
        <w:t xml:space="preserve"> 3,300</w:t>
      </w:r>
      <w:r>
        <w:rPr>
          <w:rFonts w:hint="eastAsia"/>
          <w:spacing w:val="-40"/>
        </w:rPr>
        <w:t>——</w:t>
      </w:r>
      <w:r>
        <w:t xml:space="preserve"> 2,400</w:t>
      </w:r>
      <w:r>
        <w:rPr>
          <w:rFonts w:hint="eastAsia"/>
          <w:spacing w:val="-40"/>
        </w:rPr>
        <w:t>——</w:t>
      </w:r>
      <w:r>
        <w:t xml:space="preserve"> 1,400)</w:t>
      </w:r>
      <w:r>
        <w:rPr>
          <w:rFonts w:hint="eastAsia"/>
        </w:rPr>
        <w:t>。不过</w:t>
      </w:r>
      <w:r>
        <w:t>，</w:t>
      </w:r>
      <w:r>
        <w:rPr>
          <w:rFonts w:hint="eastAsia"/>
        </w:rPr>
        <w:t>这是一个简化的计算</w:t>
      </w:r>
      <w:r>
        <w:t>，</w:t>
      </w:r>
      <w:r>
        <w:rPr>
          <w:rFonts w:hint="eastAsia"/>
        </w:rPr>
        <w:t>当中并无计及现有宿位住宿者的更替</w:t>
      </w:r>
      <w:r>
        <w:t>，</w:t>
      </w:r>
      <w:r>
        <w:rPr>
          <w:rFonts w:hint="eastAsia"/>
        </w:rPr>
        <w:t>以及退出和新加入轮候的申请人数。这些因素加起来</w:t>
      </w:r>
      <w:r>
        <w:t>，</w:t>
      </w:r>
      <w:r>
        <w:rPr>
          <w:rFonts w:hint="eastAsia"/>
        </w:rPr>
        <w:t>使当局难以准确评估到二○○二年时</w:t>
      </w:r>
      <w:r>
        <w:t>，</w:t>
      </w:r>
      <w:r>
        <w:rPr>
          <w:rFonts w:hint="eastAsia"/>
        </w:rPr>
        <w:t>院舍服务的不足之数。此外</w:t>
      </w:r>
      <w:r>
        <w:t>，</w:t>
      </w:r>
      <w:r>
        <w:rPr>
          <w:rFonts w:hint="eastAsia"/>
        </w:rPr>
        <w:t>由于轮候的长者不一定符合入住院舍的资格</w:t>
      </w:r>
      <w:r>
        <w:t>，</w:t>
      </w:r>
      <w:r>
        <w:rPr>
          <w:rFonts w:hint="eastAsia"/>
        </w:rPr>
        <w:t>但当局却须待他们到达“队头”时</w:t>
      </w:r>
      <w:r>
        <w:t>，</w:t>
      </w:r>
      <w:r>
        <w:rPr>
          <w:rFonts w:hint="eastAsia"/>
        </w:rPr>
        <w:t>才审核他们的资格</w:t>
      </w:r>
      <w:r>
        <w:t>，</w:t>
      </w:r>
      <w:r>
        <w:rPr>
          <w:rFonts w:hint="eastAsia"/>
        </w:rPr>
        <w:t>这使估计实际轮候人数所遇到的问题更加复杂。正因如此</w:t>
      </w:r>
      <w:r>
        <w:t>，</w:t>
      </w:r>
      <w:r>
        <w:rPr>
          <w:rFonts w:hint="eastAsia"/>
        </w:rPr>
        <w:t>轮候人数并非评估院舍服务需求的可靠指标。</w:t>
      </w:r>
    </w:p>
  </w:footnote>
  <w:footnote w:id="71">
    <w:p w:rsidR="00000000" w:rsidRDefault="00000000">
      <w:pPr>
        <w:pStyle w:val="FootnoteText"/>
      </w:pPr>
      <w:r>
        <w:rPr>
          <w:rStyle w:val="FootnoteReference"/>
        </w:rPr>
        <w:footnoteRef/>
      </w:r>
      <w:r>
        <w:tab/>
      </w:r>
      <w:r>
        <w:rPr>
          <w:rFonts w:hint="eastAsia"/>
        </w:rPr>
        <w:t>由于坚尼系数是按一九九六年中期人口统计所录得的住户收入分布情况计算</w:t>
      </w:r>
      <w:r>
        <w:t>，</w:t>
      </w:r>
      <w:r>
        <w:rPr>
          <w:rFonts w:hint="eastAsia"/>
        </w:rPr>
        <w:t>故一九九六年的</w:t>
      </w:r>
      <w:r>
        <w:t>0.518</w:t>
      </w:r>
      <w:r>
        <w:rPr>
          <w:rFonts w:hint="eastAsia"/>
        </w:rPr>
        <w:t>估计数字已是我们手头上的最新数据。更新的数据须待二○○一年人口普查完成后才可计算出来。</w:t>
      </w:r>
    </w:p>
  </w:footnote>
  <w:footnote w:id="72">
    <w:p w:rsidR="00000000" w:rsidRDefault="00000000">
      <w:pPr>
        <w:pStyle w:val="FootnoteText"/>
      </w:pPr>
      <w:r>
        <w:rPr>
          <w:rStyle w:val="FootnoteReference"/>
        </w:rPr>
        <w:footnoteRef/>
      </w:r>
      <w:r>
        <w:tab/>
      </w:r>
      <w:r>
        <w:rPr>
          <w:rFonts w:hint="eastAsia"/>
        </w:rPr>
        <w:t>未曾阅读上次报告的香港读者</w:t>
      </w:r>
      <w:r>
        <w:t>，</w:t>
      </w:r>
      <w:r>
        <w:rPr>
          <w:rFonts w:hint="eastAsia"/>
        </w:rPr>
        <w:t>可参考以下资料</w:t>
      </w:r>
      <w:r>
        <w:t>:</w:t>
      </w:r>
      <w:r>
        <w:rPr>
          <w:rFonts w:hint="eastAsia"/>
        </w:rPr>
        <w:t>坚尼系数是由○至一之间的一个数值</w:t>
      </w:r>
      <w:r>
        <w:t>，</w:t>
      </w:r>
      <w:r>
        <w:rPr>
          <w:rFonts w:hint="eastAsia"/>
        </w:rPr>
        <w:t>通常作为家庭收入分配差距的一个指标。如该数值是○</w:t>
      </w:r>
      <w:r>
        <w:t>，</w:t>
      </w:r>
      <w:r>
        <w:rPr>
          <w:rFonts w:hint="eastAsia"/>
        </w:rPr>
        <w:t>即显示家庭入息分配没有差距。换言之</w:t>
      </w:r>
      <w:r>
        <w:t>，</w:t>
      </w:r>
      <w:r>
        <w:rPr>
          <w:rFonts w:hint="eastAsia"/>
        </w:rPr>
        <w:t>每个家庭所占总家庭收入的部分完全相同。如该数是一的话</w:t>
      </w:r>
      <w:r>
        <w:t>，</w:t>
      </w:r>
      <w:r>
        <w:rPr>
          <w:rFonts w:hint="eastAsia"/>
        </w:rPr>
        <w:t>即是说某一个家庭占去总家庭收入的全部</w:t>
      </w:r>
      <w:r>
        <w:t>，</w:t>
      </w:r>
      <w:r>
        <w:rPr>
          <w:rFonts w:hint="eastAsia"/>
        </w:rPr>
        <w:t>而其他家庭则完全不占任何部分。上述两种极端情况均不会在实际的经济体系中出现</w:t>
      </w:r>
      <w:r>
        <w:t>，</w:t>
      </w:r>
      <w:r>
        <w:rPr>
          <w:rFonts w:hint="eastAsia"/>
        </w:rPr>
        <w:t>一般来说</w:t>
      </w:r>
      <w:r>
        <w:t>，</w:t>
      </w:r>
      <w:r>
        <w:rPr>
          <w:rFonts w:hint="eastAsia"/>
        </w:rPr>
        <w:t>坚尼系数的数值越高</w:t>
      </w:r>
      <w:r>
        <w:t>，</w:t>
      </w:r>
      <w:r>
        <w:rPr>
          <w:rFonts w:hint="eastAsia"/>
        </w:rPr>
        <w:t>收入差距就越大。</w:t>
      </w:r>
    </w:p>
  </w:footnote>
  <w:footnote w:id="73">
    <w:p w:rsidR="00000000" w:rsidRDefault="00000000">
      <w:pPr>
        <w:pStyle w:val="FootnoteText"/>
      </w:pPr>
      <w:r>
        <w:rPr>
          <w:rStyle w:val="FootnoteReference"/>
        </w:rPr>
        <w:footnoteRef/>
      </w:r>
      <w:r>
        <w:tab/>
      </w:r>
      <w:r>
        <w:rPr>
          <w:rFonts w:hint="eastAsia"/>
        </w:rPr>
        <w:t>见</w:t>
      </w:r>
      <w:r>
        <w:t>Kuznets</w:t>
      </w:r>
      <w:r>
        <w:t>，</w:t>
      </w:r>
      <w:r>
        <w:t>Simon(1955)</w:t>
      </w:r>
      <w:r>
        <w:t>，</w:t>
      </w:r>
      <w:r>
        <w:rPr>
          <w:rFonts w:hint="eastAsia"/>
        </w:rPr>
        <w:t>“</w:t>
      </w:r>
      <w:r>
        <w:t>Economic Growth and Income Inequality</w:t>
      </w:r>
      <w:r>
        <w:rPr>
          <w:rFonts w:hint="eastAsia"/>
        </w:rPr>
        <w:t>”</w:t>
      </w:r>
      <w:r>
        <w:t>，</w:t>
      </w:r>
      <w:r>
        <w:t>American Economic Review 45</w:t>
      </w:r>
      <w:r>
        <w:rPr>
          <w:rFonts w:hint="eastAsia"/>
        </w:rPr>
        <w:t>：</w:t>
      </w:r>
      <w:r>
        <w:t>1-28</w:t>
      </w:r>
      <w:r>
        <w:rPr>
          <w:rFonts w:hint="eastAsia"/>
        </w:rPr>
        <w:t>。</w:t>
      </w:r>
    </w:p>
  </w:footnote>
  <w:footnote w:id="74">
    <w:p w:rsidR="00000000" w:rsidRDefault="00000000">
      <w:pPr>
        <w:pStyle w:val="FootnoteText"/>
        <w:rPr>
          <w:rFonts w:hint="eastAsia"/>
        </w:rPr>
      </w:pPr>
      <w:r>
        <w:rPr>
          <w:rStyle w:val="FootnoteReference"/>
        </w:rPr>
        <w:footnoteRef/>
      </w:r>
      <w:r>
        <w:t xml:space="preserve"> </w:t>
      </w:r>
      <w:r>
        <w:tab/>
      </w:r>
      <w:r>
        <w:rPr>
          <w:rFonts w:hint="eastAsia"/>
        </w:rPr>
        <w:t>《房屋条例》第</w:t>
      </w:r>
      <w:r>
        <w:t>16(1)(b)</w:t>
      </w:r>
      <w:r>
        <w:rPr>
          <w:rFonts w:hint="eastAsia"/>
        </w:rPr>
        <w:t>。</w:t>
      </w:r>
    </w:p>
  </w:footnote>
  <w:footnote w:id="75">
    <w:p w:rsidR="00000000" w:rsidRDefault="00000000">
      <w:pPr>
        <w:pStyle w:val="FootnoteText"/>
      </w:pPr>
      <w:r>
        <w:rPr>
          <w:rStyle w:val="FootnoteReference"/>
        </w:rPr>
        <w:footnoteRef/>
      </w:r>
      <w:r>
        <w:t xml:space="preserve"> </w:t>
      </w:r>
      <w:r>
        <w:tab/>
      </w:r>
      <w:r>
        <w:rPr>
          <w:rFonts w:hint="eastAsia"/>
        </w:rPr>
        <w:t>按照</w:t>
      </w:r>
      <w:r>
        <w:rPr>
          <w:rFonts w:eastAsia="SimSun" w:hint="eastAsia"/>
        </w:rPr>
        <w:t>“</w:t>
      </w:r>
      <w:r>
        <w:rPr>
          <w:rFonts w:hint="eastAsia"/>
        </w:rPr>
        <w:t>经调整重置成本</w:t>
      </w:r>
      <w:r>
        <w:rPr>
          <w:rFonts w:eastAsia="SimSun" w:hint="eastAsia"/>
        </w:rPr>
        <w:t>”</w:t>
      </w:r>
      <w:r>
        <w:rPr>
          <w:rFonts w:hint="eastAsia"/>
        </w:rPr>
        <w:t>计算方法</w:t>
      </w:r>
      <w:r>
        <w:t>，</w:t>
      </w:r>
      <w:r>
        <w:rPr>
          <w:rFonts w:hint="eastAsia"/>
        </w:rPr>
        <w:t>单位价格是根据当时重置单位的成本</w:t>
      </w:r>
      <w:r>
        <w:t>，</w:t>
      </w:r>
      <w:r>
        <w:rPr>
          <w:rFonts w:hint="eastAsia"/>
        </w:rPr>
        <w:t>再因应其楼龄</w:t>
      </w:r>
      <w:r>
        <w:rPr>
          <w:rFonts w:eastAsia="SimSun" w:hint="eastAsia"/>
        </w:rPr>
        <w:t>、</w:t>
      </w:r>
      <w:r>
        <w:rPr>
          <w:rFonts w:hint="eastAsia"/>
        </w:rPr>
        <w:t>地点和其他有关因素而作相应调整</w:t>
      </w:r>
      <w:r>
        <w:rPr>
          <w:rFonts w:eastAsia="SimSun" w:hint="eastAsia"/>
        </w:rPr>
        <w:t>。</w:t>
      </w:r>
    </w:p>
  </w:footnote>
  <w:footnote w:id="76">
    <w:p w:rsidR="00000000" w:rsidRDefault="00000000">
      <w:pPr>
        <w:pStyle w:val="FootnoteText"/>
      </w:pPr>
      <w:r>
        <w:rPr>
          <w:rStyle w:val="FootnoteReference"/>
        </w:rPr>
        <w:footnoteRef/>
      </w:r>
      <w:r>
        <w:t xml:space="preserve"> </w:t>
      </w:r>
      <w:r>
        <w:tab/>
      </w:r>
      <w:r>
        <w:rPr>
          <w:rFonts w:hint="eastAsia"/>
        </w:rPr>
        <w:t>按照一般规定</w:t>
      </w:r>
      <w:r>
        <w:t>，</w:t>
      </w:r>
      <w:r>
        <w:rPr>
          <w:rFonts w:hint="eastAsia"/>
        </w:rPr>
        <w:t>这类家庭的收入不得超过</w:t>
      </w:r>
      <w:r>
        <w:t>33,000</w:t>
      </w:r>
      <w:r>
        <w:rPr>
          <w:rFonts w:hint="eastAsia"/>
        </w:rPr>
        <w:t>港元</w:t>
      </w:r>
      <w:r>
        <w:t>(</w:t>
      </w:r>
      <w:r>
        <w:rPr>
          <w:rFonts w:hint="eastAsia"/>
        </w:rPr>
        <w:t>一九九五年的限额为</w:t>
      </w:r>
      <w:r>
        <w:t>25,000</w:t>
      </w:r>
      <w:r>
        <w:rPr>
          <w:rFonts w:hint="eastAsia"/>
        </w:rPr>
        <w:t>港元</w:t>
      </w:r>
      <w:r>
        <w:t>；</w:t>
      </w:r>
      <w:r>
        <w:rPr>
          <w:rFonts w:hint="eastAsia"/>
        </w:rPr>
        <w:t>见上次报告第</w:t>
      </w:r>
      <w:r>
        <w:t>199</w:t>
      </w:r>
      <w:r>
        <w:rPr>
          <w:rFonts w:hint="eastAsia"/>
        </w:rPr>
        <w:t>段</w:t>
      </w:r>
      <w:r>
        <w:t>)</w:t>
      </w:r>
      <w:r>
        <w:rPr>
          <w:rFonts w:eastAsia="SimSun" w:hint="eastAsia"/>
        </w:rPr>
        <w:t>。</w:t>
      </w:r>
      <w:r>
        <w:rPr>
          <w:rFonts w:hint="eastAsia"/>
        </w:rPr>
        <w:t>不过</w:t>
      </w:r>
      <w:r>
        <w:t>，</w:t>
      </w:r>
      <w:r>
        <w:rPr>
          <w:rFonts w:hint="eastAsia"/>
        </w:rPr>
        <w:t>这项规定并不适用于公屋租户</w:t>
      </w:r>
      <w:r>
        <w:rPr>
          <w:rFonts w:eastAsia="SimSun" w:hint="eastAsia"/>
        </w:rPr>
        <w:t>。</w:t>
      </w:r>
      <w:r>
        <w:rPr>
          <w:rFonts w:hint="eastAsia"/>
        </w:rPr>
        <w:t>当局对公屋租户作例外处理</w:t>
      </w:r>
      <w:r>
        <w:t>，</w:t>
      </w:r>
      <w:r>
        <w:rPr>
          <w:rFonts w:hint="eastAsia"/>
        </w:rPr>
        <w:t>是为了鼓励富户迁出</w:t>
      </w:r>
      <w:r>
        <w:t>，</w:t>
      </w:r>
      <w:r>
        <w:rPr>
          <w:rFonts w:hint="eastAsia"/>
        </w:rPr>
        <w:t>以腾出单位予更有需要的家庭</w:t>
      </w:r>
      <w:r>
        <w:rPr>
          <w:rFonts w:eastAsia="SimSun" w:hint="eastAsia"/>
        </w:rPr>
        <w:t>。</w:t>
      </w:r>
    </w:p>
  </w:footnote>
  <w:footnote w:id="77">
    <w:p w:rsidR="00000000" w:rsidRDefault="00000000">
      <w:pPr>
        <w:pStyle w:val="FootnoteText"/>
      </w:pPr>
      <w:r>
        <w:rPr>
          <w:rStyle w:val="FootnoteReference"/>
        </w:rPr>
        <w:footnoteRef/>
      </w:r>
      <w:r>
        <w:t xml:space="preserve"> </w:t>
      </w:r>
      <w:r>
        <w:tab/>
      </w:r>
      <w:r>
        <w:rPr>
          <w:rFonts w:hint="eastAsia"/>
        </w:rPr>
        <w:t>当局把按揭贷款的上限定为楼价七成</w:t>
      </w:r>
      <w:r>
        <w:t>，</w:t>
      </w:r>
      <w:r>
        <w:rPr>
          <w:rFonts w:hint="eastAsia"/>
        </w:rPr>
        <w:t>目的是要维持银行体系有审慎而稳健的放款</w:t>
      </w:r>
      <w:r>
        <w:rPr>
          <w:rFonts w:eastAsia="SimSun" w:hint="eastAsia"/>
        </w:rPr>
        <w:t>。</w:t>
      </w:r>
    </w:p>
  </w:footnote>
  <w:footnote w:id="78">
    <w:p w:rsidR="00000000" w:rsidRDefault="00000000">
      <w:pPr>
        <w:pStyle w:val="FootnoteText"/>
      </w:pPr>
      <w:r>
        <w:rPr>
          <w:rStyle w:val="FootnoteReference"/>
        </w:rPr>
        <w:footnoteRef/>
      </w:r>
      <w:r>
        <w:t xml:space="preserve"> </w:t>
      </w:r>
      <w:r>
        <w:tab/>
      </w:r>
      <w:r>
        <w:rPr>
          <w:rFonts w:hint="eastAsia"/>
        </w:rPr>
        <w:t>合资格家庭的每月收入必须少于</w:t>
      </w:r>
      <w:r>
        <w:t>70,000</w:t>
      </w:r>
      <w:r>
        <w:rPr>
          <w:rFonts w:hint="eastAsia"/>
        </w:rPr>
        <w:t>港元</w:t>
      </w:r>
      <w:r>
        <w:t>，</w:t>
      </w:r>
      <w:r>
        <w:rPr>
          <w:rFonts w:hint="eastAsia"/>
        </w:rPr>
        <w:t>并于过去十年内不曾拥有住宅物业</w:t>
      </w:r>
      <w:r>
        <w:rPr>
          <w:rFonts w:eastAsia="SimSun" w:hint="eastAsia"/>
        </w:rPr>
        <w:t>。</w:t>
      </w:r>
      <w:r>
        <w:rPr>
          <w:rFonts w:hint="eastAsia"/>
        </w:rPr>
        <w:t>此外</w:t>
      </w:r>
      <w:r>
        <w:t>，</w:t>
      </w:r>
      <w:r>
        <w:rPr>
          <w:rFonts w:hint="eastAsia"/>
        </w:rPr>
        <w:t>他们的资产净值不得超过</w:t>
      </w:r>
      <w:r>
        <w:t>120</w:t>
      </w:r>
      <w:r>
        <w:rPr>
          <w:rFonts w:hint="eastAsia"/>
        </w:rPr>
        <w:t>万港元</w:t>
      </w:r>
      <w:r>
        <w:rPr>
          <w:rFonts w:eastAsia="SimSun" w:hint="eastAsia"/>
        </w:rPr>
        <w:t>。</w:t>
      </w:r>
    </w:p>
  </w:footnote>
  <w:footnote w:id="79">
    <w:p w:rsidR="00000000" w:rsidRDefault="00000000">
      <w:pPr>
        <w:pStyle w:val="FootnoteText"/>
      </w:pPr>
      <w:r>
        <w:rPr>
          <w:rStyle w:val="FootnoteReference"/>
        </w:rPr>
        <w:footnoteRef/>
      </w:r>
      <w:r>
        <w:t xml:space="preserve"> </w:t>
      </w:r>
      <w:r>
        <w:tab/>
      </w:r>
      <w:r>
        <w:rPr>
          <w:rFonts w:hint="eastAsia"/>
        </w:rPr>
        <w:t>第</w:t>
      </w:r>
      <w:r>
        <w:t>E/C12/Q/HON.1</w:t>
      </w:r>
      <w:r>
        <w:rPr>
          <w:rFonts w:hint="eastAsia"/>
        </w:rPr>
        <w:t>号文件。</w:t>
      </w:r>
    </w:p>
  </w:footnote>
  <w:footnote w:id="80">
    <w:p w:rsidR="00000000" w:rsidRDefault="00000000">
      <w:pPr>
        <w:pStyle w:val="FootnoteText"/>
      </w:pPr>
      <w:r>
        <w:rPr>
          <w:rStyle w:val="FootnoteReference"/>
        </w:rPr>
        <w:footnoteRef/>
      </w:r>
      <w:r>
        <w:t xml:space="preserve"> </w:t>
      </w:r>
      <w:r>
        <w:tab/>
      </w:r>
      <w:r>
        <w:rPr>
          <w:rFonts w:hint="eastAsia"/>
        </w:rPr>
        <w:t>进行改善工程的程序包括</w:t>
      </w:r>
      <w:r>
        <w:t>：</w:t>
      </w:r>
      <w:r>
        <w:rPr>
          <w:rFonts w:hint="eastAsia"/>
        </w:rPr>
        <w:t>与牌照事务处议定图则</w:t>
      </w:r>
      <w:r>
        <w:t>；</w:t>
      </w:r>
      <w:r>
        <w:rPr>
          <w:rFonts w:hint="eastAsia"/>
        </w:rPr>
        <w:t>按议定图则进行改建工程</w:t>
      </w:r>
      <w:r>
        <w:t>；</w:t>
      </w:r>
      <w:r>
        <w:rPr>
          <w:rFonts w:hint="eastAsia"/>
        </w:rPr>
        <w:t>以及由牌照事务处检查</w:t>
      </w:r>
      <w:r>
        <w:t>/</w:t>
      </w:r>
      <w:r>
        <w:rPr>
          <w:rFonts w:hint="eastAsia"/>
        </w:rPr>
        <w:t>批准。在商议图则和进行改建期间</w:t>
      </w:r>
      <w:r>
        <w:t>，</w:t>
      </w:r>
      <w:r>
        <w:rPr>
          <w:rFonts w:hint="eastAsia"/>
        </w:rPr>
        <w:t>床位寓所可获发给附带有条件的牌照</w:t>
      </w:r>
      <w:r>
        <w:t>，</w:t>
      </w:r>
      <w:r>
        <w:rPr>
          <w:rFonts w:hint="eastAsia"/>
        </w:rPr>
        <w:t>以便继续经营</w:t>
      </w:r>
      <w:r>
        <w:t>，</w:t>
      </w:r>
      <w:r>
        <w:rPr>
          <w:rFonts w:hint="eastAsia"/>
        </w:rPr>
        <w:t>而该牌照每次有效一年。如牌照事务处对改建工程感到满意</w:t>
      </w:r>
      <w:r>
        <w:t>，</w:t>
      </w:r>
      <w:r>
        <w:rPr>
          <w:rFonts w:hint="eastAsia"/>
        </w:rPr>
        <w:t>经营者便会获得发给正式牌照。改建工程可分阶段进行</w:t>
      </w:r>
      <w:r>
        <w:t>，</w:t>
      </w:r>
      <w:r>
        <w:rPr>
          <w:rFonts w:hint="eastAsia"/>
        </w:rPr>
        <w:t>以减少搬迁住客的需要。</w:t>
      </w:r>
    </w:p>
  </w:footnote>
  <w:footnote w:id="81">
    <w:p w:rsidR="00000000" w:rsidRDefault="00000000">
      <w:pPr>
        <w:pStyle w:val="FootnoteText"/>
      </w:pPr>
      <w:r>
        <w:rPr>
          <w:rStyle w:val="FootnoteReference"/>
        </w:rPr>
        <w:footnoteRef/>
      </w:r>
      <w:r>
        <w:t xml:space="preserve"> </w:t>
      </w:r>
      <w:r>
        <w:tab/>
      </w:r>
      <w:r>
        <w:rPr>
          <w:rFonts w:hint="eastAsia"/>
        </w:rPr>
        <w:t>根据《业主与租客</w:t>
      </w:r>
      <w:r>
        <w:t>(</w:t>
      </w:r>
      <w:r>
        <w:rPr>
          <w:rFonts w:hint="eastAsia"/>
        </w:rPr>
        <w:t>综合</w:t>
      </w:r>
      <w:r>
        <w:t>)</w:t>
      </w:r>
      <w:r>
        <w:rPr>
          <w:rFonts w:hint="eastAsia"/>
        </w:rPr>
        <w:t>条例》</w:t>
      </w:r>
      <w:r>
        <w:t>(</w:t>
      </w:r>
      <w:r>
        <w:rPr>
          <w:rFonts w:hint="eastAsia"/>
        </w:rPr>
        <w:t>第</w:t>
      </w:r>
      <w:r>
        <w:t>7</w:t>
      </w:r>
      <w:r>
        <w:rPr>
          <w:rFonts w:hint="eastAsia"/>
        </w:rPr>
        <w:t>章</w:t>
      </w:r>
      <w:r>
        <w:t>)</w:t>
      </w:r>
      <w:r>
        <w:rPr>
          <w:rFonts w:hint="eastAsia"/>
        </w:rPr>
        <w:t>所订定的赔偿金额。</w:t>
      </w:r>
    </w:p>
  </w:footnote>
  <w:footnote w:id="82">
    <w:p w:rsidR="00000000" w:rsidRDefault="00000000">
      <w:pPr>
        <w:pStyle w:val="FootnoteText"/>
      </w:pPr>
      <w:r>
        <w:rPr>
          <w:rStyle w:val="FootnoteReference"/>
        </w:rPr>
        <w:footnoteRef/>
      </w:r>
      <w:r>
        <w:t xml:space="preserve"> </w:t>
      </w:r>
      <w:r>
        <w:tab/>
      </w:r>
      <w:r>
        <w:rPr>
          <w:rFonts w:hint="eastAsia"/>
        </w:rPr>
        <w:t>这个计划前称“都会计划”：见上次报告第</w:t>
      </w:r>
      <w:r>
        <w:t>247</w:t>
      </w:r>
      <w:r>
        <w:rPr>
          <w:rFonts w:hint="eastAsia"/>
        </w:rPr>
        <w:t>段。</w:t>
      </w:r>
    </w:p>
  </w:footnote>
  <w:footnote w:id="83">
    <w:p w:rsidR="00000000" w:rsidRDefault="00000000">
      <w:pPr>
        <w:pStyle w:val="FootnoteText"/>
      </w:pPr>
      <w:r>
        <w:rPr>
          <w:rStyle w:val="FootnoteReference"/>
        </w:rPr>
        <w:footnoteRef/>
      </w:r>
      <w:r>
        <w:t xml:space="preserve"> </w:t>
      </w:r>
      <w:r>
        <w:tab/>
      </w:r>
      <w:r>
        <w:rPr>
          <w:rFonts w:hint="eastAsia"/>
        </w:rPr>
        <w:t>在上次报告第</w:t>
      </w:r>
      <w:r>
        <w:t>258</w:t>
      </w:r>
      <w:r>
        <w:rPr>
          <w:rFonts w:hint="eastAsia"/>
        </w:rPr>
        <w:t>段，我们曾指出，孕妇死亡率为每千次分娩</w:t>
      </w:r>
      <w:r>
        <w:t>0.11</w:t>
      </w:r>
      <w:r>
        <w:rPr>
          <w:rFonts w:hint="eastAsia"/>
        </w:rPr>
        <w:t>人，即每十万次为</w:t>
      </w:r>
      <w:r>
        <w:t>11</w:t>
      </w:r>
      <w:r>
        <w:rPr>
          <w:rFonts w:hint="eastAsia"/>
        </w:rPr>
        <w:t>人。情况有显著的改善，是因为一九九六年和一九九七年所录得的死亡个案数字十分低，分别为两宗和一宗。</w:t>
      </w:r>
    </w:p>
  </w:footnote>
  <w:footnote w:id="84">
    <w:p w:rsidR="00000000" w:rsidRDefault="00000000">
      <w:pPr>
        <w:pStyle w:val="FootnoteText"/>
      </w:pPr>
      <w:r>
        <w:rPr>
          <w:rStyle w:val="FootnoteReference"/>
        </w:rPr>
        <w:footnoteRef/>
      </w:r>
      <w:r>
        <w:t xml:space="preserve"> </w:t>
      </w:r>
      <w:r>
        <w:tab/>
      </w:r>
      <w:r>
        <w:rPr>
          <w:rFonts w:hint="eastAsia"/>
        </w:rPr>
        <w:t>举例来说，在一九八八年爆发的麻疹疫症中，共有超过</w:t>
      </w:r>
      <w:r>
        <w:t>3,000</w:t>
      </w:r>
      <w:r>
        <w:rPr>
          <w:rFonts w:hint="eastAsia"/>
        </w:rPr>
        <w:t>人受到感染；一九九七年则只有</w:t>
      </w:r>
      <w:r>
        <w:t>316</w:t>
      </w:r>
      <w:r>
        <w:rPr>
          <w:rFonts w:hint="eastAsia"/>
        </w:rPr>
        <w:t>宗；一九九八年更下降至</w:t>
      </w:r>
      <w:r>
        <w:t>63</w:t>
      </w:r>
      <w:r>
        <w:rPr>
          <w:rFonts w:hint="eastAsia"/>
        </w:rPr>
        <w:t>宗。</w:t>
      </w:r>
    </w:p>
  </w:footnote>
  <w:footnote w:id="85">
    <w:p w:rsidR="00000000" w:rsidRDefault="00000000">
      <w:pPr>
        <w:pStyle w:val="FootnoteText"/>
      </w:pPr>
      <w:r>
        <w:rPr>
          <w:rStyle w:val="FootnoteReference"/>
        </w:rPr>
        <w:footnoteRef/>
      </w:r>
      <w:r>
        <w:t xml:space="preserve"> </w:t>
      </w:r>
      <w:r>
        <w:tab/>
      </w:r>
      <w:r>
        <w:rPr>
          <w:rFonts w:hint="eastAsia"/>
        </w:rPr>
        <w:t>自艾滋病毒于一九八三年开始蔓延以来，估计约有</w:t>
      </w:r>
      <w:r>
        <w:t>1,500</w:t>
      </w:r>
      <w:r>
        <w:rPr>
          <w:rFonts w:hint="eastAsia"/>
        </w:rPr>
        <w:t>至</w:t>
      </w:r>
      <w:r>
        <w:t>2,000</w:t>
      </w:r>
      <w:r>
        <w:rPr>
          <w:rFonts w:hint="eastAsia"/>
        </w:rPr>
        <w:t>人受到感染。</w:t>
      </w:r>
    </w:p>
  </w:footnote>
  <w:footnote w:id="86">
    <w:p w:rsidR="00000000" w:rsidRDefault="00000000">
      <w:pPr>
        <w:pStyle w:val="FootnoteText"/>
      </w:pPr>
      <w:r>
        <w:rPr>
          <w:rStyle w:val="FootnoteReference"/>
        </w:rPr>
        <w:footnoteRef/>
      </w:r>
      <w:r>
        <w:t xml:space="preserve"> </w:t>
      </w:r>
      <w:r>
        <w:tab/>
      </w:r>
      <w:r>
        <w:rPr>
          <w:rFonts w:hint="eastAsia"/>
        </w:rPr>
        <w:t>医院管理局负责管理全港所有公立医院。</w:t>
      </w:r>
    </w:p>
  </w:footnote>
  <w:footnote w:id="87">
    <w:p w:rsidR="00000000" w:rsidRDefault="00000000">
      <w:pPr>
        <w:pStyle w:val="FootnoteText"/>
      </w:pPr>
      <w:r>
        <w:rPr>
          <w:rStyle w:val="FootnoteReference"/>
        </w:rPr>
        <w:footnoteRef/>
      </w:r>
      <w:r>
        <w:t xml:space="preserve"> </w:t>
      </w:r>
      <w:r>
        <w:tab/>
      </w:r>
      <w:r>
        <w:rPr>
          <w:rFonts w:hint="eastAsia"/>
        </w:rPr>
        <w:t>在一九九五年发表的白皮书中，所订的目标日期并不是一九九七年，而是一九九八至九九年度。上次报告在此有印刷错误。</w:t>
      </w:r>
    </w:p>
  </w:footnote>
  <w:footnote w:id="88">
    <w:p w:rsidR="00000000" w:rsidRDefault="00000000">
      <w:pPr>
        <w:pStyle w:val="FootnoteText"/>
      </w:pPr>
      <w:r>
        <w:rPr>
          <w:rStyle w:val="FootnoteReference"/>
        </w:rPr>
        <w:footnoteRef/>
      </w:r>
      <w:r>
        <w:t xml:space="preserve"> </w:t>
      </w:r>
      <w:r>
        <w:tab/>
      </w:r>
      <w:r>
        <w:rPr>
          <w:rFonts w:hint="eastAsia"/>
        </w:rPr>
        <w:t>当中包括</w:t>
      </w:r>
      <w:r>
        <w:t>1,010</w:t>
      </w:r>
      <w:r>
        <w:rPr>
          <w:rFonts w:hint="eastAsia"/>
        </w:rPr>
        <w:t>个庇护工场名额，是提供予具潜质</w:t>
      </w:r>
      <w:r>
        <w:t>(</w:t>
      </w:r>
      <w:r>
        <w:rPr>
          <w:rFonts w:hint="eastAsia"/>
        </w:rPr>
        <w:t>但须先行接受适当训练和作好准备</w:t>
      </w:r>
      <w:r>
        <w:t>)</w:t>
      </w:r>
      <w:r>
        <w:rPr>
          <w:rFonts w:hint="eastAsia"/>
        </w:rPr>
        <w:t>在社会就业的残疾人士。这项安排称为“辅助职业计划”。</w:t>
      </w:r>
    </w:p>
  </w:footnote>
  <w:footnote w:id="89">
    <w:p w:rsidR="00000000" w:rsidRDefault="00000000">
      <w:pPr>
        <w:pStyle w:val="FootnoteText"/>
      </w:pPr>
      <w:r>
        <w:rPr>
          <w:rStyle w:val="FootnoteReference"/>
        </w:rPr>
        <w:footnoteRef/>
      </w:r>
      <w:r>
        <w:t xml:space="preserve"> </w:t>
      </w:r>
      <w:r>
        <w:tab/>
      </w:r>
      <w:r>
        <w:rPr>
          <w:rFonts w:hint="eastAsia"/>
        </w:rPr>
        <w:t>截至一九九八年六月三十日为止。</w:t>
      </w:r>
    </w:p>
  </w:footnote>
  <w:footnote w:id="90">
    <w:p w:rsidR="00000000" w:rsidRDefault="00000000">
      <w:pPr>
        <w:pStyle w:val="FootnoteText"/>
      </w:pPr>
      <w:r>
        <w:rPr>
          <w:rStyle w:val="FootnoteReference"/>
        </w:rPr>
        <w:footnoteRef/>
      </w:r>
      <w:r>
        <w:tab/>
      </w:r>
      <w:r>
        <w:rPr>
          <w:rFonts w:hint="eastAsia"/>
        </w:rPr>
        <w:t>其中一宗较为严重的事故涉及一个私家医院的洗肾程序失误。该宗事故发生于本报告涵盖日期完结后数月</w:t>
      </w:r>
      <w:r>
        <w:t>，</w:t>
      </w:r>
      <w:r>
        <w:rPr>
          <w:rFonts w:hint="eastAsia"/>
        </w:rPr>
        <w:t>当时本报告仍在草拟阶段。根据既定程序</w:t>
      </w:r>
      <w:r>
        <w:t>，</w:t>
      </w:r>
      <w:r>
        <w:rPr>
          <w:rFonts w:hint="eastAsia"/>
        </w:rPr>
        <w:t>有关医院须进行彻底的调查</w:t>
      </w:r>
      <w:r>
        <w:t>，</w:t>
      </w:r>
      <w:r>
        <w:rPr>
          <w:rFonts w:hint="eastAsia"/>
        </w:rPr>
        <w:t>并向卫生署提交详尽报告。卫生署会仔细研究调查结果</w:t>
      </w:r>
      <w:r>
        <w:t>，</w:t>
      </w:r>
      <w:r>
        <w:rPr>
          <w:rFonts w:hint="eastAsia"/>
        </w:rPr>
        <w:t>并会与有关医院的管理层商订措施</w:t>
      </w:r>
      <w:r>
        <w:t>，</w:t>
      </w:r>
      <w:r>
        <w:rPr>
          <w:rFonts w:hint="eastAsia"/>
        </w:rPr>
        <w:t>以防止同类事故再次发生。其后</w:t>
      </w:r>
      <w:r>
        <w:t>，</w:t>
      </w:r>
      <w:r>
        <w:rPr>
          <w:rFonts w:hint="eastAsia"/>
        </w:rPr>
        <w:t>卫生署更会评估事故进一步的影响</w:t>
      </w:r>
      <w:r>
        <w:t>，</w:t>
      </w:r>
      <w:r>
        <w:rPr>
          <w:rFonts w:hint="eastAsia"/>
        </w:rPr>
        <w:t>制定改善措施</w:t>
      </w:r>
      <w:r>
        <w:t>，</w:t>
      </w:r>
      <w:r>
        <w:rPr>
          <w:rFonts w:hint="eastAsia"/>
        </w:rPr>
        <w:t>并向其他私家医院发出指引</w:t>
      </w:r>
      <w:r>
        <w:t>(</w:t>
      </w:r>
      <w:r>
        <w:rPr>
          <w:rFonts w:hint="eastAsia"/>
        </w:rPr>
        <w:t>如适当</w:t>
      </w:r>
      <w:r>
        <w:t>)</w:t>
      </w:r>
      <w:r>
        <w:rPr>
          <w:rFonts w:hint="eastAsia"/>
        </w:rPr>
        <w:t>。</w:t>
      </w:r>
    </w:p>
  </w:footnote>
  <w:footnote w:id="91">
    <w:p w:rsidR="00000000" w:rsidRDefault="00000000">
      <w:pPr>
        <w:pStyle w:val="FootnoteText"/>
      </w:pPr>
      <w:r>
        <w:rPr>
          <w:rStyle w:val="FootnoteReference"/>
        </w:rPr>
        <w:footnoteRef/>
      </w:r>
      <w:r>
        <w:tab/>
      </w:r>
      <w:r>
        <w:rPr>
          <w:rFonts w:hint="eastAsia"/>
        </w:rPr>
        <w:t>上次报告提及香港有</w:t>
      </w:r>
      <w:r>
        <w:t>41</w:t>
      </w:r>
      <w:r>
        <w:rPr>
          <w:rFonts w:hint="eastAsia"/>
        </w:rPr>
        <w:t>个宪报公布的泳滩。其后</w:t>
      </w:r>
      <w:r>
        <w:t>，</w:t>
      </w:r>
      <w:r>
        <w:rPr>
          <w:rFonts w:hint="eastAsia"/>
        </w:rPr>
        <w:t>获宪报公布为适宜游泳的泳滩有一个</w:t>
      </w:r>
      <w:r>
        <w:t>，</w:t>
      </w:r>
      <w:r>
        <w:rPr>
          <w:rFonts w:hint="eastAsia"/>
        </w:rPr>
        <w:t>不适宜的则有两个。</w:t>
      </w:r>
    </w:p>
  </w:footnote>
  <w:footnote w:id="92">
    <w:p w:rsidR="00000000" w:rsidRDefault="00000000">
      <w:pPr>
        <w:pStyle w:val="FootnoteText"/>
      </w:pPr>
      <w:r>
        <w:rPr>
          <w:rStyle w:val="FootnoteReference"/>
        </w:rPr>
        <w:footnoteRef/>
      </w:r>
      <w:r>
        <w:tab/>
      </w:r>
      <w:r>
        <w:rPr>
          <w:rFonts w:hint="eastAsia"/>
        </w:rPr>
        <w:t>根据《废物处置条例》</w:t>
      </w:r>
      <w:r>
        <w:t>(</w:t>
      </w:r>
      <w:r>
        <w:rPr>
          <w:rFonts w:hint="eastAsia"/>
        </w:rPr>
        <w:t>第</w:t>
      </w:r>
      <w:r>
        <w:t>354</w:t>
      </w:r>
      <w:r>
        <w:rPr>
          <w:rFonts w:hint="eastAsia"/>
        </w:rPr>
        <w:t>章</w:t>
      </w:r>
      <w:r>
        <w:t>)</w:t>
      </w:r>
      <w:r>
        <w:rPr>
          <w:rFonts w:hint="eastAsia"/>
        </w:rPr>
        <w:t>及《废物处置</w:t>
      </w:r>
      <w:r>
        <w:t>(</w:t>
      </w:r>
      <w:r>
        <w:rPr>
          <w:rFonts w:hint="eastAsia"/>
        </w:rPr>
        <w:t>禽畜废物</w:t>
      </w:r>
      <w:r>
        <w:t>)</w:t>
      </w:r>
      <w:r>
        <w:rPr>
          <w:rFonts w:hint="eastAsia"/>
        </w:rPr>
        <w:t>规例》</w:t>
      </w:r>
      <w:r>
        <w:t>(</w:t>
      </w:r>
      <w:r>
        <w:rPr>
          <w:rFonts w:hint="eastAsia"/>
        </w:rPr>
        <w:t>第</w:t>
      </w:r>
      <w:r>
        <w:t>354</w:t>
      </w:r>
      <w:r>
        <w:rPr>
          <w:rFonts w:hint="eastAsia"/>
        </w:rPr>
        <w:t>章附属法例</w:t>
      </w:r>
      <w:r>
        <w:t>A)</w:t>
      </w:r>
      <w:r>
        <w:rPr>
          <w:rFonts w:hint="eastAsia"/>
        </w:rPr>
        <w:t>。</w:t>
      </w:r>
    </w:p>
  </w:footnote>
  <w:footnote w:id="93">
    <w:p w:rsidR="00000000" w:rsidRDefault="00000000">
      <w:pPr>
        <w:pStyle w:val="FootnoteText"/>
      </w:pPr>
      <w:r>
        <w:rPr>
          <w:rStyle w:val="FootnoteReference"/>
        </w:rPr>
        <w:footnoteRef/>
      </w:r>
      <w:r>
        <w:tab/>
      </w:r>
      <w:r>
        <w:rPr>
          <w:rFonts w:hint="eastAsia"/>
        </w:rPr>
        <w:t>同样是根据《废物处置条例》下的规例作出管制。</w:t>
      </w:r>
    </w:p>
  </w:footnote>
  <w:footnote w:id="94">
    <w:p w:rsidR="00000000" w:rsidRDefault="00000000">
      <w:pPr>
        <w:pStyle w:val="FootnoteText"/>
      </w:pPr>
      <w:r>
        <w:rPr>
          <w:rStyle w:val="FootnoteReference"/>
        </w:rPr>
        <w:footnoteRef/>
      </w:r>
      <w:r>
        <w:tab/>
      </w:r>
      <w:r>
        <w:rPr>
          <w:rFonts w:hint="eastAsia"/>
        </w:rPr>
        <w:t>这条例用以执行《蒙特利尔议定书》的规定。《蒙特利尔议定书》旨在管制破坏臭氧层物质的生产、买卖及供应</w:t>
      </w:r>
      <w:r>
        <w:t>，</w:t>
      </w:r>
      <w:r>
        <w:rPr>
          <w:rFonts w:hint="eastAsia"/>
        </w:rPr>
        <w:t>并最终逐步禁止使用该等物质</w:t>
      </w:r>
      <w:r>
        <w:t>，</w:t>
      </w:r>
      <w:r>
        <w:rPr>
          <w:rFonts w:hint="eastAsia"/>
        </w:rPr>
        <w:t>免其释放到大气层。</w:t>
      </w:r>
    </w:p>
  </w:footnote>
  <w:footnote w:id="95">
    <w:p w:rsidR="00000000" w:rsidRDefault="00000000">
      <w:pPr>
        <w:pStyle w:val="FootnoteText"/>
      </w:pPr>
      <w:r>
        <w:rPr>
          <w:rStyle w:val="FootnoteReference"/>
        </w:rPr>
        <w:footnoteRef/>
      </w:r>
      <w:r>
        <w:tab/>
      </w:r>
      <w:r>
        <w:rPr>
          <w:rFonts w:hint="eastAsia"/>
        </w:rPr>
        <w:t>这些工序包括焚化、铝厂、石油化工处理、煤气厂等工业。</w:t>
      </w:r>
    </w:p>
  </w:footnote>
  <w:footnote w:id="96">
    <w:p w:rsidR="00000000" w:rsidRDefault="00000000">
      <w:pPr>
        <w:pStyle w:val="FootnoteText"/>
      </w:pPr>
      <w:r>
        <w:rPr>
          <w:rStyle w:val="FootnoteReference"/>
        </w:rPr>
        <w:footnoteRef/>
      </w:r>
      <w:r>
        <w:tab/>
      </w:r>
      <w:r>
        <w:rPr>
          <w:rFonts w:hint="eastAsia"/>
        </w:rPr>
        <w:t>第</w:t>
      </w:r>
      <w:r>
        <w:t>311</w:t>
      </w:r>
      <w:r>
        <w:rPr>
          <w:rFonts w:hint="eastAsia"/>
        </w:rPr>
        <w:t>章的附属法例。</w:t>
      </w:r>
    </w:p>
  </w:footnote>
  <w:footnote w:id="97">
    <w:p w:rsidR="00000000" w:rsidRDefault="00000000">
      <w:pPr>
        <w:pStyle w:val="FootnoteText"/>
      </w:pPr>
      <w:r>
        <w:rPr>
          <w:rStyle w:val="FootnoteReference"/>
        </w:rPr>
        <w:footnoteRef/>
      </w:r>
      <w:r>
        <w:tab/>
      </w:r>
      <w:r>
        <w:rPr>
          <w:rFonts w:hint="eastAsia"/>
        </w:rPr>
        <w:t>在《噪音管制条例》</w:t>
      </w:r>
      <w:r>
        <w:t>(</w:t>
      </w:r>
      <w:r>
        <w:rPr>
          <w:rFonts w:hint="eastAsia"/>
        </w:rPr>
        <w:t>第</w:t>
      </w:r>
      <w:r>
        <w:t>400</w:t>
      </w:r>
      <w:r>
        <w:rPr>
          <w:rFonts w:hint="eastAsia"/>
        </w:rPr>
        <w:t>章</w:t>
      </w:r>
      <w:r>
        <w:t>)</w:t>
      </w:r>
      <w:r>
        <w:rPr>
          <w:rFonts w:hint="eastAsia"/>
        </w:rPr>
        <w:t>下制定。</w:t>
      </w:r>
    </w:p>
  </w:footnote>
  <w:footnote w:id="98">
    <w:p w:rsidR="00000000" w:rsidRDefault="00000000">
      <w:pPr>
        <w:pStyle w:val="FootnoteText"/>
      </w:pPr>
      <w:r>
        <w:rPr>
          <w:rStyle w:val="FootnoteReference"/>
        </w:rPr>
        <w:footnoteRef/>
      </w:r>
      <w:r>
        <w:tab/>
      </w:r>
      <w:r>
        <w:rPr>
          <w:rFonts w:hint="eastAsia"/>
        </w:rPr>
        <w:t>在《噪音管制条例》和《道路交通条例》</w:t>
      </w:r>
      <w:r>
        <w:t>(</w:t>
      </w:r>
      <w:r>
        <w:rPr>
          <w:rFonts w:hint="eastAsia"/>
        </w:rPr>
        <w:t>第</w:t>
      </w:r>
      <w:r>
        <w:t>374</w:t>
      </w:r>
      <w:r>
        <w:rPr>
          <w:rFonts w:hint="eastAsia"/>
        </w:rPr>
        <w:t>章</w:t>
      </w:r>
      <w:r>
        <w:t>)</w:t>
      </w:r>
      <w:r>
        <w:rPr>
          <w:rFonts w:hint="eastAsia"/>
        </w:rPr>
        <w:t>下制定。</w:t>
      </w:r>
    </w:p>
  </w:footnote>
  <w:footnote w:id="99">
    <w:p w:rsidR="00000000" w:rsidRDefault="00000000">
      <w:pPr>
        <w:pStyle w:val="FootnoteText"/>
      </w:pPr>
      <w:r>
        <w:rPr>
          <w:rStyle w:val="FootnoteReference"/>
        </w:rPr>
        <w:footnoteRef/>
      </w:r>
      <w:r>
        <w:tab/>
      </w:r>
      <w:r>
        <w:rPr>
          <w:rFonts w:hint="eastAsia"/>
        </w:rPr>
        <w:t>在《噪音管制条例》下制定。</w:t>
      </w:r>
    </w:p>
  </w:footnote>
  <w:footnote w:id="100">
    <w:p w:rsidR="00000000" w:rsidRDefault="00000000">
      <w:pPr>
        <w:pStyle w:val="FootnoteText"/>
      </w:pPr>
      <w:r>
        <w:rPr>
          <w:rStyle w:val="FootnoteReference"/>
        </w:rPr>
        <w:footnoteRef/>
      </w:r>
      <w:r>
        <w:t xml:space="preserve"> </w:t>
      </w:r>
      <w:r>
        <w:tab/>
      </w:r>
      <w:r>
        <w:rPr>
          <w:rFonts w:hint="eastAsia"/>
        </w:rPr>
        <w:t>有关词汇的运用，请参照第二条项下注脚</w:t>
      </w:r>
      <w:r>
        <w:t>(3)</w:t>
      </w:r>
      <w:r>
        <w:rPr>
          <w:rFonts w:hint="eastAsia"/>
        </w:rPr>
        <w:t>。</w:t>
      </w:r>
    </w:p>
  </w:footnote>
  <w:footnote w:id="101">
    <w:p w:rsidR="00000000" w:rsidRDefault="00000000">
      <w:pPr>
        <w:pStyle w:val="FootnoteText"/>
      </w:pPr>
      <w:r>
        <w:rPr>
          <w:rStyle w:val="FootnoteReference"/>
        </w:rPr>
        <w:footnoteRef/>
      </w:r>
      <w:r>
        <w:t xml:space="preserve"> </w:t>
      </w:r>
      <w:r>
        <w:tab/>
      </w:r>
      <w:r>
        <w:rPr>
          <w:rFonts w:hint="eastAsia"/>
        </w:rPr>
        <w:t>通过幼稚园学费减免计划</w:t>
      </w:r>
      <w:r>
        <w:rPr>
          <w:rFonts w:eastAsia="SimSun" w:hint="eastAsia"/>
        </w:rPr>
        <w:t>。</w:t>
      </w:r>
    </w:p>
  </w:footnote>
  <w:footnote w:id="102">
    <w:p w:rsidR="00000000" w:rsidRDefault="00000000">
      <w:pPr>
        <w:pStyle w:val="FootnoteText"/>
      </w:pPr>
      <w:r>
        <w:rPr>
          <w:rStyle w:val="FootnoteReference"/>
        </w:rPr>
        <w:footnoteRef/>
      </w:r>
      <w:r>
        <w:t xml:space="preserve"> </w:t>
      </w:r>
      <w:r>
        <w:tab/>
      </w:r>
      <w:r>
        <w:rPr>
          <w:rFonts w:eastAsia="SimSun" w:hint="eastAsia"/>
        </w:rPr>
        <w:t>“</w:t>
      </w:r>
      <w:r>
        <w:rPr>
          <w:rFonts w:hint="eastAsia"/>
        </w:rPr>
        <w:t>幼稚园资助计划</w:t>
      </w:r>
      <w:r>
        <w:rPr>
          <w:rFonts w:eastAsia="SimSun" w:hint="eastAsia"/>
        </w:rPr>
        <w:t>”。</w:t>
      </w:r>
    </w:p>
  </w:footnote>
  <w:footnote w:id="103">
    <w:p w:rsidR="00000000" w:rsidRDefault="00000000">
      <w:pPr>
        <w:pStyle w:val="FootnoteText"/>
      </w:pPr>
      <w:r>
        <w:rPr>
          <w:rStyle w:val="FootnoteReference"/>
        </w:rPr>
        <w:footnoteRef/>
      </w:r>
      <w:r>
        <w:t xml:space="preserve"> </w:t>
      </w:r>
      <w:r>
        <w:tab/>
      </w:r>
      <w:r>
        <w:rPr>
          <w:rFonts w:hint="eastAsia"/>
        </w:rPr>
        <w:t>这是官立及资助学校的“基准”。私立学校所收取的学费须收回成本，部分学校更赚取利润。</w:t>
      </w:r>
    </w:p>
  </w:footnote>
  <w:footnote w:id="104">
    <w:p w:rsidR="00000000" w:rsidRDefault="00000000">
      <w:pPr>
        <w:pStyle w:val="FootnoteText"/>
      </w:pPr>
      <w:r>
        <w:rPr>
          <w:rStyle w:val="FootnoteReference"/>
        </w:rPr>
        <w:footnoteRef/>
      </w:r>
      <w:r>
        <w:t xml:space="preserve"> </w:t>
      </w:r>
      <w:r>
        <w:tab/>
      </w:r>
      <w:r>
        <w:rPr>
          <w:rFonts w:hint="eastAsia"/>
        </w:rPr>
        <w:t>普通话是中国的全国性语言。不过，中文里也有数种“方言”，其间的差异跟西班牙语和意大利语相若。</w:t>
      </w:r>
    </w:p>
  </w:footnote>
  <w:footnote w:id="105">
    <w:p w:rsidR="00000000" w:rsidRDefault="00000000">
      <w:pPr>
        <w:pStyle w:val="FootnoteText"/>
      </w:pPr>
      <w:r>
        <w:rPr>
          <w:rStyle w:val="FootnoteReference"/>
        </w:rPr>
        <w:footnoteRef/>
      </w:r>
      <w:r>
        <w:t xml:space="preserve"> </w:t>
      </w:r>
      <w:r>
        <w:tab/>
      </w:r>
      <w:r>
        <w:rPr>
          <w:rFonts w:hint="eastAsia"/>
        </w:rPr>
        <w:t>非学术科目</w:t>
      </w:r>
      <w:r>
        <w:t>(</w:t>
      </w:r>
      <w:r>
        <w:rPr>
          <w:rFonts w:hint="eastAsia"/>
        </w:rPr>
        <w:t>如宗教科</w:t>
      </w:r>
      <w:r>
        <w:t>)</w:t>
      </w:r>
      <w:r>
        <w:rPr>
          <w:rFonts w:hint="eastAsia"/>
        </w:rPr>
        <w:t>可继续采用英语授课。</w:t>
      </w:r>
    </w:p>
  </w:footnote>
  <w:footnote w:id="106">
    <w:p w:rsidR="00000000" w:rsidRDefault="00000000">
      <w:pPr>
        <w:pStyle w:val="FootnoteText"/>
      </w:pPr>
      <w:r>
        <w:rPr>
          <w:rStyle w:val="FootnoteReference"/>
        </w:rPr>
        <w:footnoteRef/>
      </w:r>
      <w:r>
        <w:t xml:space="preserve"> </w:t>
      </w:r>
      <w:r>
        <w:tab/>
      </w:r>
      <w:r>
        <w:rPr>
          <w:rFonts w:hint="eastAsia"/>
        </w:rPr>
        <w:t>评估是由一个评审委员会及上诉委员会进行。评审委员会的大部分成员为非公职人士；上诉委员会则完全由非公职人士组成。</w:t>
      </w:r>
    </w:p>
  </w:footnote>
  <w:footnote w:id="107">
    <w:p w:rsidR="00000000" w:rsidRDefault="00000000">
      <w:pPr>
        <w:pStyle w:val="FootnoteText"/>
      </w:pPr>
      <w:r>
        <w:rPr>
          <w:rStyle w:val="FootnoteReference"/>
        </w:rPr>
        <w:footnoteRef/>
      </w:r>
      <w:r>
        <w:t xml:space="preserve"> </w:t>
      </w:r>
      <w:r>
        <w:tab/>
      </w:r>
      <w:r>
        <w:rPr>
          <w:rFonts w:hint="eastAsia"/>
        </w:rPr>
        <w:t>学费按每一个课程的学分计算</w:t>
      </w:r>
      <w:r>
        <w:rPr>
          <w:rFonts w:eastAsia="SimSun" w:hint="eastAsia"/>
        </w:rPr>
        <w:t>。</w:t>
      </w:r>
      <w:r>
        <w:rPr>
          <w:rFonts w:hint="eastAsia"/>
        </w:rPr>
        <w:t>大部分学生一年会修读</w:t>
      </w:r>
      <w:r>
        <w:t>20</w:t>
      </w:r>
      <w:r>
        <w:rPr>
          <w:rFonts w:hint="eastAsia"/>
        </w:rPr>
        <w:t>个学分，是全日制学生所修学分的一半</w:t>
      </w:r>
      <w:r>
        <w:rPr>
          <w:rFonts w:eastAsia="SimSun" w:hint="eastAsia"/>
        </w:rPr>
        <w:t>。</w:t>
      </w:r>
      <w:r>
        <w:rPr>
          <w:rFonts w:hint="eastAsia"/>
        </w:rPr>
        <w:t>平均学费就是修读</w:t>
      </w:r>
      <w:r>
        <w:t>20</w:t>
      </w:r>
      <w:r>
        <w:rPr>
          <w:rFonts w:hint="eastAsia"/>
        </w:rPr>
        <w:t>个学分所需的费用</w:t>
      </w:r>
      <w:r>
        <w:rPr>
          <w:rFonts w:eastAsia="SimSun" w:hint="eastAsia"/>
        </w:rPr>
        <w:t>。</w:t>
      </w:r>
    </w:p>
  </w:footnote>
  <w:footnote w:id="108">
    <w:p w:rsidR="00000000" w:rsidRDefault="00000000">
      <w:pPr>
        <w:pStyle w:val="FootnoteText"/>
        <w:autoSpaceDE w:val="0"/>
        <w:autoSpaceDN w:val="0"/>
        <w:jc w:val="both"/>
        <w:textAlignment w:val="bottom"/>
      </w:pPr>
      <w:r>
        <w:rPr>
          <w:rStyle w:val="FootnoteReference"/>
        </w:rPr>
        <w:footnoteRef/>
      </w:r>
      <w:r>
        <w:t xml:space="preserve"> </w:t>
      </w:r>
      <w:r>
        <w:tab/>
      </w:r>
      <w:r>
        <w:rPr>
          <w:rFonts w:hint="eastAsia"/>
        </w:rPr>
        <w:t>我们曾考虑在非学位联合招生计划设立类似的机制，但报读非学位课程的残疾学生为数极少，不值得因此而另设辅助计划。</w:t>
      </w:r>
    </w:p>
  </w:footnote>
  <w:footnote w:id="109">
    <w:p w:rsidR="00000000" w:rsidRDefault="00000000">
      <w:pPr>
        <w:pStyle w:val="FootnoteText"/>
        <w:autoSpaceDE w:val="0"/>
        <w:autoSpaceDN w:val="0"/>
        <w:jc w:val="both"/>
        <w:textAlignment w:val="bottom"/>
      </w:pPr>
      <w:r>
        <w:rPr>
          <w:rStyle w:val="FootnoteReference"/>
        </w:rPr>
        <w:footnoteRef/>
      </w:r>
      <w:r>
        <w:t xml:space="preserve"> </w:t>
      </w:r>
      <w:r>
        <w:tab/>
      </w:r>
      <w:r>
        <w:rPr>
          <w:rFonts w:hint="eastAsia"/>
        </w:rPr>
        <w:t>在拟备这份报告的最后定稿时，有人关注到中学的收生程序对女学生不利。虽然不是所有教育工作者都同意这观点，但教育署正就此展开调查，而平等机会委员会亦会研究此事。如果他们发现确有不公平的情况，当局便会采取措施把问题纠正。</w:t>
      </w:r>
    </w:p>
  </w:footnote>
  <w:footnote w:id="110">
    <w:p w:rsidR="00000000" w:rsidRDefault="00000000">
      <w:pPr>
        <w:pStyle w:val="FootnoteText"/>
        <w:autoSpaceDE w:val="0"/>
        <w:autoSpaceDN w:val="0"/>
        <w:jc w:val="both"/>
        <w:textAlignment w:val="bottom"/>
      </w:pPr>
      <w:r>
        <w:rPr>
          <w:rStyle w:val="FootnoteReference"/>
        </w:rPr>
        <w:footnoteRef/>
      </w:r>
      <w:r>
        <w:t xml:space="preserve"> </w:t>
      </w:r>
      <w:r>
        <w:tab/>
      </w:r>
      <w:r>
        <w:rPr>
          <w:rFonts w:hint="eastAsia"/>
        </w:rPr>
        <w:t>《香港演艺学院条例》</w:t>
      </w:r>
      <w:r>
        <w:t>(</w:t>
      </w:r>
      <w:r>
        <w:rPr>
          <w:rFonts w:hint="eastAsia"/>
        </w:rPr>
        <w:t>第</w:t>
      </w:r>
      <w:r>
        <w:t>1135</w:t>
      </w:r>
      <w:r>
        <w:rPr>
          <w:rFonts w:hint="eastAsia"/>
        </w:rPr>
        <w:t>章</w:t>
      </w:r>
      <w:r>
        <w:t>)</w:t>
      </w:r>
      <w:r>
        <w:rPr>
          <w:rFonts w:hint="eastAsia"/>
        </w:rPr>
        <w:t>第</w:t>
      </w:r>
      <w:r>
        <w:t>3(2)</w:t>
      </w:r>
      <w:r>
        <w:rPr>
          <w:rFonts w:hint="eastAsia"/>
        </w:rPr>
        <w:t>条。</w:t>
      </w:r>
    </w:p>
  </w:footnote>
  <w:footnote w:id="111">
    <w:p w:rsidR="00000000" w:rsidRDefault="00000000">
      <w:pPr>
        <w:pStyle w:val="FootnoteText"/>
        <w:autoSpaceDE w:val="0"/>
        <w:autoSpaceDN w:val="0"/>
        <w:jc w:val="both"/>
        <w:textAlignment w:val="bottom"/>
      </w:pPr>
      <w:r>
        <w:rPr>
          <w:rStyle w:val="FootnoteReference"/>
        </w:rPr>
        <w:footnoteRef/>
      </w:r>
      <w:r>
        <w:t xml:space="preserve"> </w:t>
      </w:r>
      <w:r>
        <w:tab/>
      </w:r>
      <w:r>
        <w:rPr>
          <w:rFonts w:hint="eastAsia"/>
        </w:rPr>
        <w:t>电影及电视课程以前由科艺学院提供。电影电视学院于一九九六至九七年度成立。</w:t>
      </w:r>
    </w:p>
  </w:footnote>
  <w:footnote w:id="112">
    <w:p w:rsidR="00000000" w:rsidRDefault="00000000">
      <w:pPr>
        <w:pStyle w:val="FootnoteText"/>
        <w:autoSpaceDE w:val="0"/>
        <w:autoSpaceDN w:val="0"/>
        <w:textAlignment w:val="bottom"/>
      </w:pPr>
      <w:r>
        <w:rPr>
          <w:rStyle w:val="FootnoteReference"/>
        </w:rPr>
        <w:footnoteRef/>
      </w:r>
      <w:r>
        <w:tab/>
      </w:r>
      <w:r>
        <w:rPr>
          <w:rFonts w:ascii="SimSun" w:eastAsia="SimSun" w:hint="eastAsia"/>
        </w:rPr>
        <w:t>“</w:t>
      </w:r>
      <w:r>
        <w:rPr>
          <w:rFonts w:hint="eastAsia"/>
        </w:rPr>
        <w:t>法定古迹</w:t>
      </w:r>
      <w:r>
        <w:rPr>
          <w:rFonts w:ascii="SimSun" w:eastAsia="SimSun" w:hint="eastAsia"/>
        </w:rPr>
        <w:t>”</w:t>
      </w:r>
      <w:r>
        <w:rPr>
          <w:rFonts w:hint="eastAsia"/>
        </w:rPr>
        <w:t>是指根据</w:t>
      </w:r>
      <w:r>
        <w:rPr>
          <w:rFonts w:ascii="SimSun" w:eastAsia="SimSun" w:hint="eastAsia"/>
        </w:rPr>
        <w:t>《</w:t>
      </w:r>
      <w:r>
        <w:rPr>
          <w:rFonts w:hint="eastAsia"/>
        </w:rPr>
        <w:t>古物及古迹条例</w:t>
      </w:r>
      <w:r>
        <w:rPr>
          <w:rFonts w:ascii="SimSun" w:eastAsia="SimSun" w:hint="eastAsia"/>
        </w:rPr>
        <w:t>》</w:t>
      </w:r>
      <w:r>
        <w:t>(</w:t>
      </w:r>
      <w:r>
        <w:rPr>
          <w:rFonts w:hint="eastAsia"/>
        </w:rPr>
        <w:t>第</w:t>
      </w:r>
      <w:r>
        <w:t>53</w:t>
      </w:r>
      <w:r>
        <w:rPr>
          <w:rFonts w:hint="eastAsia"/>
        </w:rPr>
        <w:t>章</w:t>
      </w:r>
      <w:r>
        <w:t>)</w:t>
      </w:r>
      <w:r>
        <w:rPr>
          <w:rFonts w:hint="eastAsia"/>
        </w:rPr>
        <w:t>第</w:t>
      </w:r>
      <w:r>
        <w:t>3</w:t>
      </w:r>
      <w:r>
        <w:rPr>
          <w:rFonts w:hint="eastAsia"/>
        </w:rPr>
        <w:t>条获古物咨询委员会推荐，并获行政长官批准而借宪报公告宣布为古迹</w:t>
      </w:r>
      <w:r>
        <w:rPr>
          <w:rFonts w:ascii="SimSun" w:eastAsia="SimSun" w:hint="eastAsia"/>
        </w:rPr>
        <w:t>、</w:t>
      </w:r>
      <w:r>
        <w:rPr>
          <w:rFonts w:hint="eastAsia"/>
        </w:rPr>
        <w:t>历史建筑物或考古或古生物地点或构筑物的任何地方</w:t>
      </w:r>
      <w:r>
        <w:rPr>
          <w:rFonts w:ascii="SimSun" w:eastAsia="SimSun" w:hint="eastAsia"/>
        </w:rPr>
        <w:t>、</w:t>
      </w:r>
      <w:r>
        <w:rPr>
          <w:rFonts w:hint="eastAsia"/>
        </w:rPr>
        <w:t>建筑物</w:t>
      </w:r>
      <w:r>
        <w:rPr>
          <w:rFonts w:ascii="SimSun" w:eastAsia="SimSun" w:hint="eastAsia"/>
        </w:rPr>
        <w:t>、</w:t>
      </w:r>
      <w:r>
        <w:rPr>
          <w:rFonts w:hint="eastAsia"/>
        </w:rPr>
        <w:t>地点或构筑物</w:t>
      </w:r>
      <w:r>
        <w:rPr>
          <w:rFonts w:ascii="SimSun" w:eastAsia="SimSun" w:hint="eastAsia"/>
        </w:rPr>
        <w:t>。</w:t>
      </w:r>
    </w:p>
  </w:footnote>
  <w:footnote w:id="113">
    <w:p w:rsidR="00000000" w:rsidRDefault="00000000">
      <w:pPr>
        <w:pStyle w:val="FootnoteText"/>
        <w:autoSpaceDE w:val="0"/>
        <w:autoSpaceDN w:val="0"/>
        <w:textAlignment w:val="bottom"/>
      </w:pPr>
      <w:r>
        <w:rPr>
          <w:rStyle w:val="FootnoteReference"/>
        </w:rPr>
        <w:footnoteRef/>
      </w:r>
      <w:r>
        <w:tab/>
      </w:r>
      <w:r>
        <w:rPr>
          <w:rFonts w:ascii="SimSun" w:eastAsia="SimSun" w:hint="eastAsia"/>
        </w:rPr>
        <w:t>“</w:t>
      </w:r>
      <w:r>
        <w:rPr>
          <w:rFonts w:hint="eastAsia"/>
        </w:rPr>
        <w:t>认定古迹</w:t>
      </w:r>
      <w:r>
        <w:rPr>
          <w:rFonts w:ascii="SimSun" w:eastAsia="SimSun" w:hint="eastAsia"/>
        </w:rPr>
        <w:t>”</w:t>
      </w:r>
      <w:r>
        <w:rPr>
          <w:rFonts w:hint="eastAsia"/>
        </w:rPr>
        <w:t>是指获得古物咨询委员会推荐，并获行政长官批准，可运用公帑进行修复</w:t>
      </w:r>
      <w:r>
        <w:rPr>
          <w:rFonts w:ascii="SimSun" w:eastAsia="SimSun" w:hint="eastAsia"/>
        </w:rPr>
        <w:t>、</w:t>
      </w:r>
      <w:r>
        <w:rPr>
          <w:rFonts w:hint="eastAsia"/>
        </w:rPr>
        <w:t>维修和保养的任何建筑物或遗址</w:t>
      </w:r>
      <w:r>
        <w:rPr>
          <w:rFonts w:ascii="SimSun" w:eastAsia="SimSun" w:hint="eastAsia"/>
        </w:rPr>
        <w:t>。</w:t>
      </w:r>
      <w:r>
        <w:rPr>
          <w:rFonts w:hint="eastAsia"/>
        </w:rPr>
        <w:t>不过，这类古迹却不能享有任何赋予法定古迹的法定保障</w:t>
      </w:r>
      <w:r>
        <w:rPr>
          <w:rFonts w:ascii="SimSun" w:eastAsia="SimSun" w:hint="eastAsia"/>
        </w:rPr>
        <w:t>。</w:t>
      </w:r>
    </w:p>
  </w:footnote>
  <w:footnote w:id="114">
    <w:p w:rsidR="00000000" w:rsidRDefault="00000000">
      <w:pPr>
        <w:pStyle w:val="FootnoteText"/>
        <w:autoSpaceDE w:val="0"/>
        <w:autoSpaceDN w:val="0"/>
        <w:textAlignment w:val="bottom"/>
      </w:pPr>
      <w:r>
        <w:rPr>
          <w:rStyle w:val="FootnoteReference"/>
        </w:rPr>
        <w:footnoteRef/>
      </w:r>
      <w:r>
        <w:tab/>
      </w:r>
      <w:r>
        <w:rPr>
          <w:rFonts w:hint="eastAsia"/>
        </w:rPr>
        <w:t>“国殇之柱”是一位丹麦艺术家为纪念一九八九年中国的六四事件而创作的雕塑品，其后赠予香港市民支援爱国民主运动联合会</w:t>
      </w:r>
      <w:r>
        <w:t>(</w:t>
      </w:r>
      <w:r>
        <w:rPr>
          <w:rFonts w:hint="eastAsia"/>
        </w:rPr>
        <w:t>该会是一个非政府机构</w:t>
      </w:r>
      <w:r>
        <w:t>)</w:t>
      </w:r>
      <w:r>
        <w:rPr>
          <w:rFonts w:hint="eastAsia"/>
        </w:rPr>
        <w:t>。</w:t>
      </w:r>
    </w:p>
  </w:footnote>
  <w:footnote w:id="115">
    <w:p w:rsidR="00000000" w:rsidRDefault="00000000">
      <w:pPr>
        <w:pStyle w:val="FootnoteText"/>
        <w:autoSpaceDE w:val="0"/>
        <w:autoSpaceDN w:val="0"/>
        <w:textAlignment w:val="bottom"/>
      </w:pPr>
      <w:r>
        <w:rPr>
          <w:rStyle w:val="FootnoteReference"/>
        </w:rPr>
        <w:footnoteRef/>
      </w:r>
      <w:r>
        <w:tab/>
      </w:r>
      <w:r>
        <w:rPr>
          <w:rFonts w:hint="eastAsia"/>
        </w:rPr>
        <w:t>香港生产力促进局负责促进工业的生产力，并鼓励业界善用资源。</w:t>
      </w:r>
    </w:p>
  </w:footnote>
  <w:footnote w:id="116">
    <w:p w:rsidR="00000000" w:rsidRDefault="00000000">
      <w:pPr>
        <w:pStyle w:val="FootnoteText"/>
        <w:autoSpaceDE w:val="0"/>
        <w:autoSpaceDN w:val="0"/>
        <w:textAlignment w:val="bottom"/>
      </w:pPr>
      <w:r>
        <w:rPr>
          <w:rStyle w:val="FootnoteReference"/>
        </w:rPr>
        <w:footnoteRef/>
      </w:r>
      <w:r>
        <w:tab/>
      </w:r>
      <w:r>
        <w:rPr>
          <w:rFonts w:hint="eastAsia"/>
        </w:rPr>
        <w:t>工业科技中心专责促进香港工业界推广和应用崭新科技。</w:t>
      </w:r>
    </w:p>
  </w:footnote>
  <w:footnote w:id="117">
    <w:p w:rsidR="00000000" w:rsidRDefault="00000000">
      <w:pPr>
        <w:pStyle w:val="FootnoteText"/>
        <w:autoSpaceDE w:val="0"/>
        <w:autoSpaceDN w:val="0"/>
        <w:textAlignment w:val="bottom"/>
      </w:pPr>
      <w:r>
        <w:rPr>
          <w:rStyle w:val="FootnoteReference"/>
        </w:rPr>
        <w:footnoteRef/>
      </w:r>
      <w:r>
        <w:tab/>
      </w:r>
      <w:r>
        <w:rPr>
          <w:rFonts w:hint="eastAsia"/>
        </w:rPr>
        <w:t>科学园提供基本支援设施，促进科技密集工业及高增值工业的发展。</w:t>
      </w:r>
    </w:p>
  </w:footnote>
  <w:footnote w:id="118">
    <w:p w:rsidR="00000000" w:rsidRDefault="00000000">
      <w:pPr>
        <w:pStyle w:val="FootnoteText"/>
        <w:autoSpaceDE w:val="0"/>
        <w:autoSpaceDN w:val="0"/>
        <w:textAlignment w:val="bottom"/>
      </w:pPr>
      <w:r>
        <w:rPr>
          <w:rStyle w:val="FootnoteReference"/>
        </w:rPr>
        <w:footnoteRef/>
      </w:r>
      <w:r>
        <w:tab/>
      </w:r>
      <w:r>
        <w:rPr>
          <w:rFonts w:hint="eastAsia"/>
        </w:rPr>
        <w:t>工业支援资助计划为那些对香港工业和科技发展有利的工业计划提供资助。</w:t>
      </w:r>
    </w:p>
  </w:footnote>
  <w:footnote w:id="119">
    <w:p w:rsidR="00000000" w:rsidRDefault="00000000">
      <w:pPr>
        <w:pStyle w:val="FootnoteText"/>
        <w:autoSpaceDE w:val="0"/>
        <w:autoSpaceDN w:val="0"/>
        <w:textAlignment w:val="bottom"/>
      </w:pPr>
      <w:r>
        <w:rPr>
          <w:rStyle w:val="FootnoteReference"/>
        </w:rPr>
        <w:footnoteRef/>
      </w:r>
      <w:r>
        <w:tab/>
      </w:r>
      <w:r>
        <w:rPr>
          <w:rFonts w:hint="eastAsia"/>
        </w:rPr>
        <w:t>应用研究基金为有潜力获取商业利益的科技投资</w:t>
      </w:r>
      <w:r>
        <w:rPr>
          <w:rFonts w:eastAsia="SimSun" w:hint="eastAsia"/>
        </w:rPr>
        <w:t>、</w:t>
      </w:r>
      <w:r>
        <w:rPr>
          <w:rFonts w:hint="eastAsia"/>
        </w:rPr>
        <w:t>应用研究，以及发展活动提供资助。</w:t>
      </w:r>
    </w:p>
  </w:footnote>
  <w:footnote w:id="120">
    <w:p w:rsidR="00000000" w:rsidRDefault="00000000">
      <w:pPr>
        <w:pStyle w:val="FootnoteText"/>
        <w:autoSpaceDE w:val="0"/>
        <w:autoSpaceDN w:val="0"/>
        <w:textAlignment w:val="bottom"/>
      </w:pPr>
      <w:r>
        <w:rPr>
          <w:rStyle w:val="FootnoteReference"/>
        </w:rPr>
        <w:footnoteRef/>
      </w:r>
      <w:r>
        <w:tab/>
      </w:r>
      <w:r>
        <w:rPr>
          <w:rFonts w:hint="eastAsia"/>
        </w:rPr>
        <w:t>服务业支援资助计划为有助香港整体发展成为服务中心，或进一步发展更多服务行业的计划提供资助。</w:t>
      </w:r>
    </w:p>
  </w:footnote>
  <w:footnote w:id="121">
    <w:p w:rsidR="00000000" w:rsidRDefault="00000000">
      <w:pPr>
        <w:pStyle w:val="FootnoteText"/>
        <w:autoSpaceDE w:val="0"/>
        <w:autoSpaceDN w:val="0"/>
        <w:textAlignment w:val="bottom"/>
      </w:pPr>
      <w:r>
        <w:rPr>
          <w:rStyle w:val="FootnoteReference"/>
        </w:rPr>
        <w:footnoteRef/>
      </w:r>
      <w:r>
        <w:tab/>
      </w:r>
      <w:r>
        <w:rPr>
          <w:rFonts w:hint="eastAsia"/>
        </w:rPr>
        <w:t>见《公民和政治权利报告一》第</w:t>
      </w:r>
      <w:r>
        <w:t>307</w:t>
      </w:r>
      <w:r>
        <w:rPr>
          <w:rFonts w:hint="eastAsia"/>
        </w:rPr>
        <w:t>段针对公约第十七条的叙述。</w:t>
      </w:r>
    </w:p>
  </w:footnote>
  <w:footnote w:id="122">
    <w:p w:rsidR="00000000" w:rsidRDefault="00000000">
      <w:pPr>
        <w:pStyle w:val="FootnoteText"/>
        <w:autoSpaceDE w:val="0"/>
        <w:autoSpaceDN w:val="0"/>
        <w:textAlignment w:val="bottom"/>
      </w:pPr>
      <w:r>
        <w:rPr>
          <w:rStyle w:val="FootnoteReference"/>
        </w:rPr>
        <w:footnoteRef/>
      </w:r>
      <w:r>
        <w:tab/>
      </w:r>
      <w:r>
        <w:rPr>
          <w:rFonts w:hint="eastAsia"/>
        </w:rPr>
        <w:t>这些公约分别是：《一八八三至一九六七年保护工业产权巴黎公约》</w:t>
      </w:r>
      <w:r>
        <w:t>(</w:t>
      </w:r>
      <w:r>
        <w:rPr>
          <w:rFonts w:hint="eastAsia"/>
        </w:rPr>
        <w:t>经修订</w:t>
      </w:r>
      <w:r>
        <w:t>)</w:t>
      </w:r>
      <w:r>
        <w:rPr>
          <w:rFonts w:hint="eastAsia"/>
        </w:rPr>
        <w:t>、《一八八六至一九四八年保护文学及艺术作品的伯尔尼公约》</w:t>
      </w:r>
      <w:r>
        <w:t>(</w:t>
      </w:r>
      <w:r>
        <w:rPr>
          <w:rFonts w:hint="eastAsia"/>
        </w:rPr>
        <w:t>经修订</w:t>
      </w:r>
      <w:r>
        <w:t>)</w:t>
      </w:r>
      <w:r>
        <w:rPr>
          <w:rFonts w:hint="eastAsia"/>
        </w:rPr>
        <w:t>、《一九五二至一九七一年世界版权公约及其议定书》</w:t>
      </w:r>
      <w:r>
        <w:t>(</w:t>
      </w:r>
      <w:r>
        <w:rPr>
          <w:rFonts w:hint="eastAsia"/>
        </w:rPr>
        <w:t>经修订</w:t>
      </w:r>
      <w:r>
        <w:t>)</w:t>
      </w:r>
      <w:r>
        <w:rPr>
          <w:rFonts w:hint="eastAsia"/>
        </w:rPr>
        <w:t>、《一九七一年保护录音制作者禁止未经许可复制其录音制作品的公约》。</w:t>
      </w:r>
    </w:p>
  </w:footnote>
  <w:footnote w:id="123">
    <w:p w:rsidR="00000000" w:rsidRDefault="00000000">
      <w:pPr>
        <w:pStyle w:val="FootnoteText"/>
        <w:autoSpaceDE w:val="0"/>
        <w:autoSpaceDN w:val="0"/>
        <w:textAlignment w:val="bottom"/>
      </w:pPr>
      <w:r>
        <w:rPr>
          <w:rStyle w:val="FootnoteReference"/>
        </w:rPr>
        <w:footnoteRef/>
      </w:r>
      <w:r>
        <w:tab/>
      </w:r>
      <w:r>
        <w:rPr>
          <w:rFonts w:hint="eastAsia"/>
        </w:rPr>
        <w:t>自一九九六年十二月起，该等条文便一直在香港实施，较世贸组织所定二○○○年的期限早了三年。</w:t>
      </w:r>
    </w:p>
  </w:footnote>
  <w:footnote w:id="124">
    <w:p w:rsidR="00000000" w:rsidRDefault="00000000">
      <w:pPr>
        <w:pStyle w:val="FootnoteText"/>
        <w:autoSpaceDE w:val="0"/>
        <w:autoSpaceDN w:val="0"/>
        <w:textAlignment w:val="bottom"/>
      </w:pPr>
      <w:r>
        <w:rPr>
          <w:rStyle w:val="FootnoteReference"/>
        </w:rPr>
        <w:footnoteRef/>
      </w:r>
      <w:r>
        <w:tab/>
      </w:r>
      <w:r>
        <w:rPr>
          <w:rFonts w:hint="eastAsia"/>
        </w:rPr>
        <w:t>《具有国际意义的湿地、特别是作为水禽栖息地的湿地公约》一般称为《拉姆萨尔公约》。该公约于一九七一年在伊朗的拉姆萨尔缔结，旨在阻止世界各处的湿地继续消失，并通过适当的使用和管理，保存尚存的湿地。初期，公约有</w:t>
      </w:r>
      <w:r>
        <w:t>18</w:t>
      </w:r>
      <w:r>
        <w:rPr>
          <w:rFonts w:hint="eastAsia"/>
        </w:rPr>
        <w:t>个缔约国，现时已增至约</w:t>
      </w:r>
      <w:r>
        <w:t>100</w:t>
      </w:r>
      <w:r>
        <w:rPr>
          <w:rFonts w:hint="eastAsia"/>
        </w:rPr>
        <w:t>个，包括中国在内。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E/199</w:t>
    </w:r>
    <w:r>
      <w:rPr>
        <w:rFonts w:hint="eastAsia"/>
      </w:rPr>
      <w:t>0</w:t>
    </w:r>
    <w:r>
      <w:t>/5/Add.43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w:t>
    </w:r>
    <w:r>
      <w:rPr>
        <w:rFonts w:hint="eastAsia"/>
      </w:rPr>
      <w:t>0</w:t>
    </w:r>
    <w:r>
      <w:t>/5/Add.43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margin-left:541.05pt;margin-top:59.05pt;width:30.05pt;height:36pt;z-index:-5;mso-position-horizontal:absolute;mso-position-horizontal-relative:page;mso-position-vertical:absolut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margin-left:-12pt;margin-top:95.45pt;width:492.05pt;height:.95pt;z-index:-4;mso-position-horizontal:absolute;mso-position-horizontal-relative:margin;mso-position-vertical:absolute;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margin-left:66.7pt;margin-top:110.5pt;width:65.05pt;height:55.55pt;z-index:-1;mso-position-horizontal:absolute;mso-position-horizontal-relative:page;mso-position-vertical:absolut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E/1990/5/Add.43</w:t>
    </w:r>
  </w:p>
  <w:p w:rsidR="00000000" w:rsidRDefault="00000000">
    <w:pPr>
      <w:pStyle w:val="1R2"/>
      <w:framePr w:wrap="around"/>
    </w:pPr>
    <w:r>
      <w:t>20 September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margin-left:151.05pt;margin-top:121.45pt;width:192.05pt;height:31.25pt;z-index:-3;mso-position-horizontal:absolute;mso-position-horizontal-relative:page;mso-position-vertical:absolut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
    </w:pPr>
    <w:r>
      <w:pict>
        <v:rect id="_x0000_s1028" style="position:absolute;margin-left:-12pt;margin-top:235.85pt;width:492.05pt;height:.05pt;z-index:-2;mso-position-horizontal:absolute;mso-position-horizontal-relative:margin;mso-position-vertical:absolute;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3">
    <w:nsid w:val="03422C61"/>
    <w:multiLevelType w:val="singleLevel"/>
    <w:tmpl w:val="97F2C8A6"/>
    <w:lvl w:ilvl="0">
      <w:start w:val="1"/>
      <w:numFmt w:val="lowerLetter"/>
      <w:lvlText w:val="(%1)"/>
      <w:legacy w:legacy="1" w:legacySpace="0" w:legacyIndent="425"/>
      <w:lvlJc w:val="left"/>
      <w:pPr>
        <w:ind w:left="1446" w:hanging="425"/>
      </w:pPr>
    </w:lvl>
  </w:abstractNum>
  <w:abstractNum w:abstractNumId="4">
    <w:nsid w:val="083E69E0"/>
    <w:multiLevelType w:val="singleLevel"/>
    <w:tmpl w:val="6ED8EB7C"/>
    <w:lvl w:ilvl="0">
      <w:start w:val="1"/>
      <w:numFmt w:val="lowerLetter"/>
      <w:lvlText w:val="(%1)"/>
      <w:legacy w:legacy="1" w:legacySpace="0" w:legacyIndent="425"/>
      <w:lvlJc w:val="left"/>
      <w:pPr>
        <w:ind w:left="1446" w:hanging="425"/>
      </w:pPr>
    </w:lvl>
  </w:abstractNum>
  <w:abstractNum w:abstractNumId="5">
    <w:nsid w:val="0879405B"/>
    <w:multiLevelType w:val="singleLevel"/>
    <w:tmpl w:val="23B2C6D2"/>
    <w:lvl w:ilvl="0">
      <w:start w:val="1"/>
      <w:numFmt w:val="lowerLetter"/>
      <w:lvlText w:val="(%1)"/>
      <w:legacy w:legacy="1" w:legacySpace="0" w:legacyIndent="425"/>
      <w:lvlJc w:val="left"/>
      <w:pPr>
        <w:ind w:left="1446" w:hanging="425"/>
      </w:pPr>
    </w:lvl>
  </w:abstractNum>
  <w:abstractNum w:abstractNumId="6">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7">
    <w:nsid w:val="09E07D7B"/>
    <w:multiLevelType w:val="singleLevel"/>
    <w:tmpl w:val="7074AB9C"/>
    <w:lvl w:ilvl="0">
      <w:start w:val="1"/>
      <w:numFmt w:val="lowerLetter"/>
      <w:lvlText w:val="(%1)"/>
      <w:legacy w:legacy="1" w:legacySpace="0" w:legacyIndent="425"/>
      <w:lvlJc w:val="left"/>
      <w:pPr>
        <w:ind w:left="1446" w:hanging="425"/>
      </w:pPr>
    </w:lvl>
  </w:abstractNum>
  <w:abstractNum w:abstractNumId="8">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ADC48B2"/>
    <w:multiLevelType w:val="singleLevel"/>
    <w:tmpl w:val="23B2C6D2"/>
    <w:lvl w:ilvl="0">
      <w:start w:val="1"/>
      <w:numFmt w:val="lowerLetter"/>
      <w:lvlText w:val="(%1)"/>
      <w:legacy w:legacy="1" w:legacySpace="0" w:legacyIndent="425"/>
      <w:lvlJc w:val="left"/>
      <w:pPr>
        <w:ind w:left="1446" w:hanging="425"/>
      </w:pPr>
    </w:lvl>
  </w:abstractNum>
  <w:abstractNum w:abstractNumId="10">
    <w:nsid w:val="0B8C30B1"/>
    <w:multiLevelType w:val="singleLevel"/>
    <w:tmpl w:val="62EC7BA8"/>
    <w:lvl w:ilvl="0">
      <w:start w:val="1"/>
      <w:numFmt w:val="lowerLetter"/>
      <w:lvlText w:val="(%1)"/>
      <w:legacy w:legacy="1" w:legacySpace="0" w:legacyIndent="425"/>
      <w:lvlJc w:val="left"/>
      <w:pPr>
        <w:ind w:left="1446" w:hanging="425"/>
      </w:pPr>
    </w:lvl>
  </w:abstractNum>
  <w:abstractNum w:abstractNumId="11">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1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3236C26"/>
    <w:multiLevelType w:val="singleLevel"/>
    <w:tmpl w:val="95E85EAA"/>
    <w:lvl w:ilvl="0">
      <w:start w:val="1"/>
      <w:numFmt w:val="lowerLetter"/>
      <w:lvlText w:val="(%1)"/>
      <w:legacy w:legacy="1" w:legacySpace="0" w:legacyIndent="425"/>
      <w:lvlJc w:val="left"/>
      <w:pPr>
        <w:ind w:left="1446" w:hanging="425"/>
      </w:pPr>
    </w:lvl>
  </w:abstractNum>
  <w:abstractNum w:abstractNumId="15">
    <w:nsid w:val="14552DB7"/>
    <w:multiLevelType w:val="singleLevel"/>
    <w:tmpl w:val="23B2C6D2"/>
    <w:lvl w:ilvl="0">
      <w:start w:val="1"/>
      <w:numFmt w:val="lowerLetter"/>
      <w:lvlText w:val="(%1)"/>
      <w:legacy w:legacy="1" w:legacySpace="0" w:legacyIndent="425"/>
      <w:lvlJc w:val="left"/>
      <w:pPr>
        <w:ind w:left="1446" w:hanging="425"/>
      </w:pPr>
    </w:lvl>
  </w:abstractNum>
  <w:abstractNum w:abstractNumId="1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8">
    <w:nsid w:val="1ADB6CA1"/>
    <w:multiLevelType w:val="singleLevel"/>
    <w:tmpl w:val="C67073D2"/>
    <w:lvl w:ilvl="0">
      <w:start w:val="1"/>
      <w:numFmt w:val="lowerLetter"/>
      <w:lvlText w:val="(%1)"/>
      <w:legacy w:legacy="1" w:legacySpace="0" w:legacyIndent="425"/>
      <w:lvlJc w:val="left"/>
      <w:pPr>
        <w:ind w:left="1446" w:hanging="425"/>
      </w:pPr>
    </w:lvl>
  </w:abstractNum>
  <w:abstractNum w:abstractNumId="19">
    <w:nsid w:val="1B8B4AAF"/>
    <w:multiLevelType w:val="singleLevel"/>
    <w:tmpl w:val="97F2C8A6"/>
    <w:lvl w:ilvl="0">
      <w:start w:val="1"/>
      <w:numFmt w:val="lowerLetter"/>
      <w:lvlText w:val="(%1)"/>
      <w:legacy w:legacy="1" w:legacySpace="0" w:legacyIndent="425"/>
      <w:lvlJc w:val="left"/>
      <w:pPr>
        <w:ind w:left="1446" w:hanging="425"/>
      </w:pPr>
    </w:lvl>
  </w:abstractNum>
  <w:abstractNum w:abstractNumId="20">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1">
    <w:nsid w:val="1DAF76BF"/>
    <w:multiLevelType w:val="singleLevel"/>
    <w:tmpl w:val="8C1692A6"/>
    <w:lvl w:ilvl="0">
      <w:start w:val="1"/>
      <w:numFmt w:val="lowerLetter"/>
      <w:lvlText w:val="(%1)"/>
      <w:legacy w:legacy="1" w:legacySpace="0" w:legacyIndent="425"/>
      <w:lvlJc w:val="left"/>
      <w:pPr>
        <w:ind w:left="1446" w:hanging="425"/>
      </w:pPr>
    </w:lvl>
  </w:abstractNum>
  <w:abstractNum w:abstractNumId="22">
    <w:nsid w:val="23F532D2"/>
    <w:multiLevelType w:val="singleLevel"/>
    <w:tmpl w:val="95E85EAA"/>
    <w:lvl w:ilvl="0">
      <w:start w:val="1"/>
      <w:numFmt w:val="lowerLetter"/>
      <w:lvlText w:val="(%1)"/>
      <w:legacy w:legacy="1" w:legacySpace="0" w:legacyIndent="425"/>
      <w:lvlJc w:val="left"/>
      <w:pPr>
        <w:ind w:left="1446" w:hanging="425"/>
      </w:pPr>
    </w:lvl>
  </w:abstractNum>
  <w:abstractNum w:abstractNumId="23">
    <w:nsid w:val="24575072"/>
    <w:multiLevelType w:val="singleLevel"/>
    <w:tmpl w:val="95E85EAA"/>
    <w:lvl w:ilvl="0">
      <w:start w:val="1"/>
      <w:numFmt w:val="lowerLetter"/>
      <w:lvlText w:val="(%1)"/>
      <w:legacy w:legacy="1" w:legacySpace="0" w:legacyIndent="425"/>
      <w:lvlJc w:val="left"/>
      <w:pPr>
        <w:ind w:left="1446" w:hanging="425"/>
      </w:pPr>
    </w:lvl>
  </w:abstractNum>
  <w:abstractNum w:abstractNumId="24">
    <w:nsid w:val="25D33F4E"/>
    <w:multiLevelType w:val="singleLevel"/>
    <w:tmpl w:val="97F2C8A6"/>
    <w:lvl w:ilvl="0">
      <w:start w:val="1"/>
      <w:numFmt w:val="lowerLetter"/>
      <w:lvlText w:val="(%1)"/>
      <w:legacy w:legacy="1" w:legacySpace="0" w:legacyIndent="425"/>
      <w:lvlJc w:val="left"/>
      <w:pPr>
        <w:ind w:left="1446" w:hanging="425"/>
      </w:pPr>
    </w:lvl>
  </w:abstractNum>
  <w:abstractNum w:abstractNumId="2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28F85D67"/>
    <w:multiLevelType w:val="singleLevel"/>
    <w:tmpl w:val="7074AB9C"/>
    <w:lvl w:ilvl="0">
      <w:start w:val="1"/>
      <w:numFmt w:val="lowerLetter"/>
      <w:lvlText w:val="(%1)"/>
      <w:legacy w:legacy="1" w:legacySpace="0" w:legacyIndent="425"/>
      <w:lvlJc w:val="left"/>
      <w:pPr>
        <w:ind w:left="1446" w:hanging="425"/>
      </w:pPr>
    </w:lvl>
  </w:abstractNum>
  <w:abstractNum w:abstractNumId="27">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2DD629FF"/>
    <w:multiLevelType w:val="singleLevel"/>
    <w:tmpl w:val="97F2C8A6"/>
    <w:lvl w:ilvl="0">
      <w:start w:val="1"/>
      <w:numFmt w:val="lowerLetter"/>
      <w:lvlText w:val="(%1)"/>
      <w:legacy w:legacy="1" w:legacySpace="0" w:legacyIndent="425"/>
      <w:lvlJc w:val="left"/>
      <w:pPr>
        <w:ind w:left="1446" w:hanging="425"/>
      </w:pPr>
    </w:lvl>
  </w:abstractNum>
  <w:abstractNum w:abstractNumId="29">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30">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1">
    <w:nsid w:val="35425619"/>
    <w:multiLevelType w:val="singleLevel"/>
    <w:tmpl w:val="7074AB9C"/>
    <w:lvl w:ilvl="0">
      <w:start w:val="1"/>
      <w:numFmt w:val="lowerLetter"/>
      <w:lvlText w:val="(%1)"/>
      <w:legacy w:legacy="1" w:legacySpace="0" w:legacyIndent="425"/>
      <w:lvlJc w:val="left"/>
      <w:pPr>
        <w:ind w:left="1446" w:hanging="425"/>
      </w:pPr>
    </w:lvl>
  </w:abstractNum>
  <w:abstractNum w:abstractNumId="32">
    <w:nsid w:val="38183D6D"/>
    <w:multiLevelType w:val="singleLevel"/>
    <w:tmpl w:val="6ED8EB7C"/>
    <w:lvl w:ilvl="0">
      <w:start w:val="1"/>
      <w:numFmt w:val="lowerLetter"/>
      <w:lvlText w:val="(%1)"/>
      <w:legacy w:legacy="1" w:legacySpace="0" w:legacyIndent="425"/>
      <w:lvlJc w:val="left"/>
      <w:pPr>
        <w:ind w:left="1446" w:hanging="425"/>
      </w:pPr>
    </w:lvl>
  </w:abstractNum>
  <w:abstractNum w:abstractNumId="33">
    <w:nsid w:val="39650FC6"/>
    <w:multiLevelType w:val="singleLevel"/>
    <w:tmpl w:val="95E85EAA"/>
    <w:lvl w:ilvl="0">
      <w:start w:val="1"/>
      <w:numFmt w:val="lowerLetter"/>
      <w:lvlText w:val="(%1)"/>
      <w:legacy w:legacy="1" w:legacySpace="0" w:legacyIndent="425"/>
      <w:lvlJc w:val="left"/>
      <w:pPr>
        <w:ind w:left="1446" w:hanging="425"/>
      </w:pPr>
    </w:lvl>
  </w:abstractNum>
  <w:abstractNum w:abstractNumId="34">
    <w:nsid w:val="39D90235"/>
    <w:multiLevelType w:val="singleLevel"/>
    <w:tmpl w:val="BB3CA22A"/>
    <w:lvl w:ilvl="0">
      <w:start w:val="1"/>
      <w:numFmt w:val="bullet"/>
      <w:lvlText w:val=""/>
      <w:lvlJc w:val="left"/>
      <w:pPr>
        <w:tabs>
          <w:tab w:val="num" w:pos="510"/>
        </w:tabs>
        <w:ind w:left="510" w:hanging="510"/>
      </w:pPr>
      <w:rPr>
        <w:rFonts w:ascii="Symbol" w:hAnsi="Symbol" w:hint="default"/>
      </w:rPr>
    </w:lvl>
  </w:abstractNum>
  <w:abstractNum w:abstractNumId="35">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3D28793C"/>
    <w:multiLevelType w:val="singleLevel"/>
    <w:tmpl w:val="6ED8EB7C"/>
    <w:lvl w:ilvl="0">
      <w:start w:val="1"/>
      <w:numFmt w:val="lowerLetter"/>
      <w:lvlText w:val="(%1)"/>
      <w:legacy w:legacy="1" w:legacySpace="0" w:legacyIndent="425"/>
      <w:lvlJc w:val="left"/>
      <w:pPr>
        <w:ind w:left="1446" w:hanging="425"/>
      </w:pPr>
    </w:lvl>
  </w:abstractNum>
  <w:abstractNum w:abstractNumId="37">
    <w:nsid w:val="3FF15084"/>
    <w:multiLevelType w:val="singleLevel"/>
    <w:tmpl w:val="62EC7BA8"/>
    <w:lvl w:ilvl="0">
      <w:start w:val="1"/>
      <w:numFmt w:val="lowerLetter"/>
      <w:lvlText w:val="(%1)"/>
      <w:legacy w:legacy="1" w:legacySpace="0" w:legacyIndent="425"/>
      <w:lvlJc w:val="left"/>
      <w:pPr>
        <w:ind w:left="1446" w:hanging="425"/>
      </w:pPr>
    </w:lvl>
  </w:abstractNum>
  <w:abstractNum w:abstractNumId="38">
    <w:nsid w:val="44540338"/>
    <w:multiLevelType w:val="singleLevel"/>
    <w:tmpl w:val="23B2C6D2"/>
    <w:lvl w:ilvl="0">
      <w:start w:val="1"/>
      <w:numFmt w:val="lowerLetter"/>
      <w:lvlText w:val="(%1)"/>
      <w:legacy w:legacy="1" w:legacySpace="0" w:legacyIndent="425"/>
      <w:lvlJc w:val="left"/>
      <w:pPr>
        <w:ind w:left="1446" w:hanging="425"/>
      </w:pPr>
    </w:lvl>
  </w:abstractNum>
  <w:abstractNum w:abstractNumId="39">
    <w:nsid w:val="47C50E3A"/>
    <w:multiLevelType w:val="singleLevel"/>
    <w:tmpl w:val="95E85EAA"/>
    <w:lvl w:ilvl="0">
      <w:start w:val="1"/>
      <w:numFmt w:val="lowerLetter"/>
      <w:lvlText w:val="(%1)"/>
      <w:legacy w:legacy="1" w:legacySpace="0" w:legacyIndent="425"/>
      <w:lvlJc w:val="left"/>
      <w:pPr>
        <w:ind w:left="1446" w:hanging="425"/>
      </w:pPr>
    </w:lvl>
  </w:abstractNum>
  <w:abstractNum w:abstractNumId="40">
    <w:nsid w:val="48373821"/>
    <w:multiLevelType w:val="singleLevel"/>
    <w:tmpl w:val="6ED8EB7C"/>
    <w:lvl w:ilvl="0">
      <w:start w:val="1"/>
      <w:numFmt w:val="lowerLetter"/>
      <w:lvlText w:val="(%1)"/>
      <w:legacy w:legacy="1" w:legacySpace="0" w:legacyIndent="425"/>
      <w:lvlJc w:val="left"/>
      <w:pPr>
        <w:ind w:left="1446" w:hanging="425"/>
      </w:pPr>
    </w:lvl>
  </w:abstractNum>
  <w:abstractNum w:abstractNumId="4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BC17DEB"/>
    <w:multiLevelType w:val="singleLevel"/>
    <w:tmpl w:val="23B2C6D2"/>
    <w:lvl w:ilvl="0">
      <w:start w:val="1"/>
      <w:numFmt w:val="lowerLetter"/>
      <w:lvlText w:val="(%1)"/>
      <w:legacy w:legacy="1" w:legacySpace="0" w:legacyIndent="425"/>
      <w:lvlJc w:val="left"/>
      <w:pPr>
        <w:ind w:left="1446" w:hanging="425"/>
      </w:pPr>
    </w:lvl>
  </w:abstractNum>
  <w:abstractNum w:abstractNumId="44">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5">
    <w:nsid w:val="4F150CD9"/>
    <w:multiLevelType w:val="singleLevel"/>
    <w:tmpl w:val="6ED8EB7C"/>
    <w:lvl w:ilvl="0">
      <w:start w:val="1"/>
      <w:numFmt w:val="lowerLetter"/>
      <w:lvlText w:val="(%1)"/>
      <w:legacy w:legacy="1" w:legacySpace="0" w:legacyIndent="425"/>
      <w:lvlJc w:val="left"/>
      <w:pPr>
        <w:ind w:left="1446" w:hanging="425"/>
      </w:pPr>
    </w:lvl>
  </w:abstractNum>
  <w:abstractNum w:abstractNumId="46">
    <w:nsid w:val="4FAE156B"/>
    <w:multiLevelType w:val="singleLevel"/>
    <w:tmpl w:val="C67073D2"/>
    <w:lvl w:ilvl="0">
      <w:start w:val="1"/>
      <w:numFmt w:val="lowerLetter"/>
      <w:lvlText w:val="(%1)"/>
      <w:legacy w:legacy="1" w:legacySpace="0" w:legacyIndent="425"/>
      <w:lvlJc w:val="left"/>
      <w:pPr>
        <w:ind w:left="1446" w:hanging="425"/>
      </w:pPr>
    </w:lvl>
  </w:abstractNum>
  <w:abstractNum w:abstractNumId="47">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8">
    <w:nsid w:val="507317FD"/>
    <w:multiLevelType w:val="singleLevel"/>
    <w:tmpl w:val="ACCCBBF2"/>
    <w:lvl w:ilvl="0">
      <w:start w:val="1"/>
      <w:numFmt w:val="bullet"/>
      <w:lvlText w:val=""/>
      <w:lvlJc w:val="left"/>
      <w:pPr>
        <w:tabs>
          <w:tab w:val="num" w:pos="510"/>
        </w:tabs>
        <w:ind w:left="510" w:hanging="510"/>
      </w:pPr>
      <w:rPr>
        <w:rFonts w:ascii="Symbol" w:hAnsi="Symbol" w:hint="default"/>
        <w:sz w:val="16"/>
      </w:rPr>
    </w:lvl>
  </w:abstractNum>
  <w:abstractNum w:abstractNumId="49">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0">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5601911"/>
    <w:multiLevelType w:val="singleLevel"/>
    <w:tmpl w:val="A288C420"/>
    <w:lvl w:ilvl="0">
      <w:start w:val="1"/>
      <w:numFmt w:val="lowerLetter"/>
      <w:lvlText w:val="(%1)"/>
      <w:legacy w:legacy="1" w:legacySpace="0" w:legacyIndent="425"/>
      <w:lvlJc w:val="left"/>
      <w:pPr>
        <w:ind w:left="1446" w:hanging="425"/>
      </w:pPr>
    </w:lvl>
  </w:abstractNum>
  <w:abstractNum w:abstractNumId="52">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577D2C86"/>
    <w:multiLevelType w:val="singleLevel"/>
    <w:tmpl w:val="97F2C8A6"/>
    <w:lvl w:ilvl="0">
      <w:start w:val="1"/>
      <w:numFmt w:val="lowerLetter"/>
      <w:lvlText w:val="(%1)"/>
      <w:legacy w:legacy="1" w:legacySpace="0" w:legacyIndent="425"/>
      <w:lvlJc w:val="left"/>
      <w:pPr>
        <w:ind w:left="1446" w:hanging="425"/>
      </w:pPr>
    </w:lvl>
  </w:abstractNum>
  <w:abstractNum w:abstractNumId="54">
    <w:nsid w:val="578F58F9"/>
    <w:multiLevelType w:val="singleLevel"/>
    <w:tmpl w:val="7074AB9C"/>
    <w:lvl w:ilvl="0">
      <w:start w:val="1"/>
      <w:numFmt w:val="lowerLetter"/>
      <w:lvlText w:val="(%1)"/>
      <w:legacy w:legacy="1" w:legacySpace="0" w:legacyIndent="425"/>
      <w:lvlJc w:val="left"/>
      <w:pPr>
        <w:ind w:left="1446" w:hanging="425"/>
      </w:pPr>
    </w:lvl>
  </w:abstractNum>
  <w:abstractNum w:abstractNumId="55">
    <w:nsid w:val="59044245"/>
    <w:multiLevelType w:val="singleLevel"/>
    <w:tmpl w:val="95E85EAA"/>
    <w:lvl w:ilvl="0">
      <w:start w:val="1"/>
      <w:numFmt w:val="lowerLetter"/>
      <w:lvlText w:val="(%1)"/>
      <w:legacy w:legacy="1" w:legacySpace="0" w:legacyIndent="425"/>
      <w:lvlJc w:val="left"/>
      <w:pPr>
        <w:ind w:left="1446" w:hanging="425"/>
      </w:pPr>
    </w:lvl>
  </w:abstractNum>
  <w:abstractNum w:abstractNumId="56">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60892A4E"/>
    <w:multiLevelType w:val="singleLevel"/>
    <w:tmpl w:val="3ED25FD4"/>
    <w:lvl w:ilvl="0">
      <w:start w:val="1"/>
      <w:numFmt w:val="lowerLetter"/>
      <w:lvlText w:val="(%1)"/>
      <w:legacy w:legacy="1" w:legacySpace="0" w:legacyIndent="0"/>
      <w:lvlJc w:val="left"/>
      <w:pPr>
        <w:ind w:left="1036" w:firstLine="0"/>
      </w:pPr>
      <w:rPr>
        <w:rFonts w:ascii="Times New Roman" w:hAnsi="Times New Roman" w:hint="default"/>
      </w:rPr>
    </w:lvl>
  </w:abstractNum>
  <w:abstractNum w:abstractNumId="59">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0">
    <w:nsid w:val="66D24505"/>
    <w:multiLevelType w:val="singleLevel"/>
    <w:tmpl w:val="23B2C6D2"/>
    <w:lvl w:ilvl="0">
      <w:start w:val="1"/>
      <w:numFmt w:val="lowerLetter"/>
      <w:lvlText w:val="(%1)"/>
      <w:legacy w:legacy="1" w:legacySpace="0" w:legacyIndent="425"/>
      <w:lvlJc w:val="left"/>
      <w:pPr>
        <w:ind w:left="1446" w:hanging="425"/>
      </w:pPr>
    </w:lvl>
  </w:abstractNum>
  <w:abstractNum w:abstractNumId="6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2">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682936FF"/>
    <w:multiLevelType w:val="singleLevel"/>
    <w:tmpl w:val="23B2C6D2"/>
    <w:lvl w:ilvl="0">
      <w:start w:val="1"/>
      <w:numFmt w:val="lowerLetter"/>
      <w:lvlText w:val="(%1)"/>
      <w:legacy w:legacy="1" w:legacySpace="0" w:legacyIndent="425"/>
      <w:lvlJc w:val="left"/>
      <w:pPr>
        <w:ind w:left="1446" w:hanging="425"/>
      </w:pPr>
    </w:lvl>
  </w:abstractNum>
  <w:abstractNum w:abstractNumId="64">
    <w:nsid w:val="6AE92D52"/>
    <w:multiLevelType w:val="singleLevel"/>
    <w:tmpl w:val="3ED25FD4"/>
    <w:lvl w:ilvl="0">
      <w:start w:val="1"/>
      <w:numFmt w:val="lowerLetter"/>
      <w:lvlText w:val="(%1)"/>
      <w:legacy w:legacy="1" w:legacySpace="0" w:legacyIndent="0"/>
      <w:lvlJc w:val="left"/>
      <w:pPr>
        <w:ind w:left="1036" w:firstLine="0"/>
      </w:pPr>
      <w:rPr>
        <w:rFonts w:ascii="Times New Roman" w:hAnsi="Times New Roman" w:hint="default"/>
      </w:rPr>
    </w:lvl>
  </w:abstractNum>
  <w:abstractNum w:abstractNumId="65">
    <w:nsid w:val="6BE321D2"/>
    <w:multiLevelType w:val="singleLevel"/>
    <w:tmpl w:val="97F2C8A6"/>
    <w:lvl w:ilvl="0">
      <w:start w:val="1"/>
      <w:numFmt w:val="lowerLetter"/>
      <w:lvlText w:val="(%1)"/>
      <w:legacy w:legacy="1" w:legacySpace="0" w:legacyIndent="425"/>
      <w:lvlJc w:val="left"/>
      <w:pPr>
        <w:ind w:left="1446" w:hanging="425"/>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6FA67002"/>
    <w:multiLevelType w:val="singleLevel"/>
    <w:tmpl w:val="C67073D2"/>
    <w:lvl w:ilvl="0">
      <w:start w:val="1"/>
      <w:numFmt w:val="lowerLetter"/>
      <w:lvlText w:val="(%1)"/>
      <w:legacy w:legacy="1" w:legacySpace="0" w:legacyIndent="425"/>
      <w:lvlJc w:val="left"/>
      <w:pPr>
        <w:ind w:left="1446" w:hanging="425"/>
      </w:pPr>
    </w:lvl>
  </w:abstractNum>
  <w:abstractNum w:abstractNumId="68">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1ED6516"/>
    <w:multiLevelType w:val="singleLevel"/>
    <w:tmpl w:val="6ED8EB7C"/>
    <w:lvl w:ilvl="0">
      <w:start w:val="1"/>
      <w:numFmt w:val="lowerLetter"/>
      <w:lvlText w:val="(%1)"/>
      <w:legacy w:legacy="1" w:legacySpace="0" w:legacyIndent="425"/>
      <w:lvlJc w:val="left"/>
      <w:pPr>
        <w:ind w:left="1446" w:hanging="425"/>
      </w:p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553558E"/>
    <w:multiLevelType w:val="singleLevel"/>
    <w:tmpl w:val="23B2C6D2"/>
    <w:lvl w:ilvl="0">
      <w:start w:val="1"/>
      <w:numFmt w:val="lowerLetter"/>
      <w:lvlText w:val="(%1)"/>
      <w:legacy w:legacy="1" w:legacySpace="0" w:legacyIndent="425"/>
      <w:lvlJc w:val="left"/>
      <w:pPr>
        <w:ind w:left="1446" w:hanging="425"/>
      </w:pPr>
    </w:lvl>
  </w:abstractNum>
  <w:abstractNum w:abstractNumId="73">
    <w:nsid w:val="770132DF"/>
    <w:multiLevelType w:val="singleLevel"/>
    <w:tmpl w:val="23B2C6D2"/>
    <w:lvl w:ilvl="0">
      <w:start w:val="1"/>
      <w:numFmt w:val="lowerLetter"/>
      <w:lvlText w:val="(%1)"/>
      <w:legacy w:legacy="1" w:legacySpace="0" w:legacyIndent="425"/>
      <w:lvlJc w:val="left"/>
      <w:pPr>
        <w:ind w:left="1446" w:hanging="425"/>
      </w:pPr>
    </w:lvl>
  </w:abstractNum>
  <w:abstractNum w:abstractNumId="74">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A427866"/>
    <w:multiLevelType w:val="singleLevel"/>
    <w:tmpl w:val="95E85EAA"/>
    <w:lvl w:ilvl="0">
      <w:start w:val="1"/>
      <w:numFmt w:val="lowerLetter"/>
      <w:lvlText w:val="(%1)"/>
      <w:legacy w:legacy="1" w:legacySpace="0" w:legacyIndent="425"/>
      <w:lvlJc w:val="left"/>
      <w:pPr>
        <w:ind w:left="1446" w:hanging="425"/>
      </w:pPr>
    </w:lvl>
  </w:abstractNum>
  <w:abstractNum w:abstractNumId="76">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33"/>
  </w:num>
  <w:num w:numId="2">
    <w:abstractNumId w:val="75"/>
  </w:num>
  <w:num w:numId="3">
    <w:abstractNumId w:val="22"/>
  </w:num>
  <w:num w:numId="4">
    <w:abstractNumId w:val="14"/>
  </w:num>
  <w:num w:numId="5">
    <w:abstractNumId w:val="23"/>
  </w:num>
  <w:num w:numId="6">
    <w:abstractNumId w:val="55"/>
  </w:num>
  <w:num w:numId="7">
    <w:abstractNumId w:val="39"/>
  </w:num>
  <w:num w:numId="8">
    <w:abstractNumId w:val="51"/>
  </w:num>
  <w:num w:numId="9">
    <w:abstractNumId w:val="10"/>
  </w:num>
  <w:num w:numId="10">
    <w:abstractNumId w:val="37"/>
  </w:num>
  <w:num w:numId="11">
    <w:abstractNumId w:val="31"/>
  </w:num>
  <w:num w:numId="12">
    <w:abstractNumId w:val="7"/>
  </w:num>
  <w:num w:numId="13">
    <w:abstractNumId w:val="26"/>
  </w:num>
  <w:num w:numId="14">
    <w:abstractNumId w:val="54"/>
  </w:num>
  <w:num w:numId="15">
    <w:abstractNumId w:val="63"/>
  </w:num>
  <w:num w:numId="16">
    <w:abstractNumId w:val="72"/>
  </w:num>
  <w:num w:numId="17">
    <w:abstractNumId w:val="38"/>
  </w:num>
  <w:num w:numId="18">
    <w:abstractNumId w:val="73"/>
  </w:num>
  <w:num w:numId="19">
    <w:abstractNumId w:val="43"/>
  </w:num>
  <w:num w:numId="20">
    <w:abstractNumId w:val="5"/>
  </w:num>
  <w:num w:numId="21">
    <w:abstractNumId w:val="15"/>
  </w:num>
  <w:num w:numId="22">
    <w:abstractNumId w:val="0"/>
    <w:lvlOverride w:ilvl="0">
      <w:lvl w:ilvl="0">
        <w:start w:val="1"/>
        <w:numFmt w:val="bullet"/>
        <w:lvlText w:val=""/>
        <w:legacy w:legacy="1" w:legacySpace="0" w:legacyIndent="510"/>
        <w:lvlJc w:val="left"/>
        <w:pPr>
          <w:ind w:left="1546" w:hanging="510"/>
        </w:pPr>
        <w:rPr>
          <w:rFonts w:ascii="Symbol" w:hAnsi="Symbol" w:hint="default"/>
        </w:rPr>
      </w:lvl>
    </w:lvlOverride>
  </w:num>
  <w:num w:numId="23">
    <w:abstractNumId w:val="9"/>
  </w:num>
  <w:num w:numId="24">
    <w:abstractNumId w:val="60"/>
  </w:num>
  <w:num w:numId="25">
    <w:abstractNumId w:val="24"/>
  </w:num>
  <w:num w:numId="26">
    <w:abstractNumId w:val="19"/>
  </w:num>
  <w:num w:numId="27">
    <w:abstractNumId w:val="28"/>
  </w:num>
  <w:num w:numId="28">
    <w:abstractNumId w:val="65"/>
  </w:num>
  <w:num w:numId="29">
    <w:abstractNumId w:val="3"/>
  </w:num>
  <w:num w:numId="30">
    <w:abstractNumId w:val="53"/>
  </w:num>
  <w:num w:numId="31">
    <w:abstractNumId w:val="69"/>
  </w:num>
  <w:num w:numId="32">
    <w:abstractNumId w:val="45"/>
  </w:num>
  <w:num w:numId="33">
    <w:abstractNumId w:val="40"/>
  </w:num>
  <w:num w:numId="34">
    <w:abstractNumId w:val="4"/>
  </w:num>
  <w:num w:numId="35">
    <w:abstractNumId w:val="32"/>
  </w:num>
  <w:num w:numId="36">
    <w:abstractNumId w:val="36"/>
  </w:num>
  <w:num w:numId="37">
    <w:abstractNumId w:val="21"/>
  </w:num>
  <w:num w:numId="38">
    <w:abstractNumId w:val="29"/>
  </w:num>
  <w:num w:numId="39">
    <w:abstractNumId w:val="30"/>
  </w:num>
  <w:num w:numId="40">
    <w:abstractNumId w:val="48"/>
  </w:num>
  <w:num w:numId="41">
    <w:abstractNumId w:val="34"/>
  </w:num>
  <w:num w:numId="42">
    <w:abstractNumId w:val="74"/>
  </w:num>
  <w:num w:numId="43">
    <w:abstractNumId w:val="1"/>
  </w:num>
  <w:num w:numId="44">
    <w:abstractNumId w:val="42"/>
  </w:num>
  <w:num w:numId="45">
    <w:abstractNumId w:val="58"/>
  </w:num>
  <w:num w:numId="46">
    <w:abstractNumId w:val="64"/>
  </w:num>
  <w:num w:numId="47">
    <w:abstractNumId w:val="25"/>
  </w:num>
  <w:num w:numId="48">
    <w:abstractNumId w:val="12"/>
  </w:num>
  <w:num w:numId="49">
    <w:abstractNumId w:val="16"/>
  </w:num>
  <w:num w:numId="50">
    <w:abstractNumId w:val="68"/>
  </w:num>
  <w:num w:numId="51">
    <w:abstractNumId w:val="20"/>
  </w:num>
  <w:num w:numId="52">
    <w:abstractNumId w:val="71"/>
  </w:num>
  <w:num w:numId="53">
    <w:abstractNumId w:val="44"/>
  </w:num>
  <w:num w:numId="54">
    <w:abstractNumId w:val="49"/>
  </w:num>
  <w:num w:numId="55">
    <w:abstractNumId w:val="6"/>
  </w:num>
  <w:num w:numId="56">
    <w:abstractNumId w:val="77"/>
  </w:num>
  <w:num w:numId="57">
    <w:abstractNumId w:val="66"/>
  </w:num>
  <w:num w:numId="58">
    <w:abstractNumId w:val="62"/>
  </w:num>
  <w:num w:numId="59">
    <w:abstractNumId w:val="8"/>
  </w:num>
  <w:num w:numId="60">
    <w:abstractNumId w:val="47"/>
  </w:num>
  <w:num w:numId="61">
    <w:abstractNumId w:val="50"/>
  </w:num>
  <w:num w:numId="62">
    <w:abstractNumId w:val="76"/>
  </w:num>
  <w:num w:numId="63">
    <w:abstractNumId w:val="57"/>
  </w:num>
  <w:num w:numId="64">
    <w:abstractNumId w:val="56"/>
  </w:num>
  <w:num w:numId="65">
    <w:abstractNumId w:val="41"/>
  </w:num>
  <w:num w:numId="66">
    <w:abstractNumId w:val="13"/>
  </w:num>
  <w:num w:numId="67">
    <w:abstractNumId w:val="11"/>
  </w:num>
  <w:num w:numId="68">
    <w:abstractNumId w:val="78"/>
  </w:num>
  <w:num w:numId="69">
    <w:abstractNumId w:val="2"/>
  </w:num>
  <w:num w:numId="70">
    <w:abstractNumId w:val="17"/>
  </w:num>
  <w:num w:numId="71">
    <w:abstractNumId w:val="70"/>
  </w:num>
  <w:num w:numId="72">
    <w:abstractNumId w:val="27"/>
  </w:num>
  <w:num w:numId="73">
    <w:abstractNumId w:val="61"/>
  </w:num>
  <w:num w:numId="74">
    <w:abstractNumId w:val="59"/>
  </w:num>
  <w:num w:numId="75">
    <w:abstractNumId w:val="35"/>
  </w:num>
  <w:num w:numId="76">
    <w:abstractNumId w:val="52"/>
  </w:num>
  <w:num w:numId="77">
    <w:abstractNumId w:val="46"/>
  </w:num>
  <w:num w:numId="78">
    <w:abstractNumId w:val="67"/>
  </w:num>
  <w:num w:numId="7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textAlignment w:val="baseline"/>
    </w:pPr>
    <w:rPr>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textAlignment w:val="baseline"/>
    </w:pPr>
    <w:rPr>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textAlignment w:val="baseline"/>
    </w:pPr>
    <w:rPr>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textAlignment w:val="baseline"/>
    </w:pPr>
    <w:rPr>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styleId="BodyText">
    <w:name w:val="Body Text"/>
    <w:basedOn w:val="Normal"/>
    <w:semiHidden/>
    <w:pPr>
      <w:spacing w:after="120"/>
    </w:pPr>
  </w:style>
  <w:style w:type="paragraph" w:customStyle="1" w:styleId="cdL1">
    <w:name w:val="cdL1"/>
    <w:basedOn w:val="Normal"/>
    <w:pPr>
      <w:widowControl w:val="0"/>
      <w:tabs>
        <w:tab w:val="clear" w:pos="1021"/>
        <w:tab w:val="clear" w:pos="1531"/>
        <w:tab w:val="clear" w:pos="2041"/>
        <w:tab w:val="left" w:pos="510"/>
      </w:tabs>
      <w:adjustRightInd/>
      <w:jc w:val="both"/>
      <w:textAlignment w:val="auto"/>
    </w:pPr>
    <w:rPr>
      <w:spacing w:val="0"/>
      <w:kern w:val="0"/>
    </w:rPr>
  </w:style>
  <w:style w:type="paragraph" w:customStyle="1" w:styleId="ad">
    <w:name w:val="横眉"/>
    <w:basedOn w:val="Header"/>
    <w:autoRedefine/>
    <w:pPr>
      <w:widowControl w:val="0"/>
      <w:tabs>
        <w:tab w:val="clear" w:pos="6124"/>
        <w:tab w:val="clear" w:pos="6634"/>
        <w:tab w:val="clear" w:pos="7144"/>
        <w:tab w:val="clear" w:pos="7655"/>
        <w:tab w:val="clear" w:pos="8165"/>
      </w:tabs>
      <w:adjustRightInd/>
      <w:spacing w:line="160" w:lineRule="exact"/>
      <w:textAlignment w:val="auto"/>
    </w:pPr>
    <w:rPr>
      <w:rFonts w:ascii="Courier New" w:hAnsi="Courier New"/>
      <w:kern w:val="0"/>
    </w:rPr>
  </w:style>
  <w:style w:type="paragraph" w:styleId="PlainText">
    <w:name w:val="Plain Text"/>
    <w:basedOn w:val="Normal"/>
    <w:semiHidden/>
    <w:pPr>
      <w:tabs>
        <w:tab w:val="clear" w:pos="1021"/>
        <w:tab w:val="clear" w:pos="1531"/>
        <w:tab w:val="clear" w:pos="2041"/>
        <w:tab w:val="left" w:pos="510"/>
      </w:tabs>
      <w:snapToGrid w:val="0"/>
      <w:jc w:val="both"/>
      <w:textAlignment w:val="auto"/>
    </w:pPr>
    <w:rPr>
      <w:rFonts w:ascii="SimSun" w:hAnsi="Courier New"/>
      <w:snapToGrid w:val="0"/>
      <w:kern w:val="0"/>
      <w:sz w:val="21"/>
    </w:rPr>
  </w:style>
  <w:style w:type="paragraph" w:customStyle="1" w:styleId="ae">
    <w:name w:val="尾注文字"/>
    <w:basedOn w:val="FootnoteText"/>
    <w:pPr>
      <w:widowControl w:val="0"/>
      <w:tabs>
        <w:tab w:val="left" w:pos="510"/>
        <w:tab w:val="left" w:pos="1021"/>
        <w:tab w:val="left" w:pos="1531"/>
        <w:tab w:val="left" w:pos="2041"/>
      </w:tabs>
      <w:spacing w:line="288" w:lineRule="atLeast"/>
    </w:pPr>
    <w:rPr>
      <w:rFonts w:ascii="长城楷体"/>
      <w:kern w:val="0"/>
    </w:rPr>
  </w:style>
  <w:style w:type="paragraph" w:customStyle="1" w:styleId="af">
    <w:name w:val="宏"/>
    <w:pPr>
      <w:widowControl w:val="0"/>
      <w:tabs>
        <w:tab w:val="left" w:pos="480"/>
        <w:tab w:val="left" w:pos="960"/>
        <w:tab w:val="left" w:pos="1440"/>
        <w:tab w:val="left" w:pos="1920"/>
        <w:tab w:val="left" w:pos="2400"/>
        <w:tab w:val="left" w:pos="2880"/>
        <w:tab w:val="left" w:pos="3360"/>
        <w:tab w:val="left" w:pos="3840"/>
        <w:tab w:val="left" w:pos="4320"/>
      </w:tabs>
      <w:adjustRightInd w:val="0"/>
      <w:textAlignment w:val="baseline"/>
    </w:pPr>
    <w:rPr>
      <w:rFonts w:ascii="SimSu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1742</TotalTime>
  <Pages>1</Pages>
  <Words>15695</Words>
  <Characters>89463</Characters>
  <Application>Microsoft Office Word</Application>
  <DocSecurity>4</DocSecurity>
  <Lines>745</Lines>
  <Paragraphs>178</Paragraphs>
  <ScaleCrop>false</ScaleCrop>
  <HeadingPairs>
    <vt:vector size="2" baseType="variant">
      <vt:variant>
        <vt:lpstr>Title</vt:lpstr>
      </vt:variant>
      <vt:variant>
        <vt:i4>1</vt:i4>
      </vt:variant>
    </vt:vector>
  </HeadingPairs>
  <TitlesOfParts>
    <vt:vector size="1" baseType="lpstr">
      <vt:lpstr>..</vt:lpstr>
    </vt:vector>
  </TitlesOfParts>
  <Company>ONU</Company>
  <LinksUpToDate>false</LinksUpToDate>
  <CharactersWithSpaces>109866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NIU</dc:creator>
  <cp:keywords/>
  <cp:lastModifiedBy>STAPFER</cp:lastModifiedBy>
  <cp:revision>61</cp:revision>
  <cp:lastPrinted>2000-01-27T13:20:00Z</cp:lastPrinted>
  <dcterms:created xsi:type="dcterms:W3CDTF">2000-01-13T07:50:00Z</dcterms:created>
  <dcterms:modified xsi:type="dcterms:W3CDTF">2000-01-28T13:40:00Z</dcterms:modified>
</cp:coreProperties>
</file>