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36695" w:rsidRDefault="00136695">
      <w:pPr>
        <w:spacing w:line="240" w:lineRule="auto"/>
        <w:rPr>
          <w:sz w:val="6"/>
        </w:rPr>
        <w:sectPr w:rsidR="00136695">
          <w:headerReference w:type="even" r:id="rId7"/>
          <w:headerReference w:type="default" r:id="rId8"/>
          <w:footerReference w:type="even" r:id="rId9"/>
          <w:footerReference w:type="default" r:id="rId10"/>
          <w:headerReference w:type="first" r:id="rId11"/>
          <w:footerReference w:type="first" r:id="rId12"/>
          <w:type w:val="continuous"/>
          <w:pgSz w:w="12240" w:h="15840" w:code="1"/>
          <w:pgMar w:top="1742" w:right="1195" w:bottom="1898" w:left="1195" w:header="576" w:footer="1030" w:gutter="0"/>
          <w:pgNumType w:start="1"/>
          <w:cols w:space="720"/>
          <w:noEndnote/>
          <w:titlePg/>
          <w:docGrid w:linePitch="209"/>
        </w:sectPr>
      </w:pPr>
      <w:r>
        <w:rPr>
          <w:sz w:val="6"/>
        </w:rPr>
        <w:t>@</w:t>
      </w:r>
      <w:r>
        <w:rPr>
          <w:rStyle w:val="CommentReference"/>
          <w:vanish/>
        </w:rPr>
        <w:commentReference w:id="0"/>
      </w:r>
    </w:p>
    <w:p w:rsidR="00136695" w:rsidRDefault="00136695">
      <w:pPr>
        <w:pStyle w:val="H1"/>
      </w:pPr>
      <w:r>
        <w:t>Comité para la Eliminación de la Discriminación</w:t>
      </w:r>
      <w:r>
        <w:br/>
        <w:t>contra la Mujer</w:t>
      </w:r>
    </w:p>
    <w:p w:rsidR="00136695" w:rsidRDefault="00136695">
      <w:pPr>
        <w:pStyle w:val="H23"/>
      </w:pPr>
      <w:r>
        <w:t>24° período de sesiones</w:t>
      </w:r>
    </w:p>
    <w:p w:rsidR="00136695" w:rsidRDefault="00136695">
      <w:pPr>
        <w:spacing w:line="240" w:lineRule="auto"/>
        <w:rPr>
          <w:sz w:val="12"/>
        </w:rPr>
      </w:pPr>
    </w:p>
    <w:p w:rsidR="00136695" w:rsidRDefault="00136695">
      <w:pPr>
        <w:pStyle w:val="H23"/>
      </w:pPr>
      <w:r>
        <w:t>Acta resumida de la 506ª sesión</w:t>
      </w:r>
    </w:p>
    <w:p w:rsidR="00136695" w:rsidRDefault="00136695">
      <w:r>
        <w:t>Celebrada en la Sede, Nueva York, el martes 30 de enero de 2001, a las 10.00 horas</w:t>
      </w:r>
    </w:p>
    <w:p w:rsidR="00136695" w:rsidRDefault="00136695">
      <w:pPr>
        <w:spacing w:line="120" w:lineRule="exact"/>
        <w:rPr>
          <w:sz w:val="10"/>
        </w:rPr>
      </w:pPr>
    </w:p>
    <w:p w:rsidR="00136695" w:rsidRDefault="00136695">
      <w:pPr>
        <w:tabs>
          <w:tab w:val="right" w:pos="950"/>
          <w:tab w:val="left" w:pos="1267"/>
          <w:tab w:val="right" w:leader="dot" w:pos="8568"/>
        </w:tabs>
        <w:ind w:right="1267"/>
      </w:pPr>
      <w:r>
        <w:rPr>
          <w:i/>
        </w:rPr>
        <w:t>Presidenta:</w:t>
      </w:r>
      <w:r>
        <w:tab/>
        <w:t>Sra. Abaka</w:t>
      </w:r>
    </w:p>
    <w:p w:rsidR="00136695" w:rsidRDefault="00136695">
      <w:pPr>
        <w:tabs>
          <w:tab w:val="right" w:pos="950"/>
          <w:tab w:val="left" w:pos="1267"/>
          <w:tab w:val="right" w:leader="dot" w:pos="8568"/>
        </w:tabs>
        <w:spacing w:line="120" w:lineRule="exact"/>
        <w:ind w:right="1267"/>
        <w:rPr>
          <w:sz w:val="10"/>
        </w:rPr>
      </w:pPr>
    </w:p>
    <w:p w:rsidR="00136695" w:rsidRDefault="00136695">
      <w:pPr>
        <w:tabs>
          <w:tab w:val="right" w:pos="950"/>
          <w:tab w:val="left" w:pos="1267"/>
          <w:tab w:val="right" w:leader="dot" w:pos="8568"/>
        </w:tabs>
        <w:spacing w:line="120" w:lineRule="exact"/>
        <w:ind w:right="1267"/>
        <w:rPr>
          <w:sz w:val="10"/>
        </w:rPr>
      </w:pPr>
    </w:p>
    <w:p w:rsidR="00136695" w:rsidRDefault="00136695">
      <w:pPr>
        <w:tabs>
          <w:tab w:val="right" w:pos="950"/>
          <w:tab w:val="left" w:pos="1267"/>
          <w:tab w:val="right" w:leader="dot" w:pos="8568"/>
        </w:tabs>
        <w:spacing w:line="120" w:lineRule="exact"/>
        <w:ind w:right="1267"/>
        <w:rPr>
          <w:sz w:val="10"/>
        </w:rPr>
      </w:pPr>
    </w:p>
    <w:p w:rsidR="00136695" w:rsidRDefault="00136695">
      <w:pPr>
        <w:pStyle w:val="HCh"/>
        <w:rPr>
          <w:b w:val="0"/>
        </w:rPr>
      </w:pPr>
      <w:r>
        <w:rPr>
          <w:b w:val="0"/>
        </w:rPr>
        <w:t>Sumario</w:t>
      </w:r>
    </w:p>
    <w:p w:rsidR="00136695" w:rsidRDefault="00136695">
      <w:pPr>
        <w:pStyle w:val="HCh"/>
        <w:spacing w:line="240" w:lineRule="auto"/>
        <w:rPr>
          <w:b w:val="0"/>
          <w:sz w:val="12"/>
        </w:rPr>
      </w:pPr>
    </w:p>
    <w:p w:rsidR="00136695" w:rsidRDefault="00136695">
      <w:pPr>
        <w:pStyle w:val="SingleTxt"/>
        <w:jc w:val="left"/>
      </w:pPr>
      <w:r>
        <w:t>Examen de los informes presentados por los Estados Partes de conformidad con</w:t>
      </w:r>
      <w:r>
        <w:br/>
        <w:t>el artículo 18 de la Convención (</w:t>
      </w:r>
      <w:r>
        <w:rPr>
          <w:i/>
          <w:iCs/>
        </w:rPr>
        <w:t>continuación</w:t>
      </w:r>
      <w:r>
        <w:t>)</w:t>
      </w:r>
    </w:p>
    <w:p w:rsidR="00136695" w:rsidRDefault="00136695">
      <w:pPr>
        <w:pStyle w:val="SingleTxt"/>
        <w:jc w:val="left"/>
        <w:sectPr w:rsidR="00136695">
          <w:type w:val="continuous"/>
          <w:pgSz w:w="12240" w:h="15840" w:code="1"/>
          <w:pgMar w:top="1742" w:right="1195" w:bottom="1898" w:left="1195" w:header="576" w:footer="1030" w:gutter="0"/>
          <w:pgNumType w:start="1"/>
          <w:cols w:space="720"/>
          <w:noEndnote/>
          <w:docGrid w:linePitch="209"/>
        </w:sectPr>
      </w:pPr>
      <w:r>
        <w:tab/>
      </w:r>
      <w:r>
        <w:rPr>
          <w:i/>
          <w:iCs/>
        </w:rPr>
        <w:t xml:space="preserve">Informe inicial de Maldivas </w:t>
      </w:r>
      <w:r>
        <w:t>(</w:t>
      </w:r>
      <w:r>
        <w:rPr>
          <w:i/>
          <w:iCs/>
        </w:rPr>
        <w:t>continuación</w:t>
      </w:r>
      <w:r>
        <w:t>)</w:t>
      </w:r>
    </w:p>
    <w:p w:rsidR="00136695" w:rsidRDefault="00136695">
      <w:pPr>
        <w:pStyle w:val="SingleTxt"/>
        <w:spacing w:after="0" w:line="240" w:lineRule="auto"/>
        <w:rPr>
          <w:i/>
          <w:iCs/>
          <w:sz w:val="2"/>
        </w:rPr>
        <w:sectPr w:rsidR="00136695">
          <w:pgSz w:w="12240" w:h="15840" w:code="1"/>
          <w:pgMar w:top="1742" w:right="1195" w:bottom="1898" w:left="1195" w:header="576" w:footer="1030" w:gutter="0"/>
          <w:cols w:space="720"/>
          <w:noEndnote/>
          <w:docGrid w:linePitch="209"/>
        </w:sectPr>
      </w:pPr>
    </w:p>
    <w:p w:rsidR="00136695" w:rsidRDefault="00136695">
      <w:pPr>
        <w:pStyle w:val="H4"/>
        <w:tabs>
          <w:tab w:val="left" w:pos="475"/>
          <w:tab w:val="left" w:pos="965"/>
          <w:tab w:val="left" w:pos="1440"/>
          <w:tab w:val="left" w:pos="1915"/>
          <w:tab w:val="left" w:pos="2405"/>
          <w:tab w:val="left" w:pos="2880"/>
          <w:tab w:val="left" w:pos="3355"/>
        </w:tabs>
        <w:ind w:left="475" w:hanging="475"/>
      </w:pPr>
      <w:r>
        <w:t>Se declara abierta la sesión a las 10.15 horas.</w:t>
      </w:r>
    </w:p>
    <w:p w:rsidR="00136695" w:rsidRDefault="00136695">
      <w:pPr>
        <w:pStyle w:val="DualTxt"/>
        <w:spacing w:after="0" w:line="120" w:lineRule="exact"/>
        <w:rPr>
          <w:sz w:val="10"/>
        </w:rPr>
      </w:pPr>
    </w:p>
    <w:p w:rsidR="00136695" w:rsidRDefault="00136695">
      <w:pPr>
        <w:spacing w:line="120" w:lineRule="exact"/>
        <w:rPr>
          <w:b/>
          <w:bCs/>
          <w:sz w:val="10"/>
        </w:rPr>
      </w:pPr>
    </w:p>
    <w:p w:rsidR="00136695" w:rsidRDefault="00136695">
      <w:pPr>
        <w:pStyle w:val="H23"/>
        <w:tabs>
          <w:tab w:val="right" w:pos="360"/>
          <w:tab w:val="left" w:pos="475"/>
          <w:tab w:val="left" w:pos="965"/>
          <w:tab w:val="left" w:pos="1440"/>
          <w:tab w:val="left" w:pos="1915"/>
          <w:tab w:val="left" w:pos="2405"/>
          <w:tab w:val="left" w:pos="2880"/>
          <w:tab w:val="left" w:pos="3355"/>
        </w:tabs>
      </w:pPr>
      <w:r>
        <w:t xml:space="preserve">Examen de los informes presentados por los </w:t>
      </w:r>
      <w:r>
        <w:br/>
        <w:t xml:space="preserve">Estados Partes de conformidad con el artículo 18 </w:t>
      </w:r>
      <w:r>
        <w:br/>
        <w:t xml:space="preserve">de la Convención </w:t>
      </w:r>
      <w:r>
        <w:rPr>
          <w:b w:val="0"/>
          <w:bCs/>
        </w:rPr>
        <w:t>(</w:t>
      </w:r>
      <w:r>
        <w:rPr>
          <w:b w:val="0"/>
          <w:bCs/>
          <w:i/>
          <w:iCs/>
        </w:rPr>
        <w:t>continuación</w:t>
      </w:r>
      <w:r>
        <w:rPr>
          <w:b w:val="0"/>
          <w:bCs/>
        </w:rPr>
        <w:t>)</w:t>
      </w:r>
    </w:p>
    <w:p w:rsidR="00136695" w:rsidRDefault="00136695">
      <w:pPr>
        <w:spacing w:line="120" w:lineRule="exact"/>
        <w:rPr>
          <w:sz w:val="10"/>
        </w:rPr>
      </w:pPr>
    </w:p>
    <w:p w:rsidR="00136695" w:rsidRDefault="00136695">
      <w:pPr>
        <w:pStyle w:val="H4"/>
        <w:tabs>
          <w:tab w:val="right" w:pos="360"/>
          <w:tab w:val="left" w:pos="475"/>
          <w:tab w:val="left" w:pos="965"/>
          <w:tab w:val="left" w:pos="1440"/>
          <w:tab w:val="left" w:pos="1915"/>
          <w:tab w:val="left" w:pos="2405"/>
          <w:tab w:val="left" w:pos="2880"/>
          <w:tab w:val="left" w:pos="3355"/>
        </w:tabs>
        <w:ind w:left="475" w:hanging="475"/>
        <w:rPr>
          <w:i w:val="0"/>
          <w:iCs/>
        </w:rPr>
      </w:pPr>
      <w:r>
        <w:tab/>
      </w:r>
      <w:r>
        <w:tab/>
        <w:t xml:space="preserve">Informe inicial de Maldivas </w:t>
      </w:r>
      <w:r>
        <w:rPr>
          <w:i w:val="0"/>
          <w:iCs/>
        </w:rPr>
        <w:t>(</w:t>
      </w:r>
      <w:r>
        <w:t>continuación</w:t>
      </w:r>
      <w:r>
        <w:rPr>
          <w:i w:val="0"/>
          <w:iCs/>
        </w:rPr>
        <w:t>) (CEDAW/C/MDV/1)</w:t>
      </w:r>
    </w:p>
    <w:p w:rsidR="00136695" w:rsidRDefault="00136695">
      <w:pPr>
        <w:pStyle w:val="DualTxt"/>
        <w:spacing w:after="0" w:line="120" w:lineRule="exact"/>
        <w:rPr>
          <w:i/>
          <w:iCs/>
          <w:sz w:val="10"/>
        </w:rPr>
      </w:pPr>
    </w:p>
    <w:p w:rsidR="00136695" w:rsidRDefault="00136695">
      <w:pPr>
        <w:pStyle w:val="DualTxt"/>
        <w:numPr>
          <w:ilvl w:val="0"/>
          <w:numId w:val="7"/>
        </w:numPr>
        <w:tabs>
          <w:tab w:val="clear" w:pos="960"/>
          <w:tab w:val="left" w:pos="475"/>
          <w:tab w:val="left" w:pos="965"/>
        </w:tabs>
        <w:rPr>
          <w:i/>
          <w:iCs/>
        </w:rPr>
      </w:pPr>
      <w:r>
        <w:rPr>
          <w:i/>
          <w:iCs/>
        </w:rPr>
        <w:t xml:space="preserve">Por invitación de la Presidenta, la Sra.Ahmed (Maldivas) ocupa un lugar en la mesa del Comité. </w:t>
      </w:r>
    </w:p>
    <w:p w:rsidR="00136695" w:rsidRDefault="00136695">
      <w:pPr>
        <w:pStyle w:val="DualTxt"/>
        <w:numPr>
          <w:ilvl w:val="0"/>
          <w:numId w:val="7"/>
        </w:numPr>
        <w:tabs>
          <w:tab w:val="clear" w:pos="960"/>
          <w:tab w:val="left" w:pos="475"/>
          <w:tab w:val="left" w:pos="965"/>
        </w:tabs>
      </w:pPr>
      <w:r>
        <w:rPr>
          <w:b/>
          <w:bCs/>
        </w:rPr>
        <w:t>La Sra. Ahmed</w:t>
      </w:r>
      <w:r>
        <w:t xml:space="preserve"> (Maldivas), al responder a las preguntas formuladas por el Comité, con referencia a la reserva de Maldivas a la Convención dice que la Con</w:t>
      </w:r>
      <w:r>
        <w:t>s</w:t>
      </w:r>
      <w:r>
        <w:t>titución ha sido revisada por un consejo constit</w:t>
      </w:r>
      <w:r>
        <w:t>u</w:t>
      </w:r>
      <w:r>
        <w:t>cional elegido, que votó por mayoría de dos tercios a favor de retener las disposiciones constitucionales que establ</w:t>
      </w:r>
      <w:r>
        <w:t>e</w:t>
      </w:r>
      <w:r>
        <w:t>cen que el Presidente y el Vicepresidente deben ser hombres. La necesidad de respetar la voluntad de la mayoría en una democracia no excluye la posibilidad de eliminar esas disposiciones en una futura ronda de reforma constitucional. De la misma manera, la rev</w:t>
      </w:r>
      <w:r>
        <w:t>i</w:t>
      </w:r>
      <w:r>
        <w:t>sión reciente de la Ley de la Familia ofrece mot</w:t>
      </w:r>
      <w:r>
        <w:t>i</w:t>
      </w:r>
      <w:r>
        <w:t>vos de esperanza de que, a medida que evolucionen las actitudes, se puedan resolver los conflictos entre el a</w:t>
      </w:r>
      <w:r>
        <w:t>r</w:t>
      </w:r>
      <w:r>
        <w:t>tículo 16 de la Convención y la legislación de Maldivas y retirar la reserva de Maldivas.</w:t>
      </w:r>
      <w:r>
        <w:rPr>
          <w:i/>
          <w:iCs/>
        </w:rPr>
        <w:t xml:space="preserve"> </w:t>
      </w:r>
      <w:r>
        <w:t>La oradora se compl</w:t>
      </w:r>
      <w:r>
        <w:t>a</w:t>
      </w:r>
      <w:r>
        <w:t>ce en señalar que la Constitución contiene un capít</w:t>
      </w:r>
      <w:r>
        <w:t>u</w:t>
      </w:r>
      <w:r>
        <w:t>lo sobre los derechos y deberes fundamentales de los ciudad</w:t>
      </w:r>
      <w:r>
        <w:t>a</w:t>
      </w:r>
      <w:r>
        <w:t xml:space="preserve">nos. </w:t>
      </w:r>
    </w:p>
    <w:p w:rsidR="00136695" w:rsidRDefault="00136695">
      <w:pPr>
        <w:pStyle w:val="DualTxt"/>
        <w:numPr>
          <w:ilvl w:val="0"/>
          <w:numId w:val="7"/>
        </w:numPr>
        <w:tabs>
          <w:tab w:val="clear" w:pos="960"/>
          <w:tab w:val="left" w:pos="475"/>
          <w:tab w:val="left" w:pos="965"/>
        </w:tabs>
      </w:pPr>
      <w:r>
        <w:t>Respecto de la producción de una mayor cantidad de datos estadísticos en Maldivas, observa que varios ministerios han creado sitios en la web con el propósito de facilitar el acceso a esa información. Se puede i</w:t>
      </w:r>
      <w:r>
        <w:t>n</w:t>
      </w:r>
      <w:r>
        <w:t>gresar al anuario estadístico compilado</w:t>
      </w:r>
      <w:r>
        <w:rPr>
          <w:i/>
          <w:iCs/>
        </w:rPr>
        <w:t xml:space="preserve"> </w:t>
      </w:r>
      <w:r>
        <w:t xml:space="preserve">manualmente en el sitio del Ministerio de Planificación en la web. </w:t>
      </w:r>
    </w:p>
    <w:p w:rsidR="00136695" w:rsidRDefault="00136695">
      <w:pPr>
        <w:pStyle w:val="DualTxt"/>
        <w:numPr>
          <w:ilvl w:val="0"/>
          <w:numId w:val="7"/>
        </w:numPr>
        <w:tabs>
          <w:tab w:val="clear" w:pos="960"/>
          <w:tab w:val="left" w:pos="475"/>
          <w:tab w:val="left" w:pos="965"/>
          <w:tab w:val="left" w:pos="1440"/>
          <w:tab w:val="left" w:pos="1915"/>
          <w:tab w:val="left" w:pos="2405"/>
          <w:tab w:val="left" w:pos="2880"/>
          <w:tab w:val="left" w:pos="3355"/>
        </w:tabs>
      </w:pPr>
      <w:r>
        <w:t>Los tribunales de primera instancia comprenden a los tribunales penales, tribunales civiles, tribunales de relaciones familiares, tribunales de menores y tribun</w:t>
      </w:r>
      <w:r>
        <w:t>a</w:t>
      </w:r>
      <w:r>
        <w:t>les insulares. Todas las apelaciones se remiten a la Co</w:t>
      </w:r>
      <w:r>
        <w:t>r</w:t>
      </w:r>
      <w:r>
        <w:t>te Superior. Los ciudadanos tienen derecho a dirigir una instancia al Presidente para pedirle que rechace una decisión de la Corte Superior. No existe una ofic</w:t>
      </w:r>
      <w:r>
        <w:t>i</w:t>
      </w:r>
      <w:r>
        <w:t>na de defensor del pueblo, pero las personas que tengan algún motivo de queja</w:t>
      </w:r>
      <w:r>
        <w:rPr>
          <w:i/>
          <w:iCs/>
        </w:rPr>
        <w:t xml:space="preserve"> </w:t>
      </w:r>
      <w:r>
        <w:t>pueden presentar una petición al ministerio competente. Existe además una Junta de L</w:t>
      </w:r>
      <w:r>
        <w:t>u</w:t>
      </w:r>
      <w:r>
        <w:t xml:space="preserve">cha contra la Corrupción, que examina casos de abuso de autoridad y de malversación de fondos. </w:t>
      </w:r>
    </w:p>
    <w:p w:rsidR="00136695" w:rsidRDefault="00136695">
      <w:pPr>
        <w:pStyle w:val="DualTxt"/>
        <w:numPr>
          <w:ilvl w:val="0"/>
          <w:numId w:val="7"/>
        </w:numPr>
        <w:tabs>
          <w:tab w:val="clear" w:pos="960"/>
          <w:tab w:val="left" w:pos="475"/>
          <w:tab w:val="left" w:pos="965"/>
          <w:tab w:val="left" w:pos="1440"/>
          <w:tab w:val="left" w:pos="1915"/>
          <w:tab w:val="left" w:pos="2405"/>
          <w:tab w:val="left" w:pos="2880"/>
          <w:tab w:val="left" w:pos="3355"/>
        </w:tabs>
      </w:pPr>
      <w:r>
        <w:t xml:space="preserve">La Convención ha sido traducida al idioma oficial nativo Dhivehi y ha sido </w:t>
      </w:r>
      <w:r w:rsidR="00795151">
        <w:t>distribuida</w:t>
      </w:r>
      <w:r>
        <w:t xml:space="preserve"> en todas las islas. </w:t>
      </w:r>
    </w:p>
    <w:p w:rsidR="00136695" w:rsidRDefault="00136695">
      <w:pPr>
        <w:pStyle w:val="DualTxt"/>
        <w:numPr>
          <w:ilvl w:val="0"/>
          <w:numId w:val="7"/>
        </w:numPr>
        <w:tabs>
          <w:tab w:val="clear" w:pos="960"/>
          <w:tab w:val="left" w:pos="475"/>
          <w:tab w:val="left" w:pos="965"/>
          <w:tab w:val="left" w:pos="1440"/>
          <w:tab w:val="left" w:pos="1915"/>
          <w:tab w:val="left" w:pos="2405"/>
          <w:tab w:val="left" w:pos="2880"/>
          <w:tab w:val="left" w:pos="3355"/>
        </w:tabs>
      </w:pPr>
      <w:r>
        <w:t>El mecanismo nacional para el adelanto de la m</w:t>
      </w:r>
      <w:r>
        <w:t>u</w:t>
      </w:r>
      <w:r>
        <w:t>jer comprende al Ministerio de Asuntos de la Mujer y Seguridad Social, el Consejo para la Igualdad de Gén</w:t>
      </w:r>
      <w:r>
        <w:t>e</w:t>
      </w:r>
      <w:r>
        <w:t>ro y los comités de mujeres insulares y de distrito ele</w:t>
      </w:r>
      <w:r>
        <w:t>c</w:t>
      </w:r>
      <w:r>
        <w:t>toral. El Vicepresidente del Consejo es el Ministro de Asuntos de la Mujer y Seguridad Social. Entre sus miembros hay representantes de los ministerios gube</w:t>
      </w:r>
      <w:r>
        <w:t>r</w:t>
      </w:r>
      <w:r>
        <w:t>namentales, organizaciones no gubernamentales y del Colegio de Enseñanza Superior, y existen planes para lograr la participación de representantes de la comun</w:t>
      </w:r>
      <w:r>
        <w:t>i</w:t>
      </w:r>
      <w:r>
        <w:t xml:space="preserve">dad empresarial. </w:t>
      </w:r>
    </w:p>
    <w:p w:rsidR="00136695" w:rsidRDefault="00136695">
      <w:pPr>
        <w:pStyle w:val="DualTxt"/>
        <w:numPr>
          <w:ilvl w:val="0"/>
          <w:numId w:val="7"/>
        </w:numPr>
        <w:tabs>
          <w:tab w:val="clear" w:pos="960"/>
          <w:tab w:val="left" w:pos="475"/>
          <w:tab w:val="left" w:pos="965"/>
          <w:tab w:val="left" w:pos="1440"/>
          <w:tab w:val="left" w:pos="1915"/>
          <w:tab w:val="left" w:pos="2405"/>
          <w:tab w:val="left" w:pos="2880"/>
          <w:tab w:val="left" w:pos="3355"/>
        </w:tabs>
      </w:pPr>
      <w:r>
        <w:t>Los comités de mujeres insulares y de distrito electoral son de distintas dimensiones, tienen aprox</w:t>
      </w:r>
      <w:r>
        <w:t>i</w:t>
      </w:r>
      <w:r>
        <w:t>madamente de 10 a 40 miembros, dependiendo del t</w:t>
      </w:r>
      <w:r>
        <w:t>a</w:t>
      </w:r>
      <w:r>
        <w:t>maño de la comunidad de que se trate. Los miembros son elegidos por las mujeres de la isla o distrito elect</w:t>
      </w:r>
      <w:r>
        <w:t>o</w:t>
      </w:r>
      <w:r>
        <w:t>ral respectivo. Cualquier mujer mayor de 18 años pu</w:t>
      </w:r>
      <w:r>
        <w:t>e</w:t>
      </w:r>
      <w:r>
        <w:t xml:space="preserve">de candidatear en las elecciones. Los comités presentan informes semestrales al Ministerio de Asuntos de la Mujer y Seguridad Social, que les proporciona apoyo financiero y, a veces, técnico. </w:t>
      </w:r>
    </w:p>
    <w:p w:rsidR="00136695" w:rsidRDefault="00136695">
      <w:pPr>
        <w:pStyle w:val="DualTxt"/>
        <w:numPr>
          <w:ilvl w:val="0"/>
          <w:numId w:val="7"/>
        </w:numPr>
        <w:tabs>
          <w:tab w:val="clear" w:pos="960"/>
          <w:tab w:val="left" w:pos="475"/>
          <w:tab w:val="left" w:pos="965"/>
          <w:tab w:val="left" w:pos="1440"/>
          <w:tab w:val="left" w:pos="1915"/>
          <w:tab w:val="left" w:pos="2405"/>
          <w:tab w:val="left" w:pos="2880"/>
          <w:tab w:val="left" w:pos="3355"/>
        </w:tabs>
      </w:pPr>
      <w:r>
        <w:t>El Ministerio tiene una plantilla de 60 empleados de dedicación exclusiva y un presupuesto de 26,6 m</w:t>
      </w:r>
      <w:r>
        <w:t>i</w:t>
      </w:r>
      <w:r>
        <w:t>llones de rufiyaa, de los cuales se separan 6 millones de rufiyaa</w:t>
      </w:r>
      <w:r>
        <w:rPr>
          <w:i/>
          <w:iCs/>
        </w:rPr>
        <w:t xml:space="preserve"> </w:t>
      </w:r>
      <w:r>
        <w:t>para actividades dedicadas a mejorar la co</w:t>
      </w:r>
      <w:r>
        <w:t>n</w:t>
      </w:r>
      <w:r>
        <w:t>dición de la mujer. Entre esas actividades están pr</w:t>
      </w:r>
      <w:r>
        <w:t>o</w:t>
      </w:r>
      <w:r>
        <w:t>gramas destinados a impartir conocimientos legales b</w:t>
      </w:r>
      <w:r>
        <w:t>á</w:t>
      </w:r>
      <w:r>
        <w:t>sicos; promover temas tales como la representación p</w:t>
      </w:r>
      <w:r>
        <w:t>o</w:t>
      </w:r>
      <w:r>
        <w:t>lítica de las mujeres, la mujer y la salud, la violencia contra la mujer y la mujer y la educación; ejecutar in</w:t>
      </w:r>
      <w:r>
        <w:t>i</w:t>
      </w:r>
      <w:r>
        <w:t>ciativas para mejorar la condición económica de las mujeres; realizar actividades complementarias del Plan de Acción del Commonwealth sobre el Género y el D</w:t>
      </w:r>
      <w:r>
        <w:t>e</w:t>
      </w:r>
      <w:r>
        <w:t>sarrollo y del Plan de Acción Nacional para la Aplic</w:t>
      </w:r>
      <w:r>
        <w:t>a</w:t>
      </w:r>
      <w:r>
        <w:t>ción de la</w:t>
      </w:r>
      <w:r>
        <w:rPr>
          <w:i/>
          <w:iCs/>
        </w:rPr>
        <w:t xml:space="preserve"> </w:t>
      </w:r>
      <w:r>
        <w:t>Plataforma de Acción de Beijing y progr</w:t>
      </w:r>
      <w:r>
        <w:t>a</w:t>
      </w:r>
      <w:r>
        <w:t xml:space="preserve">mas de capacitación y educación. </w:t>
      </w:r>
    </w:p>
    <w:p w:rsidR="00136695" w:rsidRDefault="00136695">
      <w:pPr>
        <w:pStyle w:val="DualTxt"/>
        <w:numPr>
          <w:ilvl w:val="0"/>
          <w:numId w:val="7"/>
        </w:numPr>
        <w:tabs>
          <w:tab w:val="clear" w:pos="960"/>
          <w:tab w:val="left" w:pos="475"/>
          <w:tab w:val="left" w:pos="965"/>
          <w:tab w:val="left" w:pos="1440"/>
          <w:tab w:val="left" w:pos="1915"/>
          <w:tab w:val="left" w:pos="2405"/>
          <w:tab w:val="left" w:pos="2880"/>
          <w:tab w:val="left" w:pos="3355"/>
        </w:tabs>
      </w:pPr>
      <w:r>
        <w:t>El informe inicial de Maldivas fue preparado por un consultor independiente en base a la información proporcionada por los comités de mujeres insulares y de distritos electorales y tras celebrar consulta</w:t>
      </w:r>
      <w:r>
        <w:rPr>
          <w:i/>
          <w:iCs/>
        </w:rPr>
        <w:t xml:space="preserve">s </w:t>
      </w:r>
      <w:r>
        <w:t>con d</w:t>
      </w:r>
      <w:r>
        <w:t>i</w:t>
      </w:r>
      <w:r>
        <w:t>chos comités y con el antiguo Consejo Nacional de Mujeres. No hubo participación directa de organizaci</w:t>
      </w:r>
      <w:r>
        <w:t>o</w:t>
      </w:r>
      <w:r>
        <w:t xml:space="preserve">nes no gubernamentales. Cabe señalar, a ese respecto, que en Maldivas hay únicamente dos organizaciones no gubernamentales de mujeres y que el concepto de que dichas organizaciones actúen como grupos de presión es relativamente nuevo. </w:t>
      </w:r>
    </w:p>
    <w:p w:rsidR="00136695" w:rsidRDefault="00136695">
      <w:pPr>
        <w:pStyle w:val="DualTxt"/>
        <w:numPr>
          <w:ilvl w:val="0"/>
          <w:numId w:val="7"/>
        </w:numPr>
        <w:tabs>
          <w:tab w:val="clear" w:pos="960"/>
          <w:tab w:val="left" w:pos="475"/>
          <w:tab w:val="left" w:pos="965"/>
          <w:tab w:val="left" w:pos="1440"/>
          <w:tab w:val="left" w:pos="1915"/>
          <w:tab w:val="left" w:pos="2405"/>
          <w:tab w:val="left" w:pos="2880"/>
          <w:tab w:val="left" w:pos="3355"/>
        </w:tabs>
      </w:pPr>
      <w:r>
        <w:t>Los objetivos de la Política Nacional para la M</w:t>
      </w:r>
      <w:r>
        <w:t>u</w:t>
      </w:r>
      <w:r>
        <w:t>jer son la incorporación de las mujeres en la corriente principal de las actividades económicas, la integración de sus necesidades en la planificación del desarrollo, el logro de la igualdad entre hombres y mujeres en fu</w:t>
      </w:r>
      <w:r>
        <w:t>n</w:t>
      </w:r>
      <w:r>
        <w:t>ción del acceso a los recursos, la información, las opo</w:t>
      </w:r>
      <w:r>
        <w:t>r</w:t>
      </w:r>
      <w:r>
        <w:t>tunidades y el poder; la concientización respecto de los temas de género de personas de todos los niveles; el reconocimiento de la importancia económica de las l</w:t>
      </w:r>
      <w:r>
        <w:t>a</w:t>
      </w:r>
      <w:r>
        <w:t>bores domésticas de la mujer; la creación y ampliación de oportunidades de generar ingresos para las mujeres con miras a que sean económica y socialmente ind</w:t>
      </w:r>
      <w:r>
        <w:t>e</w:t>
      </w:r>
      <w:r>
        <w:t>pendientes</w:t>
      </w:r>
      <w:r>
        <w:rPr>
          <w:i/>
          <w:iCs/>
        </w:rPr>
        <w:t xml:space="preserve"> </w:t>
      </w:r>
      <w:r>
        <w:t>y de permitirles la posibilidad de elegir en cue</w:t>
      </w:r>
      <w:r>
        <w:t>s</w:t>
      </w:r>
      <w:r>
        <w:t>tiones que afectan a su bienestar; el incremento del empleo y de puestos en el sector público para la mujer, en particular en el plano de adopción de decisiones y la mejora de la salud, la condición nutricional y social de las mujeres. Con el propósito de alcanzar esos objet</w:t>
      </w:r>
      <w:r>
        <w:t>i</w:t>
      </w:r>
      <w:r>
        <w:t>vos, el Gobierno de Maldivas viene, entre otras cosas, fortaleciendo el mecanismo nacional para el adelanto de la mujer y promoviendo la cooperación con organ</w:t>
      </w:r>
      <w:r>
        <w:t>i</w:t>
      </w:r>
      <w:r>
        <w:t xml:space="preserve">zaciones no gubernamentales. </w:t>
      </w:r>
    </w:p>
    <w:p w:rsidR="00136695" w:rsidRDefault="00136695">
      <w:pPr>
        <w:pStyle w:val="DualTxt"/>
        <w:numPr>
          <w:ilvl w:val="0"/>
          <w:numId w:val="7"/>
        </w:numPr>
        <w:tabs>
          <w:tab w:val="clear" w:pos="960"/>
          <w:tab w:val="left" w:pos="475"/>
          <w:tab w:val="left" w:pos="965"/>
        </w:tabs>
      </w:pPr>
      <w:r>
        <w:t>En cuanto al Plan de Acción Nacional para la Aplicación de la Plataforma de Acción de Beijing, la oradora señala que un comité ha examinado las 12 e</w:t>
      </w:r>
      <w:r>
        <w:t>s</w:t>
      </w:r>
      <w:r>
        <w:t>feras críticas de preocupación determinadas en la Plat</w:t>
      </w:r>
      <w:r>
        <w:t>a</w:t>
      </w:r>
      <w:r>
        <w:t>forma de Acción de Beijing con el propósito de ident</w:t>
      </w:r>
      <w:r>
        <w:t>i</w:t>
      </w:r>
      <w:r>
        <w:t>ficar las más pertinentes para Maldivas. A fines de 2000 se finalizó el Plan de Acción Nacional que fue presentado al Gobierno para su aprobación. Uno de los grandes problemas que presenta la aplicación de la Pl</w:t>
      </w:r>
      <w:r>
        <w:t>a</w:t>
      </w:r>
      <w:r>
        <w:t>taforma de Acción de Beijing y del Plan de Acción del Commonwealth sobre el Género y el Desarrollo es la aguda escasez de expertos en género en Maldivas. El Gobierno del país tiene la esperanza de que la Secret</w:t>
      </w:r>
      <w:r>
        <w:t>a</w:t>
      </w:r>
      <w:r>
        <w:t>ría del Commonwealth o las Naciones Unidas propo</w:t>
      </w:r>
      <w:r>
        <w:t>r</w:t>
      </w:r>
      <w:r>
        <w:t>cionen los recursos económicos necesarios para contr</w:t>
      </w:r>
      <w:r>
        <w:t>a</w:t>
      </w:r>
      <w:r>
        <w:t>tar uno o dos consultores mientras se refuerza la cap</w:t>
      </w:r>
      <w:r>
        <w:t>a</w:t>
      </w:r>
      <w:r>
        <w:t xml:space="preserve">cidad técnica necesaria en el Ministerio de Asuntos de la Mujer y Seguridad Social. </w:t>
      </w:r>
    </w:p>
    <w:p w:rsidR="00136695" w:rsidRDefault="00136695">
      <w:pPr>
        <w:pStyle w:val="DualTxt"/>
        <w:numPr>
          <w:ilvl w:val="0"/>
          <w:numId w:val="7"/>
        </w:numPr>
        <w:tabs>
          <w:tab w:val="clear" w:pos="960"/>
          <w:tab w:val="left" w:pos="475"/>
          <w:tab w:val="left" w:pos="965"/>
          <w:tab w:val="left" w:pos="1440"/>
          <w:tab w:val="left" w:pos="1915"/>
          <w:tab w:val="left" w:pos="2405"/>
          <w:tab w:val="left" w:pos="2880"/>
          <w:tab w:val="left" w:pos="3355"/>
        </w:tabs>
      </w:pPr>
      <w:r>
        <w:t>El Ministerio organiza seminarios en las comun</w:t>
      </w:r>
      <w:r>
        <w:t>i</w:t>
      </w:r>
      <w:r>
        <w:t>dades y campañas en los medios de información a fin de despertar la conciencia respecto del concepto de la igualdad entre hombres y mujeres y de la legislación que protege los derechos de la mujer. Además de poner en práctica iniciativas para eliminar de los textos esc</w:t>
      </w:r>
      <w:r>
        <w:t>o</w:t>
      </w:r>
      <w:r>
        <w:t>lares las presentaciones estereotípicas de hombres y mujeres, el Ministerio trabaja estrechamente con las e</w:t>
      </w:r>
      <w:r>
        <w:t>s</w:t>
      </w:r>
      <w:r>
        <w:t>taciones nacionales de televisión y radio a fin de as</w:t>
      </w:r>
      <w:r>
        <w:t>e</w:t>
      </w:r>
      <w:r>
        <w:t>gurarse de que en sus productos se exprese mayor se</w:t>
      </w:r>
      <w:r>
        <w:t>n</w:t>
      </w:r>
      <w:r>
        <w:t>sibilidad en cuanto al género. El Ministerio tiene el propósito de ofrecer capacitación en materia de sens</w:t>
      </w:r>
      <w:r>
        <w:t>i</w:t>
      </w:r>
      <w:r>
        <w:t xml:space="preserve">bilidad de género para los medios impresos en 2001, siempre que obtenga la asistencia externa suficiente. </w:t>
      </w:r>
    </w:p>
    <w:p w:rsidR="00136695" w:rsidRDefault="00136695">
      <w:pPr>
        <w:pStyle w:val="DualTxt"/>
        <w:numPr>
          <w:ilvl w:val="0"/>
          <w:numId w:val="7"/>
        </w:numPr>
        <w:tabs>
          <w:tab w:val="clear" w:pos="960"/>
          <w:tab w:val="left" w:pos="475"/>
          <w:tab w:val="left" w:pos="965"/>
        </w:tabs>
      </w:pPr>
      <w:r>
        <w:t>No se han adoptado medidas especiales tempor</w:t>
      </w:r>
      <w:r>
        <w:t>a</w:t>
      </w:r>
      <w:r>
        <w:t>les para acelerar la igualdad de facto entre hombres y mujeres, ni tampoco existen cupos destinados a aume</w:t>
      </w:r>
      <w:r>
        <w:t>n</w:t>
      </w:r>
      <w:r>
        <w:t>tar la participación política de la mujer y su acceso a la enseñanza superior y la formación profesional, aunque la introducción de cupos de esa naturaleza fue rec</w:t>
      </w:r>
      <w:r>
        <w:t>o</w:t>
      </w:r>
      <w:r>
        <w:t>mendada como estrategia para hacer realidad los obj</w:t>
      </w:r>
      <w:r>
        <w:t>e</w:t>
      </w:r>
      <w:r>
        <w:t>tivos de la declaración de políticas que figura en Ma</w:t>
      </w:r>
      <w:r>
        <w:t>l</w:t>
      </w:r>
      <w:r>
        <w:t xml:space="preserve">divas Visión 2020. </w:t>
      </w:r>
    </w:p>
    <w:p w:rsidR="00136695" w:rsidRDefault="00136695">
      <w:pPr>
        <w:pStyle w:val="DualTxt"/>
        <w:numPr>
          <w:ilvl w:val="0"/>
          <w:numId w:val="7"/>
        </w:numPr>
        <w:tabs>
          <w:tab w:val="clear" w:pos="960"/>
          <w:tab w:val="left" w:pos="475"/>
          <w:tab w:val="left" w:pos="965"/>
        </w:tabs>
      </w:pPr>
      <w:r>
        <w:t>Todas las escuelas primarias y la mayoría de las escuelas secundarias son mixtas, como lo es la única escuela secundaria superior de Maldivas, si bien las dos escuelas de mayor prestigio están segregadas por sexo. Sólo dos de los 250 directores de escuela son m</w:t>
      </w:r>
      <w:r>
        <w:t>u</w:t>
      </w:r>
      <w:r>
        <w:t>jeres; ambas trabajan en Malé, la isla capital. El red</w:t>
      </w:r>
      <w:r>
        <w:t>u</w:t>
      </w:r>
      <w:r>
        <w:t>cido número de mujeres que continúan la educación terciaria no es consecuencia de los matrimonios prec</w:t>
      </w:r>
      <w:r>
        <w:t>o</w:t>
      </w:r>
      <w:r>
        <w:t xml:space="preserve">ces. De hecho, lo contrario es cierto: las muchachas prefieren casarse jóvenes por falta de oportunidades para continuar sus estudios. </w:t>
      </w:r>
    </w:p>
    <w:p w:rsidR="00136695" w:rsidRDefault="00136695">
      <w:pPr>
        <w:pStyle w:val="DualTxt"/>
        <w:numPr>
          <w:ilvl w:val="0"/>
          <w:numId w:val="7"/>
        </w:numPr>
        <w:tabs>
          <w:tab w:val="clear" w:pos="960"/>
          <w:tab w:val="left" w:pos="475"/>
          <w:tab w:val="left" w:pos="965"/>
          <w:tab w:val="left" w:pos="1440"/>
          <w:tab w:val="left" w:pos="1915"/>
          <w:tab w:val="left" w:pos="2405"/>
          <w:tab w:val="left" w:pos="2880"/>
          <w:tab w:val="left" w:pos="3355"/>
        </w:tabs>
      </w:pPr>
      <w:r>
        <w:t>No se han hecho investigaciones suficientes para determinar las causas de la elevada incidencia de la desnutrición y de la mala nutrición secundaria entre las muchachas mayores y las mujeres. Parece posible, sin embargo, que la práctica tradicional de permitir que los hombres coman primero, y que las mujeres consuman únicamente los restos, ha contribuido al problema. No hay disparidad entre el estado nutricional de los niños y las niñas antes de la pubertad debido a que los niños pequeños siempre son los primeros en recibir aliment</w:t>
      </w:r>
      <w:r>
        <w:t>a</w:t>
      </w:r>
      <w:r>
        <w:t xml:space="preserve">ción, inclusive antes que los hombres. </w:t>
      </w:r>
    </w:p>
    <w:p w:rsidR="00136695" w:rsidRDefault="00136695">
      <w:pPr>
        <w:pStyle w:val="DualTxt"/>
        <w:numPr>
          <w:ilvl w:val="0"/>
          <w:numId w:val="7"/>
        </w:numPr>
        <w:tabs>
          <w:tab w:val="clear" w:pos="960"/>
          <w:tab w:val="left" w:pos="475"/>
          <w:tab w:val="left" w:pos="965"/>
          <w:tab w:val="left" w:pos="1440"/>
          <w:tab w:val="left" w:pos="1915"/>
          <w:tab w:val="left" w:pos="2405"/>
          <w:tab w:val="left" w:pos="2880"/>
          <w:tab w:val="left" w:pos="3355"/>
        </w:tabs>
      </w:pPr>
      <w:r>
        <w:t>No se contó con información suficiente para d</w:t>
      </w:r>
      <w:r>
        <w:t>e</w:t>
      </w:r>
      <w:r>
        <w:t>terminar el nivel de violencia contra las mujeres en Maldivas. Hace algunos años, el Ministerio de Asuntos de la Mujer y Seguridad Social encargó a una organ</w:t>
      </w:r>
      <w:r>
        <w:t>i</w:t>
      </w:r>
      <w:r>
        <w:t>zación no gubernamental que realizara un estudio e</w:t>
      </w:r>
      <w:r>
        <w:t>x</w:t>
      </w:r>
      <w:r>
        <w:t>perimental sobre la incidencia de la violencia intraf</w:t>
      </w:r>
      <w:r>
        <w:t>a</w:t>
      </w:r>
      <w:r>
        <w:t>miliar, pero el estudio no se completó a raíz de la resi</w:t>
      </w:r>
      <w:r>
        <w:t>s</w:t>
      </w:r>
      <w:r>
        <w:t>tencia de algunos sectores de la población que consid</w:t>
      </w:r>
      <w:r>
        <w:t>e</w:t>
      </w:r>
      <w:r>
        <w:t>raban que las cuestiones de familia se deben mant</w:t>
      </w:r>
      <w:r>
        <w:t>e</w:t>
      </w:r>
      <w:r>
        <w:t>ner en privado. Las mujeres no están muy dispuestas a d</w:t>
      </w:r>
      <w:r>
        <w:t>e</w:t>
      </w:r>
      <w:r>
        <w:t>nunciar casos de violencia intrafamiliar por temor a avergonzar a sus familias, la dificultad de lograr co</w:t>
      </w:r>
      <w:r>
        <w:t>n</w:t>
      </w:r>
      <w:r>
        <w:t xml:space="preserve">denas y la posibilidad de volver a ser víctimas. No existen programas estatales de asistencia a las víctimas de la violencia intrafamiliar, ni tampoco existen otras opciones para acoger a las víctimas en refugios. </w:t>
      </w:r>
    </w:p>
    <w:p w:rsidR="00136695" w:rsidRDefault="00136695">
      <w:pPr>
        <w:pStyle w:val="DualTxt"/>
        <w:numPr>
          <w:ilvl w:val="0"/>
          <w:numId w:val="7"/>
        </w:numPr>
        <w:tabs>
          <w:tab w:val="clear" w:pos="960"/>
          <w:tab w:val="left" w:pos="475"/>
          <w:tab w:val="left" w:pos="965"/>
        </w:tabs>
      </w:pPr>
      <w:r>
        <w:t xml:space="preserve">El Servicio de Seguridad Nacional de Maldivas es una fuerza de seguridad combinada que comprende a la policía y a los militares; su componente principal son los Guardacostas. El Servicio de Seguridad Nacional no reclutó a mujeres sino a fines de 1998, y hasta el momento no se ha ascendido a ninguna mujer al rango de oficial. </w:t>
      </w:r>
    </w:p>
    <w:p w:rsidR="00136695" w:rsidRDefault="00136695">
      <w:pPr>
        <w:pStyle w:val="DualTxt"/>
        <w:numPr>
          <w:ilvl w:val="0"/>
          <w:numId w:val="7"/>
        </w:numPr>
        <w:tabs>
          <w:tab w:val="clear" w:pos="960"/>
          <w:tab w:val="left" w:pos="475"/>
          <w:tab w:val="left" w:pos="965"/>
        </w:tabs>
      </w:pPr>
      <w:r>
        <w:t>No hay pruebas que indiquen que las mujeres e</w:t>
      </w:r>
      <w:r>
        <w:t>s</w:t>
      </w:r>
      <w:r>
        <w:t>tén menos dispuestas a ocupar posiciones de mando. Varias mujeres han rechazado el puesto de jefe de at</w:t>
      </w:r>
      <w:r>
        <w:t>o</w:t>
      </w:r>
      <w:r>
        <w:t>lón, pero quizás sus reacciones no sean sorprendentes habida cuenta de que los jefes de atolón, que admini</w:t>
      </w:r>
      <w:r>
        <w:t>s</w:t>
      </w:r>
      <w:r>
        <w:t>tran grupos de islas diseminadas en grandes superf</w:t>
      </w:r>
      <w:r>
        <w:t>i</w:t>
      </w:r>
      <w:r>
        <w:t>cies, tienen que viajar mucho, en tanto que la movil</w:t>
      </w:r>
      <w:r>
        <w:t>i</w:t>
      </w:r>
      <w:r>
        <w:t>dad de las mujeres de Maldivas queda limitada por sus obligaciones familiares. Otro elemento disuasorio es la falta de acceso en las islas exteriores a la educ</w:t>
      </w:r>
      <w:r>
        <w:t>a</w:t>
      </w:r>
      <w:r>
        <w:t>ción y a servicios de atención de la salud. Aún la intr</w:t>
      </w:r>
      <w:r>
        <w:t>o</w:t>
      </w:r>
      <w:r>
        <w:t>ducción de cupos no eliminaría esas barreras culturales y prá</w:t>
      </w:r>
      <w:r>
        <w:t>c</w:t>
      </w:r>
      <w:r>
        <w:t xml:space="preserve">ticas. </w:t>
      </w:r>
    </w:p>
    <w:p w:rsidR="00136695" w:rsidRDefault="00136695">
      <w:pPr>
        <w:pStyle w:val="DualTxt"/>
        <w:numPr>
          <w:ilvl w:val="0"/>
          <w:numId w:val="7"/>
        </w:numPr>
        <w:tabs>
          <w:tab w:val="clear" w:pos="960"/>
          <w:tab w:val="left" w:pos="475"/>
          <w:tab w:val="left" w:pos="965"/>
        </w:tabs>
      </w:pPr>
      <w:r>
        <w:t>Por lo general, los niños menores de 10 años e</w:t>
      </w:r>
      <w:r>
        <w:t>s</w:t>
      </w:r>
      <w:r>
        <w:t>tán incluidos en los pasaportes de uno de sus progen</w:t>
      </w:r>
      <w:r>
        <w:t>i</w:t>
      </w:r>
      <w:r>
        <w:t xml:space="preserve">tores. Sin embargo, la madre no puede incluir a su hijo en su pasaporte si no cuenta con el consentimiento del padre. </w:t>
      </w:r>
    </w:p>
    <w:p w:rsidR="00136695" w:rsidRDefault="00136695">
      <w:pPr>
        <w:pStyle w:val="DualTxt"/>
        <w:numPr>
          <w:ilvl w:val="0"/>
          <w:numId w:val="7"/>
        </w:numPr>
        <w:tabs>
          <w:tab w:val="clear" w:pos="960"/>
          <w:tab w:val="left" w:pos="475"/>
          <w:tab w:val="left" w:pos="965"/>
        </w:tabs>
      </w:pPr>
      <w:r>
        <w:t>La marcada disminución de la participación de las mujeres en la mano de obra a partir de fines de los años setenta no parece haber conducido a un incremento de la pobreza entre las mujeres, aunque no se han iniciado investigaciones destinadas a verificar esa hipótesis. Al parecer, es posible que la capacidad de las mujeres para obtener ingresos no haya sido afectada en la medida que se temía debido a que las mujeres no obtenían un ingreso directo de su trabajo en la elaboración de pe</w:t>
      </w:r>
      <w:r>
        <w:t>s</w:t>
      </w:r>
      <w:r>
        <w:t>cado y en las artesanías. Aún así, su posición en la f</w:t>
      </w:r>
      <w:r>
        <w:t>a</w:t>
      </w:r>
      <w:r>
        <w:t>milia habría sido mejor puesto que ellas habrían co</w:t>
      </w:r>
      <w:r>
        <w:t>n</w:t>
      </w:r>
      <w:r>
        <w:t xml:space="preserve">tribuido a los ingresos del hogar y por ende al bienestar de la familia. </w:t>
      </w:r>
    </w:p>
    <w:p w:rsidR="00136695" w:rsidRDefault="00136695">
      <w:pPr>
        <w:pStyle w:val="DualTxt"/>
        <w:numPr>
          <w:ilvl w:val="0"/>
          <w:numId w:val="7"/>
        </w:numPr>
        <w:tabs>
          <w:tab w:val="clear" w:pos="960"/>
          <w:tab w:val="left" w:pos="475"/>
          <w:tab w:val="left" w:pos="965"/>
        </w:tabs>
      </w:pPr>
      <w:r>
        <w:t>En los últimos años hubo un aumento lento au</w:t>
      </w:r>
      <w:r>
        <w:t>n</w:t>
      </w:r>
      <w:r>
        <w:t>que constante del número de mujeres que buscaban empleo en el sector del turismo. La admisión en el In</w:t>
      </w:r>
      <w:r>
        <w:t>s</w:t>
      </w:r>
      <w:r>
        <w:t>tituto de Servicios de Hotelería y Servicios de Alime</w:t>
      </w:r>
      <w:r>
        <w:t>n</w:t>
      </w:r>
      <w:r>
        <w:t>tación está abierta a hombres y mujeres, aunque más hombres están inscritos. Lamentablemente, los valores y actitudes patriarcales continúan limitando el empleo de la mujer en el turismo y en otros sectores que entr</w:t>
      </w:r>
      <w:r>
        <w:t>a</w:t>
      </w:r>
      <w:r>
        <w:t>ñan el trabajo fuera del hogar. De esa manera, hay p</w:t>
      </w:r>
      <w:r>
        <w:t>o</w:t>
      </w:r>
      <w:r>
        <w:t>cas mujeres que trabajan en la salud comunitaria a raíz de que esos puestos tienen base en los atolones. La s</w:t>
      </w:r>
      <w:r>
        <w:t>i</w:t>
      </w:r>
      <w:r>
        <w:t>tuación va cambiando, sin embargo, y tres cuartas pa</w:t>
      </w:r>
      <w:r>
        <w:t>r</w:t>
      </w:r>
      <w:r>
        <w:t xml:space="preserve">tes de las personas que se capacitan actualmente como trabajadores en salud comunitaria son mujeres. </w:t>
      </w:r>
    </w:p>
    <w:p w:rsidR="00136695" w:rsidRDefault="00136695">
      <w:pPr>
        <w:pStyle w:val="DualTxt"/>
        <w:numPr>
          <w:ilvl w:val="0"/>
          <w:numId w:val="7"/>
        </w:numPr>
        <w:tabs>
          <w:tab w:val="clear" w:pos="960"/>
          <w:tab w:val="left" w:pos="475"/>
          <w:tab w:val="left" w:pos="965"/>
          <w:tab w:val="left" w:pos="1440"/>
          <w:tab w:val="left" w:pos="1915"/>
          <w:tab w:val="left" w:pos="2405"/>
          <w:tab w:val="left" w:pos="2880"/>
          <w:tab w:val="left" w:pos="3355"/>
        </w:tabs>
      </w:pPr>
      <w:r>
        <w:t>Los anticonceptivos están a libre disposición de las parejas casadas inscritas, y en los hospitales se practican procedimientos anticonceptivos permanentes. Las postas sanitarias, centros de atención de la salud y consultorios externos de planificación de la familia de las islas también proporcionan condones, píldoras ant</w:t>
      </w:r>
      <w:r>
        <w:t>i</w:t>
      </w:r>
      <w:r>
        <w:t>conceptivas, inyecciones y DIU. No se necesita tener recetas, a menos que haya otros problemas de salud, t</w:t>
      </w:r>
      <w:r>
        <w:t>a</w:t>
      </w:r>
      <w:r>
        <w:t>les como anemia nutricional. Después de inscribir el matrimonio, cualquiera de los cónyuges puede obtener anticonceptivos. Los anticonceptivos más comunes son las píldoras anticonceptivas y los DIU. No hay invest</w:t>
      </w:r>
      <w:r>
        <w:t>i</w:t>
      </w:r>
      <w:r>
        <w:t>gación respecto de los motivos por los cuales más m</w:t>
      </w:r>
      <w:r>
        <w:t>u</w:t>
      </w:r>
      <w:r>
        <w:t>jeres que hombres utilizan los servicios de planific</w:t>
      </w:r>
      <w:r>
        <w:t>a</w:t>
      </w:r>
      <w:r>
        <w:t xml:space="preserve">ción de la familia. </w:t>
      </w:r>
    </w:p>
    <w:p w:rsidR="00136695" w:rsidRDefault="00136695">
      <w:pPr>
        <w:pStyle w:val="DualTxt"/>
        <w:numPr>
          <w:ilvl w:val="0"/>
          <w:numId w:val="7"/>
        </w:numPr>
        <w:tabs>
          <w:tab w:val="clear" w:pos="960"/>
          <w:tab w:val="left" w:pos="475"/>
          <w:tab w:val="left" w:pos="965"/>
        </w:tabs>
      </w:pPr>
      <w:r>
        <w:t>Las principales causas de mortalidad derivada de la maternidad son las hemorragias anteriores y post</w:t>
      </w:r>
      <w:r>
        <w:t>e</w:t>
      </w:r>
      <w:r>
        <w:t>riores al parto y la obstrucción del alumbramiento. Habida cuenta de la geografía de las islas, y del hecho de que no todas las islas cuentan con instalaciones de atención de la salud adecuadas, los decesos son a veces inevitables. El Gobierno toma todas las medidas pos</w:t>
      </w:r>
      <w:r>
        <w:t>i</w:t>
      </w:r>
      <w:r>
        <w:t>bles, inclusive por ejemplo el transporte aéreo de muj</w:t>
      </w:r>
      <w:r>
        <w:t>e</w:t>
      </w:r>
      <w:r>
        <w:t>res en proceso de alumbramiento desde las islas rem</w:t>
      </w:r>
      <w:r>
        <w:t>o</w:t>
      </w:r>
      <w:r>
        <w:t>tas, aunque el costo de evacuación está muy por enc</w:t>
      </w:r>
      <w:r>
        <w:t>i</w:t>
      </w:r>
      <w:r>
        <w:t xml:space="preserve">ma de sus medios. </w:t>
      </w:r>
    </w:p>
    <w:p w:rsidR="00136695" w:rsidRDefault="00136695">
      <w:pPr>
        <w:pStyle w:val="DualTxt"/>
        <w:numPr>
          <w:ilvl w:val="0"/>
          <w:numId w:val="7"/>
        </w:numPr>
        <w:tabs>
          <w:tab w:val="clear" w:pos="960"/>
          <w:tab w:val="left" w:pos="475"/>
          <w:tab w:val="left" w:pos="965"/>
          <w:tab w:val="left" w:pos="1440"/>
          <w:tab w:val="left" w:pos="1915"/>
          <w:tab w:val="left" w:pos="2405"/>
          <w:tab w:val="left" w:pos="2880"/>
          <w:tab w:val="left" w:pos="3355"/>
        </w:tabs>
      </w:pPr>
      <w:r>
        <w:t>Maldivas no está en condiciones de informar s</w:t>
      </w:r>
      <w:r>
        <w:t>o</w:t>
      </w:r>
      <w:r>
        <w:t>bre la salud mental de las divorciadas o los divorciados mientras no se hagan investigaciones sobre el tema. Muchos factores contribuyen a la alta tasa de divorcio, inclusive la prerrogativa que tienen los hombres, en virtud de la Shari</w:t>
      </w:r>
      <w:r>
        <w:sym w:font="WP TypographicSymbols" w:char="003D"/>
      </w:r>
      <w:r>
        <w:t>a, de terminar el matrimonio m</w:t>
      </w:r>
      <w:r>
        <w:t>e</w:t>
      </w:r>
      <w:r>
        <w:t>diante un pronunciamiento verbal, sin recurso a los tr</w:t>
      </w:r>
      <w:r>
        <w:t>i</w:t>
      </w:r>
      <w:r>
        <w:t>bunales. Según la nueva Ley de la Familia, los divo</w:t>
      </w:r>
      <w:r>
        <w:t>r</w:t>
      </w:r>
      <w:r>
        <w:t>cios extrajudiciales serán ilegales, y estarán sujetos a penas. Otro factor es la ausencia del estigma social r</w:t>
      </w:r>
      <w:r>
        <w:t>e</w:t>
      </w:r>
      <w:r>
        <w:t>sultante del divorcio; además, es bastante común que la misma pareja vuelva a casarse. Igual número de muj</w:t>
      </w:r>
      <w:r>
        <w:t>e</w:t>
      </w:r>
      <w:r>
        <w:t>res que de hombres pide el divorcio. Aunque no se han realizado investigaciones al respecto, la infidelidad, la falta de mantenimiento y los malos tratos son prob</w:t>
      </w:r>
      <w:r>
        <w:t>a</w:t>
      </w:r>
      <w:r>
        <w:t xml:space="preserve">blemente los principales motivos para que las mujeres no estén satisfechas. </w:t>
      </w:r>
    </w:p>
    <w:p w:rsidR="00136695" w:rsidRDefault="00136695">
      <w:pPr>
        <w:pStyle w:val="DualTxt"/>
        <w:numPr>
          <w:ilvl w:val="0"/>
          <w:numId w:val="7"/>
        </w:numPr>
        <w:tabs>
          <w:tab w:val="clear" w:pos="960"/>
          <w:tab w:val="left" w:pos="475"/>
          <w:tab w:val="left" w:pos="965"/>
        </w:tabs>
      </w:pPr>
      <w:r>
        <w:t>El primer caso de VIH/SIDA sobre el que se i</w:t>
      </w:r>
      <w:r>
        <w:t>n</w:t>
      </w:r>
      <w:r>
        <w:t>formó se produjo en 1991; en los 10 años siguientes, diez personas, una sola de ellas mujer, fueron infect</w:t>
      </w:r>
      <w:r>
        <w:t>a</w:t>
      </w:r>
      <w:r>
        <w:t>das con la enfermedad y fallecieron seis. Además, 74 trabajadores expatriados arrojaron resultados positivos en las pruebas ordinarias que se administran a la lleg</w:t>
      </w:r>
      <w:r>
        <w:t>a</w:t>
      </w:r>
      <w:r>
        <w:t>da, y fueron devueltos a sus países como medida de precaución. El primer caso de uso indebido de est</w:t>
      </w:r>
      <w:r>
        <w:t>u</w:t>
      </w:r>
      <w:r>
        <w:t>pefacientes ocurrió en 1977, cuando un turista fue d</w:t>
      </w:r>
      <w:r>
        <w:t>e</w:t>
      </w:r>
      <w:r>
        <w:t>tenido por llevar marihuana consigo. La heroína c</w:t>
      </w:r>
      <w:r>
        <w:t>o</w:t>
      </w:r>
      <w:r>
        <w:t>menzó a utilizarse en 1993, en su mayor parte no en forma i</w:t>
      </w:r>
      <w:r>
        <w:t>n</w:t>
      </w:r>
      <w:r>
        <w:t xml:space="preserve">yectable. </w:t>
      </w:r>
    </w:p>
    <w:p w:rsidR="00136695" w:rsidRDefault="00136695">
      <w:pPr>
        <w:pStyle w:val="DualTxt"/>
        <w:numPr>
          <w:ilvl w:val="0"/>
          <w:numId w:val="7"/>
        </w:numPr>
        <w:tabs>
          <w:tab w:val="clear" w:pos="960"/>
          <w:tab w:val="left" w:pos="475"/>
          <w:tab w:val="left" w:pos="965"/>
        </w:tabs>
      </w:pPr>
      <w:r>
        <w:t>Si bien en la nueva Ley de la Familia la edad l</w:t>
      </w:r>
      <w:r>
        <w:t>e</w:t>
      </w:r>
      <w:r>
        <w:t>gal para contraer matrimonio subió a los 18 años, el encargado del registro de matrimonios puede utilizar su discreción para permitir que una persona menor de esa edad se case, teniendo presente la salud física, la pos</w:t>
      </w:r>
      <w:r>
        <w:t>i</w:t>
      </w:r>
      <w:r>
        <w:t xml:space="preserve">ción económica y los motivos del matrimonio. En esa ley se prevén </w:t>
      </w:r>
      <w:r w:rsidR="00795151">
        <w:t>asimismo</w:t>
      </w:r>
      <w:r>
        <w:t xml:space="preserve"> los acuerdos prenupciales, que pueden incluir términos y condiciones tales como la distribución de los bienes adquiridos durante el matr</w:t>
      </w:r>
      <w:r>
        <w:t>i</w:t>
      </w:r>
      <w:r>
        <w:t>monio en caso de divorcio o el requisito de que el m</w:t>
      </w:r>
      <w:r>
        <w:t>a</w:t>
      </w:r>
      <w:r>
        <w:t>rido obtenga el consentimiento de su esposa antes de entrar en una relación de poligamia. Con miras a co</w:t>
      </w:r>
      <w:r>
        <w:t>n</w:t>
      </w:r>
      <w:r>
        <w:t>cientizar al público, en todos los programas de con</w:t>
      </w:r>
      <w:r>
        <w:t>o</w:t>
      </w:r>
      <w:r>
        <w:t>cimientos legales básicos se examinan las disposici</w:t>
      </w:r>
      <w:r>
        <w:t>o</w:t>
      </w:r>
      <w:r>
        <w:t xml:space="preserve">nes prenupciales. </w:t>
      </w:r>
    </w:p>
    <w:p w:rsidR="00136695" w:rsidRDefault="00136695">
      <w:pPr>
        <w:pStyle w:val="DualTxt"/>
        <w:numPr>
          <w:ilvl w:val="0"/>
          <w:numId w:val="7"/>
        </w:numPr>
        <w:tabs>
          <w:tab w:val="clear" w:pos="960"/>
          <w:tab w:val="left" w:pos="475"/>
          <w:tab w:val="left" w:pos="965"/>
        </w:tabs>
      </w:pPr>
      <w:r>
        <w:t>La nueva Ley de la Familia exige que el tribunal resuelva la cuestión del mantenimiento y pensión al</w:t>
      </w:r>
      <w:r>
        <w:t>i</w:t>
      </w:r>
      <w:r>
        <w:t>menticia de los hijos antes de conceder la disolución del matrimonio. El marido está obligado a pagar pe</w:t>
      </w:r>
      <w:r>
        <w:t>n</w:t>
      </w:r>
      <w:r>
        <w:t>siones alimenticias, y si la mujer tiene la custodia de los niños, no puede ser expulsada del hogar conyugal. Aunque todos los matrimonios deben realizarse de co</w:t>
      </w:r>
      <w:r>
        <w:t>n</w:t>
      </w:r>
      <w:r>
        <w:t>formidad con la Ley de la Familia, los matrimonios a</w:t>
      </w:r>
      <w:r>
        <w:t>n</w:t>
      </w:r>
      <w:r>
        <w:t>teriores a la legislación siguen siendo válidos con arr</w:t>
      </w:r>
      <w:r>
        <w:t>e</w:t>
      </w:r>
      <w:r>
        <w:t>glo a las disposiciones de la legislación anterior y de la Shari</w:t>
      </w:r>
      <w:r>
        <w:sym w:font="WP TypographicSymbols" w:char="003D"/>
      </w:r>
      <w:r>
        <w:t>a. No hay restricciones al matrimonio entre n</w:t>
      </w:r>
      <w:r>
        <w:t>a</w:t>
      </w:r>
      <w:r>
        <w:t>turales de Maldivas y migrantes. La persona extranjera casada con un natural de Maldivas recibe automátic</w:t>
      </w:r>
      <w:r>
        <w:t>a</w:t>
      </w:r>
      <w:r>
        <w:t>mente un visado de residencia y se prescinde del pago de su permiso de residencia. Si una extranjera cas</w:t>
      </w:r>
      <w:r>
        <w:t>a</w:t>
      </w:r>
      <w:r>
        <w:t>da con un natural de Maldivas queda viuda con hijos, puede permanecer en Maldivas el resto de su vida sin pagar derechos. La ley no proporciona esa misma seguridad a un extranjero cuya esposa de Maldivas haya f</w:t>
      </w:r>
      <w:r>
        <w:t>a</w:t>
      </w:r>
      <w:r>
        <w:t xml:space="preserve">llecido. </w:t>
      </w:r>
    </w:p>
    <w:p w:rsidR="00136695" w:rsidRDefault="00136695">
      <w:pPr>
        <w:pStyle w:val="DualTxt"/>
        <w:numPr>
          <w:ilvl w:val="0"/>
          <w:numId w:val="7"/>
        </w:numPr>
        <w:tabs>
          <w:tab w:val="clear" w:pos="960"/>
          <w:tab w:val="left" w:pos="475"/>
          <w:tab w:val="left" w:pos="965"/>
        </w:tabs>
      </w:pPr>
      <w:r>
        <w:t>Por último, la oradora manifiesta que la deleg</w:t>
      </w:r>
      <w:r>
        <w:t>a</w:t>
      </w:r>
      <w:r>
        <w:t>ción de Maldivas agradece el espíritu con que se han realizado las sesiones. Ha tratado de contestar todas las preguntas, y más adelante proporcionará cualquier i</w:t>
      </w:r>
      <w:r>
        <w:t>n</w:t>
      </w:r>
      <w:r>
        <w:t xml:space="preserve">formación que aún falte. </w:t>
      </w:r>
    </w:p>
    <w:p w:rsidR="00136695" w:rsidRDefault="00136695">
      <w:pPr>
        <w:pStyle w:val="DualTxt"/>
        <w:numPr>
          <w:ilvl w:val="0"/>
          <w:numId w:val="7"/>
        </w:numPr>
        <w:tabs>
          <w:tab w:val="clear" w:pos="960"/>
          <w:tab w:val="left" w:pos="475"/>
          <w:tab w:val="left" w:pos="965"/>
        </w:tabs>
      </w:pPr>
      <w:r>
        <w:rPr>
          <w:b/>
          <w:bCs/>
        </w:rPr>
        <w:t>La Sra. Goonesekere</w:t>
      </w:r>
      <w:r>
        <w:t xml:space="preserve"> encomia a la delegación de Maldivas por sus excelentes, francas y detalladas re</w:t>
      </w:r>
      <w:r>
        <w:t>s</w:t>
      </w:r>
      <w:r>
        <w:t>puestas. Señala, sin embargo, que la Constitución no hace referencia a la discriminación por motivos de sexo, o por otros motivos y habida cuenta de que prevé que toda ley que sea contraria a la Constitución será nula, sería útil saber si existe algún mecanismo coerc</w:t>
      </w:r>
      <w:r>
        <w:t>i</w:t>
      </w:r>
      <w:r>
        <w:t xml:space="preserve">tivo. Desea saber </w:t>
      </w:r>
      <w:r w:rsidR="00795151">
        <w:t>asimismo</w:t>
      </w:r>
      <w:r>
        <w:t xml:space="preserve"> si una persona puede d</w:t>
      </w:r>
      <w:r>
        <w:t>e</w:t>
      </w:r>
      <w:r>
        <w:t xml:space="preserve">fender sus derechos constitucionales ante un tribunal superior, y en qué forma se haría cumplir un fallo a su favor. </w:t>
      </w:r>
    </w:p>
    <w:p w:rsidR="00136695" w:rsidRDefault="00136695">
      <w:pPr>
        <w:pStyle w:val="DualTxt"/>
        <w:numPr>
          <w:ilvl w:val="0"/>
          <w:numId w:val="7"/>
        </w:numPr>
        <w:tabs>
          <w:tab w:val="clear" w:pos="960"/>
          <w:tab w:val="left" w:pos="475"/>
          <w:tab w:val="left" w:pos="965"/>
        </w:tabs>
      </w:pPr>
      <w:r>
        <w:t>Es responsabilidad del Gobierno, y no de las o</w:t>
      </w:r>
      <w:r>
        <w:t>r</w:t>
      </w:r>
      <w:r>
        <w:t>ganizaciones no gubernamentales, preparar el informe; el Gobierno debería, sin embargo, participar en la dif</w:t>
      </w:r>
      <w:r>
        <w:t>u</w:t>
      </w:r>
      <w:r>
        <w:t>sión de información, el diálogo y las respuestas. Ad</w:t>
      </w:r>
      <w:r>
        <w:t>e</w:t>
      </w:r>
      <w:r>
        <w:t>más, será útil saber si el Gobierno tiene algún progr</w:t>
      </w:r>
      <w:r>
        <w:t>a</w:t>
      </w:r>
      <w:r>
        <w:t xml:space="preserve">ma o plan relacionado con la educación terciaria para las mujeres. </w:t>
      </w:r>
    </w:p>
    <w:p w:rsidR="00136695" w:rsidRDefault="00136695">
      <w:pPr>
        <w:pStyle w:val="DualTxt"/>
        <w:numPr>
          <w:ilvl w:val="0"/>
          <w:numId w:val="7"/>
        </w:numPr>
        <w:tabs>
          <w:tab w:val="clear" w:pos="960"/>
          <w:tab w:val="left" w:pos="475"/>
          <w:tab w:val="left" w:pos="965"/>
        </w:tabs>
      </w:pPr>
      <w:r>
        <w:t>Por último, señala que la baja edad de matrimonio está en contravención de las disposiciones tanto de la Convención sobre la eliminación de todas las formas de discriminación contra la mujer como de la Conve</w:t>
      </w:r>
      <w:r>
        <w:t>n</w:t>
      </w:r>
      <w:r>
        <w:t>ción sobre los Derechos del Niño, otro instrumento que Maldivas ha ratificado.</w:t>
      </w:r>
    </w:p>
    <w:p w:rsidR="00136695" w:rsidRDefault="00136695">
      <w:pPr>
        <w:pStyle w:val="DualTxt"/>
        <w:numPr>
          <w:ilvl w:val="0"/>
          <w:numId w:val="7"/>
        </w:numPr>
        <w:tabs>
          <w:tab w:val="clear" w:pos="960"/>
          <w:tab w:val="left" w:pos="475"/>
          <w:tab w:val="left" w:pos="965"/>
        </w:tabs>
      </w:pPr>
      <w:r>
        <w:rPr>
          <w:b/>
          <w:bCs/>
        </w:rPr>
        <w:t>La Sra. Corti</w:t>
      </w:r>
      <w:r>
        <w:t xml:space="preserve"> dice que Maldivas ha forjado not</w:t>
      </w:r>
      <w:r>
        <w:t>a</w:t>
      </w:r>
      <w:r>
        <w:t>bles mecanismos nacionales para el adelanto de la m</w:t>
      </w:r>
      <w:r>
        <w:t>u</w:t>
      </w:r>
      <w:r>
        <w:t>jer y son esos mecanismos nacionales, más bien que una pequeña organización no gubernamental, los que deberían atacar el problema de la violencia contra las mujeres. La violencia contra las mujeres no debe co</w:t>
      </w:r>
      <w:r>
        <w:t>n</w:t>
      </w:r>
      <w:r>
        <w:t>siderarse una cuestión privada que se ha de mantener dentro de las familias, y se deben adoptar medidas de índole legal contra los perpetradores. La oradora e</w:t>
      </w:r>
      <w:r>
        <w:t>x</w:t>
      </w:r>
      <w:r>
        <w:t>presa la esperanza de que en el informe siguiente se describan las leyes aprobadas en Maldivas para reso</w:t>
      </w:r>
      <w:r>
        <w:t>l</w:t>
      </w:r>
      <w:r>
        <w:t xml:space="preserve">ver ese problema. </w:t>
      </w:r>
    </w:p>
    <w:p w:rsidR="00136695" w:rsidRDefault="00136695">
      <w:pPr>
        <w:pStyle w:val="DualTxt"/>
        <w:numPr>
          <w:ilvl w:val="0"/>
          <w:numId w:val="7"/>
        </w:numPr>
        <w:tabs>
          <w:tab w:val="clear" w:pos="960"/>
          <w:tab w:val="left" w:pos="475"/>
          <w:tab w:val="left" w:pos="965"/>
        </w:tabs>
      </w:pPr>
      <w:r>
        <w:rPr>
          <w:b/>
          <w:bCs/>
        </w:rPr>
        <w:t>La Sra. Ahmed</w:t>
      </w:r>
      <w:r>
        <w:t xml:space="preserve"> dice que no está en condiciones de responder preguntas constitucionales en la sesión en curso. Cuando se preparó el informe, el Gobierno de Maldivas no era consciente de que se esperaba que las organizaciones no gubernamentales participaran en ese proceso; asegura al Comité que serán incluidas en lo futuro. Varios colegios universitarios y programas de postgrado emprenden programas concebidos para m</w:t>
      </w:r>
      <w:r>
        <w:t>u</w:t>
      </w:r>
      <w:r>
        <w:t xml:space="preserve">jeres, inclusive actividades de riesgo compartido con universidades de ultramar. </w:t>
      </w:r>
    </w:p>
    <w:p w:rsidR="00136695" w:rsidRDefault="00136695">
      <w:pPr>
        <w:pStyle w:val="DualTxt"/>
        <w:numPr>
          <w:ilvl w:val="0"/>
          <w:numId w:val="7"/>
        </w:numPr>
        <w:tabs>
          <w:tab w:val="clear" w:pos="960"/>
          <w:tab w:val="left" w:pos="475"/>
          <w:tab w:val="left" w:pos="965"/>
        </w:tabs>
      </w:pPr>
      <w:r>
        <w:t>Lamentablemente hubo una fuerte resistencia en la sociedad de Maldivas al aumento de la edad legal de matrimonio a los 18 años, puesto que la Shari</w:t>
      </w:r>
      <w:r>
        <w:sym w:font="WP TypographicSymbols" w:char="003D"/>
      </w:r>
      <w:r>
        <w:t>a perm</w:t>
      </w:r>
      <w:r>
        <w:t>i</w:t>
      </w:r>
      <w:r>
        <w:t>te el matrimonio desde la edad de la pubertad. En co</w:t>
      </w:r>
      <w:r>
        <w:t>n</w:t>
      </w:r>
      <w:r>
        <w:t>secuencia, ha sido necesario conceder facultad discr</w:t>
      </w:r>
      <w:r>
        <w:t>e</w:t>
      </w:r>
      <w:r>
        <w:t>cional al encargado del registro. El Gobierno continu</w:t>
      </w:r>
      <w:r>
        <w:t>a</w:t>
      </w:r>
      <w:r>
        <w:t>rá presionando a favor del aumento de la edad de m</w:t>
      </w:r>
      <w:r>
        <w:t>a</w:t>
      </w:r>
      <w:r>
        <w:t>trimonio, y espera lograr adelantos a ese respeto. La cuestión de la violencia contra las mujeres es extrem</w:t>
      </w:r>
      <w:r>
        <w:t>a</w:t>
      </w:r>
      <w:r>
        <w:t>damente delicada en Maldivas, y naturalmente hay r</w:t>
      </w:r>
      <w:r>
        <w:t>e</w:t>
      </w:r>
      <w:r>
        <w:t>sistencia a la encuesta conexa. Sin embargo, el Gobie</w:t>
      </w:r>
      <w:r>
        <w:t>r</w:t>
      </w:r>
      <w:r>
        <w:t xml:space="preserve">no no considera que la violencia intrafamiliar sea una cuestión privada, muchas mujeres de Maldivas estiman que se debería aprobar legislación que las proteja. </w:t>
      </w:r>
    </w:p>
    <w:p w:rsidR="00136695" w:rsidRDefault="00136695">
      <w:pPr>
        <w:pStyle w:val="DualTxt"/>
        <w:numPr>
          <w:ilvl w:val="0"/>
          <w:numId w:val="7"/>
        </w:numPr>
        <w:tabs>
          <w:tab w:val="clear" w:pos="960"/>
          <w:tab w:val="left" w:pos="475"/>
          <w:tab w:val="left" w:pos="965"/>
        </w:tabs>
      </w:pPr>
      <w:r>
        <w:rPr>
          <w:b/>
          <w:bCs/>
        </w:rPr>
        <w:t>La Presidenta,</w:t>
      </w:r>
      <w:r>
        <w:t xml:space="preserve"> a manera de conclusión, dice que la democracia debe basarse en el respeto a los derechos humanos y a la igualdad; de otra forma no es democr</w:t>
      </w:r>
      <w:r>
        <w:t>a</w:t>
      </w:r>
      <w:r>
        <w:t>cia. En consecuencia, la idea de que una mujer no pu</w:t>
      </w:r>
      <w:r>
        <w:t>e</w:t>
      </w:r>
      <w:r>
        <w:t>da ser presidenta porque los Majlis de ciudadanos de Maldivas votaron en contra es inaceptable. Mald</w:t>
      </w:r>
      <w:r>
        <w:t>i</w:t>
      </w:r>
      <w:r>
        <w:t xml:space="preserve">vas debe tratar de aprender de la experiencia de otros países musulmanes al tratar de superar los prejuicios tradicionales. </w:t>
      </w:r>
    </w:p>
    <w:p w:rsidR="00136695" w:rsidRDefault="00136695">
      <w:pPr>
        <w:pStyle w:val="DualTxt"/>
        <w:numPr>
          <w:ilvl w:val="0"/>
          <w:numId w:val="7"/>
        </w:numPr>
        <w:tabs>
          <w:tab w:val="clear" w:pos="960"/>
          <w:tab w:val="left" w:pos="475"/>
          <w:tab w:val="left" w:pos="965"/>
        </w:tabs>
      </w:pPr>
      <w:r>
        <w:t>La violencia contra las mujeres es un tema de grave preocupación. Al ratificar la Convención, un E</w:t>
      </w:r>
      <w:r>
        <w:t>s</w:t>
      </w:r>
      <w:r>
        <w:t>tado Parte se compromete a proteger a las mujeres, ta</w:t>
      </w:r>
      <w:r>
        <w:t>n</w:t>
      </w:r>
      <w:r>
        <w:t>to en la esfera pública como en la privada. Además, a fin de acatar las disposiciones del Protocolo Facultat</w:t>
      </w:r>
      <w:r>
        <w:t>i</w:t>
      </w:r>
      <w:r>
        <w:t>vo, se deben establecer remedios internos. Por otra pa</w:t>
      </w:r>
      <w:r>
        <w:t>r</w:t>
      </w:r>
      <w:r>
        <w:t>te, las mujeres y los hombres deben participar por igual en la planificación de la familia, en particular en el empleo de anticonceptivos. Por último, la Presidenta dice que las mujeres de Maldivas están insuficient</w:t>
      </w:r>
      <w:r>
        <w:t>e</w:t>
      </w:r>
      <w:r>
        <w:t>mente representadas en los planos de adopción de dec</w:t>
      </w:r>
      <w:r>
        <w:t>i</w:t>
      </w:r>
      <w:r>
        <w:t>siones; tiene la esperanza de que la situación mejore para la época del siguiente informe. La ratificación de la Convención, la preparación del informe y la prese</w:t>
      </w:r>
      <w:r>
        <w:t>n</w:t>
      </w:r>
      <w:r>
        <w:t>tación ante el Comité son elementos todos que demue</w:t>
      </w:r>
      <w:r>
        <w:t>s</w:t>
      </w:r>
      <w:r>
        <w:t>tran que Maldivas tiene la voluntad política de prom</w:t>
      </w:r>
      <w:r>
        <w:t>o</w:t>
      </w:r>
      <w:r>
        <w:t xml:space="preserve">ver el reconocimiento de las facultades de las mujeres. </w:t>
      </w:r>
    </w:p>
    <w:p w:rsidR="00136695" w:rsidRDefault="00136695">
      <w:pPr>
        <w:pStyle w:val="DualTxt"/>
        <w:rPr>
          <w:i/>
          <w:iCs/>
        </w:rPr>
      </w:pPr>
      <w:r>
        <w:rPr>
          <w:i/>
          <w:iCs/>
        </w:rPr>
        <w:t>Se levanta la sesión a las 11.15 horas.</w:t>
      </w:r>
    </w:p>
    <w:sectPr w:rsidR="00136695">
      <w:type w:val="continuous"/>
      <w:pgSz w:w="12240" w:h="15840" w:code="1"/>
      <w:pgMar w:top="1742" w:right="1195" w:bottom="1898" w:left="1195" w:header="576" w:footer="1030" w:gutter="0"/>
      <w:cols w:num="2" w:space="240"/>
      <w:noEndnote/>
      <w:docGrid w:linePitch="209"/>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6-06-29T11:40:00Z" w:initials="Start">
    <w:p w:rsidR="00F86A72" w:rsidRPr="00F86A72" w:rsidRDefault="00F86A72">
      <w:pPr>
        <w:pStyle w:val="CommentText"/>
        <w:rPr>
          <w:lang w:val="en-US"/>
        </w:rPr>
      </w:pPr>
      <w:r>
        <w:fldChar w:fldCharType="begin"/>
      </w:r>
      <w:r>
        <w:rPr>
          <w:lang w:val="en-US"/>
        </w:rPr>
        <w:instrText>PAGE \# "'Page: '#'</w:instrText>
      </w:r>
      <w:r>
        <w:rPr>
          <w:lang w:val="en-US"/>
        </w:rPr>
        <w:br/>
        <w:instrText>'"</w:instrText>
      </w:r>
      <w:r>
        <w:rPr>
          <w:rStyle w:val="CommentReference"/>
          <w:lang w:val="en-US"/>
        </w:rPr>
        <w:instrText xml:space="preserve">  </w:instrText>
      </w:r>
      <w:r>
        <w:fldChar w:fldCharType="end"/>
      </w:r>
      <w:r>
        <w:rPr>
          <w:rStyle w:val="CommentReference"/>
        </w:rPr>
        <w:annotationRef/>
      </w:r>
      <w:r w:rsidRPr="00F86A72">
        <w:rPr>
          <w:lang w:val="en-US"/>
        </w:rPr>
        <w:t>&lt;&lt;ODS JOB NO&gt;&gt;N0123190S&lt;&lt;ODS JOB NO&gt;&gt;</w:t>
      </w:r>
    </w:p>
    <w:p w:rsidR="00F86A72" w:rsidRPr="00F86A72" w:rsidRDefault="00F86A72">
      <w:pPr>
        <w:pStyle w:val="CommentText"/>
        <w:rPr>
          <w:lang w:val="en-US"/>
        </w:rPr>
      </w:pPr>
      <w:r w:rsidRPr="00F86A72">
        <w:rPr>
          <w:lang w:val="en-US"/>
        </w:rPr>
        <w:t>&lt;&lt;ODS DOC SYMBOL1&gt;&gt;CEDAW/C/SR.506&lt;&lt;ODS DOC SYMBOL1&gt;&gt;</w:t>
      </w:r>
    </w:p>
    <w:p w:rsidR="00F86A72" w:rsidRDefault="00F86A72">
      <w:pPr>
        <w:pStyle w:val="CommentText"/>
        <w:rPr>
          <w:lang w:val="en-US"/>
        </w:rPr>
      </w:pPr>
      <w:r w:rsidRPr="00F86A72">
        <w:rPr>
          <w:lang w:val="en-US"/>
        </w:rP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80202" w:rsidRDefault="00380202" w:rsidP="00136695">
      <w:r>
        <w:separator/>
      </w:r>
    </w:p>
  </w:endnote>
  <w:endnote w:type="continuationSeparator" w:id="0">
    <w:p w:rsidR="00380202" w:rsidRDefault="00380202" w:rsidP="001366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WP TypographicSymbols">
    <w:altName w:val="Courier New"/>
    <w:charset w:val="00"/>
    <w:family w:val="auto"/>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F86A72">
      <w:tblPrEx>
        <w:tblCellMar>
          <w:top w:w="0" w:type="dxa"/>
          <w:bottom w:w="0" w:type="dxa"/>
        </w:tblCellMar>
      </w:tblPrEx>
      <w:tc>
        <w:tcPr>
          <w:tcW w:w="5033" w:type="dxa"/>
          <w:vAlign w:val="bottom"/>
        </w:tcPr>
        <w:p w:rsidR="00F86A72" w:rsidRDefault="00F86A72">
          <w:pPr>
            <w:pStyle w:val="Footer"/>
          </w:pPr>
          <w:r>
            <w:rPr>
              <w:rStyle w:val="PageNumber"/>
            </w:rPr>
            <w:fldChar w:fldCharType="begin"/>
          </w:r>
          <w:r>
            <w:rPr>
              <w:rStyle w:val="PageNumber"/>
            </w:rPr>
            <w:instrText xml:space="preserve"> PAGE </w:instrText>
          </w:r>
          <w:r>
            <w:rPr>
              <w:rStyle w:val="PageNumber"/>
            </w:rPr>
            <w:fldChar w:fldCharType="separate"/>
          </w:r>
          <w:r w:rsidR="00EA6475">
            <w:rPr>
              <w:rStyle w:val="PageNumber"/>
            </w:rPr>
            <w:t>2</w:t>
          </w:r>
          <w:r>
            <w:rPr>
              <w:rStyle w:val="PageNumber"/>
            </w:rPr>
            <w:fldChar w:fldCharType="end"/>
          </w:r>
        </w:p>
      </w:tc>
      <w:tc>
        <w:tcPr>
          <w:tcW w:w="5033" w:type="dxa"/>
          <w:vAlign w:val="bottom"/>
        </w:tcPr>
        <w:p w:rsidR="00F86A72" w:rsidRDefault="00F86A72">
          <w:pPr>
            <w:pStyle w:val="Footer"/>
            <w:jc w:val="right"/>
          </w:pPr>
          <w:r>
            <w:rPr>
              <w:b w:val="0"/>
              <w:sz w:val="14"/>
            </w:rPr>
            <w:fldChar w:fldCharType="begin"/>
          </w:r>
          <w:r>
            <w:rPr>
              <w:b w:val="0"/>
              <w:sz w:val="14"/>
            </w:rPr>
            <w:instrText xml:space="preserve"> FILENAME \* Lower  \* MERGEFORMAT </w:instrText>
          </w:r>
          <w:r>
            <w:rPr>
              <w:b w:val="0"/>
              <w:sz w:val="14"/>
            </w:rPr>
            <w:fldChar w:fldCharType="separate"/>
          </w:r>
          <w:r>
            <w:rPr>
              <w:b w:val="0"/>
              <w:sz w:val="14"/>
            </w:rPr>
            <w:t>0123190s.doc</w:t>
          </w:r>
          <w:r>
            <w:rPr>
              <w:b w:val="0"/>
              <w:sz w:val="14"/>
            </w:rPr>
            <w:fldChar w:fldCharType="end"/>
          </w:r>
        </w:p>
      </w:tc>
    </w:tr>
  </w:tbl>
  <w:p w:rsidR="00F86A72" w:rsidRDefault="00F86A72">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F86A72">
      <w:tblPrEx>
        <w:tblCellMar>
          <w:top w:w="0" w:type="dxa"/>
          <w:bottom w:w="0" w:type="dxa"/>
        </w:tblCellMar>
      </w:tblPrEx>
      <w:tc>
        <w:tcPr>
          <w:tcW w:w="5033" w:type="dxa"/>
          <w:vAlign w:val="bottom"/>
        </w:tcPr>
        <w:p w:rsidR="00F86A72" w:rsidRDefault="00F86A72">
          <w:pPr>
            <w:pStyle w:val="Footer"/>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0123190s.doc</w:t>
          </w:r>
          <w:r>
            <w:rPr>
              <w:b w:val="0"/>
              <w:sz w:val="14"/>
            </w:rPr>
            <w:fldChar w:fldCharType="end"/>
          </w:r>
        </w:p>
      </w:tc>
      <w:tc>
        <w:tcPr>
          <w:tcW w:w="5033" w:type="dxa"/>
          <w:vAlign w:val="bottom"/>
        </w:tcPr>
        <w:p w:rsidR="00F86A72" w:rsidRDefault="00F86A72">
          <w:pPr>
            <w:pStyle w:val="Footer"/>
            <w:jc w:val="right"/>
            <w:rPr>
              <w:bCs/>
              <w:sz w:val="14"/>
            </w:rPr>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tc>
    </w:tr>
  </w:tbl>
  <w:p w:rsidR="00F86A72" w:rsidRDefault="00F86A72">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86A72" w:rsidRDefault="00F86A72">
    <w:pPr>
      <w:pStyle w:val="Footer"/>
      <w:pBdr>
        <w:top w:val="single" w:sz="2" w:space="1" w:color="auto"/>
      </w:pBdr>
      <w:rPr>
        <w:sz w:val="2"/>
      </w:rPr>
    </w:pPr>
  </w:p>
  <w:p w:rsidR="00F86A72" w:rsidRDefault="00F86A72">
    <w:pPr>
      <w:tabs>
        <w:tab w:val="left" w:pos="-720"/>
        <w:tab w:val="left" w:pos="0"/>
        <w:tab w:val="left" w:pos="600"/>
        <w:tab w:val="left" w:pos="1200"/>
        <w:tab w:val="left" w:pos="1800"/>
        <w:tab w:val="left" w:pos="2764"/>
        <w:tab w:val="left" w:pos="6480"/>
      </w:tabs>
      <w:spacing w:after="120" w:line="210" w:lineRule="exact"/>
      <w:ind w:left="1267" w:right="1267"/>
      <w:rPr>
        <w:sz w:val="17"/>
      </w:rPr>
    </w:pPr>
    <w:r>
      <w:rPr>
        <w:sz w:val="17"/>
      </w:rPr>
      <w:t>La presente acta está sujeta a correcciones.</w:t>
    </w:r>
  </w:p>
  <w:p w:rsidR="00F86A72" w:rsidRDefault="00F86A72">
    <w:pPr>
      <w:tabs>
        <w:tab w:val="left" w:pos="-720"/>
        <w:tab w:val="left" w:pos="0"/>
        <w:tab w:val="left" w:pos="600"/>
        <w:tab w:val="left" w:pos="1200"/>
        <w:tab w:val="left" w:pos="1800"/>
        <w:tab w:val="left" w:pos="2764"/>
        <w:tab w:val="left" w:pos="6480"/>
      </w:tabs>
      <w:spacing w:after="120" w:line="210" w:lineRule="exact"/>
      <w:ind w:left="1267" w:right="1267"/>
      <w:rPr>
        <w:sz w:val="17"/>
      </w:rPr>
    </w:pPr>
    <w:r>
      <w:rPr>
        <w:sz w:val="17"/>
      </w:rPr>
      <w:t xml:space="preserve">Las correcciones deberán redactarse en uno de los idiomas de trabajo y presentarse en forma de memorando. Además, deberán incorporarse en un ejemplar del acta.  Las correcciones deberán enviarse, </w:t>
    </w:r>
    <w:r>
      <w:rPr>
        <w:i/>
        <w:sz w:val="17"/>
      </w:rPr>
      <w:t>dentro del plazo de una semana a contar de la fecha del presente documento</w:t>
    </w:r>
    <w:r>
      <w:rPr>
        <w:sz w:val="17"/>
      </w:rPr>
      <w:t>, a la Jefa de la Sección de Edición de Documentos Oficiales, oficina DC2</w:t>
    </w:r>
    <w:r>
      <w:rPr>
        <w:sz w:val="17"/>
      </w:rPr>
      <w:noBreakHyphen/>
      <w:t>750, 2 United Nations Plaza.</w:t>
    </w:r>
  </w:p>
  <w:p w:rsidR="00F86A72" w:rsidRDefault="00F86A72">
    <w:pPr>
      <w:pStyle w:val="FootnoteText"/>
      <w:spacing w:after="120"/>
      <w:ind w:left="1267" w:right="1267" w:firstLine="0"/>
    </w:pPr>
    <w:r>
      <w:t>Las correcciones que se introduzcan en las actas del presente período de sesiones se publicarán en un solo documento de corrección, poco después de finalizar el período de sesiones.</w:t>
    </w:r>
  </w:p>
  <w:p w:rsidR="00F86A72" w:rsidRDefault="00F86A72">
    <w:pPr>
      <w:pStyle w:val="FootnoteText"/>
      <w:spacing w:line="120" w:lineRule="exact"/>
      <w:ind w:left="1267" w:right="1267" w:firstLine="0"/>
      <w:rPr>
        <w:sz w:val="10"/>
      </w:rPr>
    </w:pPr>
  </w:p>
  <w:p w:rsidR="00F86A72" w:rsidRDefault="00F86A72">
    <w:pPr>
      <w:pStyle w:val="Footer"/>
      <w:rPr>
        <w:b w:val="0"/>
        <w:sz w:val="20"/>
      </w:rPr>
    </w:pPr>
    <w:r>
      <w:rPr>
        <w:b w:val="0"/>
        <w:sz w:val="20"/>
      </w:rPr>
      <w:t>01-23190 (S)</w:t>
    </w:r>
  </w:p>
  <w:p w:rsidR="00F86A72" w:rsidRPr="004200BA" w:rsidRDefault="00F86A72" w:rsidP="004200BA">
    <w:pPr>
      <w:pStyle w:val="Footer"/>
      <w:spacing w:before="120" w:line="240" w:lineRule="exact"/>
      <w:rPr>
        <w:rFonts w:ascii="Barcode 3 of 9 by request" w:hAnsi="Barcode 3 of 9 by request"/>
        <w:b w:val="0"/>
        <w:sz w:val="24"/>
      </w:rPr>
    </w:pPr>
    <w:r w:rsidRPr="004200BA">
      <w:rPr>
        <w:rFonts w:ascii="Barcode 3 of 9 by request" w:hAnsi="Barcode 3 of 9 by request"/>
        <w:b w:val="0"/>
        <w:sz w:val="24"/>
      </w:rPr>
      <w:t>*0123190*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80202" w:rsidRDefault="00380202" w:rsidP="00136695">
      <w:r>
        <w:separator/>
      </w:r>
    </w:p>
  </w:footnote>
  <w:footnote w:type="continuationSeparator" w:id="0">
    <w:p w:rsidR="00380202" w:rsidRDefault="00380202" w:rsidP="0013669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86A72" w:rsidRDefault="00F86A72">
    <w:pPr>
      <w:pStyle w:val="Header"/>
    </w:pPr>
    <w:r>
      <w:rPr>
        <w:sz w:val="20"/>
      </w:rPr>
      <w:pict>
        <v:shapetype id="_x0000_t202" coordsize="21600,21600" o:spt="202" path="m,l,21600r21600,l21600,xe">
          <v:stroke joinstyle="miter"/>
          <v:path gradientshapeok="t" o:connecttype="rect"/>
        </v:shapetype>
        <v:shape id="_x0000_s1026" type="#_x0000_t202" style="position:absolute;margin-left:-5.75pt;margin-top:0;width:7in;height:50.4pt;z-index:2"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F86A72">
                  <w:tblPrEx>
                    <w:tblCellMar>
                      <w:top w:w="0" w:type="dxa"/>
                      <w:bottom w:w="0" w:type="dxa"/>
                    </w:tblCellMar>
                  </w:tblPrEx>
                  <w:trPr>
                    <w:trHeight w:hRule="exact" w:val="864"/>
                  </w:trPr>
                  <w:tc>
                    <w:tcPr>
                      <w:tcW w:w="4838" w:type="dxa"/>
                      <w:vAlign w:val="bottom"/>
                    </w:tcPr>
                    <w:p w:rsidR="00F86A72" w:rsidRDefault="00F86A72">
                      <w:pPr>
                        <w:pStyle w:val="Header"/>
                        <w:spacing w:after="80"/>
                        <w:rPr>
                          <w:b/>
                        </w:rPr>
                      </w:pPr>
                      <w:r>
                        <w:rPr>
                          <w:b/>
                        </w:rPr>
                        <w:t>CEDAW/C/SR.506</w:t>
                      </w:r>
                    </w:p>
                  </w:tc>
                  <w:tc>
                    <w:tcPr>
                      <w:tcW w:w="5048" w:type="dxa"/>
                      <w:vAlign w:val="bottom"/>
                    </w:tcPr>
                    <w:p w:rsidR="00F86A72" w:rsidRDefault="00F86A72">
                      <w:pPr>
                        <w:pStyle w:val="Header"/>
                      </w:pPr>
                    </w:p>
                  </w:tc>
                </w:tr>
              </w:tbl>
              <w:p w:rsidR="00F86A72" w:rsidRDefault="00F86A72">
                <w:pPr>
                  <w:rPr>
                    <w:lang w:val="en-US"/>
                  </w:rPr>
                </w:pPr>
              </w:p>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86A72" w:rsidRDefault="00F86A72">
    <w:pPr>
      <w:pStyle w:val="Header"/>
    </w:pPr>
    <w:r>
      <w:rPr>
        <w:sz w:val="20"/>
      </w:rPr>
      <w:pict>
        <v:shapetype id="_x0000_t202" coordsize="21600,21600" o:spt="202" path="m,l,21600r21600,l21600,xe">
          <v:stroke joinstyle="miter"/>
          <v:path gradientshapeok="t" o:connecttype="rect"/>
        </v:shapetype>
        <v:shape id="_x0000_s1025" type="#_x0000_t202" style="position:absolute;margin-left:-5.75pt;margin-top:0;width:7in;height:50.4pt;z-index:1"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F86A72">
                  <w:tblPrEx>
                    <w:tblCellMar>
                      <w:top w:w="0" w:type="dxa"/>
                      <w:bottom w:w="0" w:type="dxa"/>
                    </w:tblCellMar>
                  </w:tblPrEx>
                  <w:trPr>
                    <w:trHeight w:hRule="exact" w:val="864"/>
                  </w:trPr>
                  <w:tc>
                    <w:tcPr>
                      <w:tcW w:w="4838" w:type="dxa"/>
                      <w:vAlign w:val="bottom"/>
                    </w:tcPr>
                    <w:p w:rsidR="00F86A72" w:rsidRDefault="00F86A72">
                      <w:pPr>
                        <w:pStyle w:val="Header"/>
                      </w:pPr>
                    </w:p>
                  </w:tc>
                  <w:tc>
                    <w:tcPr>
                      <w:tcW w:w="5048" w:type="dxa"/>
                      <w:vAlign w:val="bottom"/>
                    </w:tcPr>
                    <w:p w:rsidR="00F86A72" w:rsidRDefault="00F86A72">
                      <w:pPr>
                        <w:pStyle w:val="Header"/>
                        <w:spacing w:after="80"/>
                        <w:jc w:val="right"/>
                        <w:rPr>
                          <w:b/>
                        </w:rPr>
                      </w:pPr>
                      <w:r>
                        <w:rPr>
                          <w:b/>
                        </w:rPr>
                        <w:t>CEDAW/C/SR.506</w:t>
                      </w:r>
                    </w:p>
                  </w:tc>
                </w:tr>
              </w:tbl>
              <w:p w:rsidR="00F86A72" w:rsidRDefault="00F86A72">
                <w:pPr>
                  <w:rPr>
                    <w:lang w:val="en-US"/>
                  </w:rPr>
                </w:pPr>
              </w:p>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F86A72">
      <w:tblPrEx>
        <w:tblCellMar>
          <w:top w:w="0" w:type="dxa"/>
          <w:bottom w:w="0" w:type="dxa"/>
        </w:tblCellMar>
      </w:tblPrEx>
      <w:trPr>
        <w:gridAfter w:val="1"/>
        <w:wAfter w:w="12" w:type="dxa"/>
        <w:trHeight w:hRule="exact" w:val="864"/>
      </w:trPr>
      <w:tc>
        <w:tcPr>
          <w:tcW w:w="1267" w:type="dxa"/>
          <w:tcBorders>
            <w:top w:val="nil"/>
            <w:left w:val="nil"/>
            <w:bottom w:val="single" w:sz="4" w:space="0" w:color="auto"/>
            <w:right w:val="nil"/>
          </w:tcBorders>
          <w:vAlign w:val="bottom"/>
        </w:tcPr>
        <w:p w:rsidR="00F86A72" w:rsidRDefault="00F86A72">
          <w:pPr>
            <w:pStyle w:val="Header"/>
            <w:spacing w:after="120"/>
          </w:pPr>
        </w:p>
      </w:tc>
      <w:tc>
        <w:tcPr>
          <w:tcW w:w="2059" w:type="dxa"/>
          <w:tcBorders>
            <w:top w:val="nil"/>
            <w:left w:val="nil"/>
            <w:bottom w:val="single" w:sz="4" w:space="0" w:color="auto"/>
            <w:right w:val="nil"/>
          </w:tcBorders>
          <w:vAlign w:val="bottom"/>
        </w:tcPr>
        <w:p w:rsidR="00F86A72" w:rsidRDefault="00F86A72">
          <w:pPr>
            <w:pStyle w:val="HCh"/>
            <w:spacing w:after="80"/>
            <w:rPr>
              <w:b w:val="0"/>
              <w:spacing w:val="2"/>
              <w:w w:val="96"/>
            </w:rPr>
          </w:pPr>
          <w:r>
            <w:rPr>
              <w:b w:val="0"/>
              <w:spacing w:val="2"/>
              <w:w w:val="96"/>
            </w:rPr>
            <w:t>Naciones Unidas</w:t>
          </w:r>
        </w:p>
      </w:tc>
      <w:tc>
        <w:tcPr>
          <w:tcW w:w="58" w:type="dxa"/>
          <w:tcBorders>
            <w:top w:val="nil"/>
            <w:left w:val="nil"/>
            <w:bottom w:val="single" w:sz="4" w:space="0" w:color="auto"/>
            <w:right w:val="nil"/>
          </w:tcBorders>
          <w:vAlign w:val="bottom"/>
        </w:tcPr>
        <w:p w:rsidR="00F86A72" w:rsidRDefault="00F86A72">
          <w:pPr>
            <w:pStyle w:val="Header"/>
            <w:spacing w:after="120"/>
          </w:pPr>
        </w:p>
      </w:tc>
      <w:tc>
        <w:tcPr>
          <w:tcW w:w="6523" w:type="dxa"/>
          <w:gridSpan w:val="3"/>
          <w:tcBorders>
            <w:top w:val="nil"/>
            <w:left w:val="nil"/>
            <w:bottom w:val="single" w:sz="4" w:space="0" w:color="auto"/>
            <w:right w:val="nil"/>
          </w:tcBorders>
          <w:vAlign w:val="bottom"/>
        </w:tcPr>
        <w:p w:rsidR="00F86A72" w:rsidRPr="00F86A72" w:rsidRDefault="00F86A72" w:rsidP="00F86A72">
          <w:pPr>
            <w:spacing w:line="240" w:lineRule="auto"/>
            <w:jc w:val="right"/>
            <w:rPr>
              <w:position w:val="-4"/>
            </w:rPr>
          </w:pPr>
          <w:r>
            <w:rPr>
              <w:position w:val="-4"/>
              <w:sz w:val="40"/>
            </w:rPr>
            <w:t>CEDAW</w:t>
          </w:r>
          <w:r>
            <w:rPr>
              <w:position w:val="-4"/>
            </w:rPr>
            <w:t>/C/SR.506</w:t>
          </w:r>
        </w:p>
      </w:tc>
    </w:tr>
    <w:tr w:rsidR="00F86A72">
      <w:tblPrEx>
        <w:tblCellMar>
          <w:top w:w="0" w:type="dxa"/>
          <w:bottom w:w="0" w:type="dxa"/>
        </w:tblCellMar>
      </w:tblPrEx>
      <w:trPr>
        <w:trHeight w:hRule="exact" w:val="2880"/>
      </w:trPr>
      <w:tc>
        <w:tcPr>
          <w:tcW w:w="1267" w:type="dxa"/>
          <w:tcBorders>
            <w:left w:val="nil"/>
            <w:bottom w:val="single" w:sz="12" w:space="0" w:color="auto"/>
            <w:right w:val="nil"/>
          </w:tcBorders>
        </w:tcPr>
        <w:p w:rsidR="00F86A72" w:rsidRDefault="00F86A72">
          <w:pPr>
            <w:pStyle w:val="Header"/>
            <w:spacing w:before="109"/>
            <w:rPr>
              <w:lang w:val="es-ES"/>
            </w:rPr>
          </w:pPr>
          <w:r>
            <w:rPr>
              <w:lang w:val="es-ES"/>
            </w:rP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F86A72" w:rsidRDefault="00F86A72">
          <w:pPr>
            <w:pStyle w:val="Header"/>
            <w:spacing w:before="109"/>
            <w:rPr>
              <w:lang w:val="es-ES"/>
            </w:rPr>
          </w:pPr>
        </w:p>
      </w:tc>
      <w:tc>
        <w:tcPr>
          <w:tcW w:w="5227" w:type="dxa"/>
          <w:gridSpan w:val="3"/>
          <w:tcBorders>
            <w:left w:val="nil"/>
            <w:bottom w:val="single" w:sz="12" w:space="0" w:color="auto"/>
            <w:right w:val="nil"/>
          </w:tcBorders>
        </w:tcPr>
        <w:p w:rsidR="00F86A72" w:rsidRDefault="00F86A72">
          <w:pPr>
            <w:pStyle w:val="XLarge"/>
            <w:spacing w:before="109" w:line="330" w:lineRule="exact"/>
            <w:rPr>
              <w:sz w:val="34"/>
            </w:rPr>
          </w:pPr>
          <w:r>
            <w:rPr>
              <w:sz w:val="34"/>
            </w:rPr>
            <w:t>Convención sobre la eliminación</w:t>
          </w:r>
          <w:r>
            <w:rPr>
              <w:sz w:val="34"/>
            </w:rPr>
            <w:br/>
            <w:t>de todas las formas de discriminación</w:t>
          </w:r>
          <w:r>
            <w:rPr>
              <w:sz w:val="34"/>
            </w:rPr>
            <w:br/>
            <w:t>contra la mujer</w:t>
          </w:r>
        </w:p>
      </w:tc>
      <w:tc>
        <w:tcPr>
          <w:tcW w:w="245" w:type="dxa"/>
          <w:tcBorders>
            <w:left w:val="nil"/>
            <w:bottom w:val="single" w:sz="12" w:space="0" w:color="auto"/>
            <w:right w:val="nil"/>
          </w:tcBorders>
        </w:tcPr>
        <w:p w:rsidR="00F86A72" w:rsidRDefault="00F86A72">
          <w:pPr>
            <w:pStyle w:val="Header"/>
            <w:spacing w:before="109"/>
            <w:rPr>
              <w:lang w:val="es-ES"/>
            </w:rPr>
          </w:pPr>
        </w:p>
      </w:tc>
      <w:tc>
        <w:tcPr>
          <w:tcW w:w="3180" w:type="dxa"/>
          <w:gridSpan w:val="2"/>
          <w:tcBorders>
            <w:left w:val="nil"/>
            <w:bottom w:val="single" w:sz="12" w:space="0" w:color="auto"/>
            <w:right w:val="nil"/>
          </w:tcBorders>
        </w:tcPr>
        <w:p w:rsidR="00F86A72" w:rsidRDefault="00F86A72">
          <w:pPr>
            <w:spacing w:before="240"/>
          </w:pPr>
          <w:r>
            <w:t>Distr. general</w:t>
          </w:r>
        </w:p>
        <w:p w:rsidR="00F86A72" w:rsidRDefault="00F86A72">
          <w:r>
            <w:t>30 de marzo de 2001</w:t>
          </w:r>
        </w:p>
        <w:p w:rsidR="00F86A72" w:rsidRDefault="00F86A72">
          <w:r>
            <w:t>Español</w:t>
          </w:r>
        </w:p>
        <w:p w:rsidR="00F86A72" w:rsidRDefault="00F86A72">
          <w:r>
            <w:t>Original: inglés</w:t>
          </w:r>
        </w:p>
      </w:tc>
    </w:tr>
  </w:tbl>
  <w:p w:rsidR="00F86A72" w:rsidRDefault="00F86A72">
    <w:pPr>
      <w:pStyle w:val="Header"/>
      <w:rPr>
        <w:sz w:val="2"/>
        <w:lang w:val="es-E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BE45BB"/>
    <w:multiLevelType w:val="singleLevel"/>
    <w:tmpl w:val="B1685AC6"/>
    <w:lvl w:ilvl="0">
      <w:start w:val="1"/>
      <w:numFmt w:val="decimal"/>
      <w:lvlRestart w:val="0"/>
      <w:lvlText w:val="%1."/>
      <w:lvlJc w:val="left"/>
      <w:pPr>
        <w:tabs>
          <w:tab w:val="num" w:pos="475"/>
        </w:tabs>
        <w:ind w:left="0" w:firstLine="0"/>
      </w:pPr>
      <w:rPr>
        <w:spacing w:val="0"/>
        <w:w w:val="100"/>
      </w:rPr>
    </w:lvl>
  </w:abstractNum>
  <w:abstractNum w:abstractNumId="1">
    <w:nsid w:val="303B154D"/>
    <w:multiLevelType w:val="singleLevel"/>
    <w:tmpl w:val="B1685AC6"/>
    <w:lvl w:ilvl="0">
      <w:start w:val="1"/>
      <w:numFmt w:val="decimal"/>
      <w:lvlRestart w:val="0"/>
      <w:lvlText w:val="%1."/>
      <w:lvlJc w:val="left"/>
      <w:pPr>
        <w:tabs>
          <w:tab w:val="num" w:pos="475"/>
        </w:tabs>
        <w:ind w:left="0" w:firstLine="0"/>
      </w:pPr>
      <w:rPr>
        <w:spacing w:val="0"/>
        <w:w w:val="100"/>
      </w:rPr>
    </w:lvl>
  </w:abstractNum>
  <w:abstractNum w:abstractNumId="2">
    <w:nsid w:val="706A519E"/>
    <w:multiLevelType w:val="singleLevel"/>
    <w:tmpl w:val="B1685AC6"/>
    <w:lvl w:ilvl="0">
      <w:start w:val="1"/>
      <w:numFmt w:val="decimal"/>
      <w:lvlRestart w:val="0"/>
      <w:lvlText w:val="%1."/>
      <w:lvlJc w:val="left"/>
      <w:pPr>
        <w:tabs>
          <w:tab w:val="num" w:pos="475"/>
        </w:tabs>
        <w:ind w:left="0" w:firstLine="0"/>
      </w:pPr>
      <w:rPr>
        <w:spacing w:val="0"/>
        <w:w w:val="100"/>
      </w:rPr>
    </w:lvl>
  </w:abstractNum>
  <w:abstractNum w:abstractNumId="3">
    <w:nsid w:val="7C8963EF"/>
    <w:multiLevelType w:val="singleLevel"/>
    <w:tmpl w:val="B1685AC6"/>
    <w:lvl w:ilvl="0">
      <w:start w:val="1"/>
      <w:numFmt w:val="decimal"/>
      <w:lvlRestart w:val="0"/>
      <w:lvlText w:val="%1."/>
      <w:lvlJc w:val="left"/>
      <w:pPr>
        <w:tabs>
          <w:tab w:val="num" w:pos="475"/>
        </w:tabs>
        <w:ind w:left="0" w:firstLine="0"/>
      </w:pPr>
      <w:rPr>
        <w:spacing w:val="0"/>
        <w:w w:val="100"/>
      </w:rPr>
    </w:lvl>
  </w:abstractNum>
  <w:num w:numId="1">
    <w:abstractNumId w:val="1"/>
  </w:num>
  <w:num w:numId="2">
    <w:abstractNumId w:val="1"/>
    <w:lvlOverride w:ilvl="0">
      <w:lvl w:ilvl="0">
        <w:start w:val="1"/>
        <w:numFmt w:val="decimal"/>
        <w:lvlRestart w:val="0"/>
        <w:lvlText w:val="%1."/>
        <w:lvlJc w:val="left"/>
        <w:pPr>
          <w:tabs>
            <w:tab w:val="num" w:pos="475"/>
          </w:tabs>
          <w:ind w:left="0" w:firstLine="0"/>
        </w:pPr>
        <w:rPr>
          <w:spacing w:val="0"/>
          <w:w w:val="100"/>
        </w:rPr>
      </w:lvl>
    </w:lvlOverride>
  </w:num>
  <w:num w:numId="3">
    <w:abstractNumId w:val="1"/>
    <w:lvlOverride w:ilvl="0">
      <w:lvl w:ilvl="0">
        <w:start w:val="1"/>
        <w:numFmt w:val="decimal"/>
        <w:lvlRestart w:val="0"/>
        <w:lvlText w:val="%1."/>
        <w:lvlJc w:val="left"/>
        <w:pPr>
          <w:tabs>
            <w:tab w:val="num" w:pos="475"/>
          </w:tabs>
          <w:ind w:left="0" w:firstLine="0"/>
        </w:pPr>
        <w:rPr>
          <w:spacing w:val="0"/>
          <w:w w:val="100"/>
        </w:rPr>
      </w:lvl>
    </w:lvlOverride>
  </w:num>
  <w:num w:numId="4">
    <w:abstractNumId w:val="3"/>
  </w:num>
  <w:num w:numId="5">
    <w:abstractNumId w:val="0"/>
  </w:num>
  <w:num w:numId="6">
    <w:abstractNumId w:val="2"/>
    <w:lvlOverride w:ilvl="0">
      <w:lvl w:ilvl="0">
        <w:start w:val="1"/>
        <w:numFmt w:val="decimal"/>
        <w:lvlRestart w:val="0"/>
        <w:lvlText w:val="%1."/>
        <w:lvlJc w:val="left"/>
        <w:pPr>
          <w:tabs>
            <w:tab w:val="num" w:pos="475"/>
          </w:tabs>
          <w:ind w:left="0" w:firstLine="0"/>
        </w:pPr>
        <w:rPr>
          <w:spacing w:val="0"/>
          <w:w w:val="100"/>
        </w:rPr>
      </w:lvl>
    </w:lvlOverride>
  </w:num>
  <w:num w:numId="7">
    <w:abstractNumId w:val="2"/>
    <w:lvlOverride w:ilvl="0">
      <w:lvl w:ilvl="0">
        <w:start w:val="1"/>
        <w:numFmt w:val="decimal"/>
        <w:lvlRestart w:val="0"/>
        <w:lvlText w:val="%1."/>
        <w:lvlJc w:val="left"/>
        <w:pPr>
          <w:tabs>
            <w:tab w:val="num" w:pos="475"/>
          </w:tabs>
          <w:ind w:left="0" w:firstLine="0"/>
        </w:pPr>
        <w:rPr>
          <w:spacing w:val="0"/>
          <w:w w:val="100"/>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hideSpellingErrors/>
  <w:activeWritingStyle w:appName="MSWord" w:lang="es-ES_tradnl" w:vendorID="9" w:dllVersion="512"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75"/>
  <w:autoHyphenation/>
  <w:hyphenationZone w:val="14"/>
  <w:doNotHyphenateCaps/>
  <w:evenAndOddHeaders/>
  <w:drawingGridHorizontalSpacing w:val="79"/>
  <w:drawingGridVerticalSpacing w:val="209"/>
  <w:displayHorizontalDrawingGridEvery w:val="0"/>
  <w:displayVerticalDrawingGridEvery w:val="0"/>
  <w:noPunctuationKerning/>
  <w:characterSpacingControl w:val="doNotCompress"/>
  <w:hdrShapeDefaults>
    <o:shapedefaults v:ext="edit" spidmax="3074"/>
    <o:shapelayout v:ext="edit">
      <o:idmap v:ext="edit" data="1"/>
    </o:shapelayout>
  </w:hdrShapeDefaults>
  <w:footnotePr>
    <w:footnote w:id="-1"/>
    <w:footnote w:id="0"/>
  </w:footnotePr>
  <w:endnotePr>
    <w:endnote w:id="-1"/>
    <w:endnote w:id="0"/>
  </w:endnotePr>
  <w:compat>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6/13/06 8:42: PM"/>
    <w:docVar w:name="DocCategory" w:val="SROthers"/>
    <w:docVar w:name="DocType" w:val="Final"/>
    <w:docVar w:name="JobNo" w:val="0121833S"/>
    <w:docVar w:name="OandT" w:val="PB"/>
    <w:docVar w:name="sss1" w:val="CEDAW/C/SR.506"/>
    <w:docVar w:name="Symbol1" w:val="CEDAW/C/SR.506"/>
    <w:docVar w:name="Symbol2" w:val="-"/>
  </w:docVars>
  <w:rsids>
    <w:rsidRoot w:val="001F23C2"/>
    <w:rsid w:val="00136695"/>
    <w:rsid w:val="001F23C2"/>
    <w:rsid w:val="00380202"/>
    <w:rsid w:val="004200BA"/>
    <w:rsid w:val="00533238"/>
    <w:rsid w:val="00795151"/>
    <w:rsid w:val="00EA6475"/>
    <w:rsid w:val="00ED28A0"/>
    <w:rsid w:val="00F86A7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exact"/>
    </w:pPr>
    <w:rPr>
      <w:spacing w:val="4"/>
      <w:w w:val="103"/>
      <w:kern w:val="14"/>
      <w:lang w:val="es-ES" w:eastAsia="en-US"/>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1">
    <w:name w:val="_ H_1"/>
    <w:basedOn w:val="Normal"/>
    <w:next w:val="Normal"/>
    <w:pPr>
      <w:keepNext/>
      <w:keepLine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DualTxt"/>
    <w:pPr>
      <w:spacing w:line="240" w:lineRule="exact"/>
      <w:outlineLvl w:val="1"/>
    </w:pPr>
    <w:rPr>
      <w:spacing w:val="2"/>
      <w:sz w:val="20"/>
    </w:rPr>
  </w:style>
  <w:style w:type="paragraph" w:customStyle="1" w:styleId="H4">
    <w:name w:val="_ H_4"/>
    <w:basedOn w:val="Normal"/>
    <w:next w:val="DualTxt"/>
    <w:pPr>
      <w:keepNext/>
      <w:keepLines/>
      <w:tabs>
        <w:tab w:val="right" w:pos="360"/>
      </w:tabs>
      <w:outlineLvl w:val="3"/>
    </w:pPr>
    <w:rPr>
      <w:i/>
      <w:spacing w:val="3"/>
    </w:rPr>
  </w:style>
  <w:style w:type="paragraph" w:customStyle="1" w:styleId="H56">
    <w:name w:val="_ H_5/6"/>
    <w:basedOn w:val="Normal"/>
    <w:next w:val="DualTxt"/>
    <w:pPr>
      <w:keepNext/>
      <w:keepLines/>
      <w:tabs>
        <w:tab w:val="right" w:pos="360"/>
      </w:tab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uppressAutoHyphens w:val="0"/>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color w:val="FF0000"/>
      <w:spacing w:val="-5"/>
      <w:w w:val="130"/>
      <w:position w:val="-4"/>
      <w:vertAlign w:val="superscript"/>
    </w:rPr>
  </w:style>
  <w:style w:type="character" w:styleId="EndnoteReference">
    <w:name w:val="endnote reference"/>
    <w:semiHidden/>
    <w:rPr>
      <w:color w:val="FF00FF"/>
      <w:spacing w:val="-5"/>
      <w:w w:val="130"/>
      <w:position w:val="-4"/>
      <w:vertAlign w:val="superscript"/>
    </w:rPr>
  </w:style>
  <w:style w:type="paragraph" w:styleId="FootnoteText">
    <w:name w:val="footnote text"/>
    <w:basedOn w:val="Normal"/>
    <w:semiHidden/>
    <w:pPr>
      <w:tabs>
        <w:tab w:val="right" w:pos="418"/>
      </w:tabs>
      <w:spacing w:line="210" w:lineRule="exact"/>
      <w:ind w:left="475" w:hanging="475"/>
    </w:pPr>
    <w:rPr>
      <w:spacing w:val="5"/>
      <w:w w:val="104"/>
      <w:sz w:val="17"/>
    </w:rPr>
  </w:style>
  <w:style w:type="paragraph" w:styleId="EndnoteText">
    <w:name w:val="endnote text"/>
    <w:basedOn w:val="FootnoteText"/>
    <w:semiHidden/>
    <w:pPr>
      <w:spacing w:after="80"/>
    </w:pPr>
  </w:style>
  <w:style w:type="paragraph" w:styleId="Footer">
    <w:name w:val="footer"/>
    <w:pPr>
      <w:tabs>
        <w:tab w:val="center" w:pos="4320"/>
        <w:tab w:val="right" w:pos="8640"/>
      </w:tabs>
    </w:pPr>
    <w:rPr>
      <w:b/>
      <w:noProof/>
      <w:sz w:val="17"/>
      <w:lang w:val="en-US" w:eastAsia="en-US"/>
    </w:rPr>
  </w:style>
  <w:style w:type="paragraph" w:styleId="Header">
    <w:name w:val="header"/>
    <w:pPr>
      <w:tabs>
        <w:tab w:val="center" w:pos="4320"/>
        <w:tab w:val="right" w:pos="8640"/>
      </w:tabs>
    </w:pPr>
    <w:rPr>
      <w:noProof/>
      <w:sz w:val="17"/>
      <w:lang w:val="en-US" w:eastAsia="en-US"/>
    </w:rPr>
  </w:style>
  <w:style w:type="character" w:styleId="LineNumber">
    <w:name w:val="line number"/>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 w:type="character" w:styleId="PageNumber">
    <w:name w:val="page number"/>
    <w:basedOn w:val="DefaultParagraphFont"/>
  </w:style>
  <w:style w:type="paragraph" w:styleId="BalloonText">
    <w:name w:val="Balloon Text"/>
    <w:basedOn w:val="Normal"/>
    <w:semiHidden/>
    <w:rsid w:val="001F23C2"/>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4</TotalTime>
  <Pages>1</Pages>
  <Words>3560</Words>
  <Characters>18625</Characters>
  <Application>Microsoft Office Word</Application>
  <DocSecurity>4</DocSecurity>
  <Lines>454</Lines>
  <Paragraphs>58</Paragraphs>
  <ScaleCrop>false</ScaleCrop>
  <HeadingPairs>
    <vt:vector size="2" baseType="variant">
      <vt:variant>
        <vt:lpstr>Title</vt:lpstr>
      </vt:variant>
      <vt:variant>
        <vt:i4>1</vt:i4>
      </vt:variant>
    </vt:vector>
  </HeadingPairs>
  <TitlesOfParts>
    <vt:vector size="1" baseType="lpstr">
      <vt:lpstr>For STPU (Oct. 12, 00_afternoon)</vt:lpstr>
    </vt:vector>
  </TitlesOfParts>
  <Company/>
  <LinksUpToDate>false</LinksUpToDate>
  <CharactersWithSpaces>22127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For STPU (Oct. 12, 00_afternoon)</dc:title>
  <dc:subject/>
  <dc:creator>piedad</dc:creator>
  <cp:keywords/>
  <dc:description/>
  <cp:lastModifiedBy>GACM User</cp:lastModifiedBy>
  <cp:revision>10</cp:revision>
  <cp:lastPrinted>2006-06-29T10:13:00Z</cp:lastPrinted>
  <dcterms:created xsi:type="dcterms:W3CDTF">2006-06-29T10:12:00Z</dcterms:created>
  <dcterms:modified xsi:type="dcterms:W3CDTF">2006-06-29T10:41:00Z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0121833</vt:lpwstr>
  </property>
  <property fmtid="{D5CDD505-2E9C-101B-9397-08002B2CF9AE}" pid="3" name="Symbol2">
    <vt:lpwstr/>
  </property>
  <property fmtid="{D5CDD505-2E9C-101B-9397-08002B2CF9AE}" pid="4" name="Translator">
    <vt:lpwstr/>
  </property>
  <property fmtid="{D5CDD505-2E9C-101B-9397-08002B2CF9AE}" pid="5" name="Symbol1">
    <vt:lpwstr>CEDAW/C/SR.506</vt:lpwstr>
  </property>
  <property fmtid="{D5CDD505-2E9C-101B-9397-08002B2CF9AE}" pid="6" name="sss1">
    <vt:lpwstr>CEDAW/C/SR.506</vt:lpwstr>
  </property>
  <property fmtid="{D5CDD505-2E9C-101B-9397-08002B2CF9AE}" pid="7" name="Comment">
    <vt:lpwstr/>
  </property>
  <property fmtid="{D5CDD505-2E9C-101B-9397-08002B2CF9AE}" pid="8" name="DraftPages">
    <vt:lpwstr>6</vt:lpwstr>
  </property>
  <property fmtid="{D5CDD505-2E9C-101B-9397-08002B2CF9AE}" pid="9" name="Operator">
    <vt:lpwstr>mtdk</vt:lpwstr>
  </property>
</Properties>
</file>