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77793" w:rsidRPr="00BA3042" w:rsidTr="00131283">
        <w:trPr>
          <w:trHeight w:hRule="exact" w:val="851"/>
        </w:trPr>
        <w:tc>
          <w:tcPr>
            <w:tcW w:w="1276" w:type="dxa"/>
            <w:tcBorders>
              <w:bottom w:val="single" w:sz="4" w:space="0" w:color="auto"/>
            </w:tcBorders>
          </w:tcPr>
          <w:p w:rsidR="00E77793" w:rsidRPr="00BA3042" w:rsidRDefault="00E77793" w:rsidP="00131283">
            <w:pPr>
              <w:rPr>
                <w:lang w:val="fr-FR"/>
              </w:rPr>
            </w:pPr>
          </w:p>
        </w:tc>
        <w:tc>
          <w:tcPr>
            <w:tcW w:w="2268" w:type="dxa"/>
            <w:tcBorders>
              <w:bottom w:val="single" w:sz="4" w:space="0" w:color="auto"/>
            </w:tcBorders>
            <w:vAlign w:val="bottom"/>
          </w:tcPr>
          <w:p w:rsidR="00E77793" w:rsidRPr="00BA3042" w:rsidRDefault="00E77793" w:rsidP="00131283">
            <w:pPr>
              <w:spacing w:after="80" w:line="300" w:lineRule="exact"/>
              <w:rPr>
                <w:sz w:val="28"/>
                <w:lang w:val="fr-FR"/>
              </w:rPr>
            </w:pPr>
            <w:r w:rsidRPr="00BA3042">
              <w:rPr>
                <w:sz w:val="28"/>
                <w:lang w:val="fr-FR"/>
              </w:rPr>
              <w:t>Nations Unies</w:t>
            </w:r>
          </w:p>
        </w:tc>
        <w:tc>
          <w:tcPr>
            <w:tcW w:w="6095" w:type="dxa"/>
            <w:gridSpan w:val="2"/>
            <w:tcBorders>
              <w:bottom w:val="single" w:sz="4" w:space="0" w:color="auto"/>
            </w:tcBorders>
            <w:vAlign w:val="bottom"/>
          </w:tcPr>
          <w:p w:rsidR="00E77793" w:rsidRPr="00BA3042" w:rsidRDefault="00AE6933" w:rsidP="00131283">
            <w:pPr>
              <w:jc w:val="right"/>
              <w:rPr>
                <w:lang w:val="fr-FR"/>
              </w:rPr>
            </w:pPr>
            <w:r w:rsidRPr="00BA3042">
              <w:rPr>
                <w:sz w:val="40"/>
                <w:szCs w:val="40"/>
                <w:lang w:val="fr-FR"/>
              </w:rPr>
              <w:t>E</w:t>
            </w:r>
            <w:r w:rsidRPr="00BA3042">
              <w:rPr>
                <w:lang w:val="fr-FR"/>
              </w:rPr>
              <w:t>/C.12/MKD/2-4</w:t>
            </w:r>
          </w:p>
        </w:tc>
      </w:tr>
      <w:tr w:rsidR="00E77793" w:rsidRPr="00BA3042" w:rsidTr="00131283">
        <w:trPr>
          <w:trHeight w:hRule="exact" w:val="2835"/>
        </w:trPr>
        <w:tc>
          <w:tcPr>
            <w:tcW w:w="1276" w:type="dxa"/>
            <w:tcBorders>
              <w:top w:val="single" w:sz="4" w:space="0" w:color="auto"/>
              <w:bottom w:val="single" w:sz="12" w:space="0" w:color="auto"/>
            </w:tcBorders>
          </w:tcPr>
          <w:p w:rsidR="00E77793" w:rsidRPr="00BA3042" w:rsidRDefault="00E77793" w:rsidP="00131283">
            <w:pPr>
              <w:spacing w:before="120"/>
              <w:jc w:val="center"/>
              <w:rPr>
                <w:lang w:val="fr-FR"/>
              </w:rPr>
            </w:pPr>
            <w:r w:rsidRPr="00BA3042">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77793" w:rsidRPr="00BA3042" w:rsidRDefault="00E77793" w:rsidP="00131283">
            <w:pPr>
              <w:spacing w:before="120" w:line="420" w:lineRule="exact"/>
              <w:rPr>
                <w:b/>
                <w:sz w:val="40"/>
                <w:szCs w:val="40"/>
                <w:lang w:val="fr-FR"/>
              </w:rPr>
            </w:pPr>
            <w:r w:rsidRPr="00BA3042">
              <w:rPr>
                <w:b/>
                <w:sz w:val="40"/>
                <w:szCs w:val="40"/>
                <w:lang w:val="fr-FR"/>
              </w:rPr>
              <w:t>Conseil économique et social</w:t>
            </w:r>
          </w:p>
        </w:tc>
        <w:tc>
          <w:tcPr>
            <w:tcW w:w="2835" w:type="dxa"/>
            <w:tcBorders>
              <w:top w:val="single" w:sz="4" w:space="0" w:color="auto"/>
              <w:bottom w:val="single" w:sz="12" w:space="0" w:color="auto"/>
            </w:tcBorders>
          </w:tcPr>
          <w:p w:rsidR="00AE6933" w:rsidRPr="00BA3042" w:rsidRDefault="00AE6933" w:rsidP="00AE6933">
            <w:pPr>
              <w:spacing w:before="240"/>
              <w:rPr>
                <w:lang w:val="fr-FR"/>
              </w:rPr>
            </w:pPr>
            <w:r w:rsidRPr="00BA3042">
              <w:rPr>
                <w:lang w:val="fr-FR"/>
              </w:rPr>
              <w:t>Distr. générale</w:t>
            </w:r>
          </w:p>
          <w:p w:rsidR="00AE6933" w:rsidRPr="00BA3042" w:rsidRDefault="00AE6933" w:rsidP="00AE6933">
            <w:pPr>
              <w:spacing w:line="240" w:lineRule="auto"/>
              <w:rPr>
                <w:lang w:val="fr-FR"/>
              </w:rPr>
            </w:pPr>
            <w:r w:rsidRPr="00BA3042">
              <w:rPr>
                <w:lang w:val="fr-FR"/>
              </w:rPr>
              <w:t>30 septembre 2014</w:t>
            </w:r>
          </w:p>
          <w:p w:rsidR="00AE6933" w:rsidRPr="00BA3042" w:rsidRDefault="00AE6933" w:rsidP="00AE6933">
            <w:pPr>
              <w:spacing w:line="240" w:lineRule="auto"/>
              <w:rPr>
                <w:lang w:val="fr-FR"/>
              </w:rPr>
            </w:pPr>
            <w:r w:rsidRPr="00BA3042">
              <w:rPr>
                <w:lang w:val="fr-FR"/>
              </w:rPr>
              <w:t>Français</w:t>
            </w:r>
          </w:p>
          <w:p w:rsidR="00E77793" w:rsidRPr="00BA3042" w:rsidRDefault="00AE6933" w:rsidP="00AE6933">
            <w:pPr>
              <w:rPr>
                <w:lang w:val="fr-FR"/>
              </w:rPr>
            </w:pPr>
            <w:r w:rsidRPr="00BA3042">
              <w:rPr>
                <w:lang w:val="fr-FR"/>
              </w:rPr>
              <w:t>Original: anglais</w:t>
            </w:r>
          </w:p>
        </w:tc>
      </w:tr>
    </w:tbl>
    <w:p w:rsidR="00E77793" w:rsidRPr="00BA3042" w:rsidRDefault="00E77793" w:rsidP="00E77793">
      <w:pPr>
        <w:spacing w:before="120"/>
        <w:rPr>
          <w:b/>
          <w:sz w:val="24"/>
          <w:szCs w:val="24"/>
          <w:lang w:val="fr-FR"/>
        </w:rPr>
      </w:pPr>
      <w:r w:rsidRPr="00BA3042">
        <w:rPr>
          <w:b/>
          <w:sz w:val="24"/>
          <w:szCs w:val="24"/>
          <w:lang w:val="fr-FR"/>
        </w:rPr>
        <w:t>Comité des droits économiques, sociaux et culturels</w:t>
      </w:r>
    </w:p>
    <w:p w:rsidR="00AE6933" w:rsidRPr="00BA3042" w:rsidRDefault="00AE6933" w:rsidP="00AE6933">
      <w:pPr>
        <w:pStyle w:val="HMG"/>
        <w:rPr>
          <w:lang w:val="fr-FR"/>
        </w:rPr>
      </w:pPr>
      <w:r w:rsidRPr="00BA3042">
        <w:rPr>
          <w:lang w:val="fr-FR"/>
        </w:rPr>
        <w:tab/>
      </w:r>
      <w:r w:rsidRPr="00BA3042">
        <w:rPr>
          <w:lang w:val="fr-FR"/>
        </w:rPr>
        <w:tab/>
        <w:t>Examen des rapports soumis par les États parties en application des articles 16 et 17 du Pacte international relatif aux droits économiques, sociaux et culturels</w:t>
      </w:r>
    </w:p>
    <w:p w:rsidR="00AE6933" w:rsidRPr="00BA3042" w:rsidRDefault="00AE6933" w:rsidP="00DF7CC2">
      <w:pPr>
        <w:pStyle w:val="HChG"/>
        <w:rPr>
          <w:lang w:val="fr-FR"/>
        </w:rPr>
      </w:pPr>
      <w:r w:rsidRPr="00BA3042">
        <w:rPr>
          <w:lang w:val="fr-FR"/>
        </w:rPr>
        <w:tab/>
      </w:r>
      <w:r w:rsidRPr="00BA3042">
        <w:rPr>
          <w:lang w:val="fr-FR"/>
        </w:rPr>
        <w:tab/>
        <w:t>Deuxième, troisième et quatrième rapports périodiques des États parties attendus en 2008</w:t>
      </w:r>
    </w:p>
    <w:p w:rsidR="00AE6933" w:rsidRPr="00BA3042" w:rsidRDefault="00AE6933" w:rsidP="00DF7CC2">
      <w:pPr>
        <w:pStyle w:val="HMG"/>
        <w:rPr>
          <w:lang w:val="fr-FR"/>
        </w:rPr>
      </w:pPr>
      <w:r w:rsidRPr="00BA3042">
        <w:rPr>
          <w:lang w:val="fr-FR"/>
        </w:rPr>
        <w:tab/>
      </w:r>
      <w:r w:rsidRPr="00BA3042">
        <w:rPr>
          <w:lang w:val="fr-FR"/>
        </w:rPr>
        <w:tab/>
        <w:t>Ex-</w:t>
      </w:r>
      <w:r w:rsidRPr="00DF7CC2">
        <w:t>République</w:t>
      </w:r>
      <w:r w:rsidRPr="00BA3042">
        <w:rPr>
          <w:lang w:val="fr-FR"/>
        </w:rPr>
        <w:t xml:space="preserve"> yougoslave de Macédoine</w:t>
      </w:r>
      <w:r w:rsidRPr="00BA3042">
        <w:rPr>
          <w:rStyle w:val="FootnoteReference"/>
          <w:b w:val="0"/>
          <w:position w:val="6"/>
          <w:sz w:val="20"/>
          <w:vertAlign w:val="baseline"/>
          <w:lang w:val="fr-FR"/>
        </w:rPr>
        <w:footnoteReference w:customMarkFollows="1" w:id="2"/>
        <w:t>*</w:t>
      </w:r>
    </w:p>
    <w:p w:rsidR="00CD044C" w:rsidRPr="00BA3042" w:rsidRDefault="00AE6933" w:rsidP="00AE6933">
      <w:pPr>
        <w:pStyle w:val="SingleTxtG"/>
        <w:jc w:val="right"/>
        <w:rPr>
          <w:lang w:val="fr-FR"/>
        </w:rPr>
      </w:pPr>
      <w:r w:rsidRPr="00BA3042">
        <w:rPr>
          <w:lang w:val="fr-FR"/>
        </w:rPr>
        <w:t>[Date de réception: 17 février 2014]</w:t>
      </w:r>
    </w:p>
    <w:p w:rsidR="00AE6933" w:rsidRPr="00BA3042" w:rsidRDefault="00AE6933" w:rsidP="00AE6933">
      <w:pPr>
        <w:rPr>
          <w:sz w:val="28"/>
          <w:lang w:val="fr-FR"/>
        </w:rPr>
      </w:pPr>
      <w:r w:rsidRPr="00BA3042">
        <w:rPr>
          <w:lang w:val="fr-FR"/>
        </w:rPr>
        <w:br w:type="page"/>
      </w:r>
      <w:r w:rsidRPr="00BA3042">
        <w:rPr>
          <w:sz w:val="28"/>
          <w:lang w:val="fr-FR"/>
        </w:rPr>
        <w:t>Table des matières</w:t>
      </w:r>
    </w:p>
    <w:p w:rsidR="00AE6933" w:rsidRPr="00BA3042" w:rsidRDefault="00AE6933" w:rsidP="00AE6933">
      <w:pPr>
        <w:tabs>
          <w:tab w:val="left" w:pos="567"/>
          <w:tab w:val="right" w:pos="8929"/>
          <w:tab w:val="right" w:pos="9638"/>
        </w:tabs>
        <w:spacing w:after="120"/>
        <w:ind w:left="283"/>
        <w:rPr>
          <w:lang w:val="fr-FR"/>
        </w:rPr>
      </w:pPr>
      <w:r w:rsidRPr="00BA3042">
        <w:rPr>
          <w:i/>
          <w:sz w:val="18"/>
          <w:lang w:val="fr-FR"/>
        </w:rPr>
        <w:tab/>
      </w:r>
      <w:r w:rsidRPr="00BA3042">
        <w:rPr>
          <w:i/>
          <w:sz w:val="18"/>
          <w:lang w:val="fr-FR"/>
        </w:rPr>
        <w:tab/>
        <w:t>Paragraphes</w:t>
      </w:r>
      <w:r w:rsidRPr="00BA3042">
        <w:rPr>
          <w:i/>
          <w:sz w:val="18"/>
          <w:lang w:val="fr-FR"/>
        </w:rPr>
        <w:tab/>
        <w:t>Page</w:t>
      </w:r>
    </w:p>
    <w:p w:rsidR="00AE6933" w:rsidRPr="00BA3042" w:rsidRDefault="00AE6933" w:rsidP="00AE6933">
      <w:pPr>
        <w:tabs>
          <w:tab w:val="right" w:pos="850"/>
          <w:tab w:val="right" w:leader="dot" w:pos="7654"/>
          <w:tab w:val="right" w:pos="8929"/>
          <w:tab w:val="right" w:pos="9638"/>
        </w:tabs>
        <w:spacing w:after="120"/>
        <w:ind w:left="1134" w:hanging="1134"/>
        <w:rPr>
          <w:lang w:val="fr-FR"/>
        </w:rPr>
      </w:pPr>
      <w:r w:rsidRPr="00BA3042">
        <w:rPr>
          <w:lang w:val="fr-FR"/>
        </w:rPr>
        <w:tab/>
        <w:t>I.</w:t>
      </w:r>
      <w:r w:rsidRPr="00BA3042">
        <w:rPr>
          <w:lang w:val="fr-FR"/>
        </w:rPr>
        <w:tab/>
        <w:t>Introduction</w:t>
      </w:r>
      <w:r w:rsidRPr="00BA3042">
        <w:rPr>
          <w:lang w:val="fr-FR"/>
        </w:rPr>
        <w:tab/>
      </w:r>
      <w:r w:rsidRPr="00BA3042">
        <w:rPr>
          <w:lang w:val="fr-FR"/>
        </w:rPr>
        <w:tab/>
        <w:t>1–5</w:t>
      </w:r>
      <w:r w:rsidRPr="00BA3042">
        <w:rPr>
          <w:lang w:val="fr-FR"/>
        </w:rPr>
        <w:tab/>
        <w:t>3</w:t>
      </w:r>
    </w:p>
    <w:p w:rsidR="00AE6933" w:rsidRPr="00BA3042" w:rsidRDefault="00AE6933" w:rsidP="00AE6933">
      <w:pPr>
        <w:tabs>
          <w:tab w:val="right" w:pos="850"/>
          <w:tab w:val="right" w:leader="dot" w:pos="7654"/>
          <w:tab w:val="right" w:pos="8931"/>
          <w:tab w:val="right" w:pos="9638"/>
        </w:tabs>
        <w:spacing w:after="120"/>
        <w:ind w:left="1134" w:hanging="1134"/>
        <w:rPr>
          <w:lang w:val="fr-FR"/>
        </w:rPr>
      </w:pPr>
      <w:r w:rsidRPr="00BA3042">
        <w:rPr>
          <w:lang w:val="fr-FR"/>
        </w:rPr>
        <w:tab/>
        <w:t>II.</w:t>
      </w:r>
      <w:r w:rsidRPr="00BA3042">
        <w:rPr>
          <w:lang w:val="fr-FR"/>
        </w:rPr>
        <w:tab/>
        <w:t>Articles spécifiques</w:t>
      </w:r>
      <w:r w:rsidRPr="00BA3042">
        <w:rPr>
          <w:lang w:val="fr-FR"/>
        </w:rPr>
        <w:tab/>
      </w:r>
      <w:r w:rsidRPr="00BA3042">
        <w:rPr>
          <w:lang w:val="fr-FR"/>
        </w:rPr>
        <w:tab/>
        <w:t>6–90</w:t>
      </w:r>
      <w:r w:rsidRPr="00BA3042">
        <w:rPr>
          <w:lang w:val="fr-FR"/>
        </w:rPr>
        <w:tab/>
        <w:t>3</w:t>
      </w:r>
    </w:p>
    <w:p w:rsidR="00AE6933" w:rsidRPr="00BA3042" w:rsidRDefault="00AE6933" w:rsidP="00AE6933">
      <w:pPr>
        <w:tabs>
          <w:tab w:val="right" w:leader="dot" w:pos="7654"/>
          <w:tab w:val="right" w:pos="8931"/>
          <w:tab w:val="right" w:pos="9638"/>
        </w:tabs>
        <w:spacing w:after="120"/>
        <w:ind w:left="1559" w:hanging="425"/>
        <w:rPr>
          <w:lang w:val="fr-FR"/>
        </w:rPr>
      </w:pPr>
      <w:r w:rsidRPr="00BA3042">
        <w:rPr>
          <w:lang w:val="fr-FR"/>
        </w:rPr>
        <w:t>Article premier</w:t>
      </w:r>
      <w:r w:rsidRPr="00BA3042">
        <w:rPr>
          <w:lang w:val="fr-FR"/>
        </w:rPr>
        <w:tab/>
      </w:r>
      <w:r w:rsidRPr="00BA3042">
        <w:rPr>
          <w:lang w:val="fr-FR"/>
        </w:rPr>
        <w:tab/>
        <w:t>6</w:t>
      </w:r>
      <w:r w:rsidRPr="00BA3042">
        <w:rPr>
          <w:lang w:val="fr-FR"/>
        </w:rPr>
        <w:tab/>
        <w:t>3</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2.</w:t>
      </w:r>
      <w:r w:rsidR="004C72C1">
        <w:rPr>
          <w:lang w:val="fr-FR"/>
        </w:rPr>
        <w:t xml:space="preserve"> </w:t>
      </w:r>
      <w:r w:rsidRPr="00BA3042">
        <w:rPr>
          <w:lang w:val="fr-FR"/>
        </w:rPr>
        <w:t>Réponse aux recommandations n</w:t>
      </w:r>
      <w:r w:rsidRPr="00BA3042">
        <w:rPr>
          <w:vertAlign w:val="superscript"/>
          <w:lang w:val="fr-FR"/>
        </w:rPr>
        <w:t>os</w:t>
      </w:r>
      <w:r w:rsidRPr="00BA3042">
        <w:rPr>
          <w:lang w:val="fr-FR"/>
        </w:rPr>
        <w:t> 31 et 32 du Comité</w:t>
      </w:r>
      <w:r w:rsidRPr="00BA3042">
        <w:rPr>
          <w:lang w:val="fr-FR"/>
        </w:rPr>
        <w:tab/>
      </w:r>
      <w:r w:rsidRPr="00BA3042">
        <w:rPr>
          <w:lang w:val="fr-FR"/>
        </w:rPr>
        <w:tab/>
        <w:t>7–16</w:t>
      </w:r>
      <w:r w:rsidRPr="00BA3042">
        <w:rPr>
          <w:lang w:val="fr-FR"/>
        </w:rPr>
        <w:tab/>
        <w:t>3</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3.</w:t>
      </w:r>
      <w:r w:rsidR="004C72C1">
        <w:rPr>
          <w:lang w:val="fr-FR"/>
        </w:rPr>
        <w:t xml:space="preserve"> </w:t>
      </w:r>
      <w:r w:rsidRPr="00BA3042">
        <w:rPr>
          <w:lang w:val="fr-FR"/>
        </w:rPr>
        <w:t>Réponse aux recommandations n</w:t>
      </w:r>
      <w:r w:rsidRPr="00BA3042">
        <w:rPr>
          <w:vertAlign w:val="superscript"/>
          <w:lang w:val="fr-FR"/>
        </w:rPr>
        <w:t xml:space="preserve"> os</w:t>
      </w:r>
      <w:r w:rsidRPr="00BA3042">
        <w:rPr>
          <w:lang w:val="fr-FR"/>
        </w:rPr>
        <w:t> 33 et 34 du Comité</w:t>
      </w:r>
      <w:r w:rsidRPr="00BA3042">
        <w:rPr>
          <w:lang w:val="fr-FR"/>
        </w:rPr>
        <w:tab/>
      </w:r>
      <w:r w:rsidRPr="00BA3042">
        <w:rPr>
          <w:lang w:val="fr-FR"/>
        </w:rPr>
        <w:tab/>
        <w:t>17–20</w:t>
      </w:r>
      <w:r w:rsidRPr="00BA3042">
        <w:rPr>
          <w:lang w:val="fr-FR"/>
        </w:rPr>
        <w:tab/>
        <w:t>4</w:t>
      </w:r>
    </w:p>
    <w:p w:rsidR="00AE6933" w:rsidRPr="00BA3042" w:rsidRDefault="00AE6933" w:rsidP="00AE6933">
      <w:pPr>
        <w:tabs>
          <w:tab w:val="right" w:leader="dot" w:pos="7654"/>
          <w:tab w:val="right" w:pos="8931"/>
          <w:tab w:val="right" w:pos="9638"/>
        </w:tabs>
        <w:spacing w:after="120"/>
        <w:ind w:left="1559" w:hanging="425"/>
        <w:rPr>
          <w:lang w:val="fr-FR"/>
        </w:rPr>
      </w:pPr>
      <w:r w:rsidRPr="00BA3042">
        <w:rPr>
          <w:lang w:val="fr-FR"/>
        </w:rPr>
        <w:t>Articles 4 et 5</w:t>
      </w:r>
      <w:r w:rsidRPr="00BA3042">
        <w:rPr>
          <w:lang w:val="fr-FR"/>
        </w:rPr>
        <w:tab/>
      </w:r>
      <w:r w:rsidRPr="00BA3042">
        <w:rPr>
          <w:lang w:val="fr-FR"/>
        </w:rPr>
        <w:tab/>
        <w:t>21</w:t>
      </w:r>
      <w:r w:rsidRPr="00BA3042">
        <w:rPr>
          <w:lang w:val="fr-FR"/>
        </w:rPr>
        <w:tab/>
        <w:t>5</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6.</w:t>
      </w:r>
      <w:r w:rsidR="004C72C1">
        <w:rPr>
          <w:lang w:val="fr-FR"/>
        </w:rPr>
        <w:t xml:space="preserve"> </w:t>
      </w:r>
      <w:r w:rsidRPr="00BA3042">
        <w:rPr>
          <w:lang w:val="fr-FR"/>
        </w:rPr>
        <w:t>Réponse à la recommandation n</w:t>
      </w:r>
      <w:r w:rsidRPr="00BA3042">
        <w:rPr>
          <w:vertAlign w:val="superscript"/>
          <w:lang w:val="fr-FR"/>
        </w:rPr>
        <w:t>o</w:t>
      </w:r>
      <w:r w:rsidRPr="00BA3042">
        <w:rPr>
          <w:lang w:val="fr-FR"/>
        </w:rPr>
        <w:t xml:space="preserve"> 35 du Comité</w:t>
      </w:r>
      <w:r w:rsidRPr="00BA3042">
        <w:rPr>
          <w:lang w:val="fr-FR"/>
        </w:rPr>
        <w:tab/>
      </w:r>
      <w:r w:rsidRPr="00BA3042">
        <w:rPr>
          <w:lang w:val="fr-FR"/>
        </w:rPr>
        <w:tab/>
        <w:t>22–36</w:t>
      </w:r>
      <w:r w:rsidRPr="00BA3042">
        <w:rPr>
          <w:lang w:val="fr-FR"/>
        </w:rPr>
        <w:tab/>
        <w:t>5</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7.</w:t>
      </w:r>
      <w:r w:rsidR="004C72C1">
        <w:rPr>
          <w:lang w:val="fr-FR"/>
        </w:rPr>
        <w:t xml:space="preserve"> </w:t>
      </w:r>
      <w:r w:rsidRPr="00BA3042">
        <w:rPr>
          <w:lang w:val="fr-FR"/>
        </w:rPr>
        <w:t>Réponse à la recommandation n</w:t>
      </w:r>
      <w:r w:rsidRPr="00BA3042">
        <w:rPr>
          <w:vertAlign w:val="superscript"/>
          <w:lang w:val="fr-FR"/>
        </w:rPr>
        <w:t>o</w:t>
      </w:r>
      <w:r w:rsidRPr="00BA3042">
        <w:rPr>
          <w:lang w:val="fr-FR"/>
        </w:rPr>
        <w:t xml:space="preserve"> 36 du Comité</w:t>
      </w:r>
      <w:r w:rsidRPr="00BA3042">
        <w:rPr>
          <w:lang w:val="fr-FR"/>
        </w:rPr>
        <w:tab/>
      </w:r>
      <w:r w:rsidRPr="00BA3042">
        <w:rPr>
          <w:lang w:val="fr-FR"/>
        </w:rPr>
        <w:tab/>
        <w:t>37–46</w:t>
      </w:r>
      <w:r w:rsidR="00DF7CC2">
        <w:rPr>
          <w:lang w:val="fr-FR"/>
        </w:rPr>
        <w:tab/>
        <w:t>10</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8.</w:t>
      </w:r>
      <w:r w:rsidR="004C72C1">
        <w:rPr>
          <w:lang w:val="fr-FR"/>
        </w:rPr>
        <w:t xml:space="preserve"> </w:t>
      </w:r>
      <w:r w:rsidRPr="00BA3042">
        <w:rPr>
          <w:lang w:val="fr-FR"/>
        </w:rPr>
        <w:t>Réponse à la recommandation n</w:t>
      </w:r>
      <w:r w:rsidRPr="00BA3042">
        <w:rPr>
          <w:vertAlign w:val="superscript"/>
          <w:lang w:val="fr-FR"/>
        </w:rPr>
        <w:t>o</w:t>
      </w:r>
      <w:r w:rsidRPr="00BA3042">
        <w:rPr>
          <w:lang w:val="fr-FR"/>
        </w:rPr>
        <w:t xml:space="preserve"> 37 du Comité</w:t>
      </w:r>
      <w:r w:rsidRPr="00BA3042">
        <w:rPr>
          <w:lang w:val="fr-FR"/>
        </w:rPr>
        <w:tab/>
      </w:r>
      <w:r w:rsidRPr="00BA3042">
        <w:rPr>
          <w:lang w:val="fr-FR"/>
        </w:rPr>
        <w:tab/>
        <w:t>47–50</w:t>
      </w:r>
      <w:r w:rsidRPr="00BA3042">
        <w:rPr>
          <w:lang w:val="fr-FR"/>
        </w:rPr>
        <w:tab/>
        <w:t>12</w:t>
      </w:r>
    </w:p>
    <w:p w:rsidR="00AE6933" w:rsidRPr="00BA3042" w:rsidRDefault="00AE6933" w:rsidP="00DF7CC2">
      <w:pPr>
        <w:tabs>
          <w:tab w:val="left" w:pos="2172"/>
          <w:tab w:val="left" w:pos="2534"/>
          <w:tab w:val="right" w:leader="dot" w:pos="7654"/>
          <w:tab w:val="right" w:pos="8931"/>
          <w:tab w:val="right" w:pos="9638"/>
        </w:tabs>
        <w:spacing w:after="120"/>
        <w:ind w:left="1559" w:hanging="425"/>
        <w:rPr>
          <w:lang w:val="fr-FR"/>
        </w:rPr>
      </w:pPr>
      <w:r w:rsidRPr="00BA3042">
        <w:rPr>
          <w:lang w:val="fr-FR"/>
        </w:rPr>
        <w:t>Article 9. Réponse à la recommandation n</w:t>
      </w:r>
      <w:r w:rsidRPr="00BA3042">
        <w:rPr>
          <w:vertAlign w:val="superscript"/>
          <w:lang w:val="fr-FR"/>
        </w:rPr>
        <w:t>o</w:t>
      </w:r>
      <w:r w:rsidRPr="00BA3042">
        <w:rPr>
          <w:lang w:val="fr-FR"/>
        </w:rPr>
        <w:t xml:space="preserve"> 38 du Comité</w:t>
      </w:r>
      <w:r w:rsidRPr="00BA3042">
        <w:rPr>
          <w:lang w:val="fr-FR"/>
        </w:rPr>
        <w:tab/>
      </w:r>
      <w:r w:rsidRPr="00BA3042">
        <w:rPr>
          <w:lang w:val="fr-FR"/>
        </w:rPr>
        <w:tab/>
        <w:t>51–67</w:t>
      </w:r>
      <w:r w:rsidRPr="00BA3042">
        <w:rPr>
          <w:lang w:val="fr-FR"/>
        </w:rPr>
        <w:tab/>
        <w:t>1</w:t>
      </w:r>
      <w:r w:rsidR="00DF7CC2">
        <w:rPr>
          <w:lang w:val="fr-FR"/>
        </w:rPr>
        <w:t>2</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10.</w:t>
      </w:r>
      <w:r w:rsidR="004C72C1">
        <w:rPr>
          <w:lang w:val="fr-FR"/>
        </w:rPr>
        <w:t xml:space="preserve"> </w:t>
      </w:r>
      <w:r w:rsidRPr="00BA3042">
        <w:rPr>
          <w:lang w:val="fr-FR"/>
        </w:rPr>
        <w:t>Réponse aux recommandations n</w:t>
      </w:r>
      <w:r w:rsidRPr="00BA3042">
        <w:rPr>
          <w:vertAlign w:val="superscript"/>
          <w:lang w:val="fr-FR"/>
        </w:rPr>
        <w:t xml:space="preserve"> os</w:t>
      </w:r>
      <w:r w:rsidRPr="00BA3042">
        <w:rPr>
          <w:lang w:val="fr-FR"/>
        </w:rPr>
        <w:t xml:space="preserve"> 39,</w:t>
      </w:r>
      <w:r w:rsidR="004C72C1">
        <w:rPr>
          <w:lang w:val="fr-FR"/>
        </w:rPr>
        <w:t xml:space="preserve"> </w:t>
      </w:r>
      <w:r w:rsidRPr="00BA3042">
        <w:rPr>
          <w:lang w:val="fr-FR"/>
        </w:rPr>
        <w:t>40 et 41 du Comité</w:t>
      </w:r>
      <w:r w:rsidRPr="00BA3042">
        <w:rPr>
          <w:lang w:val="fr-FR"/>
        </w:rPr>
        <w:tab/>
      </w:r>
      <w:r w:rsidRPr="00BA3042">
        <w:rPr>
          <w:lang w:val="fr-FR"/>
        </w:rPr>
        <w:tab/>
        <w:t>68–81</w:t>
      </w:r>
      <w:r w:rsidRPr="00BA3042">
        <w:rPr>
          <w:lang w:val="fr-FR"/>
        </w:rPr>
        <w:tab/>
      </w:r>
      <w:r w:rsidR="00DF7CC2">
        <w:rPr>
          <w:lang w:val="fr-FR"/>
        </w:rPr>
        <w:t>16</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11.</w:t>
      </w:r>
      <w:r w:rsidR="004C72C1">
        <w:rPr>
          <w:lang w:val="fr-FR"/>
        </w:rPr>
        <w:t xml:space="preserve"> </w:t>
      </w:r>
      <w:r w:rsidRPr="00BA3042">
        <w:rPr>
          <w:lang w:val="fr-FR"/>
        </w:rPr>
        <w:t>Réponse aux recommandations n</w:t>
      </w:r>
      <w:r w:rsidRPr="00BA3042">
        <w:rPr>
          <w:vertAlign w:val="superscript"/>
          <w:lang w:val="fr-FR"/>
        </w:rPr>
        <w:t xml:space="preserve"> os</w:t>
      </w:r>
      <w:r w:rsidRPr="00BA3042">
        <w:rPr>
          <w:lang w:val="fr-FR"/>
        </w:rPr>
        <w:t xml:space="preserve"> 42, 44 et 29 du Comité</w:t>
      </w:r>
      <w:r w:rsidRPr="00BA3042">
        <w:rPr>
          <w:lang w:val="fr-FR"/>
        </w:rPr>
        <w:tab/>
      </w:r>
      <w:r w:rsidRPr="00BA3042">
        <w:rPr>
          <w:lang w:val="fr-FR"/>
        </w:rPr>
        <w:tab/>
        <w:t>82–109</w:t>
      </w:r>
      <w:r w:rsidRPr="00BA3042">
        <w:rPr>
          <w:lang w:val="fr-FR"/>
        </w:rPr>
        <w:tab/>
      </w:r>
      <w:r w:rsidR="00DF7CC2">
        <w:rPr>
          <w:lang w:val="fr-FR"/>
        </w:rPr>
        <w:t>18</w:t>
      </w:r>
    </w:p>
    <w:p w:rsidR="00AE6933" w:rsidRPr="00BA3042" w:rsidRDefault="00AE6933" w:rsidP="00AE6933">
      <w:pPr>
        <w:tabs>
          <w:tab w:val="right" w:leader="dot" w:pos="7654"/>
          <w:tab w:val="right" w:pos="8929"/>
          <w:tab w:val="right" w:pos="9638"/>
        </w:tabs>
        <w:spacing w:after="120"/>
        <w:ind w:left="1984" w:hanging="425"/>
        <w:rPr>
          <w:lang w:val="fr-FR"/>
        </w:rPr>
      </w:pPr>
      <w:r w:rsidRPr="00BA3042">
        <w:rPr>
          <w:lang w:val="fr-FR"/>
        </w:rPr>
        <w:t>A.</w:t>
      </w:r>
      <w:r w:rsidRPr="00BA3042">
        <w:rPr>
          <w:lang w:val="fr-FR"/>
        </w:rPr>
        <w:tab/>
        <w:t>Droit à une amélioration constante des conditions d’existence</w:t>
      </w:r>
      <w:r w:rsidRPr="00BA3042">
        <w:rPr>
          <w:lang w:val="fr-FR"/>
        </w:rPr>
        <w:tab/>
      </w:r>
      <w:r w:rsidRPr="00BA3042">
        <w:rPr>
          <w:lang w:val="fr-FR"/>
        </w:rPr>
        <w:tab/>
        <w:t>85–88</w:t>
      </w:r>
      <w:r w:rsidR="00DF7CC2">
        <w:rPr>
          <w:lang w:val="fr-FR"/>
        </w:rPr>
        <w:tab/>
        <w:t>22</w:t>
      </w:r>
    </w:p>
    <w:p w:rsidR="00AE6933" w:rsidRPr="00BA3042" w:rsidRDefault="00AE6933" w:rsidP="00AE6933">
      <w:pPr>
        <w:tabs>
          <w:tab w:val="right" w:leader="dot" w:pos="7654"/>
          <w:tab w:val="right" w:pos="8929"/>
          <w:tab w:val="right" w:pos="9638"/>
        </w:tabs>
        <w:spacing w:after="120"/>
        <w:ind w:left="1984" w:hanging="425"/>
        <w:rPr>
          <w:lang w:val="fr-FR"/>
        </w:rPr>
      </w:pPr>
      <w:r w:rsidRPr="00BA3042">
        <w:rPr>
          <w:lang w:val="fr-FR"/>
        </w:rPr>
        <w:t>B.</w:t>
      </w:r>
      <w:r w:rsidRPr="00BA3042">
        <w:rPr>
          <w:lang w:val="fr-FR"/>
        </w:rPr>
        <w:tab/>
        <w:t>Droit à une nourriture suffisante</w:t>
      </w:r>
      <w:r w:rsidRPr="00BA3042">
        <w:rPr>
          <w:lang w:val="fr-FR"/>
        </w:rPr>
        <w:tab/>
      </w:r>
      <w:r w:rsidRPr="00BA3042">
        <w:rPr>
          <w:lang w:val="fr-FR"/>
        </w:rPr>
        <w:tab/>
        <w:t>89–93</w:t>
      </w:r>
      <w:r w:rsidRPr="00BA3042">
        <w:rPr>
          <w:lang w:val="fr-FR"/>
        </w:rPr>
        <w:tab/>
        <w:t>23</w:t>
      </w:r>
    </w:p>
    <w:p w:rsidR="00AE6933" w:rsidRPr="00BA3042" w:rsidRDefault="00AE6933" w:rsidP="00AE6933">
      <w:pPr>
        <w:tabs>
          <w:tab w:val="right" w:leader="dot" w:pos="7654"/>
          <w:tab w:val="right" w:pos="8929"/>
          <w:tab w:val="right" w:pos="9638"/>
        </w:tabs>
        <w:spacing w:after="120"/>
        <w:ind w:left="1984" w:hanging="425"/>
        <w:rPr>
          <w:lang w:val="fr-FR"/>
        </w:rPr>
      </w:pPr>
      <w:r w:rsidRPr="00BA3042">
        <w:rPr>
          <w:lang w:val="fr-FR"/>
        </w:rPr>
        <w:t>C.</w:t>
      </w:r>
      <w:r w:rsidRPr="00BA3042">
        <w:rPr>
          <w:lang w:val="fr-FR"/>
        </w:rPr>
        <w:tab/>
        <w:t>Droit à l’eau</w:t>
      </w:r>
      <w:r w:rsidRPr="00BA3042">
        <w:rPr>
          <w:lang w:val="fr-FR"/>
        </w:rPr>
        <w:tab/>
      </w:r>
      <w:r w:rsidRPr="00BA3042">
        <w:rPr>
          <w:lang w:val="fr-FR"/>
        </w:rPr>
        <w:tab/>
        <w:t>94–97</w:t>
      </w:r>
      <w:r w:rsidRPr="00BA3042">
        <w:rPr>
          <w:lang w:val="fr-FR"/>
        </w:rPr>
        <w:tab/>
        <w:t>24</w:t>
      </w:r>
    </w:p>
    <w:p w:rsidR="00AE6933" w:rsidRPr="00BA3042" w:rsidRDefault="00AE6933" w:rsidP="00AE6933">
      <w:pPr>
        <w:tabs>
          <w:tab w:val="right" w:leader="dot" w:pos="7654"/>
          <w:tab w:val="right" w:pos="8929"/>
          <w:tab w:val="right" w:pos="9638"/>
        </w:tabs>
        <w:spacing w:after="120"/>
        <w:ind w:left="1984" w:hanging="425"/>
        <w:rPr>
          <w:lang w:val="fr-FR"/>
        </w:rPr>
      </w:pPr>
      <w:r w:rsidRPr="00BA3042">
        <w:rPr>
          <w:lang w:val="fr-FR"/>
        </w:rPr>
        <w:t>D.</w:t>
      </w:r>
      <w:r w:rsidRPr="00BA3042">
        <w:rPr>
          <w:lang w:val="fr-FR"/>
        </w:rPr>
        <w:tab/>
        <w:t>Droit à un logement convenable</w:t>
      </w:r>
      <w:r w:rsidRPr="00BA3042">
        <w:rPr>
          <w:lang w:val="fr-FR"/>
        </w:rPr>
        <w:tab/>
      </w:r>
      <w:r w:rsidRPr="00BA3042">
        <w:rPr>
          <w:lang w:val="fr-FR"/>
        </w:rPr>
        <w:tab/>
        <w:t>98–109</w:t>
      </w:r>
      <w:r w:rsidRPr="00BA3042">
        <w:rPr>
          <w:lang w:val="fr-FR"/>
        </w:rPr>
        <w:tab/>
        <w:t>25</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12</w:t>
      </w:r>
      <w:r w:rsidR="004C72C1">
        <w:rPr>
          <w:lang w:val="fr-FR"/>
        </w:rPr>
        <w:t xml:space="preserve">. </w:t>
      </w:r>
      <w:r w:rsidRPr="00BA3042">
        <w:rPr>
          <w:lang w:val="fr-FR"/>
        </w:rPr>
        <w:t>Réponse aux recommandations n</w:t>
      </w:r>
      <w:r w:rsidRPr="00BA3042">
        <w:rPr>
          <w:vertAlign w:val="superscript"/>
          <w:lang w:val="fr-FR"/>
        </w:rPr>
        <w:t>os</w:t>
      </w:r>
      <w:r w:rsidRPr="00BA3042">
        <w:rPr>
          <w:lang w:val="fr-FR"/>
        </w:rPr>
        <w:t xml:space="preserve"> 45 et 46 du Comité</w:t>
      </w:r>
      <w:r w:rsidRPr="00BA3042">
        <w:rPr>
          <w:lang w:val="fr-FR"/>
        </w:rPr>
        <w:tab/>
      </w:r>
      <w:r w:rsidRPr="00BA3042">
        <w:rPr>
          <w:lang w:val="fr-FR"/>
        </w:rPr>
        <w:tab/>
        <w:t>110–155</w:t>
      </w:r>
      <w:r w:rsidR="00DF7CC2">
        <w:rPr>
          <w:lang w:val="fr-FR"/>
        </w:rPr>
        <w:tab/>
        <w:t>27</w:t>
      </w:r>
    </w:p>
    <w:p w:rsidR="00AE6933" w:rsidRPr="00BA3042" w:rsidRDefault="00AE6933" w:rsidP="00AE6933">
      <w:pPr>
        <w:tabs>
          <w:tab w:val="left" w:pos="2172"/>
          <w:tab w:val="left" w:pos="2534"/>
          <w:tab w:val="right" w:leader="dot" w:pos="7654"/>
          <w:tab w:val="right" w:pos="8931"/>
          <w:tab w:val="right" w:pos="9638"/>
        </w:tabs>
        <w:spacing w:after="120"/>
        <w:ind w:left="1559" w:hanging="425"/>
        <w:rPr>
          <w:lang w:val="fr-FR"/>
        </w:rPr>
      </w:pPr>
      <w:r w:rsidRPr="00BA3042">
        <w:rPr>
          <w:lang w:val="fr-FR"/>
        </w:rPr>
        <w:t>Article 13</w:t>
      </w:r>
      <w:r w:rsidR="004C72C1">
        <w:rPr>
          <w:lang w:val="fr-FR"/>
        </w:rPr>
        <w:t xml:space="preserve">. </w:t>
      </w:r>
      <w:r w:rsidRPr="00BA3042">
        <w:rPr>
          <w:lang w:val="fr-FR"/>
        </w:rPr>
        <w:t>Réponse aux recommandations n</w:t>
      </w:r>
      <w:r w:rsidRPr="00BA3042">
        <w:rPr>
          <w:vertAlign w:val="superscript"/>
          <w:lang w:val="fr-FR"/>
        </w:rPr>
        <w:t>os</w:t>
      </w:r>
      <w:r w:rsidRPr="00BA3042">
        <w:rPr>
          <w:lang w:val="fr-FR"/>
        </w:rPr>
        <w:t xml:space="preserve"> 47 et 48 du Comité</w:t>
      </w:r>
      <w:r w:rsidRPr="00BA3042">
        <w:rPr>
          <w:lang w:val="fr-FR"/>
        </w:rPr>
        <w:tab/>
      </w:r>
      <w:r w:rsidRPr="00BA3042">
        <w:rPr>
          <w:lang w:val="fr-FR"/>
        </w:rPr>
        <w:tab/>
        <w:t>156–174</w:t>
      </w:r>
      <w:r w:rsidR="00DF7CC2">
        <w:rPr>
          <w:lang w:val="fr-FR"/>
        </w:rPr>
        <w:tab/>
        <w:t>33</w:t>
      </w:r>
    </w:p>
    <w:p w:rsidR="00AE6933" w:rsidRPr="00BA3042" w:rsidRDefault="00AE6933" w:rsidP="00AE6933">
      <w:pPr>
        <w:tabs>
          <w:tab w:val="right" w:leader="dot" w:pos="7654"/>
          <w:tab w:val="right" w:pos="8931"/>
          <w:tab w:val="right" w:pos="9638"/>
        </w:tabs>
        <w:spacing w:after="120"/>
        <w:ind w:left="1559" w:hanging="425"/>
        <w:rPr>
          <w:lang w:val="fr-FR"/>
        </w:rPr>
      </w:pPr>
      <w:r w:rsidRPr="00BA3042">
        <w:rPr>
          <w:lang w:val="fr-FR"/>
        </w:rPr>
        <w:t>Article 14</w:t>
      </w:r>
      <w:r w:rsidRPr="00BA3042">
        <w:rPr>
          <w:lang w:val="fr-FR"/>
        </w:rPr>
        <w:tab/>
      </w:r>
      <w:r w:rsidRPr="00BA3042">
        <w:rPr>
          <w:lang w:val="fr-FR"/>
        </w:rPr>
        <w:tab/>
        <w:t>175</w:t>
      </w:r>
      <w:r w:rsidR="00DF7CC2">
        <w:rPr>
          <w:lang w:val="fr-FR"/>
        </w:rPr>
        <w:tab/>
        <w:t>35</w:t>
      </w:r>
    </w:p>
    <w:p w:rsidR="00AE6933" w:rsidRPr="00BA3042" w:rsidRDefault="00AE6933" w:rsidP="00AE6933">
      <w:pPr>
        <w:tabs>
          <w:tab w:val="right" w:leader="dot" w:pos="7654"/>
          <w:tab w:val="right" w:pos="8931"/>
          <w:tab w:val="right" w:pos="9638"/>
        </w:tabs>
        <w:spacing w:after="120"/>
        <w:ind w:left="1559" w:hanging="425"/>
        <w:rPr>
          <w:lang w:val="fr-FR"/>
        </w:rPr>
      </w:pPr>
      <w:r w:rsidRPr="00BA3042">
        <w:rPr>
          <w:lang w:val="fr-FR"/>
        </w:rPr>
        <w:t>Article 15</w:t>
      </w:r>
      <w:r w:rsidRPr="00BA3042">
        <w:rPr>
          <w:lang w:val="fr-FR"/>
        </w:rPr>
        <w:tab/>
      </w:r>
      <w:r w:rsidRPr="00BA3042">
        <w:rPr>
          <w:lang w:val="fr-FR"/>
        </w:rPr>
        <w:tab/>
        <w:t>176–190</w:t>
      </w:r>
      <w:r w:rsidR="00DF7CC2">
        <w:rPr>
          <w:lang w:val="fr-FR"/>
        </w:rPr>
        <w:tab/>
        <w:t>35</w:t>
      </w:r>
    </w:p>
    <w:p w:rsidR="00AE6933" w:rsidRPr="00BA3042" w:rsidRDefault="00AE6933" w:rsidP="00AE6933">
      <w:pPr>
        <w:pStyle w:val="HChG"/>
        <w:rPr>
          <w:lang w:val="fr-FR"/>
        </w:rPr>
      </w:pPr>
      <w:r w:rsidRPr="00BA3042">
        <w:rPr>
          <w:lang w:val="fr-FR"/>
        </w:rPr>
        <w:br w:type="page"/>
      </w:r>
      <w:r w:rsidRPr="00BA3042">
        <w:rPr>
          <w:lang w:val="fr-FR"/>
        </w:rPr>
        <w:tab/>
        <w:t>I.</w:t>
      </w:r>
      <w:r w:rsidRPr="00BA3042">
        <w:rPr>
          <w:lang w:val="fr-FR"/>
        </w:rPr>
        <w:tab/>
        <w:t>Introduction</w:t>
      </w:r>
    </w:p>
    <w:p w:rsidR="00AE6933" w:rsidRPr="00BA3042" w:rsidRDefault="00AE6933" w:rsidP="00AE6933">
      <w:pPr>
        <w:pStyle w:val="SingleTxtG"/>
        <w:rPr>
          <w:lang w:val="fr-FR"/>
        </w:rPr>
      </w:pPr>
      <w:r w:rsidRPr="00BA3042">
        <w:rPr>
          <w:lang w:val="fr-FR"/>
        </w:rPr>
        <w:t>1.</w:t>
      </w:r>
      <w:r w:rsidRPr="00BA3042">
        <w:rPr>
          <w:lang w:val="fr-FR"/>
        </w:rPr>
        <w:tab/>
        <w:t>La République de Macédoine présente ici, en un seul document, ses deuxième à quatrième rapports périodiques en application des articles 16 et 17 du Pacte international relatif aux droits économiques, sociaux et culturels (ci-après «le Pacte»).</w:t>
      </w:r>
    </w:p>
    <w:p w:rsidR="00AE6933" w:rsidRPr="00BA3042" w:rsidRDefault="00AE6933" w:rsidP="00AE6933">
      <w:pPr>
        <w:pStyle w:val="SingleTxtG"/>
        <w:rPr>
          <w:lang w:val="fr-FR"/>
        </w:rPr>
      </w:pPr>
      <w:r w:rsidRPr="00BA3042">
        <w:rPr>
          <w:lang w:val="fr-FR"/>
        </w:rPr>
        <w:t>2.</w:t>
      </w:r>
      <w:r w:rsidRPr="00BA3042">
        <w:rPr>
          <w:lang w:val="fr-FR"/>
        </w:rPr>
        <w:tab/>
        <w:t>Le présent rapport contient des renseignements sur les mesures juridiques, administratives et autres que la République de Macédoine a adoptées pour mettre en œuvre le Pacte depuis l’examen de son rapport initial (E/C/12/MKD/1) par le Comité des droits économiques, sociaux et culturels (ci-après «le Comité»), à ses 42</w:t>
      </w:r>
      <w:r w:rsidRPr="00BA3042">
        <w:rPr>
          <w:vertAlign w:val="superscript"/>
          <w:lang w:val="fr-FR"/>
        </w:rPr>
        <w:t>e</w:t>
      </w:r>
      <w:r w:rsidRPr="00BA3042">
        <w:rPr>
          <w:lang w:val="fr-FR"/>
        </w:rPr>
        <w:t xml:space="preserve"> à 44</w:t>
      </w:r>
      <w:r w:rsidRPr="00BA3042">
        <w:rPr>
          <w:vertAlign w:val="superscript"/>
          <w:lang w:val="fr-FR"/>
        </w:rPr>
        <w:t>e</w:t>
      </w:r>
      <w:r w:rsidRPr="00BA3042">
        <w:rPr>
          <w:lang w:val="fr-FR"/>
        </w:rPr>
        <w:t xml:space="preserve"> séances, les 13 et 14 novembre 2006.</w:t>
      </w:r>
    </w:p>
    <w:p w:rsidR="00AE6933" w:rsidRPr="00BA3042" w:rsidRDefault="00AE6933" w:rsidP="00AE6933">
      <w:pPr>
        <w:pStyle w:val="SingleTxtG"/>
        <w:rPr>
          <w:lang w:val="fr-FR"/>
        </w:rPr>
      </w:pPr>
      <w:r w:rsidRPr="00BA3042">
        <w:rPr>
          <w:lang w:val="fr-FR"/>
        </w:rPr>
        <w:t>3.</w:t>
      </w:r>
      <w:r w:rsidRPr="00BA3042">
        <w:rPr>
          <w:lang w:val="fr-FR"/>
        </w:rPr>
        <w:tab/>
        <w:t>Ce rapport a été établi conformément aux directives générales révisées concernant la forme et le contenu des rapports que les États parties doivent présenter en application des articles 16 et 17 du Pacte (E/C/12/2008/2), adoptées par le Comité le 24 mars 2009. En avril 2013, la République de Macédoine a présenté le document de base commun sur les instruments des Nations Unies relatifs aux droits de l’homme (HRI/CORE/MKD/2013).</w:t>
      </w:r>
    </w:p>
    <w:p w:rsidR="00AE6933" w:rsidRPr="00BA3042" w:rsidRDefault="00AE6933" w:rsidP="00AE6933">
      <w:pPr>
        <w:pStyle w:val="SingleTxtG"/>
        <w:rPr>
          <w:lang w:val="fr-FR"/>
        </w:rPr>
      </w:pPr>
      <w:r w:rsidRPr="00BA3042">
        <w:rPr>
          <w:lang w:val="fr-FR"/>
        </w:rPr>
        <w:t>4.</w:t>
      </w:r>
      <w:r w:rsidRPr="00BA3042">
        <w:rPr>
          <w:lang w:val="fr-FR"/>
        </w:rPr>
        <w:tab/>
        <w:t>Dans l’établissement du présent rapport, une attention particulière a été accordée aux observations et recommandations du Comité, contenues dans ses observations finales (E/C.12/MKD/CO/1), adoptées à sa 56</w:t>
      </w:r>
      <w:r w:rsidRPr="00BA3042">
        <w:rPr>
          <w:vertAlign w:val="superscript"/>
          <w:lang w:val="fr-FR"/>
        </w:rPr>
        <w:t>e</w:t>
      </w:r>
      <w:r w:rsidRPr="00BA3042">
        <w:rPr>
          <w:lang w:val="fr-FR"/>
        </w:rPr>
        <w:t xml:space="preserve"> séance le 22 novembre 2006. </w:t>
      </w:r>
    </w:p>
    <w:p w:rsidR="00AE6933" w:rsidRPr="00BA3042" w:rsidRDefault="00AE6933" w:rsidP="00AE6933">
      <w:pPr>
        <w:pStyle w:val="SingleTxtG"/>
        <w:rPr>
          <w:lang w:val="fr-FR"/>
        </w:rPr>
      </w:pPr>
      <w:r w:rsidRPr="00BA3042">
        <w:rPr>
          <w:lang w:val="fr-FR"/>
        </w:rPr>
        <w:t>5.</w:t>
      </w:r>
      <w:r w:rsidRPr="00BA3042">
        <w:rPr>
          <w:lang w:val="fr-FR"/>
        </w:rPr>
        <w:tab/>
        <w:t xml:space="preserve">Les organisations de la société civile présentes en République de Macédoine ont également été consultées lors de l’élaboration de ce rapport. </w:t>
      </w:r>
    </w:p>
    <w:p w:rsidR="00AE6933" w:rsidRPr="00BA3042" w:rsidRDefault="00AE6933" w:rsidP="00AE6933">
      <w:pPr>
        <w:pStyle w:val="HChG"/>
        <w:rPr>
          <w:lang w:val="fr-FR"/>
        </w:rPr>
      </w:pPr>
      <w:r w:rsidRPr="00BA3042">
        <w:rPr>
          <w:lang w:val="fr-FR"/>
        </w:rPr>
        <w:tab/>
        <w:t>II.</w:t>
      </w:r>
      <w:r w:rsidRPr="00BA3042">
        <w:rPr>
          <w:lang w:val="fr-FR"/>
        </w:rPr>
        <w:tab/>
        <w:t>Articles spécifiques</w:t>
      </w:r>
    </w:p>
    <w:p w:rsidR="00AE6933" w:rsidRPr="00BA3042" w:rsidRDefault="00AE6933" w:rsidP="00AE6933">
      <w:pPr>
        <w:pStyle w:val="H1G"/>
        <w:rPr>
          <w:lang w:val="fr-FR" w:eastAsia="pt-PT"/>
        </w:rPr>
      </w:pPr>
      <w:r w:rsidRPr="00BA3042">
        <w:rPr>
          <w:lang w:val="fr-FR" w:eastAsia="pt-PT"/>
        </w:rPr>
        <w:tab/>
      </w:r>
      <w:r w:rsidRPr="00BA3042">
        <w:rPr>
          <w:lang w:val="fr-FR" w:eastAsia="pt-PT"/>
        </w:rPr>
        <w:tab/>
        <w:t>Article premier</w:t>
      </w:r>
    </w:p>
    <w:p w:rsidR="00AE6933" w:rsidRPr="00BA3042" w:rsidRDefault="00AE6933" w:rsidP="00AE6933">
      <w:pPr>
        <w:pStyle w:val="SingleTxtG"/>
        <w:rPr>
          <w:lang w:val="fr-FR"/>
        </w:rPr>
      </w:pPr>
      <w:r w:rsidRPr="00BA3042">
        <w:rPr>
          <w:lang w:val="fr-FR"/>
        </w:rPr>
        <w:t>6.</w:t>
      </w:r>
      <w:r w:rsidRPr="00BA3042">
        <w:rPr>
          <w:lang w:val="fr-FR"/>
        </w:rPr>
        <w:tab/>
        <w:t>Prière de se référer au Rapport initial de la République de Macédoine sur l’application du Pacte international relatif aux droits économiques, sociaux et culturels (ci</w:t>
      </w:r>
      <w:r w:rsidRPr="00BA3042">
        <w:rPr>
          <w:lang w:val="fr-FR"/>
        </w:rPr>
        <w:noBreakHyphen/>
        <w:t>après «le rapport initial»).</w:t>
      </w:r>
    </w:p>
    <w:p w:rsidR="00AE6933" w:rsidRPr="00BA3042" w:rsidRDefault="00AE6933" w:rsidP="00AE6933">
      <w:pPr>
        <w:pStyle w:val="H1G"/>
        <w:rPr>
          <w:lang w:val="fr-FR"/>
        </w:rPr>
      </w:pPr>
      <w:r w:rsidRPr="00BA3042">
        <w:rPr>
          <w:lang w:val="fr-FR"/>
        </w:rPr>
        <w:tab/>
      </w:r>
      <w:r w:rsidRPr="00BA3042">
        <w:rPr>
          <w:lang w:val="fr-FR"/>
        </w:rPr>
        <w:tab/>
        <w:t>Article 2</w:t>
      </w:r>
      <w:r w:rsidRPr="00BA3042">
        <w:rPr>
          <w:lang w:val="fr-FR"/>
        </w:rPr>
        <w:br/>
        <w:t>Réponse aux recommandations n</w:t>
      </w:r>
      <w:r w:rsidRPr="00BA3042">
        <w:rPr>
          <w:vertAlign w:val="superscript"/>
          <w:lang w:val="fr-FR"/>
        </w:rPr>
        <w:t>os</w:t>
      </w:r>
      <w:r w:rsidRPr="00BA3042">
        <w:rPr>
          <w:lang w:val="fr-FR"/>
        </w:rPr>
        <w:t xml:space="preserve"> 31 et 32 du Comité</w:t>
      </w:r>
    </w:p>
    <w:p w:rsidR="00AE6933" w:rsidRPr="00BA3042" w:rsidRDefault="00AE6933" w:rsidP="00AE6933">
      <w:pPr>
        <w:pStyle w:val="SingleTxtG"/>
        <w:rPr>
          <w:lang w:val="fr-FR"/>
        </w:rPr>
      </w:pPr>
      <w:r w:rsidRPr="00BA3042">
        <w:rPr>
          <w:lang w:val="fr-FR"/>
        </w:rPr>
        <w:t>7.</w:t>
      </w:r>
      <w:r w:rsidRPr="00BA3042">
        <w:rPr>
          <w:lang w:val="fr-FR"/>
        </w:rPr>
        <w:tab/>
        <w:t xml:space="preserve">La troisième partie du document de base commun de la République de Macédoine sur les instruments des Nations Unies relatifs aux droits de l’homme (HRI/CORE/MKD/2013) et la première partie de ses quatrième et cinquième rapports périodiques, soumis en un seul document (CEDAW/C/MKD/4-5), contiennent des informations détaillées sur la législation régissant l’interdiction de la discrimination. </w:t>
      </w:r>
    </w:p>
    <w:p w:rsidR="00AE6933" w:rsidRPr="00BA3042" w:rsidRDefault="00AE6933" w:rsidP="00AE6933">
      <w:pPr>
        <w:pStyle w:val="SingleTxtG"/>
        <w:rPr>
          <w:lang w:val="fr-FR"/>
        </w:rPr>
      </w:pPr>
      <w:r w:rsidRPr="00BA3042">
        <w:rPr>
          <w:lang w:val="fr-FR"/>
        </w:rPr>
        <w:t>8.</w:t>
      </w:r>
      <w:r w:rsidRPr="00BA3042">
        <w:rPr>
          <w:lang w:val="fr-FR"/>
        </w:rPr>
        <w:tab/>
        <w:t>Au 1</w:t>
      </w:r>
      <w:r w:rsidRPr="00BA3042">
        <w:rPr>
          <w:vertAlign w:val="superscript"/>
          <w:lang w:val="fr-FR"/>
        </w:rPr>
        <w:t>er</w:t>
      </w:r>
      <w:r w:rsidRPr="00BA3042">
        <w:rPr>
          <w:lang w:val="fr-FR"/>
        </w:rPr>
        <w:t xml:space="preserve"> septembre 2012, on dénombrait en République de Macédoine 24 réfugiés officiellement reconnus et 734 personnes bénéficiant d’une protection subsidiaire. La majorité des réfugiés séjournant actuellement dans le pays ont demandé l’asile dès l’année 1999, en raison du conflit avec le Kosovo. Il s’agit de personnes appartenant aux groupes ethniques rom, ashkali et égyptien.</w:t>
      </w:r>
    </w:p>
    <w:p w:rsidR="00AE6933" w:rsidRPr="00BA3042" w:rsidRDefault="00AE6933" w:rsidP="00AE6933">
      <w:pPr>
        <w:pStyle w:val="SingleTxtG"/>
        <w:rPr>
          <w:lang w:val="fr-FR"/>
        </w:rPr>
      </w:pPr>
      <w:r w:rsidRPr="00BA3042">
        <w:rPr>
          <w:lang w:val="fr-FR"/>
        </w:rPr>
        <w:t>9.</w:t>
      </w:r>
      <w:r w:rsidRPr="00BA3042">
        <w:rPr>
          <w:lang w:val="fr-FR"/>
        </w:rPr>
        <w:tab/>
        <w:t xml:space="preserve">La loi sur la protection sociale a été modifiée, de sorte que les réfugiés peuvent désormais bénéficier d’une protection sociale dans les mêmes conditions que les ressortissants nationaux. Depuis l’entrée en vigueur de ces modifications, environ 90 % des réfugiés bénéficient du droit à la protection sociale. </w:t>
      </w:r>
    </w:p>
    <w:p w:rsidR="00AE6933" w:rsidRPr="00BA3042" w:rsidRDefault="00AE6933" w:rsidP="00AE6933">
      <w:pPr>
        <w:pStyle w:val="SingleTxtG"/>
        <w:rPr>
          <w:lang w:val="fr-FR"/>
        </w:rPr>
      </w:pPr>
      <w:r w:rsidRPr="00BA3042">
        <w:rPr>
          <w:lang w:val="fr-FR"/>
        </w:rPr>
        <w:t>10.</w:t>
      </w:r>
      <w:r w:rsidRPr="00BA3042">
        <w:rPr>
          <w:lang w:val="fr-FR"/>
        </w:rPr>
        <w:tab/>
        <w:t xml:space="preserve">La loi sur l’emploi et le travail des ressortissants étrangers, adoptée en 2007, précise les conditions dans lesquelles les réfugiés sont autorisés à accéder au marché du travail. </w:t>
      </w:r>
    </w:p>
    <w:p w:rsidR="00AE6933" w:rsidRPr="00BA3042" w:rsidRDefault="00AE6933" w:rsidP="00AE6933">
      <w:pPr>
        <w:pStyle w:val="SingleTxtG"/>
        <w:rPr>
          <w:lang w:val="fr-FR"/>
        </w:rPr>
      </w:pPr>
      <w:r w:rsidRPr="00BA3042">
        <w:rPr>
          <w:lang w:val="fr-FR"/>
        </w:rPr>
        <w:t>11.</w:t>
      </w:r>
      <w:r w:rsidRPr="00BA3042">
        <w:rPr>
          <w:lang w:val="fr-FR"/>
        </w:rPr>
        <w:tab/>
        <w:t>Le Plan de mesures opératoires énergiques en faveur de l’emploi porté par le Programme de travail du Gouvernement classe les réfugiés parmi les groupes spécifiquement ciblés ayant accès à des mesures énergiques en faveur de l’emploi, visant à leur permettre de se recycler et d’acquérir des qualifications à même de faciliter leur accès au marché du travail.</w:t>
      </w:r>
    </w:p>
    <w:p w:rsidR="00AE6933" w:rsidRPr="00BA3042" w:rsidRDefault="00AE6933" w:rsidP="00AE6933">
      <w:pPr>
        <w:pStyle w:val="SingleTxtG"/>
        <w:rPr>
          <w:lang w:val="fr-FR"/>
        </w:rPr>
      </w:pPr>
      <w:r w:rsidRPr="00BA3042">
        <w:rPr>
          <w:lang w:val="fr-FR"/>
        </w:rPr>
        <w:t>12.</w:t>
      </w:r>
      <w:r w:rsidRPr="00BA3042">
        <w:rPr>
          <w:lang w:val="fr-FR"/>
        </w:rPr>
        <w:tab/>
        <w:t>Les modifications de la loi sur l’assurance maladie adoptées en 2012 garantissent l’accès des réfugiés à l’assurance maladie dans les mêmes conditions que les ressortissants nationaux.</w:t>
      </w:r>
    </w:p>
    <w:p w:rsidR="00AE6933" w:rsidRPr="00BA3042" w:rsidRDefault="00AE6933" w:rsidP="00AE6933">
      <w:pPr>
        <w:pStyle w:val="SingleTxtG"/>
        <w:rPr>
          <w:lang w:val="fr-FR"/>
        </w:rPr>
      </w:pPr>
      <w:r w:rsidRPr="00BA3042">
        <w:rPr>
          <w:lang w:val="fr-FR"/>
        </w:rPr>
        <w:t>13.</w:t>
      </w:r>
      <w:r w:rsidRPr="00BA3042">
        <w:rPr>
          <w:lang w:val="fr-FR"/>
        </w:rPr>
        <w:tab/>
        <w:t xml:space="preserve">Afin de mettre en place des solutions durables, le Gouvernement a conçu et adopté la stratégie (2008-2015) pour l’intégration des réfugiés et des ressortissants étrangers. En 2009, une unité chargée de projet a été créée: le Centre pour l’intégration des réfugiés et des ressortissants étrangers. Depuis sa création et jusqu’à ce jour, ce centre a effectué plus de 6 000 visites sur le terrain et offert une assistance directe et des conseils à des familles de réfugiés en cours d’insertion locale. Quelque 199 familles, soit au total 788 personnes, ont demandé à être intégrées localement entre 2010 et nos jours. </w:t>
      </w:r>
    </w:p>
    <w:p w:rsidR="00AE6933" w:rsidRPr="00BA3042" w:rsidRDefault="00AE6933" w:rsidP="00AE6933">
      <w:pPr>
        <w:pStyle w:val="SingleTxtG"/>
        <w:rPr>
          <w:lang w:val="fr-FR"/>
        </w:rPr>
      </w:pPr>
      <w:r w:rsidRPr="00BA3042">
        <w:rPr>
          <w:lang w:val="fr-FR"/>
        </w:rPr>
        <w:t>14.</w:t>
      </w:r>
      <w:r w:rsidRPr="00BA3042">
        <w:rPr>
          <w:lang w:val="fr-FR"/>
        </w:rPr>
        <w:tab/>
        <w:t xml:space="preserve">La troisième partie du document de base commun de la République de Macédoine sur les instruments des Nations Unies relatifs aux droits de l’homme (HRI/CORE/MKD/2013) et les huitième à dixième rapports périodiques de la République de Macédoine, soumis en un seul document, relatifs à l’application de la Convention internationale sur l’élimination de toutes les formes de discrimination raciale (CERD/C/MKD/8-10), dans la partie contenant les réponses aux recommandations, offrent des renseignements plus précis concernant les actions menées en faveur des catégories de personnes vulnérables. </w:t>
      </w:r>
    </w:p>
    <w:p w:rsidR="00AE6933" w:rsidRPr="00BA3042" w:rsidRDefault="00AE6933" w:rsidP="00AE6933">
      <w:pPr>
        <w:pStyle w:val="SingleTxtG"/>
        <w:rPr>
          <w:lang w:val="fr-FR"/>
        </w:rPr>
      </w:pPr>
      <w:r w:rsidRPr="00BA3042">
        <w:rPr>
          <w:lang w:val="fr-FR"/>
        </w:rPr>
        <w:t>15.</w:t>
      </w:r>
      <w:r w:rsidRPr="00BA3042">
        <w:rPr>
          <w:lang w:val="fr-FR"/>
        </w:rPr>
        <w:tab/>
        <w:t xml:space="preserve">Dans le cadre d’efforts visant à lever les obstacles administratifs et à faciliter la délivrance de documents d’identité aux demandeurs concernés, le 26 septembre 2011, une action a été menée pour identifier les personnes qui ne sont pas inscrites sur les registres d’état civil. Des équipes mixtes composées de représentants de bureaux régionaux du Ministère de l’intérieur, du Département des registres d’état civil, des centres sociaux, des centres d’information sur les Roms et des ONG roms ont mené sur le terrain des activités visant à rechercher et recenser des Roms non-inscrits sur les registres d’état civil. Un organe de travail composé de représentants du Ministère du travail et de la politique sociale, du Ministère de l’intérieur et du Département des registres d’état civil assure en continu le suivi des informations recueillies sur le terrain. </w:t>
      </w:r>
    </w:p>
    <w:p w:rsidR="00AE6933" w:rsidRPr="00BA3042" w:rsidRDefault="00AE6933" w:rsidP="00AE6933">
      <w:pPr>
        <w:pStyle w:val="SingleTxtG"/>
        <w:rPr>
          <w:lang w:val="fr-FR"/>
        </w:rPr>
      </w:pPr>
      <w:r w:rsidRPr="00BA3042">
        <w:rPr>
          <w:lang w:val="fr-FR"/>
        </w:rPr>
        <w:t xml:space="preserve">16. </w:t>
      </w:r>
      <w:r w:rsidRPr="00BA3042">
        <w:rPr>
          <w:lang w:val="fr-FR"/>
        </w:rPr>
        <w:tab/>
        <w:t>Dans la période du 13 au 21 décembre 2012, des analyses de l’ADN de personnes démunies de documents d’identité personnels (32 au total) ont été effectuées. Les résultats ont été transmis au Département des registres d’état civil afin que ce dernier enregistre les données personnelles concernant les intéressés sur le registre des naissances. Les activités entreprises ont permis de régler 91 cas, soit par l’inscription des personnes intéressées sur le registre des naissances ou par addition de leur nom personnel.</w:t>
      </w:r>
    </w:p>
    <w:p w:rsidR="00AE6933" w:rsidRPr="00BA3042" w:rsidRDefault="00AE6933" w:rsidP="00AE6933">
      <w:pPr>
        <w:pStyle w:val="H1G"/>
        <w:rPr>
          <w:lang w:val="fr-FR"/>
        </w:rPr>
      </w:pPr>
      <w:r w:rsidRPr="00BA3042">
        <w:rPr>
          <w:lang w:val="fr-FR"/>
        </w:rPr>
        <w:tab/>
      </w:r>
      <w:r w:rsidRPr="00BA3042">
        <w:rPr>
          <w:lang w:val="fr-FR"/>
        </w:rPr>
        <w:tab/>
        <w:t>Article 3</w:t>
      </w:r>
      <w:r w:rsidRPr="00BA3042">
        <w:rPr>
          <w:lang w:val="fr-FR"/>
        </w:rPr>
        <w:br/>
        <w:t>Réponse aux recommandations n</w:t>
      </w:r>
      <w:r w:rsidRPr="00BA3042">
        <w:rPr>
          <w:vertAlign w:val="superscript"/>
          <w:lang w:val="fr-FR"/>
        </w:rPr>
        <w:t>os</w:t>
      </w:r>
      <w:r w:rsidRPr="00BA3042">
        <w:rPr>
          <w:lang w:val="fr-FR"/>
        </w:rPr>
        <w:t xml:space="preserve"> 33 et 34 du Comité</w:t>
      </w:r>
    </w:p>
    <w:p w:rsidR="00AE6933" w:rsidRPr="00BA3042" w:rsidRDefault="00AE6933" w:rsidP="00AE6933">
      <w:pPr>
        <w:pStyle w:val="SingleTxtG"/>
        <w:rPr>
          <w:lang w:val="fr-FR"/>
        </w:rPr>
      </w:pPr>
      <w:r w:rsidRPr="00BA3042">
        <w:rPr>
          <w:lang w:val="fr-FR"/>
        </w:rPr>
        <w:t>17.</w:t>
      </w:r>
      <w:r w:rsidRPr="00BA3042">
        <w:rPr>
          <w:lang w:val="fr-FR"/>
        </w:rPr>
        <w:tab/>
        <w:t>En vertu de l’article 32.1 de la Constitution de la République de Macédoine, tout individu a droit au travail, au choix libre de l’emploi, à la protection lors du travail et à la sécurité matérielle durant le chômage temporaire. De surcroît, tout individu peut accéder, dans des conditions d’égalité, sans discrimination fondée sur quelque motif que ce soit, y compris le sexe, à tout poste de travail. La deuxième partie du document de base commun de la République de Macédoine sur les instruments des Nations Unies relatifs aux droits de l’homme (HRI/CORE/MKD/2013), ainsi que les première et troisième parties des quatrième et cinquième rapports périodiques de la République de Macédoine relatifs à l’application de la Convention internationale sur l’élimination de toutes les formes de discrimination raciale (CERD/C/MKD/8-10), soumis en un seul document, contiennent des renseignements plus précis sur ces questions.</w:t>
      </w:r>
    </w:p>
    <w:p w:rsidR="00AE6933" w:rsidRPr="00BA3042" w:rsidRDefault="00AE6933" w:rsidP="00AE6933">
      <w:pPr>
        <w:pStyle w:val="SingleTxtG"/>
        <w:rPr>
          <w:lang w:val="fr-FR"/>
        </w:rPr>
      </w:pPr>
      <w:r w:rsidRPr="00BA3042">
        <w:rPr>
          <w:lang w:val="fr-FR"/>
        </w:rPr>
        <w:t>18.</w:t>
      </w:r>
      <w:r w:rsidRPr="00BA3042">
        <w:rPr>
          <w:lang w:val="fr-FR"/>
        </w:rPr>
        <w:tab/>
        <w:t>D’après l’analyse faite par le Lobby de femmes macédoniennes après les élections locales de 2013, sur 1 347 candidats élus, 405, soit 30 %, étaient des femmes, ce qui représente une augmentation de 2,8 % du nombre de femmes élues dans les collectivités locales autonomes. Alors qu’aux élections municipales précédentes, aucune femme n’avait été élue maire, en 2013, sur les 26 candidates aux 81 postes de maire à pourvoir, 4 femmes ont été élues, soit 4,9 %.</w:t>
      </w:r>
    </w:p>
    <w:p w:rsidR="00AE6933" w:rsidRPr="00BA3042" w:rsidRDefault="00AE6933" w:rsidP="00AE6933">
      <w:pPr>
        <w:pStyle w:val="SingleTxtG"/>
        <w:rPr>
          <w:lang w:val="fr-FR"/>
        </w:rPr>
      </w:pPr>
      <w:r w:rsidRPr="00BA3042">
        <w:rPr>
          <w:lang w:val="fr-FR"/>
        </w:rPr>
        <w:t>19.</w:t>
      </w:r>
      <w:r w:rsidRPr="00BA3042">
        <w:rPr>
          <w:lang w:val="fr-FR"/>
        </w:rPr>
        <w:tab/>
        <w:t>L’article 9 de la loi sur les relations professionnelles interdit le harcèlement moral et sexuel. En vertu de cet article, le harcèlement moral et le harcèlement sexuel sont des actes de discrimination au sens de l’article 6 de cette même loi. Le harcèlement sexuel y est défini pour inclure toute attitude verbale, non verbale ou physique sexuée visant à porter atteinte à la dignité des travailleurs ou des candidats à un poste, causer la peur ou créer un contexte professionnel hostile, humiliant ou offensant.</w:t>
      </w:r>
    </w:p>
    <w:p w:rsidR="00AE6933" w:rsidRPr="00BA3042" w:rsidRDefault="00AE6933" w:rsidP="00AE6933">
      <w:pPr>
        <w:pStyle w:val="SingleTxtG"/>
        <w:rPr>
          <w:lang w:val="fr-FR"/>
        </w:rPr>
      </w:pPr>
      <w:r w:rsidRPr="00BA3042">
        <w:rPr>
          <w:lang w:val="fr-FR"/>
        </w:rPr>
        <w:t>20.</w:t>
      </w:r>
      <w:r w:rsidRPr="00BA3042">
        <w:rPr>
          <w:lang w:val="fr-FR"/>
        </w:rPr>
        <w:tab/>
        <w:t>De surcroît, une loi portant protection contre le harcèlement au travail a été adoptée en 2013 (Journal officiel n</w:t>
      </w:r>
      <w:r w:rsidRPr="00BA3042">
        <w:rPr>
          <w:vertAlign w:val="superscript"/>
          <w:lang w:val="fr-FR"/>
        </w:rPr>
        <w:t>o</w:t>
      </w:r>
      <w:r w:rsidRPr="00BA3042">
        <w:rPr>
          <w:lang w:val="fr-FR"/>
        </w:rPr>
        <w:t xml:space="preserve"> 79 daté du 31 mai 2013). Cette loi régit les droits, obligations et responsabilités des employeurs et des travailleurs en matière de prévention du harcèlement moral et sexuel au travail, prescrit des mesures et des procédures de protection et de prévention contre le harcèlement au travail et réglemente d’autres points pertinents. L’objet de cette loi est de prévenir et protéger contre le harcèlement physique et sexuel au travail, et de créer un environnement professionnel sûr. </w:t>
      </w:r>
    </w:p>
    <w:p w:rsidR="00AE6933" w:rsidRPr="00BA3042" w:rsidRDefault="00AE6933" w:rsidP="00AE6933">
      <w:pPr>
        <w:pStyle w:val="H1G"/>
        <w:rPr>
          <w:lang w:val="fr-FR"/>
        </w:rPr>
      </w:pPr>
      <w:r w:rsidRPr="00BA3042">
        <w:rPr>
          <w:lang w:val="fr-FR"/>
        </w:rPr>
        <w:tab/>
      </w:r>
      <w:r w:rsidRPr="00BA3042">
        <w:rPr>
          <w:lang w:val="fr-FR"/>
        </w:rPr>
        <w:tab/>
        <w:t>Articles 4 et 5</w:t>
      </w:r>
    </w:p>
    <w:p w:rsidR="00AE6933" w:rsidRPr="00BA3042" w:rsidRDefault="00AE6933" w:rsidP="00AE6933">
      <w:pPr>
        <w:pStyle w:val="SingleTxtG"/>
        <w:rPr>
          <w:lang w:val="fr-FR"/>
        </w:rPr>
      </w:pPr>
      <w:r w:rsidRPr="00BA3042">
        <w:rPr>
          <w:lang w:val="fr-FR"/>
        </w:rPr>
        <w:t>21.</w:t>
      </w:r>
      <w:r w:rsidRPr="00BA3042">
        <w:rPr>
          <w:lang w:val="fr-FR"/>
        </w:rPr>
        <w:tab/>
        <w:t>Prière de se référer au rapport initial.</w:t>
      </w:r>
    </w:p>
    <w:p w:rsidR="00AE6933" w:rsidRPr="00BA3042" w:rsidRDefault="00AE6933" w:rsidP="00AE6933">
      <w:pPr>
        <w:pStyle w:val="H1G"/>
        <w:rPr>
          <w:lang w:val="fr-FR"/>
        </w:rPr>
      </w:pPr>
      <w:r w:rsidRPr="00BA3042">
        <w:rPr>
          <w:lang w:val="fr-FR"/>
        </w:rPr>
        <w:tab/>
      </w:r>
      <w:r w:rsidRPr="00BA3042">
        <w:rPr>
          <w:lang w:val="fr-FR"/>
        </w:rPr>
        <w:tab/>
        <w:t>Article 6</w:t>
      </w:r>
      <w:r w:rsidRPr="00BA3042">
        <w:rPr>
          <w:lang w:val="fr-FR"/>
        </w:rPr>
        <w:br/>
        <w:t>Réponse à la recommandation n</w:t>
      </w:r>
      <w:r w:rsidRPr="00BA3042">
        <w:rPr>
          <w:vertAlign w:val="superscript"/>
          <w:lang w:val="fr-FR"/>
        </w:rPr>
        <w:t>o</w:t>
      </w:r>
      <w:r w:rsidRPr="00BA3042">
        <w:rPr>
          <w:lang w:val="fr-FR"/>
        </w:rPr>
        <w:t xml:space="preserve"> 35 du Comité</w:t>
      </w:r>
    </w:p>
    <w:p w:rsidR="00AE6933" w:rsidRPr="00BA3042" w:rsidRDefault="00AE6933" w:rsidP="00AE6933">
      <w:pPr>
        <w:pStyle w:val="SingleTxtG"/>
        <w:rPr>
          <w:lang w:val="fr-FR"/>
        </w:rPr>
      </w:pPr>
      <w:r w:rsidRPr="00BA3042">
        <w:rPr>
          <w:lang w:val="fr-FR"/>
        </w:rPr>
        <w:t>22.</w:t>
      </w:r>
      <w:r w:rsidRPr="00BA3042">
        <w:rPr>
          <w:lang w:val="fr-FR"/>
        </w:rPr>
        <w:tab/>
        <w:t xml:space="preserve">Le Gouvernement œuvre inlassablement à la réduction du chômage. Pour ce faire, il a adopté une série de documents stratégiques tels que la Stratégie nationale pour l’emploi (2015), le Plan national d’action pour l’emploi (2011-2013), le Plan d’action pour l’emploi des jeunes (2015), le Plan d’action pour la réduction de l’économie parallèle, ainsi que des plans opérationnels annuels, afin d’établir des mesures et programmes énergiques en faveur de l’emploi. </w:t>
      </w:r>
    </w:p>
    <w:p w:rsidR="00AE6933" w:rsidRPr="00BA3042" w:rsidRDefault="00AE6933" w:rsidP="00AE6933">
      <w:pPr>
        <w:pStyle w:val="SingleTxtG"/>
        <w:rPr>
          <w:lang w:val="fr-FR"/>
        </w:rPr>
      </w:pPr>
      <w:r w:rsidRPr="00BA3042">
        <w:rPr>
          <w:lang w:val="fr-FR"/>
        </w:rPr>
        <w:t>23.</w:t>
      </w:r>
      <w:r w:rsidRPr="00BA3042">
        <w:rPr>
          <w:lang w:val="fr-FR"/>
        </w:rPr>
        <w:tab/>
        <w:t xml:space="preserve">Chaque année depuis 2007, le Gouvernement applique des mesures et programmes énergiques en faveur de l’emploi qui sont définis dans des plans opérationnels annuels. Les programmes sont destinés à différents groupes ciblés: les jeunes, les chômeurs de longue durée, les femmes, les groupes vulnérables, les personnes âgées, etc. Ils permettent de fournir un soutien et une aide directs aux créateurs d’entreprise et à ceux qui souhaitent officialiser une affaire existante. Certains programmes incitent à l’embauche: l’un permet d’accorder une assistance financière aux personnes morales (petites et moyennes entreprises, artisans) qui créent des emplois, et un autre subventionne l’emploi (des fonds sont accordés pendant une période de six mois après un recrutement). </w:t>
      </w:r>
    </w:p>
    <w:p w:rsidR="00AE6933" w:rsidRPr="00BA3042" w:rsidRDefault="00AE6933" w:rsidP="00AE6933">
      <w:pPr>
        <w:pStyle w:val="SingleTxtG"/>
        <w:rPr>
          <w:lang w:val="fr-FR"/>
        </w:rPr>
      </w:pPr>
      <w:r w:rsidRPr="00BA3042">
        <w:rPr>
          <w:lang w:val="fr-FR"/>
        </w:rPr>
        <w:t>24.</w:t>
      </w:r>
      <w:r w:rsidRPr="00BA3042">
        <w:rPr>
          <w:lang w:val="fr-FR"/>
        </w:rPr>
        <w:tab/>
        <w:t>Le programme en faveur du travail indépendant est une réussite, si l’on considère que 80 % des personnes morales créés dans ce cadre sont encore en activité. Le programme de soutien financier aux personnes morales est aussi couronné de succès, puisque pas moins de 91 % des participants soutenus sont toujours employés. Les informations concernant le programme d’apprentissage mettent également en évidence les bons résultats obtenus: 42,5 % des participants étaient employés à la fin mai 2013.</w:t>
      </w:r>
    </w:p>
    <w:p w:rsidR="00AE6933" w:rsidRPr="00BA3042" w:rsidRDefault="00AE6933" w:rsidP="00AE6933">
      <w:pPr>
        <w:pStyle w:val="SingleTxtG"/>
        <w:rPr>
          <w:lang w:val="fr-FR"/>
        </w:rPr>
      </w:pPr>
      <w:r w:rsidRPr="00BA3042">
        <w:rPr>
          <w:lang w:val="fr-FR"/>
        </w:rPr>
        <w:t>25.</w:t>
      </w:r>
      <w:r w:rsidRPr="00BA3042">
        <w:rPr>
          <w:lang w:val="fr-FR"/>
        </w:rPr>
        <w:tab/>
        <w:t xml:space="preserve">Conformément à la loi sur l’emploi des personnes handicapées, ces personnes sont considérées comme un groupe ciblé distinct dans les plans opérationnels annuels de mesures et programmes énergiques en faveur de l’emploi. </w:t>
      </w:r>
    </w:p>
    <w:p w:rsidR="00AE6933" w:rsidRPr="00BA3042" w:rsidRDefault="00AE6933" w:rsidP="00AE6933">
      <w:pPr>
        <w:pStyle w:val="SingleTxtG"/>
        <w:rPr>
          <w:lang w:val="fr-FR"/>
        </w:rPr>
      </w:pPr>
      <w:r w:rsidRPr="00BA3042">
        <w:rPr>
          <w:lang w:val="fr-FR"/>
        </w:rPr>
        <w:t>26.</w:t>
      </w:r>
      <w:r w:rsidRPr="00BA3042">
        <w:rPr>
          <w:lang w:val="fr-FR"/>
        </w:rPr>
        <w:tab/>
        <w:t>L’exercice budgétaire 2013 de la République de Macédoine a permis d’allouer 554,8 millions de denar à des actions destinées à 9 472 chômeurs.</w:t>
      </w:r>
    </w:p>
    <w:p w:rsidR="00AE6933" w:rsidRPr="00BA3042" w:rsidRDefault="00AE6933" w:rsidP="00AE6933">
      <w:pPr>
        <w:pStyle w:val="SingleTxtG"/>
        <w:rPr>
          <w:lang w:val="fr-FR"/>
        </w:rPr>
      </w:pPr>
      <w:r w:rsidRPr="00BA3042">
        <w:rPr>
          <w:lang w:val="fr-FR"/>
        </w:rPr>
        <w:t>27.</w:t>
      </w:r>
      <w:r w:rsidRPr="00BA3042">
        <w:rPr>
          <w:lang w:val="fr-FR"/>
        </w:rPr>
        <w:tab/>
        <w:t>Les analyses pertinentes montrent que la situation générale s’améliore sur le marché national du travail, en particulier sous l’angle du travail des femmes. Ainsi, la population active totale est passée de 60,7 % en 2005 à 64,2 % en 2012, cependant que parmi les femmes, ces proportions sont passées de 49,1 % en 2005 à 50,8 % en 2012.</w:t>
      </w:r>
    </w:p>
    <w:p w:rsidR="00AE6933" w:rsidRPr="00BA3042" w:rsidRDefault="00AE6933" w:rsidP="00AE6933">
      <w:pPr>
        <w:pStyle w:val="Heading1"/>
        <w:spacing w:after="120"/>
        <w:rPr>
          <w:sz w:val="24"/>
          <w:szCs w:val="24"/>
          <w:lang w:val="fr-FR"/>
        </w:rPr>
      </w:pPr>
      <w:r w:rsidRPr="00BA3042">
        <w:rPr>
          <w:b/>
          <w:lang w:val="fr-FR"/>
        </w:rPr>
        <w:t>Population</w:t>
      </w:r>
      <w:r w:rsidRPr="00BA3042">
        <w:rPr>
          <w:b/>
          <w:sz w:val="24"/>
          <w:szCs w:val="24"/>
          <w:lang w:val="fr-FR"/>
        </w:rPr>
        <w:t xml:space="preserve"> </w:t>
      </w:r>
      <w:r w:rsidRPr="00BA3042">
        <w:rPr>
          <w:b/>
          <w:lang w:val="fr-FR"/>
        </w:rPr>
        <w:t>active, emploi et chômage selon les données collectées par l’enquête</w:t>
      </w:r>
      <w:r w:rsidRPr="00BA3042">
        <w:rPr>
          <w:b/>
          <w:lang w:val="fr-FR"/>
        </w:rPr>
        <w:br/>
        <w:t>sur la population active</w:t>
      </w:r>
      <w:r w:rsidRPr="00BA3042">
        <w:rPr>
          <w:rStyle w:val="FootnoteReference"/>
          <w:szCs w:val="24"/>
          <w:lang w:val="fr-FR"/>
        </w:rPr>
        <w:footnoteReference w:id="3"/>
      </w:r>
      <w:r w:rsidRPr="00BA3042">
        <w:rPr>
          <w:sz w:val="24"/>
          <w:szCs w:val="24"/>
          <w:lang w:val="fr-FR"/>
        </w:rPr>
        <w:t xml:space="preserve"> </w:t>
      </w:r>
    </w:p>
    <w:tbl>
      <w:tblPr>
        <w:tblW w:w="7371" w:type="dxa"/>
        <w:tblInd w:w="1134" w:type="dxa"/>
        <w:tblLayout w:type="fixed"/>
        <w:tblCellMar>
          <w:left w:w="0" w:type="dxa"/>
          <w:right w:w="0" w:type="dxa"/>
        </w:tblCellMar>
        <w:tblLook w:val="01E0"/>
      </w:tblPr>
      <w:tblGrid>
        <w:gridCol w:w="1539"/>
        <w:gridCol w:w="728"/>
        <w:gridCol w:w="729"/>
        <w:gridCol w:w="729"/>
        <w:gridCol w:w="730"/>
        <w:gridCol w:w="729"/>
        <w:gridCol w:w="729"/>
        <w:gridCol w:w="729"/>
        <w:gridCol w:w="729"/>
        <w:tblGridChange w:id="0">
          <w:tblGrid>
            <w:gridCol w:w="1539"/>
            <w:gridCol w:w="728"/>
            <w:gridCol w:w="729"/>
            <w:gridCol w:w="729"/>
            <w:gridCol w:w="730"/>
            <w:gridCol w:w="729"/>
            <w:gridCol w:w="729"/>
            <w:gridCol w:w="729"/>
            <w:gridCol w:w="729"/>
          </w:tblGrid>
        </w:tblGridChange>
      </w:tblGrid>
      <w:tr w:rsidR="00AE6933" w:rsidRPr="00E40CAC" w:rsidTr="00E40CAC">
        <w:tc>
          <w:tcPr>
            <w:tcW w:w="1540" w:type="dxa"/>
            <w:vMerge w:val="restart"/>
            <w:tcBorders>
              <w:top w:val="single" w:sz="4" w:space="0" w:color="auto"/>
            </w:tcBorders>
            <w:shd w:val="clear" w:color="auto" w:fill="auto"/>
            <w:vAlign w:val="bottom"/>
          </w:tcPr>
          <w:p w:rsidR="00AE6933" w:rsidRPr="00E40CAC" w:rsidRDefault="00AE6933" w:rsidP="00E40CAC">
            <w:pPr>
              <w:spacing w:before="80" w:after="80" w:line="200" w:lineRule="exact"/>
              <w:rPr>
                <w:i/>
                <w:sz w:val="16"/>
                <w:szCs w:val="16"/>
                <w:lang w:val="fr-FR"/>
              </w:rPr>
            </w:pPr>
          </w:p>
        </w:tc>
        <w:tc>
          <w:tcPr>
            <w:tcW w:w="1456" w:type="dxa"/>
            <w:gridSpan w:val="2"/>
            <w:tcBorders>
              <w:top w:val="single" w:sz="4" w:space="0" w:color="auto"/>
              <w:bottom w:val="single" w:sz="4" w:space="0" w:color="auto"/>
              <w:right w:val="single" w:sz="24" w:space="0" w:color="FFFFFF"/>
            </w:tcBorders>
            <w:shd w:val="clear" w:color="auto" w:fill="auto"/>
            <w:vAlign w:val="bottom"/>
          </w:tcPr>
          <w:p w:rsidR="00AE6933" w:rsidRPr="00E40CAC" w:rsidRDefault="00AE6933" w:rsidP="00E40CAC">
            <w:pPr>
              <w:spacing w:before="80" w:after="80" w:line="200" w:lineRule="exact"/>
              <w:jc w:val="center"/>
              <w:rPr>
                <w:i/>
                <w:sz w:val="16"/>
                <w:szCs w:val="16"/>
                <w:lang w:val="fr-FR"/>
              </w:rPr>
            </w:pPr>
            <w:r w:rsidRPr="00E40CAC">
              <w:rPr>
                <w:i/>
                <w:sz w:val="16"/>
                <w:szCs w:val="16"/>
                <w:lang w:val="fr-FR"/>
              </w:rPr>
              <w:t>2005</w:t>
            </w:r>
          </w:p>
        </w:tc>
        <w:tc>
          <w:tcPr>
            <w:tcW w:w="1459" w:type="dxa"/>
            <w:gridSpan w:val="2"/>
            <w:tcBorders>
              <w:top w:val="single" w:sz="4" w:space="0" w:color="auto"/>
              <w:left w:val="single" w:sz="24" w:space="0" w:color="FFFFFF"/>
              <w:bottom w:val="single" w:sz="4" w:space="0" w:color="auto"/>
              <w:right w:val="single" w:sz="24" w:space="0" w:color="FFFFFF"/>
            </w:tcBorders>
            <w:shd w:val="clear" w:color="auto" w:fill="FFFFFF"/>
            <w:vAlign w:val="bottom"/>
          </w:tcPr>
          <w:p w:rsidR="00AE6933" w:rsidRPr="00E40CAC" w:rsidRDefault="00AE6933" w:rsidP="00E40CAC">
            <w:pPr>
              <w:spacing w:before="80" w:after="80" w:line="200" w:lineRule="exact"/>
              <w:jc w:val="center"/>
              <w:rPr>
                <w:i/>
                <w:sz w:val="16"/>
                <w:szCs w:val="16"/>
                <w:lang w:val="fr-FR"/>
              </w:rPr>
            </w:pPr>
            <w:r w:rsidRPr="00E40CAC">
              <w:rPr>
                <w:i/>
                <w:sz w:val="16"/>
                <w:szCs w:val="16"/>
                <w:lang w:val="fr-FR"/>
              </w:rPr>
              <w:t>2006</w:t>
            </w:r>
          </w:p>
        </w:tc>
        <w:tc>
          <w:tcPr>
            <w:tcW w:w="145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E6933" w:rsidRPr="00E40CAC" w:rsidRDefault="00AE6933" w:rsidP="00E40CAC">
            <w:pPr>
              <w:spacing w:before="80" w:after="80" w:line="200" w:lineRule="exact"/>
              <w:jc w:val="center"/>
              <w:rPr>
                <w:i/>
                <w:sz w:val="16"/>
                <w:szCs w:val="16"/>
                <w:lang w:val="fr-FR"/>
              </w:rPr>
            </w:pPr>
            <w:r w:rsidRPr="00E40CAC">
              <w:rPr>
                <w:i/>
                <w:sz w:val="16"/>
                <w:szCs w:val="16"/>
                <w:lang w:val="fr-FR"/>
              </w:rPr>
              <w:t>2007</w:t>
            </w:r>
          </w:p>
        </w:tc>
        <w:tc>
          <w:tcPr>
            <w:tcW w:w="1458" w:type="dxa"/>
            <w:gridSpan w:val="2"/>
            <w:tcBorders>
              <w:top w:val="single" w:sz="4" w:space="0" w:color="auto"/>
              <w:left w:val="single" w:sz="24" w:space="0" w:color="FFFFFF"/>
              <w:bottom w:val="single" w:sz="4" w:space="0" w:color="auto"/>
            </w:tcBorders>
            <w:shd w:val="clear" w:color="auto" w:fill="auto"/>
            <w:vAlign w:val="bottom"/>
          </w:tcPr>
          <w:p w:rsidR="00AE6933" w:rsidRPr="00E40CAC" w:rsidRDefault="00AE6933" w:rsidP="00E40CAC">
            <w:pPr>
              <w:spacing w:before="80" w:after="80" w:line="200" w:lineRule="exact"/>
              <w:jc w:val="center"/>
              <w:rPr>
                <w:i/>
                <w:sz w:val="16"/>
                <w:szCs w:val="16"/>
                <w:lang w:val="fr-FR"/>
              </w:rPr>
            </w:pPr>
            <w:r w:rsidRPr="00E40CAC">
              <w:rPr>
                <w:i/>
                <w:sz w:val="16"/>
                <w:szCs w:val="16"/>
                <w:lang w:val="fr-FR"/>
              </w:rPr>
              <w:t>2008</w:t>
            </w:r>
          </w:p>
        </w:tc>
      </w:tr>
      <w:tr w:rsidR="00AE6933" w:rsidRPr="00E40CAC" w:rsidTr="00E40CAC">
        <w:tc>
          <w:tcPr>
            <w:tcW w:w="1540" w:type="dxa"/>
            <w:vMerge/>
            <w:tcBorders>
              <w:bottom w:val="single" w:sz="12" w:space="0" w:color="auto"/>
            </w:tcBorders>
            <w:shd w:val="clear" w:color="auto" w:fill="auto"/>
          </w:tcPr>
          <w:p w:rsidR="00AE6933" w:rsidRPr="00E40CAC" w:rsidRDefault="00AE6933" w:rsidP="00E40CAC">
            <w:pPr>
              <w:spacing w:before="80" w:after="80" w:line="200" w:lineRule="exact"/>
              <w:rPr>
                <w:i/>
                <w:sz w:val="16"/>
                <w:szCs w:val="16"/>
                <w:lang w:val="fr-FR"/>
              </w:rPr>
            </w:pPr>
          </w:p>
        </w:tc>
        <w:tc>
          <w:tcPr>
            <w:tcW w:w="728" w:type="dxa"/>
            <w:tcBorders>
              <w:top w:val="single" w:sz="4" w:space="0" w:color="auto"/>
              <w:bottom w:val="single" w:sz="12" w:space="0" w:color="auto"/>
            </w:tcBorders>
            <w:shd w:val="clear" w:color="auto" w:fill="auto"/>
          </w:tcPr>
          <w:p w:rsidR="00AE6933" w:rsidRPr="00E40CAC" w:rsidRDefault="00AE6933" w:rsidP="00E40CAC">
            <w:pPr>
              <w:spacing w:before="80" w:after="80" w:line="200" w:lineRule="exact"/>
              <w:jc w:val="right"/>
              <w:rPr>
                <w:b/>
                <w:i/>
                <w:sz w:val="16"/>
                <w:szCs w:val="16"/>
                <w:lang w:val="fr-FR"/>
              </w:rPr>
            </w:pPr>
            <w:r w:rsidRPr="00E40CAC">
              <w:rPr>
                <w:b/>
                <w:i/>
                <w:sz w:val="16"/>
                <w:szCs w:val="16"/>
                <w:lang w:val="fr-FR"/>
              </w:rPr>
              <w:t>Total</w:t>
            </w:r>
          </w:p>
        </w:tc>
        <w:tc>
          <w:tcPr>
            <w:tcW w:w="729" w:type="dxa"/>
            <w:tcBorders>
              <w:top w:val="single" w:sz="4" w:space="0" w:color="auto"/>
              <w:bottom w:val="single" w:sz="12" w:space="0" w:color="auto"/>
              <w:right w:val="single" w:sz="24" w:space="0" w:color="FFFFFF"/>
            </w:tcBorders>
            <w:shd w:val="clear" w:color="auto" w:fill="auto"/>
          </w:tcPr>
          <w:p w:rsidR="00AE6933" w:rsidRPr="00E40CAC" w:rsidRDefault="00AE6933" w:rsidP="00E40CAC">
            <w:pPr>
              <w:spacing w:before="80" w:after="80" w:line="200" w:lineRule="exact"/>
              <w:jc w:val="right"/>
              <w:rPr>
                <w:i/>
                <w:sz w:val="16"/>
                <w:szCs w:val="16"/>
                <w:lang w:val="fr-FR"/>
              </w:rPr>
            </w:pPr>
            <w:r w:rsidRPr="00E40CAC">
              <w:rPr>
                <w:i/>
                <w:sz w:val="16"/>
                <w:szCs w:val="16"/>
                <w:lang w:val="fr-FR"/>
              </w:rPr>
              <w:t>Femmes</w:t>
            </w:r>
          </w:p>
        </w:tc>
        <w:tc>
          <w:tcPr>
            <w:tcW w:w="729" w:type="dxa"/>
            <w:tcBorders>
              <w:top w:val="single" w:sz="4" w:space="0" w:color="auto"/>
              <w:left w:val="single" w:sz="24" w:space="0" w:color="FFFFFF"/>
              <w:bottom w:val="single" w:sz="12" w:space="0" w:color="auto"/>
            </w:tcBorders>
            <w:shd w:val="clear" w:color="auto" w:fill="FFFFFF"/>
          </w:tcPr>
          <w:p w:rsidR="00AE6933" w:rsidRPr="00E40CAC" w:rsidRDefault="00AE6933" w:rsidP="00E40CAC">
            <w:pPr>
              <w:spacing w:before="80" w:after="80" w:line="200" w:lineRule="exact"/>
              <w:jc w:val="right"/>
              <w:rPr>
                <w:b/>
                <w:i/>
                <w:sz w:val="16"/>
                <w:szCs w:val="16"/>
                <w:lang w:val="fr-FR"/>
              </w:rPr>
            </w:pPr>
            <w:r w:rsidRPr="00E40CAC">
              <w:rPr>
                <w:b/>
                <w:i/>
                <w:sz w:val="16"/>
                <w:szCs w:val="16"/>
                <w:lang w:val="fr-FR"/>
              </w:rPr>
              <w:t>Total</w:t>
            </w:r>
          </w:p>
        </w:tc>
        <w:tc>
          <w:tcPr>
            <w:tcW w:w="729" w:type="dxa"/>
            <w:tcBorders>
              <w:top w:val="single" w:sz="4" w:space="0" w:color="auto"/>
              <w:bottom w:val="single" w:sz="12" w:space="0" w:color="auto"/>
              <w:right w:val="single" w:sz="24" w:space="0" w:color="FFFFFF"/>
            </w:tcBorders>
            <w:shd w:val="clear" w:color="auto" w:fill="auto"/>
          </w:tcPr>
          <w:p w:rsidR="00AE6933" w:rsidRPr="00E40CAC" w:rsidRDefault="00AE6933" w:rsidP="00E40CAC">
            <w:pPr>
              <w:spacing w:before="80" w:after="80" w:line="200" w:lineRule="exact"/>
              <w:jc w:val="right"/>
              <w:rPr>
                <w:i/>
                <w:sz w:val="16"/>
                <w:szCs w:val="16"/>
                <w:lang w:val="fr-FR"/>
              </w:rPr>
            </w:pPr>
            <w:r w:rsidRPr="00E40CAC">
              <w:rPr>
                <w:i/>
                <w:sz w:val="16"/>
                <w:szCs w:val="16"/>
                <w:lang w:val="fr-FR"/>
              </w:rPr>
              <w:t>Femmes</w:t>
            </w:r>
          </w:p>
        </w:tc>
        <w:tc>
          <w:tcPr>
            <w:tcW w:w="729" w:type="dxa"/>
            <w:tcBorders>
              <w:top w:val="single" w:sz="4" w:space="0" w:color="auto"/>
              <w:left w:val="single" w:sz="24" w:space="0" w:color="FFFFFF"/>
              <w:bottom w:val="single" w:sz="12" w:space="0" w:color="auto"/>
            </w:tcBorders>
            <w:shd w:val="clear" w:color="auto" w:fill="auto"/>
          </w:tcPr>
          <w:p w:rsidR="00AE6933" w:rsidRPr="00E40CAC" w:rsidRDefault="00AE6933" w:rsidP="00E40CAC">
            <w:pPr>
              <w:spacing w:before="80" w:after="80" w:line="200" w:lineRule="exact"/>
              <w:jc w:val="right"/>
              <w:rPr>
                <w:b/>
                <w:i/>
                <w:sz w:val="16"/>
                <w:szCs w:val="16"/>
                <w:lang w:val="fr-FR"/>
              </w:rPr>
            </w:pPr>
            <w:r w:rsidRPr="00E40CAC">
              <w:rPr>
                <w:b/>
                <w:i/>
                <w:sz w:val="16"/>
                <w:szCs w:val="16"/>
                <w:lang w:val="fr-FR"/>
              </w:rPr>
              <w:t>Total</w:t>
            </w:r>
          </w:p>
        </w:tc>
        <w:tc>
          <w:tcPr>
            <w:tcW w:w="729" w:type="dxa"/>
            <w:tcBorders>
              <w:top w:val="single" w:sz="4" w:space="0" w:color="auto"/>
              <w:bottom w:val="single" w:sz="12" w:space="0" w:color="auto"/>
              <w:right w:val="single" w:sz="24" w:space="0" w:color="FFFFFF"/>
            </w:tcBorders>
            <w:shd w:val="clear" w:color="auto" w:fill="auto"/>
          </w:tcPr>
          <w:p w:rsidR="00AE6933" w:rsidRPr="00E40CAC" w:rsidRDefault="00AE6933" w:rsidP="00E40CAC">
            <w:pPr>
              <w:spacing w:before="80" w:after="80" w:line="200" w:lineRule="exact"/>
              <w:jc w:val="right"/>
              <w:rPr>
                <w:i/>
                <w:sz w:val="16"/>
                <w:szCs w:val="16"/>
                <w:lang w:val="fr-FR"/>
              </w:rPr>
            </w:pPr>
            <w:r w:rsidRPr="00E40CAC">
              <w:rPr>
                <w:i/>
                <w:sz w:val="16"/>
                <w:szCs w:val="16"/>
                <w:lang w:val="fr-FR"/>
              </w:rPr>
              <w:t>Femmes</w:t>
            </w:r>
          </w:p>
        </w:tc>
        <w:tc>
          <w:tcPr>
            <w:tcW w:w="729" w:type="dxa"/>
            <w:tcBorders>
              <w:top w:val="single" w:sz="4" w:space="0" w:color="auto"/>
              <w:left w:val="single" w:sz="24" w:space="0" w:color="FFFFFF"/>
              <w:bottom w:val="single" w:sz="12" w:space="0" w:color="auto"/>
            </w:tcBorders>
            <w:shd w:val="clear" w:color="auto" w:fill="auto"/>
          </w:tcPr>
          <w:p w:rsidR="00AE6933" w:rsidRPr="00E40CAC" w:rsidRDefault="00AE6933" w:rsidP="00E40CAC">
            <w:pPr>
              <w:spacing w:before="80" w:after="80" w:line="200" w:lineRule="exact"/>
              <w:jc w:val="right"/>
              <w:rPr>
                <w:b/>
                <w:i/>
                <w:sz w:val="16"/>
                <w:szCs w:val="16"/>
                <w:lang w:val="fr-FR"/>
              </w:rPr>
            </w:pPr>
            <w:r w:rsidRPr="00E40CAC">
              <w:rPr>
                <w:b/>
                <w:i/>
                <w:sz w:val="16"/>
                <w:szCs w:val="16"/>
                <w:lang w:val="fr-FR"/>
              </w:rPr>
              <w:t>Total</w:t>
            </w:r>
          </w:p>
        </w:tc>
        <w:tc>
          <w:tcPr>
            <w:tcW w:w="729" w:type="dxa"/>
            <w:tcBorders>
              <w:top w:val="single" w:sz="4" w:space="0" w:color="auto"/>
              <w:bottom w:val="single" w:sz="12" w:space="0" w:color="auto"/>
            </w:tcBorders>
            <w:shd w:val="clear" w:color="auto" w:fill="auto"/>
          </w:tcPr>
          <w:p w:rsidR="00AE6933" w:rsidRPr="00E40CAC" w:rsidRDefault="00AE6933" w:rsidP="00E40CAC">
            <w:pPr>
              <w:spacing w:before="80" w:after="80" w:line="200" w:lineRule="exact"/>
              <w:jc w:val="right"/>
              <w:rPr>
                <w:i/>
                <w:sz w:val="16"/>
                <w:szCs w:val="16"/>
                <w:lang w:val="fr-FR"/>
              </w:rPr>
            </w:pPr>
            <w:r w:rsidRPr="00E40CAC">
              <w:rPr>
                <w:i/>
                <w:sz w:val="16"/>
                <w:szCs w:val="16"/>
                <w:lang w:val="fr-FR"/>
              </w:rPr>
              <w:t>Femmes</w:t>
            </w:r>
          </w:p>
        </w:tc>
      </w:tr>
      <w:tr w:rsidR="00AE6933" w:rsidRPr="00E40CAC" w:rsidTr="00E40CAC">
        <w:tc>
          <w:tcPr>
            <w:tcW w:w="1540" w:type="dxa"/>
            <w:tcBorders>
              <w:top w:val="single" w:sz="12" w:space="0" w:color="auto"/>
            </w:tcBorders>
            <w:shd w:val="clear" w:color="auto" w:fill="auto"/>
          </w:tcPr>
          <w:p w:rsidR="00AE6933" w:rsidRPr="00E40CAC" w:rsidRDefault="00AE6933" w:rsidP="00E40CAC">
            <w:pPr>
              <w:spacing w:before="40" w:after="40" w:line="220" w:lineRule="exact"/>
              <w:rPr>
                <w:sz w:val="18"/>
                <w:szCs w:val="18"/>
                <w:lang w:val="fr-FR"/>
              </w:rPr>
            </w:pPr>
            <w:r w:rsidRPr="00E40CAC">
              <w:rPr>
                <w:sz w:val="18"/>
                <w:szCs w:val="18"/>
                <w:lang w:val="fr-FR"/>
              </w:rPr>
              <w:t>Population active</w:t>
            </w:r>
            <w:r w:rsidRPr="00E40CAC">
              <w:rPr>
                <w:sz w:val="18"/>
                <w:szCs w:val="18"/>
                <w:lang w:val="fr-FR"/>
              </w:rPr>
              <w:br/>
              <w:t xml:space="preserve">(en </w:t>
            </w:r>
            <w:r w:rsidR="008F5718" w:rsidRPr="00E40CAC">
              <w:rPr>
                <w:sz w:val="18"/>
                <w:szCs w:val="18"/>
                <w:lang w:val="fr-FR"/>
              </w:rPr>
              <w:t>pourcentage</w:t>
            </w:r>
            <w:r w:rsidRPr="00E40CAC">
              <w:rPr>
                <w:sz w:val="18"/>
                <w:szCs w:val="18"/>
                <w:lang w:val="fr-FR"/>
              </w:rPr>
              <w:t>)</w:t>
            </w:r>
          </w:p>
        </w:tc>
        <w:tc>
          <w:tcPr>
            <w:tcW w:w="728"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60,7</w:t>
            </w:r>
          </w:p>
        </w:tc>
        <w:tc>
          <w:tcPr>
            <w:tcW w:w="729"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49,1</w:t>
            </w:r>
          </w:p>
        </w:tc>
        <w:tc>
          <w:tcPr>
            <w:tcW w:w="729"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62,2</w:t>
            </w:r>
          </w:p>
        </w:tc>
        <w:tc>
          <w:tcPr>
            <w:tcW w:w="729"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49,2</w:t>
            </w:r>
          </w:p>
        </w:tc>
        <w:tc>
          <w:tcPr>
            <w:tcW w:w="729"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62,8</w:t>
            </w:r>
          </w:p>
        </w:tc>
        <w:tc>
          <w:tcPr>
            <w:tcW w:w="729"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50,4</w:t>
            </w:r>
          </w:p>
        </w:tc>
        <w:tc>
          <w:tcPr>
            <w:tcW w:w="729"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63,5</w:t>
            </w:r>
          </w:p>
        </w:tc>
        <w:tc>
          <w:tcPr>
            <w:tcW w:w="729" w:type="dxa"/>
            <w:tcBorders>
              <w:top w:val="single" w:sz="12" w:space="0" w:color="auto"/>
            </w:tcBorders>
            <w:shd w:val="clear" w:color="auto" w:fill="auto"/>
            <w:vAlign w:val="bottom"/>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50,2</w:t>
            </w:r>
          </w:p>
        </w:tc>
      </w:tr>
      <w:tr w:rsidR="00AE6933" w:rsidRPr="00E40CAC" w:rsidTr="00E40CAC">
        <w:tc>
          <w:tcPr>
            <w:tcW w:w="1540" w:type="dxa"/>
            <w:shd w:val="clear" w:color="auto" w:fill="auto"/>
          </w:tcPr>
          <w:p w:rsidR="00AE6933" w:rsidRPr="00E40CAC" w:rsidRDefault="00AE6933" w:rsidP="00E40CAC">
            <w:pPr>
              <w:spacing w:before="40" w:after="40" w:line="220" w:lineRule="exact"/>
              <w:rPr>
                <w:sz w:val="18"/>
                <w:szCs w:val="18"/>
                <w:lang w:val="fr-FR"/>
              </w:rPr>
            </w:pPr>
            <w:r w:rsidRPr="00E40CAC">
              <w:rPr>
                <w:sz w:val="18"/>
                <w:szCs w:val="18"/>
                <w:lang w:val="fr-FR"/>
              </w:rPr>
              <w:t>Taux d’emploi</w:t>
            </w:r>
          </w:p>
        </w:tc>
        <w:tc>
          <w:tcPr>
            <w:tcW w:w="728" w:type="dxa"/>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37,9</w:t>
            </w:r>
          </w:p>
        </w:tc>
        <w:tc>
          <w:tcPr>
            <w:tcW w:w="729" w:type="dxa"/>
            <w:shd w:val="clear" w:color="auto" w:fill="FFFFFF"/>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30,1</w:t>
            </w:r>
          </w:p>
        </w:tc>
        <w:tc>
          <w:tcPr>
            <w:tcW w:w="729" w:type="dxa"/>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39,6</w:t>
            </w:r>
          </w:p>
        </w:tc>
        <w:tc>
          <w:tcPr>
            <w:tcW w:w="729" w:type="dxa"/>
            <w:shd w:val="clear" w:color="auto" w:fill="auto"/>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30,7</w:t>
            </w:r>
          </w:p>
        </w:tc>
        <w:tc>
          <w:tcPr>
            <w:tcW w:w="729" w:type="dxa"/>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40,7</w:t>
            </w:r>
          </w:p>
        </w:tc>
        <w:tc>
          <w:tcPr>
            <w:tcW w:w="729" w:type="dxa"/>
            <w:shd w:val="clear" w:color="auto" w:fill="auto"/>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32,3</w:t>
            </w:r>
          </w:p>
        </w:tc>
        <w:tc>
          <w:tcPr>
            <w:tcW w:w="729" w:type="dxa"/>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41,9</w:t>
            </w:r>
          </w:p>
        </w:tc>
        <w:tc>
          <w:tcPr>
            <w:tcW w:w="729" w:type="dxa"/>
            <w:shd w:val="clear" w:color="auto" w:fill="auto"/>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32,9</w:t>
            </w:r>
          </w:p>
        </w:tc>
      </w:tr>
      <w:tr w:rsidR="00AE6933" w:rsidRPr="00E40CAC" w:rsidTr="00E40CAC">
        <w:tc>
          <w:tcPr>
            <w:tcW w:w="1540" w:type="dxa"/>
            <w:tcBorders>
              <w:bottom w:val="single" w:sz="12" w:space="0" w:color="auto"/>
            </w:tcBorders>
            <w:shd w:val="clear" w:color="auto" w:fill="auto"/>
          </w:tcPr>
          <w:p w:rsidR="00AE6933" w:rsidRPr="00E40CAC" w:rsidRDefault="00AE6933" w:rsidP="00E40CAC">
            <w:pPr>
              <w:spacing w:before="40" w:after="40" w:line="220" w:lineRule="exact"/>
              <w:rPr>
                <w:sz w:val="18"/>
                <w:szCs w:val="18"/>
                <w:lang w:val="fr-FR"/>
              </w:rPr>
            </w:pPr>
            <w:r w:rsidRPr="00E40CAC">
              <w:rPr>
                <w:sz w:val="18"/>
                <w:szCs w:val="18"/>
                <w:lang w:val="fr-FR"/>
              </w:rPr>
              <w:t>Taux de chômage</w:t>
            </w:r>
          </w:p>
        </w:tc>
        <w:tc>
          <w:tcPr>
            <w:tcW w:w="728" w:type="dxa"/>
            <w:tcBorders>
              <w:bottom w:val="single" w:sz="12" w:space="0" w:color="auto"/>
            </w:tcBorders>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37,6</w:t>
            </w:r>
          </w:p>
        </w:tc>
        <w:tc>
          <w:tcPr>
            <w:tcW w:w="729" w:type="dxa"/>
            <w:tcBorders>
              <w:bottom w:val="single" w:sz="12" w:space="0" w:color="auto"/>
            </w:tcBorders>
            <w:shd w:val="clear" w:color="auto" w:fill="FFFFFF"/>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38,8</w:t>
            </w:r>
          </w:p>
        </w:tc>
        <w:tc>
          <w:tcPr>
            <w:tcW w:w="729" w:type="dxa"/>
            <w:tcBorders>
              <w:bottom w:val="single" w:sz="12" w:space="0" w:color="auto"/>
            </w:tcBorders>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36,3</w:t>
            </w:r>
          </w:p>
        </w:tc>
        <w:tc>
          <w:tcPr>
            <w:tcW w:w="729" w:type="dxa"/>
            <w:tcBorders>
              <w:bottom w:val="single" w:sz="12" w:space="0" w:color="auto"/>
            </w:tcBorders>
            <w:shd w:val="clear" w:color="auto" w:fill="auto"/>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37,5</w:t>
            </w:r>
          </w:p>
        </w:tc>
        <w:tc>
          <w:tcPr>
            <w:tcW w:w="729" w:type="dxa"/>
            <w:tcBorders>
              <w:bottom w:val="single" w:sz="12" w:space="0" w:color="auto"/>
            </w:tcBorders>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35,2</w:t>
            </w:r>
          </w:p>
        </w:tc>
        <w:tc>
          <w:tcPr>
            <w:tcW w:w="729" w:type="dxa"/>
            <w:tcBorders>
              <w:bottom w:val="single" w:sz="12" w:space="0" w:color="auto"/>
            </w:tcBorders>
            <w:shd w:val="clear" w:color="auto" w:fill="auto"/>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35,8</w:t>
            </w:r>
          </w:p>
        </w:tc>
        <w:tc>
          <w:tcPr>
            <w:tcW w:w="729" w:type="dxa"/>
            <w:tcBorders>
              <w:bottom w:val="single" w:sz="12" w:space="0" w:color="auto"/>
            </w:tcBorders>
            <w:shd w:val="clear" w:color="auto" w:fill="auto"/>
          </w:tcPr>
          <w:p w:rsidR="00AE6933" w:rsidRPr="00E40CAC" w:rsidRDefault="00AE6933" w:rsidP="00E40CAC">
            <w:pPr>
              <w:suppressAutoHyphens w:val="0"/>
              <w:spacing w:before="40" w:after="40" w:line="220" w:lineRule="exact"/>
              <w:jc w:val="right"/>
              <w:rPr>
                <w:b/>
                <w:sz w:val="18"/>
                <w:szCs w:val="18"/>
                <w:lang w:val="fr-FR"/>
              </w:rPr>
            </w:pPr>
            <w:r w:rsidRPr="00E40CAC">
              <w:rPr>
                <w:b/>
                <w:sz w:val="18"/>
                <w:szCs w:val="18"/>
                <w:lang w:val="fr-FR"/>
              </w:rPr>
              <w:t>34</w:t>
            </w:r>
          </w:p>
        </w:tc>
        <w:tc>
          <w:tcPr>
            <w:tcW w:w="729" w:type="dxa"/>
            <w:tcBorders>
              <w:bottom w:val="single" w:sz="12" w:space="0" w:color="auto"/>
            </w:tcBorders>
            <w:shd w:val="clear" w:color="auto" w:fill="auto"/>
          </w:tcPr>
          <w:p w:rsidR="00AE6933" w:rsidRPr="00E40CAC" w:rsidRDefault="00AE6933" w:rsidP="00E40CAC">
            <w:pPr>
              <w:suppressAutoHyphens w:val="0"/>
              <w:spacing w:before="40" w:after="40" w:line="220" w:lineRule="exact"/>
              <w:jc w:val="right"/>
              <w:rPr>
                <w:sz w:val="18"/>
                <w:szCs w:val="18"/>
                <w:lang w:val="fr-FR"/>
              </w:rPr>
            </w:pPr>
            <w:r w:rsidRPr="00E40CAC">
              <w:rPr>
                <w:sz w:val="18"/>
                <w:szCs w:val="18"/>
                <w:lang w:val="fr-FR"/>
              </w:rPr>
              <w:t>34,3</w:t>
            </w:r>
          </w:p>
        </w:tc>
      </w:tr>
    </w:tbl>
    <w:p w:rsidR="00AE6933" w:rsidRPr="00BA3042" w:rsidRDefault="00AE6933" w:rsidP="00AE6933">
      <w:pPr>
        <w:rPr>
          <w:lang w:val="fr-FR"/>
        </w:rPr>
      </w:pP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543"/>
        <w:gridCol w:w="728"/>
        <w:gridCol w:w="729"/>
        <w:gridCol w:w="728"/>
        <w:gridCol w:w="729"/>
        <w:gridCol w:w="728"/>
        <w:gridCol w:w="792"/>
        <w:gridCol w:w="665"/>
        <w:gridCol w:w="729"/>
        <w:tblGridChange w:id="1">
          <w:tblGrid>
            <w:gridCol w:w="1543"/>
            <w:gridCol w:w="728"/>
            <w:gridCol w:w="729"/>
            <w:gridCol w:w="728"/>
            <w:gridCol w:w="729"/>
            <w:gridCol w:w="728"/>
            <w:gridCol w:w="792"/>
            <w:gridCol w:w="665"/>
            <w:gridCol w:w="729"/>
          </w:tblGrid>
        </w:tblGridChange>
      </w:tblGrid>
      <w:tr w:rsidR="008F5718" w:rsidRPr="00BA3042" w:rsidTr="00E40CAC">
        <w:tc>
          <w:tcPr>
            <w:tcW w:w="1543" w:type="dxa"/>
            <w:vMerge w:val="restart"/>
            <w:tcBorders>
              <w:left w:val="nil"/>
              <w:right w:val="nil"/>
            </w:tcBorders>
          </w:tcPr>
          <w:p w:rsidR="00AE6933" w:rsidRPr="00BA3042" w:rsidRDefault="00AE6933" w:rsidP="00E40CAC">
            <w:pPr>
              <w:spacing w:before="80" w:after="80" w:line="200" w:lineRule="exact"/>
              <w:rPr>
                <w:i/>
                <w:sz w:val="16"/>
                <w:szCs w:val="16"/>
                <w:lang w:val="fr-FR"/>
              </w:rPr>
            </w:pPr>
          </w:p>
        </w:tc>
        <w:tc>
          <w:tcPr>
            <w:tcW w:w="1457" w:type="dxa"/>
            <w:gridSpan w:val="2"/>
            <w:tcBorders>
              <w:left w:val="nil"/>
              <w:bottom w:val="single" w:sz="4" w:space="0" w:color="auto"/>
              <w:right w:val="single" w:sz="24" w:space="0" w:color="FFFFFF"/>
            </w:tcBorders>
            <w:shd w:val="clear" w:color="auto" w:fill="FFFFFF"/>
            <w:tcMar>
              <w:left w:w="0" w:type="dxa"/>
              <w:right w:w="0" w:type="dxa"/>
            </w:tcMar>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2009</w:t>
            </w:r>
          </w:p>
        </w:tc>
        <w:tc>
          <w:tcPr>
            <w:tcW w:w="1457" w:type="dxa"/>
            <w:gridSpan w:val="2"/>
            <w:tcBorders>
              <w:left w:val="single" w:sz="24" w:space="0" w:color="FFFFFF"/>
              <w:bottom w:val="single" w:sz="4" w:space="0" w:color="auto"/>
              <w:right w:val="single" w:sz="24" w:space="0" w:color="FFFFFF"/>
            </w:tcBorders>
            <w:shd w:val="clear" w:color="auto" w:fill="FFFFFF"/>
            <w:tcMar>
              <w:left w:w="0" w:type="dxa"/>
              <w:right w:w="0" w:type="dxa"/>
            </w:tcMar>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2010</w:t>
            </w:r>
          </w:p>
        </w:tc>
        <w:tc>
          <w:tcPr>
            <w:tcW w:w="1520" w:type="dxa"/>
            <w:gridSpan w:val="2"/>
            <w:tcBorders>
              <w:left w:val="single" w:sz="24" w:space="0" w:color="FFFFFF"/>
              <w:bottom w:val="single" w:sz="4" w:space="0" w:color="auto"/>
              <w:right w:val="single" w:sz="24" w:space="0" w:color="FFFFFF"/>
            </w:tcBorders>
            <w:tcMar>
              <w:left w:w="0" w:type="dxa"/>
              <w:right w:w="0" w:type="dxa"/>
            </w:tcMar>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2011</w:t>
            </w:r>
          </w:p>
        </w:tc>
        <w:tc>
          <w:tcPr>
            <w:tcW w:w="1394" w:type="dxa"/>
            <w:gridSpan w:val="2"/>
            <w:tcBorders>
              <w:left w:val="single" w:sz="24" w:space="0" w:color="FFFFFF"/>
              <w:bottom w:val="single" w:sz="4" w:space="0" w:color="auto"/>
              <w:right w:val="nil"/>
            </w:tcBorders>
            <w:tcMar>
              <w:left w:w="0" w:type="dxa"/>
              <w:right w:w="0" w:type="dxa"/>
            </w:tcMar>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2012</w:t>
            </w:r>
          </w:p>
        </w:tc>
      </w:tr>
      <w:tr w:rsidR="008F5718" w:rsidRPr="00BA3042" w:rsidTr="00E40CAC">
        <w:tc>
          <w:tcPr>
            <w:tcW w:w="1543" w:type="dxa"/>
            <w:vMerge/>
            <w:tcBorders>
              <w:left w:val="nil"/>
              <w:bottom w:val="single" w:sz="12" w:space="0" w:color="auto"/>
              <w:right w:val="nil"/>
            </w:tcBorders>
          </w:tcPr>
          <w:p w:rsidR="00AE6933" w:rsidRPr="00BA3042" w:rsidRDefault="00AE6933" w:rsidP="00E40CAC">
            <w:pPr>
              <w:spacing w:before="80" w:after="80" w:line="200" w:lineRule="exact"/>
              <w:jc w:val="center"/>
              <w:rPr>
                <w:i/>
                <w:sz w:val="16"/>
                <w:szCs w:val="16"/>
                <w:lang w:val="fr-FR"/>
              </w:rPr>
            </w:pPr>
          </w:p>
        </w:tc>
        <w:tc>
          <w:tcPr>
            <w:tcW w:w="728" w:type="dxa"/>
            <w:tcBorders>
              <w:left w:val="nil"/>
              <w:bottom w:val="single" w:sz="12" w:space="0" w:color="auto"/>
              <w:right w:val="nil"/>
            </w:tcBorders>
            <w:tcMar>
              <w:left w:w="0" w:type="dxa"/>
              <w:right w:w="0" w:type="dxa"/>
            </w:tcMar>
          </w:tcPr>
          <w:p w:rsidR="00AE6933" w:rsidRPr="00BA3042" w:rsidRDefault="00AE6933" w:rsidP="00E40CAC">
            <w:pPr>
              <w:spacing w:before="80" w:after="80" w:line="200" w:lineRule="exact"/>
              <w:jc w:val="right"/>
              <w:rPr>
                <w:b/>
                <w:i/>
                <w:sz w:val="16"/>
                <w:szCs w:val="16"/>
                <w:lang w:val="fr-FR"/>
              </w:rPr>
            </w:pPr>
            <w:r w:rsidRPr="00BA3042">
              <w:rPr>
                <w:b/>
                <w:i/>
                <w:sz w:val="16"/>
                <w:szCs w:val="16"/>
                <w:lang w:val="fr-FR"/>
              </w:rPr>
              <w:t>Total</w:t>
            </w:r>
          </w:p>
        </w:tc>
        <w:tc>
          <w:tcPr>
            <w:tcW w:w="729" w:type="dxa"/>
            <w:tcBorders>
              <w:left w:val="nil"/>
              <w:bottom w:val="single" w:sz="12" w:space="0" w:color="auto"/>
              <w:right w:val="single" w:sz="24" w:space="0" w:color="FFFFFF"/>
            </w:tcBorders>
            <w:shd w:val="clear" w:color="auto" w:fill="auto"/>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Femmes</w:t>
            </w:r>
          </w:p>
        </w:tc>
        <w:tc>
          <w:tcPr>
            <w:tcW w:w="728" w:type="dxa"/>
            <w:tcBorders>
              <w:left w:val="single" w:sz="24" w:space="0" w:color="FFFFFF"/>
              <w:bottom w:val="single" w:sz="12" w:space="0" w:color="auto"/>
              <w:right w:val="nil"/>
            </w:tcBorders>
            <w:shd w:val="clear" w:color="auto" w:fill="FFFFFF"/>
            <w:tcMar>
              <w:left w:w="0" w:type="dxa"/>
              <w:right w:w="0" w:type="dxa"/>
            </w:tcMar>
          </w:tcPr>
          <w:p w:rsidR="00AE6933" w:rsidRPr="00BA3042" w:rsidRDefault="00AE6933" w:rsidP="00E40CAC">
            <w:pPr>
              <w:spacing w:before="80" w:after="80" w:line="200" w:lineRule="exact"/>
              <w:jc w:val="right"/>
              <w:rPr>
                <w:b/>
                <w:i/>
                <w:sz w:val="16"/>
                <w:szCs w:val="16"/>
                <w:lang w:val="fr-FR"/>
              </w:rPr>
            </w:pPr>
            <w:r w:rsidRPr="00BA3042">
              <w:rPr>
                <w:b/>
                <w:i/>
                <w:sz w:val="16"/>
                <w:szCs w:val="16"/>
                <w:lang w:val="fr-FR"/>
              </w:rPr>
              <w:t>Total</w:t>
            </w:r>
          </w:p>
        </w:tc>
        <w:tc>
          <w:tcPr>
            <w:tcW w:w="729" w:type="dxa"/>
            <w:tcBorders>
              <w:left w:val="nil"/>
              <w:bottom w:val="single" w:sz="12" w:space="0" w:color="auto"/>
              <w:right w:val="single" w:sz="24" w:space="0" w:color="FFFFFF"/>
            </w:tcBorders>
            <w:shd w:val="clear" w:color="auto" w:fill="auto"/>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Femmes</w:t>
            </w:r>
          </w:p>
        </w:tc>
        <w:tc>
          <w:tcPr>
            <w:tcW w:w="728" w:type="dxa"/>
            <w:tcBorders>
              <w:left w:val="single" w:sz="24" w:space="0" w:color="FFFFFF"/>
              <w:bottom w:val="single" w:sz="12" w:space="0" w:color="auto"/>
              <w:right w:val="nil"/>
            </w:tcBorders>
            <w:tcMar>
              <w:left w:w="0" w:type="dxa"/>
              <w:right w:w="0" w:type="dxa"/>
            </w:tcMar>
          </w:tcPr>
          <w:p w:rsidR="00AE6933" w:rsidRPr="00BA3042" w:rsidRDefault="00AE6933" w:rsidP="00E40CAC">
            <w:pPr>
              <w:spacing w:before="80" w:after="80" w:line="200" w:lineRule="exact"/>
              <w:jc w:val="right"/>
              <w:rPr>
                <w:b/>
                <w:i/>
                <w:sz w:val="16"/>
                <w:szCs w:val="16"/>
                <w:lang w:val="fr-FR"/>
              </w:rPr>
            </w:pPr>
            <w:r w:rsidRPr="00BA3042">
              <w:rPr>
                <w:b/>
                <w:i/>
                <w:sz w:val="16"/>
                <w:szCs w:val="16"/>
                <w:lang w:val="fr-FR"/>
              </w:rPr>
              <w:t>Total</w:t>
            </w:r>
          </w:p>
        </w:tc>
        <w:tc>
          <w:tcPr>
            <w:tcW w:w="792" w:type="dxa"/>
            <w:tcBorders>
              <w:left w:val="nil"/>
              <w:bottom w:val="single" w:sz="12" w:space="0" w:color="auto"/>
              <w:right w:val="single" w:sz="24" w:space="0" w:color="FFFFFF"/>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Femmes</w:t>
            </w:r>
          </w:p>
        </w:tc>
        <w:tc>
          <w:tcPr>
            <w:tcW w:w="665" w:type="dxa"/>
            <w:tcBorders>
              <w:left w:val="single" w:sz="24" w:space="0" w:color="FFFFFF"/>
              <w:bottom w:val="single" w:sz="12" w:space="0" w:color="auto"/>
              <w:right w:val="nil"/>
            </w:tcBorders>
            <w:tcMar>
              <w:left w:w="0" w:type="dxa"/>
              <w:right w:w="0" w:type="dxa"/>
            </w:tcMar>
          </w:tcPr>
          <w:p w:rsidR="00AE6933" w:rsidRPr="00BA3042" w:rsidRDefault="00AE6933" w:rsidP="00E40CAC">
            <w:pPr>
              <w:spacing w:before="80" w:after="80" w:line="200" w:lineRule="exact"/>
              <w:jc w:val="right"/>
              <w:rPr>
                <w:b/>
                <w:i/>
                <w:sz w:val="16"/>
                <w:szCs w:val="16"/>
                <w:lang w:val="fr-FR"/>
              </w:rPr>
            </w:pPr>
            <w:r w:rsidRPr="00BA3042">
              <w:rPr>
                <w:b/>
                <w:i/>
                <w:sz w:val="16"/>
                <w:szCs w:val="16"/>
                <w:lang w:val="fr-FR"/>
              </w:rPr>
              <w:t>Total</w:t>
            </w:r>
          </w:p>
        </w:tc>
        <w:tc>
          <w:tcPr>
            <w:tcW w:w="729" w:type="dxa"/>
            <w:tcBorders>
              <w:left w:val="nil"/>
              <w:bottom w:val="single" w:sz="12" w:space="0" w:color="auto"/>
              <w:right w:val="nil"/>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Femmes</w:t>
            </w:r>
          </w:p>
        </w:tc>
      </w:tr>
      <w:tr w:rsidR="008F5718" w:rsidRPr="00BA3042" w:rsidTr="004B0C0E">
        <w:tc>
          <w:tcPr>
            <w:tcW w:w="1543" w:type="dxa"/>
            <w:tcBorders>
              <w:top w:val="single" w:sz="12" w:space="0" w:color="auto"/>
              <w:left w:val="nil"/>
              <w:bottom w:val="nil"/>
              <w:right w:val="nil"/>
            </w:tcBorders>
          </w:tcPr>
          <w:p w:rsidR="00AE6933" w:rsidRPr="00BA3042" w:rsidRDefault="00AE6933" w:rsidP="008F5718">
            <w:pPr>
              <w:spacing w:before="40" w:after="40" w:line="220" w:lineRule="exact"/>
              <w:rPr>
                <w:i/>
                <w:sz w:val="16"/>
                <w:szCs w:val="16"/>
                <w:lang w:val="fr-FR"/>
              </w:rPr>
            </w:pPr>
            <w:r w:rsidRPr="00BA3042">
              <w:rPr>
                <w:sz w:val="18"/>
                <w:szCs w:val="18"/>
                <w:lang w:val="fr-FR"/>
              </w:rPr>
              <w:t>Population active</w:t>
            </w:r>
            <w:r w:rsidRPr="00BA3042">
              <w:rPr>
                <w:sz w:val="18"/>
                <w:szCs w:val="18"/>
                <w:lang w:val="fr-FR"/>
              </w:rPr>
              <w:br/>
              <w:t>(en </w:t>
            </w:r>
            <w:r w:rsidR="008F5718" w:rsidRPr="00BA3042">
              <w:rPr>
                <w:sz w:val="18"/>
                <w:szCs w:val="18"/>
                <w:lang w:val="fr-FR"/>
              </w:rPr>
              <w:t>pourcentage</w:t>
            </w:r>
            <w:r w:rsidRPr="00BA3042">
              <w:rPr>
                <w:sz w:val="18"/>
                <w:szCs w:val="18"/>
                <w:lang w:val="fr-FR"/>
              </w:rPr>
              <w:t>)</w:t>
            </w:r>
          </w:p>
        </w:tc>
        <w:tc>
          <w:tcPr>
            <w:tcW w:w="72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8"/>
                <w:lang w:val="fr-FR"/>
              </w:rPr>
              <w:t>64,0</w:t>
            </w:r>
          </w:p>
        </w:tc>
        <w:tc>
          <w:tcPr>
            <w:tcW w:w="729"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50,0</w:t>
            </w:r>
          </w:p>
        </w:tc>
        <w:tc>
          <w:tcPr>
            <w:tcW w:w="72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64,2</w:t>
            </w:r>
          </w:p>
        </w:tc>
        <w:tc>
          <w:tcPr>
            <w:tcW w:w="729"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50,4</w:t>
            </w:r>
          </w:p>
        </w:tc>
        <w:tc>
          <w:tcPr>
            <w:tcW w:w="72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64,2</w:t>
            </w:r>
          </w:p>
        </w:tc>
        <w:tc>
          <w:tcPr>
            <w:tcW w:w="792"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51,2</w:t>
            </w:r>
          </w:p>
        </w:tc>
        <w:tc>
          <w:tcPr>
            <w:tcW w:w="665"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63,9</w:t>
            </w:r>
          </w:p>
        </w:tc>
        <w:tc>
          <w:tcPr>
            <w:tcW w:w="729"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50,8</w:t>
            </w:r>
          </w:p>
        </w:tc>
      </w:tr>
      <w:tr w:rsidR="004B0C0E" w:rsidRPr="00BA3042" w:rsidTr="004B0C0E">
        <w:tc>
          <w:tcPr>
            <w:tcW w:w="1543" w:type="dxa"/>
            <w:tcBorders>
              <w:top w:val="nil"/>
              <w:left w:val="nil"/>
              <w:bottom w:val="nil"/>
              <w:right w:val="nil"/>
            </w:tcBorders>
          </w:tcPr>
          <w:p w:rsidR="00AE6933" w:rsidRPr="00BA3042" w:rsidRDefault="00AE6933" w:rsidP="00E40CAC">
            <w:pPr>
              <w:spacing w:before="40" w:after="40" w:line="220" w:lineRule="exact"/>
              <w:rPr>
                <w:i/>
                <w:sz w:val="16"/>
                <w:szCs w:val="16"/>
                <w:lang w:val="fr-FR"/>
              </w:rPr>
            </w:pPr>
            <w:r w:rsidRPr="00BA3042">
              <w:rPr>
                <w:sz w:val="18"/>
                <w:szCs w:val="18"/>
                <w:lang w:val="fr-FR"/>
              </w:rPr>
              <w:t>Taux d’emploi</w:t>
            </w:r>
          </w:p>
        </w:tc>
        <w:tc>
          <w:tcPr>
            <w:tcW w:w="72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8"/>
                <w:lang w:val="fr-FR"/>
              </w:rPr>
              <w:t>43,5</w:t>
            </w:r>
          </w:p>
        </w:tc>
        <w:tc>
          <w:tcPr>
            <w:tcW w:w="7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33,5</w:t>
            </w:r>
          </w:p>
        </w:tc>
        <w:tc>
          <w:tcPr>
            <w:tcW w:w="72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43,5</w:t>
            </w:r>
          </w:p>
        </w:tc>
        <w:tc>
          <w:tcPr>
            <w:tcW w:w="7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34,0</w:t>
            </w:r>
          </w:p>
        </w:tc>
        <w:tc>
          <w:tcPr>
            <w:tcW w:w="72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43,9</w:t>
            </w:r>
          </w:p>
        </w:tc>
        <w:tc>
          <w:tcPr>
            <w:tcW w:w="79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35,3</w:t>
            </w:r>
          </w:p>
        </w:tc>
        <w:tc>
          <w:tcPr>
            <w:tcW w:w="665"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44,0</w:t>
            </w:r>
          </w:p>
        </w:tc>
        <w:tc>
          <w:tcPr>
            <w:tcW w:w="7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35,3</w:t>
            </w:r>
          </w:p>
        </w:tc>
      </w:tr>
      <w:tr w:rsidR="004B0C0E" w:rsidRPr="00BA3042" w:rsidTr="004B0C0E">
        <w:tc>
          <w:tcPr>
            <w:tcW w:w="1543" w:type="dxa"/>
            <w:tcBorders>
              <w:top w:val="nil"/>
              <w:left w:val="nil"/>
              <w:bottom w:val="single" w:sz="12" w:space="0" w:color="auto"/>
              <w:right w:val="nil"/>
            </w:tcBorders>
          </w:tcPr>
          <w:p w:rsidR="00AE6933" w:rsidRPr="00BA3042" w:rsidRDefault="00AE6933" w:rsidP="00E40CAC">
            <w:pPr>
              <w:spacing w:before="40" w:after="40" w:line="220" w:lineRule="exact"/>
              <w:rPr>
                <w:i/>
                <w:sz w:val="16"/>
                <w:szCs w:val="16"/>
                <w:lang w:val="fr-FR"/>
              </w:rPr>
            </w:pPr>
            <w:r w:rsidRPr="00BA3042">
              <w:rPr>
                <w:sz w:val="18"/>
                <w:szCs w:val="18"/>
                <w:lang w:val="fr-FR"/>
              </w:rPr>
              <w:t>Taux de chômage</w:t>
            </w:r>
          </w:p>
        </w:tc>
        <w:tc>
          <w:tcPr>
            <w:tcW w:w="728"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8"/>
                <w:lang w:val="fr-FR"/>
              </w:rPr>
              <w:t>32,3</w:t>
            </w:r>
          </w:p>
        </w:tc>
        <w:tc>
          <w:tcPr>
            <w:tcW w:w="729"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32,9</w:t>
            </w:r>
          </w:p>
        </w:tc>
        <w:tc>
          <w:tcPr>
            <w:tcW w:w="728"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32,2</w:t>
            </w:r>
          </w:p>
        </w:tc>
        <w:tc>
          <w:tcPr>
            <w:tcW w:w="729"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32,5</w:t>
            </w:r>
          </w:p>
        </w:tc>
        <w:tc>
          <w:tcPr>
            <w:tcW w:w="728"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31,6</w:t>
            </w:r>
          </w:p>
        </w:tc>
        <w:tc>
          <w:tcPr>
            <w:tcW w:w="792"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31,0</w:t>
            </w:r>
          </w:p>
        </w:tc>
        <w:tc>
          <w:tcPr>
            <w:tcW w:w="665"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
                <w:sz w:val="18"/>
                <w:szCs w:val="18"/>
                <w:lang w:val="fr-FR"/>
              </w:rPr>
            </w:pPr>
            <w:r w:rsidRPr="00BA3042">
              <w:rPr>
                <w:b/>
                <w:sz w:val="18"/>
                <w:szCs w:val="16"/>
                <w:lang w:val="fr-FR"/>
              </w:rPr>
              <w:t>31,2</w:t>
            </w:r>
          </w:p>
        </w:tc>
        <w:tc>
          <w:tcPr>
            <w:tcW w:w="729"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6"/>
                <w:lang w:val="fr-FR"/>
              </w:rPr>
              <w:t>30,5</w:t>
            </w:r>
          </w:p>
        </w:tc>
      </w:tr>
    </w:tbl>
    <w:p w:rsidR="00AE6933" w:rsidRPr="00BA3042" w:rsidRDefault="00AE6933" w:rsidP="00AE6933">
      <w:pPr>
        <w:pStyle w:val="SingleTxtG"/>
        <w:spacing w:before="120" w:after="240"/>
        <w:ind w:firstLine="170"/>
        <w:rPr>
          <w:sz w:val="18"/>
          <w:szCs w:val="18"/>
          <w:lang w:val="fr-FR"/>
        </w:rPr>
      </w:pPr>
      <w:r w:rsidRPr="00BA3042">
        <w:rPr>
          <w:i/>
          <w:sz w:val="18"/>
          <w:szCs w:val="18"/>
          <w:lang w:val="fr-FR"/>
        </w:rPr>
        <w:t>Source</w:t>
      </w:r>
      <w:r w:rsidRPr="00BA3042">
        <w:rPr>
          <w:sz w:val="18"/>
          <w:szCs w:val="18"/>
          <w:lang w:val="fr-FR"/>
        </w:rPr>
        <w:t>: Office national des statistiques.</w:t>
      </w:r>
    </w:p>
    <w:p w:rsidR="00AE6933" w:rsidRPr="00BA3042" w:rsidRDefault="00AE6933" w:rsidP="00AE6933">
      <w:pPr>
        <w:pStyle w:val="SingleTxtG"/>
        <w:rPr>
          <w:lang w:val="fr-FR"/>
        </w:rPr>
      </w:pPr>
      <w:r w:rsidRPr="00BA3042">
        <w:rPr>
          <w:lang w:val="fr-FR"/>
        </w:rPr>
        <w:t>28.</w:t>
      </w:r>
      <w:r w:rsidRPr="00BA3042">
        <w:rPr>
          <w:lang w:val="fr-FR"/>
        </w:rPr>
        <w:tab/>
        <w:t>Le taux d’emploi progresse, puisqu’il s’établissait à 44 % en 2012, contre 37,9 % en 2005. Le taux d’emploi des femmes a également augmenté, passant de 30,1 % à 35,3 % en 2012.</w:t>
      </w:r>
    </w:p>
    <w:p w:rsidR="00AE6933" w:rsidRPr="00BA3042" w:rsidRDefault="00AE6933" w:rsidP="00AE6933">
      <w:pPr>
        <w:pStyle w:val="SingleTxtG"/>
        <w:rPr>
          <w:lang w:val="fr-FR"/>
        </w:rPr>
      </w:pPr>
      <w:r w:rsidRPr="00BA3042">
        <w:rPr>
          <w:lang w:val="fr-FR"/>
        </w:rPr>
        <w:t>29.</w:t>
      </w:r>
      <w:r w:rsidRPr="00BA3042">
        <w:rPr>
          <w:lang w:val="fr-FR"/>
        </w:rPr>
        <w:tab/>
        <w:t xml:space="preserve">Depuis 2005, le taux de chômage diminue. Ainsi, il était de 37,6 % et de 38,8 % parmi les femmes en 2005, et n’est plus que de 31,2 % et de 30,5 % parmi elles en 2012. </w:t>
      </w:r>
    </w:p>
    <w:p w:rsidR="00AE6933" w:rsidRPr="00BA3042" w:rsidRDefault="00AE6933" w:rsidP="00AE6933">
      <w:pPr>
        <w:pStyle w:val="SingleTxtG"/>
        <w:rPr>
          <w:lang w:val="fr-FR"/>
        </w:rPr>
      </w:pPr>
      <w:r w:rsidRPr="00BA3042">
        <w:rPr>
          <w:lang w:val="fr-FR"/>
        </w:rPr>
        <w:t>30.</w:t>
      </w:r>
      <w:r w:rsidRPr="00BA3042">
        <w:rPr>
          <w:lang w:val="fr-FR"/>
        </w:rPr>
        <w:tab/>
        <w:t>Les tableaux ci-après donnent un aperçu de la population active, de l’emploi et du chômage ventilés par groupes d’âge.</w:t>
      </w:r>
    </w:p>
    <w:p w:rsidR="00AE6933" w:rsidRPr="00BA3042" w:rsidRDefault="00A85114" w:rsidP="00A85114">
      <w:pPr>
        <w:pStyle w:val="H23G"/>
        <w:rPr>
          <w:b w:val="0"/>
          <w:bCs/>
          <w:lang w:val="fr-FR"/>
        </w:rPr>
      </w:pPr>
      <w:r w:rsidRPr="00BA3042">
        <w:rPr>
          <w:lang w:val="fr-FR"/>
        </w:rPr>
        <w:tab/>
      </w:r>
      <w:r w:rsidRPr="00BA3042">
        <w:rPr>
          <w:lang w:val="fr-FR"/>
        </w:rPr>
        <w:tab/>
      </w:r>
      <w:r w:rsidR="00AE6933" w:rsidRPr="00BA3042">
        <w:rPr>
          <w:lang w:val="fr-FR"/>
        </w:rPr>
        <w:t>Population active par âge et par sexe</w:t>
      </w:r>
      <w:r w:rsidR="00AE6933" w:rsidRPr="00BA3042">
        <w:rPr>
          <w:lang w:val="fr-FR"/>
        </w:rPr>
        <w:br/>
      </w:r>
      <w:r w:rsidR="00AE6933" w:rsidRPr="00BA3042">
        <w:rPr>
          <w:b w:val="0"/>
          <w:bCs/>
          <w:sz w:val="16"/>
          <w:szCs w:val="16"/>
          <w:lang w:val="fr-FR"/>
        </w:rPr>
        <w:t>(En pourcentage)</w:t>
      </w:r>
    </w:p>
    <w:tbl>
      <w:tblPr>
        <w:tblW w:w="8505" w:type="dxa"/>
        <w:tblInd w:w="1134" w:type="dxa"/>
        <w:tblBorders>
          <w:top w:val="single" w:sz="4" w:space="0" w:color="auto"/>
          <w:bottom w:val="single" w:sz="12" w:space="0" w:color="auto"/>
        </w:tblBorders>
        <w:tblCellMar>
          <w:left w:w="0" w:type="dxa"/>
          <w:right w:w="0" w:type="dxa"/>
        </w:tblCellMar>
        <w:tblLook w:val="04A0"/>
      </w:tblPr>
      <w:tblGrid>
        <w:gridCol w:w="1232"/>
        <w:gridCol w:w="854"/>
        <w:gridCol w:w="917"/>
        <w:gridCol w:w="917"/>
        <w:gridCol w:w="917"/>
        <w:gridCol w:w="917"/>
        <w:gridCol w:w="917"/>
        <w:gridCol w:w="917"/>
        <w:gridCol w:w="917"/>
        <w:tblGridChange w:id="2">
          <w:tblGrid>
            <w:gridCol w:w="1232"/>
            <w:gridCol w:w="854"/>
            <w:gridCol w:w="917"/>
            <w:gridCol w:w="917"/>
            <w:gridCol w:w="917"/>
            <w:gridCol w:w="917"/>
            <w:gridCol w:w="917"/>
            <w:gridCol w:w="917"/>
            <w:gridCol w:w="917"/>
          </w:tblGrid>
        </w:tblGridChange>
      </w:tblGrid>
      <w:tr w:rsidR="00AE6933" w:rsidRPr="00BA3042" w:rsidTr="00E40CAC">
        <w:tc>
          <w:tcPr>
            <w:tcW w:w="1232" w:type="dxa"/>
            <w:tcBorders>
              <w:top w:val="single" w:sz="4" w:space="0" w:color="auto"/>
              <w:bottom w:val="single" w:sz="12" w:space="0" w:color="auto"/>
            </w:tcBorders>
            <w:shd w:val="clear" w:color="auto" w:fill="auto"/>
          </w:tcPr>
          <w:p w:rsidR="00AE6933" w:rsidRPr="00BA3042" w:rsidRDefault="00AE6933" w:rsidP="00E40CAC">
            <w:pPr>
              <w:keepNext/>
              <w:keepLines/>
              <w:spacing w:before="80" w:after="80" w:line="200" w:lineRule="exact"/>
              <w:jc w:val="center"/>
              <w:rPr>
                <w:sz w:val="16"/>
                <w:szCs w:val="16"/>
                <w:lang w:val="fr-FR"/>
              </w:rPr>
            </w:pPr>
          </w:p>
        </w:tc>
        <w:tc>
          <w:tcPr>
            <w:tcW w:w="854" w:type="dxa"/>
            <w:tcBorders>
              <w:top w:val="single" w:sz="4" w:space="0" w:color="auto"/>
              <w:bottom w:val="single" w:sz="12" w:space="0" w:color="auto"/>
            </w:tcBorders>
            <w:shd w:val="clear" w:color="auto" w:fill="auto"/>
          </w:tcPr>
          <w:p w:rsidR="00AE6933" w:rsidRPr="00BA3042" w:rsidRDefault="00AE6933" w:rsidP="00E40CAC">
            <w:pPr>
              <w:keepNext/>
              <w:keepLines/>
              <w:spacing w:before="80" w:after="80" w:line="200" w:lineRule="exact"/>
              <w:jc w:val="center"/>
              <w:rPr>
                <w:sz w:val="16"/>
                <w:szCs w:val="16"/>
                <w:lang w:val="fr-FR"/>
              </w:rPr>
            </w:pPr>
          </w:p>
        </w:tc>
        <w:tc>
          <w:tcPr>
            <w:tcW w:w="917" w:type="dxa"/>
            <w:tcBorders>
              <w:top w:val="single" w:sz="4" w:space="0" w:color="auto"/>
              <w:bottom w:val="single" w:sz="12" w:space="0" w:color="auto"/>
            </w:tcBorders>
            <w:shd w:val="clear" w:color="auto" w:fill="auto"/>
            <w:vAlign w:val="bottom"/>
          </w:tcPr>
          <w:p w:rsidR="00AE6933" w:rsidRPr="00BA3042" w:rsidRDefault="00AE6933" w:rsidP="00E40CAC">
            <w:pPr>
              <w:keepNext/>
              <w:keepLines/>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2006</w:t>
            </w:r>
          </w:p>
        </w:tc>
        <w:tc>
          <w:tcPr>
            <w:tcW w:w="917" w:type="dxa"/>
            <w:tcBorders>
              <w:top w:val="single" w:sz="4" w:space="0" w:color="auto"/>
              <w:bottom w:val="single" w:sz="12" w:space="0" w:color="auto"/>
            </w:tcBorders>
            <w:shd w:val="clear" w:color="auto" w:fill="auto"/>
            <w:vAlign w:val="bottom"/>
          </w:tcPr>
          <w:p w:rsidR="00AE6933" w:rsidRPr="00BA3042" w:rsidRDefault="00AE6933" w:rsidP="00E40CAC">
            <w:pPr>
              <w:keepNext/>
              <w:keepLines/>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2007</w:t>
            </w:r>
          </w:p>
        </w:tc>
        <w:tc>
          <w:tcPr>
            <w:tcW w:w="917" w:type="dxa"/>
            <w:tcBorders>
              <w:top w:val="single" w:sz="4" w:space="0" w:color="auto"/>
              <w:bottom w:val="single" w:sz="12" w:space="0" w:color="auto"/>
            </w:tcBorders>
            <w:shd w:val="clear" w:color="auto" w:fill="auto"/>
            <w:vAlign w:val="bottom"/>
          </w:tcPr>
          <w:p w:rsidR="00AE6933" w:rsidRPr="00BA3042" w:rsidRDefault="00AE6933" w:rsidP="00E40CAC">
            <w:pPr>
              <w:keepNext/>
              <w:keepLines/>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2008</w:t>
            </w:r>
          </w:p>
        </w:tc>
        <w:tc>
          <w:tcPr>
            <w:tcW w:w="917" w:type="dxa"/>
            <w:tcBorders>
              <w:top w:val="single" w:sz="4" w:space="0" w:color="auto"/>
              <w:bottom w:val="single" w:sz="12" w:space="0" w:color="auto"/>
            </w:tcBorders>
            <w:shd w:val="clear" w:color="auto" w:fill="auto"/>
            <w:vAlign w:val="bottom"/>
          </w:tcPr>
          <w:p w:rsidR="00AE6933" w:rsidRPr="00BA3042" w:rsidRDefault="00AE6933" w:rsidP="00E40CAC">
            <w:pPr>
              <w:keepNext/>
              <w:keepLines/>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2009</w:t>
            </w:r>
          </w:p>
        </w:tc>
        <w:tc>
          <w:tcPr>
            <w:tcW w:w="917" w:type="dxa"/>
            <w:tcBorders>
              <w:top w:val="single" w:sz="4" w:space="0" w:color="auto"/>
              <w:bottom w:val="single" w:sz="12" w:space="0" w:color="auto"/>
            </w:tcBorders>
            <w:shd w:val="clear" w:color="auto" w:fill="auto"/>
            <w:vAlign w:val="bottom"/>
          </w:tcPr>
          <w:p w:rsidR="00AE6933" w:rsidRPr="00BA3042" w:rsidRDefault="00AE6933" w:rsidP="00E40CAC">
            <w:pPr>
              <w:keepNext/>
              <w:keepLines/>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2010</w:t>
            </w:r>
          </w:p>
        </w:tc>
        <w:tc>
          <w:tcPr>
            <w:tcW w:w="917" w:type="dxa"/>
            <w:tcBorders>
              <w:top w:val="single" w:sz="4" w:space="0" w:color="auto"/>
              <w:bottom w:val="single" w:sz="12" w:space="0" w:color="auto"/>
            </w:tcBorders>
            <w:shd w:val="clear" w:color="auto" w:fill="auto"/>
            <w:vAlign w:val="bottom"/>
          </w:tcPr>
          <w:p w:rsidR="00AE6933" w:rsidRPr="00BA3042" w:rsidRDefault="00AE6933" w:rsidP="00E40CAC">
            <w:pPr>
              <w:keepNext/>
              <w:keepLines/>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2011</w:t>
            </w:r>
          </w:p>
        </w:tc>
        <w:tc>
          <w:tcPr>
            <w:tcW w:w="917" w:type="dxa"/>
            <w:tcBorders>
              <w:top w:val="single" w:sz="4" w:space="0" w:color="auto"/>
              <w:bottom w:val="single" w:sz="12" w:space="0" w:color="auto"/>
            </w:tcBorders>
            <w:shd w:val="clear" w:color="auto" w:fill="auto"/>
            <w:vAlign w:val="bottom"/>
          </w:tcPr>
          <w:p w:rsidR="00AE6933" w:rsidRPr="00BA3042" w:rsidRDefault="00AE6933" w:rsidP="00E40CAC">
            <w:pPr>
              <w:keepNext/>
              <w:keepLines/>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2012</w:t>
            </w:r>
          </w:p>
        </w:tc>
      </w:tr>
      <w:tr w:rsidR="00AE6933" w:rsidRPr="00BA3042" w:rsidTr="00E40CAC">
        <w:tc>
          <w:tcPr>
            <w:tcW w:w="1232" w:type="dxa"/>
            <w:vMerge w:val="restart"/>
            <w:tcBorders>
              <w:top w:val="single" w:sz="12" w:space="0" w:color="auto"/>
            </w:tcBorders>
            <w:tcMar>
              <w:left w:w="0" w:type="dxa"/>
              <w:right w:w="0" w:type="dxa"/>
            </w:tcMar>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De 15 à 24 ans</w:t>
            </w:r>
          </w:p>
        </w:tc>
        <w:tc>
          <w:tcPr>
            <w:tcW w:w="854" w:type="dxa"/>
            <w:tcBorders>
              <w:top w:val="single" w:sz="12" w:space="0" w:color="auto"/>
              <w:bottom w:val="single" w:sz="4" w:space="0" w:color="auto"/>
            </w:tcBorders>
            <w:tcMar>
              <w:left w:w="0" w:type="dxa"/>
              <w:right w:w="0" w:type="dxa"/>
            </w:tcMar>
          </w:tcPr>
          <w:p w:rsidR="00AE6933" w:rsidRPr="00BA3042" w:rsidRDefault="00AE6933" w:rsidP="00372FB1">
            <w:pPr>
              <w:keepNext/>
              <w:keepLines/>
              <w:spacing w:before="70" w:after="70" w:line="220" w:lineRule="exact"/>
              <w:rPr>
                <w:b/>
                <w:sz w:val="18"/>
                <w:szCs w:val="18"/>
                <w:lang w:val="fr-FR"/>
              </w:rPr>
            </w:pPr>
            <w:r w:rsidRPr="00BA3042">
              <w:rPr>
                <w:b/>
                <w:sz w:val="18"/>
                <w:szCs w:val="18"/>
                <w:lang w:val="fr-FR"/>
              </w:rPr>
              <w:t>Total</w:t>
            </w:r>
          </w:p>
        </w:tc>
        <w:tc>
          <w:tcPr>
            <w:tcW w:w="917" w:type="dxa"/>
            <w:tcBorders>
              <w:top w:val="single" w:sz="12" w:space="0" w:color="auto"/>
              <w:bottom w:val="single" w:sz="4" w:space="0" w:color="auto"/>
            </w:tcBorders>
            <w:tcMar>
              <w:left w:w="0" w:type="dxa"/>
              <w:right w:w="0" w:type="dxa"/>
            </w:tcMar>
            <w:vAlign w:val="bottom"/>
          </w:tcPr>
          <w:p w:rsidR="00AE6933" w:rsidRPr="00BA3042" w:rsidRDefault="00AE6933" w:rsidP="00372FB1">
            <w:pPr>
              <w:keepNext/>
              <w:keepLines/>
              <w:suppressAutoHyphens w:val="0"/>
              <w:spacing w:before="70" w:after="70" w:line="220" w:lineRule="exact"/>
              <w:jc w:val="right"/>
              <w:rPr>
                <w:rFonts w:eastAsia="MS Mincho"/>
                <w:b/>
                <w:sz w:val="18"/>
                <w:szCs w:val="18"/>
                <w:lang w:val="fr-FR" w:eastAsia="ja-JP"/>
              </w:rPr>
            </w:pPr>
            <w:r w:rsidRPr="00BA3042">
              <w:rPr>
                <w:rFonts w:eastAsia="MS Mincho"/>
                <w:b/>
                <w:sz w:val="18"/>
                <w:szCs w:val="18"/>
                <w:lang w:val="fr-FR" w:eastAsia="ja-JP"/>
              </w:rPr>
              <w:t>35,8</w:t>
            </w:r>
          </w:p>
        </w:tc>
        <w:tc>
          <w:tcPr>
            <w:tcW w:w="917" w:type="dxa"/>
            <w:tcBorders>
              <w:top w:val="single" w:sz="12" w:space="0" w:color="auto"/>
              <w:bottom w:val="single" w:sz="4" w:space="0" w:color="auto"/>
            </w:tcBorders>
            <w:tcMar>
              <w:left w:w="0" w:type="dxa"/>
              <w:right w:w="0" w:type="dxa"/>
            </w:tcMar>
            <w:vAlign w:val="bottom"/>
          </w:tcPr>
          <w:p w:rsidR="00AE6933" w:rsidRPr="00BA3042" w:rsidRDefault="00AE6933" w:rsidP="00372FB1">
            <w:pPr>
              <w:keepNext/>
              <w:keepLines/>
              <w:suppressAutoHyphens w:val="0"/>
              <w:spacing w:before="70" w:after="70" w:line="220" w:lineRule="exact"/>
              <w:jc w:val="right"/>
              <w:rPr>
                <w:rFonts w:eastAsia="MS Mincho"/>
                <w:b/>
                <w:sz w:val="18"/>
                <w:szCs w:val="18"/>
                <w:lang w:val="fr-FR" w:eastAsia="ja-JP"/>
              </w:rPr>
            </w:pPr>
            <w:r w:rsidRPr="00BA3042">
              <w:rPr>
                <w:rFonts w:eastAsia="MS Mincho"/>
                <w:b/>
                <w:sz w:val="18"/>
                <w:szCs w:val="18"/>
                <w:lang w:val="fr-FR" w:eastAsia="ja-JP"/>
              </w:rPr>
              <w:t>35,9</w:t>
            </w:r>
          </w:p>
        </w:tc>
        <w:tc>
          <w:tcPr>
            <w:tcW w:w="917" w:type="dxa"/>
            <w:tcBorders>
              <w:top w:val="single" w:sz="12" w:space="0" w:color="auto"/>
              <w:bottom w:val="single" w:sz="4" w:space="0" w:color="auto"/>
            </w:tcBorders>
            <w:tcMar>
              <w:left w:w="0" w:type="dxa"/>
              <w:right w:w="0" w:type="dxa"/>
            </w:tcMar>
            <w:vAlign w:val="bottom"/>
          </w:tcPr>
          <w:p w:rsidR="00AE6933" w:rsidRPr="00BA3042" w:rsidRDefault="00AE6933" w:rsidP="00372FB1">
            <w:pPr>
              <w:keepNext/>
              <w:keepLines/>
              <w:suppressAutoHyphens w:val="0"/>
              <w:spacing w:before="70" w:after="70" w:line="220" w:lineRule="exact"/>
              <w:jc w:val="right"/>
              <w:rPr>
                <w:rFonts w:eastAsia="MS Mincho"/>
                <w:b/>
                <w:sz w:val="18"/>
                <w:szCs w:val="18"/>
                <w:lang w:val="fr-FR" w:eastAsia="ja-JP"/>
              </w:rPr>
            </w:pPr>
            <w:r w:rsidRPr="00BA3042">
              <w:rPr>
                <w:rFonts w:eastAsia="MS Mincho"/>
                <w:b/>
                <w:sz w:val="18"/>
                <w:szCs w:val="18"/>
                <w:lang w:val="fr-FR" w:eastAsia="ja-JP"/>
              </w:rPr>
              <w:t>35,9</w:t>
            </w:r>
          </w:p>
        </w:tc>
        <w:tc>
          <w:tcPr>
            <w:tcW w:w="917" w:type="dxa"/>
            <w:tcBorders>
              <w:top w:val="single" w:sz="12" w:space="0" w:color="auto"/>
              <w:bottom w:val="single" w:sz="4" w:space="0" w:color="auto"/>
            </w:tcBorders>
            <w:tcMar>
              <w:left w:w="0" w:type="dxa"/>
              <w:right w:w="0" w:type="dxa"/>
            </w:tcMar>
            <w:vAlign w:val="bottom"/>
          </w:tcPr>
          <w:p w:rsidR="00AE6933" w:rsidRPr="00BA3042" w:rsidRDefault="00AE6933" w:rsidP="00372FB1">
            <w:pPr>
              <w:keepNext/>
              <w:keepLines/>
              <w:suppressAutoHyphens w:val="0"/>
              <w:spacing w:before="70" w:after="70" w:line="220" w:lineRule="exact"/>
              <w:jc w:val="right"/>
              <w:rPr>
                <w:rFonts w:eastAsia="MS Mincho"/>
                <w:b/>
                <w:sz w:val="18"/>
                <w:szCs w:val="18"/>
                <w:lang w:val="fr-FR" w:eastAsia="ja-JP"/>
              </w:rPr>
            </w:pPr>
            <w:r w:rsidRPr="00BA3042">
              <w:rPr>
                <w:rFonts w:eastAsia="MS Mincho"/>
                <w:b/>
                <w:sz w:val="18"/>
                <w:szCs w:val="18"/>
                <w:lang w:val="fr-FR" w:eastAsia="ja-JP"/>
              </w:rPr>
              <w:t>35</w:t>
            </w:r>
            <w:r w:rsidR="00A85114" w:rsidRPr="00BA3042">
              <w:rPr>
                <w:rFonts w:eastAsia="MS Mincho"/>
                <w:b/>
                <w:sz w:val="18"/>
                <w:szCs w:val="18"/>
                <w:lang w:val="fr-FR" w:eastAsia="ja-JP"/>
              </w:rPr>
              <w:t>,0</w:t>
            </w:r>
          </w:p>
        </w:tc>
        <w:tc>
          <w:tcPr>
            <w:tcW w:w="917" w:type="dxa"/>
            <w:tcBorders>
              <w:top w:val="single" w:sz="12" w:space="0" w:color="auto"/>
              <w:bottom w:val="single" w:sz="4" w:space="0" w:color="auto"/>
            </w:tcBorders>
            <w:tcMar>
              <w:left w:w="0" w:type="dxa"/>
              <w:right w:w="0" w:type="dxa"/>
            </w:tcMar>
            <w:vAlign w:val="bottom"/>
          </w:tcPr>
          <w:p w:rsidR="00AE6933" w:rsidRPr="00BA3042" w:rsidRDefault="00AE6933" w:rsidP="00372FB1">
            <w:pPr>
              <w:keepNext/>
              <w:keepLines/>
              <w:suppressAutoHyphens w:val="0"/>
              <w:spacing w:before="70" w:after="70" w:line="220" w:lineRule="exact"/>
              <w:jc w:val="right"/>
              <w:rPr>
                <w:rFonts w:eastAsia="MS Mincho"/>
                <w:b/>
                <w:sz w:val="18"/>
                <w:szCs w:val="18"/>
                <w:lang w:val="fr-FR" w:eastAsia="ja-JP"/>
              </w:rPr>
            </w:pPr>
            <w:r w:rsidRPr="00BA3042">
              <w:rPr>
                <w:rFonts w:eastAsia="MS Mincho"/>
                <w:b/>
                <w:sz w:val="18"/>
                <w:szCs w:val="18"/>
                <w:lang w:val="fr-FR" w:eastAsia="ja-JP"/>
              </w:rPr>
              <w:t>33,3</w:t>
            </w:r>
          </w:p>
        </w:tc>
        <w:tc>
          <w:tcPr>
            <w:tcW w:w="917" w:type="dxa"/>
            <w:tcBorders>
              <w:top w:val="single" w:sz="12" w:space="0" w:color="auto"/>
              <w:bottom w:val="single" w:sz="4" w:space="0" w:color="auto"/>
            </w:tcBorders>
            <w:tcMar>
              <w:left w:w="0" w:type="dxa"/>
              <w:right w:w="0" w:type="dxa"/>
            </w:tcMar>
            <w:vAlign w:val="bottom"/>
          </w:tcPr>
          <w:p w:rsidR="00AE6933" w:rsidRPr="00BA3042" w:rsidRDefault="00AE6933" w:rsidP="00372FB1">
            <w:pPr>
              <w:keepNext/>
              <w:keepLines/>
              <w:suppressAutoHyphens w:val="0"/>
              <w:spacing w:before="70" w:after="70" w:line="220" w:lineRule="exact"/>
              <w:jc w:val="right"/>
              <w:rPr>
                <w:rFonts w:eastAsia="MS Mincho"/>
                <w:b/>
                <w:sz w:val="18"/>
                <w:szCs w:val="18"/>
                <w:lang w:val="fr-FR" w:eastAsia="ja-JP"/>
              </w:rPr>
            </w:pPr>
            <w:r w:rsidRPr="00BA3042">
              <w:rPr>
                <w:rFonts w:eastAsia="MS Mincho"/>
                <w:b/>
                <w:sz w:val="18"/>
                <w:szCs w:val="18"/>
                <w:lang w:val="fr-FR" w:eastAsia="ja-JP"/>
              </w:rPr>
              <w:t>32,1</w:t>
            </w:r>
          </w:p>
        </w:tc>
        <w:tc>
          <w:tcPr>
            <w:tcW w:w="917" w:type="dxa"/>
            <w:tcBorders>
              <w:top w:val="single" w:sz="12" w:space="0" w:color="auto"/>
              <w:bottom w:val="single" w:sz="4" w:space="0" w:color="auto"/>
            </w:tcBorders>
            <w:tcMar>
              <w:left w:w="0" w:type="dxa"/>
              <w:right w:w="0" w:type="dxa"/>
            </w:tcMar>
            <w:vAlign w:val="bottom"/>
          </w:tcPr>
          <w:p w:rsidR="00AE6933" w:rsidRPr="00BA3042" w:rsidRDefault="00AE6933" w:rsidP="00372FB1">
            <w:pPr>
              <w:keepNext/>
              <w:keepLines/>
              <w:suppressAutoHyphens w:val="0"/>
              <w:spacing w:before="70" w:after="70" w:line="220" w:lineRule="exact"/>
              <w:jc w:val="right"/>
              <w:rPr>
                <w:rFonts w:eastAsia="MS Mincho"/>
                <w:b/>
                <w:sz w:val="18"/>
                <w:szCs w:val="18"/>
                <w:lang w:val="fr-FR" w:eastAsia="ja-JP"/>
              </w:rPr>
            </w:pPr>
            <w:r w:rsidRPr="00BA3042">
              <w:rPr>
                <w:rFonts w:eastAsia="MS Mincho"/>
                <w:b/>
                <w:sz w:val="18"/>
                <w:szCs w:val="18"/>
                <w:lang w:val="fr-FR" w:eastAsia="ja-JP"/>
              </w:rPr>
              <w:t>33,6</w:t>
            </w:r>
          </w:p>
        </w:tc>
      </w:tr>
      <w:tr w:rsidR="00AE6933" w:rsidRPr="00BA3042" w:rsidTr="00E40CAC">
        <w:tc>
          <w:tcPr>
            <w:tcW w:w="1232" w:type="dxa"/>
            <w:vMerge/>
            <w:tcMar>
              <w:left w:w="0" w:type="dxa"/>
              <w:right w:w="0" w:type="dxa"/>
            </w:tcMar>
          </w:tcPr>
          <w:p w:rsidR="00AE6933" w:rsidRPr="00BA3042" w:rsidRDefault="00AE6933" w:rsidP="00E40CAC">
            <w:pPr>
              <w:keepNext/>
              <w:keepLines/>
              <w:spacing w:before="40" w:after="40" w:line="220" w:lineRule="exact"/>
              <w:rPr>
                <w:sz w:val="18"/>
                <w:szCs w:val="18"/>
                <w:lang w:val="fr-FR"/>
              </w:rPr>
            </w:pPr>
          </w:p>
        </w:tc>
        <w:tc>
          <w:tcPr>
            <w:tcW w:w="854" w:type="dxa"/>
            <w:tcBorders>
              <w:top w:val="single" w:sz="4" w:space="0" w:color="auto"/>
              <w:bottom w:val="single" w:sz="4" w:space="0" w:color="auto"/>
            </w:tcBorders>
            <w:tcMar>
              <w:left w:w="0" w:type="dxa"/>
              <w:right w:w="0" w:type="dxa"/>
            </w:tcMar>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Femmes</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29,3</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27,5</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28,1</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26,2</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24</w:t>
            </w:r>
            <w:r w:rsidR="00A85114" w:rsidRPr="00BA3042">
              <w:rPr>
                <w:rFonts w:eastAsia="MS Mincho"/>
                <w:sz w:val="18"/>
                <w:szCs w:val="18"/>
                <w:lang w:val="fr-FR" w:eastAsia="ja-JP"/>
              </w:rPr>
              <w:t>,0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23,9</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26,2</w:t>
            </w:r>
          </w:p>
        </w:tc>
      </w:tr>
      <w:tr w:rsidR="00AE6933" w:rsidRPr="00BA3042" w:rsidTr="00E40CAC">
        <w:tc>
          <w:tcPr>
            <w:tcW w:w="1232" w:type="dxa"/>
            <w:vMerge w:val="restart"/>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De 25 à 54 ans</w:t>
            </w:r>
          </w:p>
        </w:tc>
        <w:tc>
          <w:tcPr>
            <w:tcW w:w="854" w:type="dxa"/>
            <w:tcBorders>
              <w:top w:val="single" w:sz="4" w:space="0" w:color="auto"/>
              <w:bottom w:val="single" w:sz="4" w:space="0" w:color="auto"/>
            </w:tcBorders>
            <w:tcMar>
              <w:left w:w="0" w:type="dxa"/>
              <w:right w:w="0" w:type="dxa"/>
            </w:tcMar>
          </w:tcPr>
          <w:p w:rsidR="00AE6933" w:rsidRPr="00BA3042" w:rsidRDefault="00AE6933" w:rsidP="00372FB1">
            <w:pPr>
              <w:keepNext/>
              <w:keepLines/>
              <w:spacing w:before="70" w:after="70" w:line="220" w:lineRule="exact"/>
              <w:rPr>
                <w:b/>
                <w:sz w:val="18"/>
                <w:szCs w:val="18"/>
                <w:lang w:val="fr-FR"/>
              </w:rPr>
            </w:pPr>
            <w:r w:rsidRPr="00BA3042">
              <w:rPr>
                <w:b/>
                <w:sz w:val="18"/>
                <w:szCs w:val="18"/>
                <w:lang w:val="fr-FR"/>
              </w:rPr>
              <w:t>Total</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77,3</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77,9</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78,1</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78,5</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79,4</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79,2</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78,5</w:t>
            </w:r>
          </w:p>
        </w:tc>
      </w:tr>
      <w:tr w:rsidR="00AE6933" w:rsidRPr="00BA3042" w:rsidTr="00E40CAC">
        <w:tc>
          <w:tcPr>
            <w:tcW w:w="1232" w:type="dxa"/>
            <w:vMerge/>
            <w:tcMar>
              <w:left w:w="0" w:type="dxa"/>
              <w:right w:w="0" w:type="dxa"/>
            </w:tcMar>
          </w:tcPr>
          <w:p w:rsidR="00AE6933" w:rsidRPr="00BA3042" w:rsidRDefault="00AE6933" w:rsidP="00E40CAC">
            <w:pPr>
              <w:spacing w:before="40" w:after="40" w:line="220" w:lineRule="exact"/>
              <w:rPr>
                <w:sz w:val="18"/>
                <w:szCs w:val="18"/>
                <w:lang w:val="fr-FR"/>
              </w:rPr>
            </w:pPr>
          </w:p>
        </w:tc>
        <w:tc>
          <w:tcPr>
            <w:tcW w:w="854" w:type="dxa"/>
            <w:tcBorders>
              <w:top w:val="single" w:sz="4" w:space="0" w:color="auto"/>
              <w:bottom w:val="single" w:sz="4" w:space="0" w:color="auto"/>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63,0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65,0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63,9</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63,9</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65</w:t>
            </w:r>
            <w:r w:rsidR="00A85114" w:rsidRPr="00BA3042">
              <w:rPr>
                <w:rFonts w:eastAsia="MS Mincho"/>
                <w:sz w:val="18"/>
                <w:szCs w:val="18"/>
                <w:lang w:val="fr-FR" w:eastAsia="ja-JP"/>
              </w:rPr>
              <w:t>,0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65,8</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64,4</w:t>
            </w:r>
          </w:p>
        </w:tc>
      </w:tr>
      <w:tr w:rsidR="00AE6933" w:rsidRPr="00BA3042" w:rsidTr="00E40CAC">
        <w:tc>
          <w:tcPr>
            <w:tcW w:w="1232" w:type="dxa"/>
            <w:vMerge w:val="restart"/>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De 55 à 64 ans</w:t>
            </w:r>
          </w:p>
        </w:tc>
        <w:tc>
          <w:tcPr>
            <w:tcW w:w="854" w:type="dxa"/>
            <w:tcBorders>
              <w:top w:val="single" w:sz="4" w:space="0" w:color="auto"/>
              <w:bottom w:val="single" w:sz="4" w:space="0" w:color="auto"/>
            </w:tcBorders>
            <w:tcMar>
              <w:left w:w="0" w:type="dxa"/>
              <w:right w:w="0" w:type="dxa"/>
            </w:tcMar>
          </w:tcPr>
          <w:p w:rsidR="00AE6933" w:rsidRPr="00BA3042" w:rsidRDefault="00AE6933" w:rsidP="00372FB1">
            <w:pPr>
              <w:spacing w:before="70" w:after="70" w:line="220" w:lineRule="exact"/>
              <w:rPr>
                <w:b/>
                <w:sz w:val="18"/>
                <w:szCs w:val="18"/>
                <w:lang w:val="fr-FR"/>
              </w:rPr>
            </w:pPr>
            <w:r w:rsidRPr="00BA3042">
              <w:rPr>
                <w:b/>
                <w:sz w:val="18"/>
                <w:szCs w:val="18"/>
                <w:lang w:val="fr-FR"/>
              </w:rPr>
              <w:t>Total</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39</w:t>
            </w:r>
            <w:r w:rsidR="00A85114" w:rsidRPr="00BA3042">
              <w:rPr>
                <w:b/>
                <w:sz w:val="18"/>
                <w:szCs w:val="18"/>
                <w:lang w:val="fr-FR"/>
              </w:rPr>
              <w:t>,0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40</w:t>
            </w:r>
            <w:r w:rsidR="00A85114" w:rsidRPr="00BA3042">
              <w:rPr>
                <w:b/>
                <w:sz w:val="18"/>
                <w:szCs w:val="18"/>
                <w:lang w:val="fr-FR"/>
              </w:rPr>
              <w:t>,0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44,3</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46,9</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47,4</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49,2</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47,2</w:t>
            </w:r>
          </w:p>
        </w:tc>
      </w:tr>
      <w:tr w:rsidR="00AE6933" w:rsidRPr="00BA3042" w:rsidTr="00E40CAC">
        <w:tc>
          <w:tcPr>
            <w:tcW w:w="1232" w:type="dxa"/>
            <w:vMerge/>
            <w:tcMar>
              <w:left w:w="0" w:type="dxa"/>
              <w:right w:w="0" w:type="dxa"/>
            </w:tcMar>
          </w:tcPr>
          <w:p w:rsidR="00AE6933" w:rsidRPr="00BA3042" w:rsidRDefault="00AE6933" w:rsidP="00E40CAC">
            <w:pPr>
              <w:spacing w:before="40" w:after="40" w:line="220" w:lineRule="exact"/>
              <w:rPr>
                <w:sz w:val="18"/>
                <w:szCs w:val="18"/>
                <w:lang w:val="fr-FR"/>
              </w:rPr>
            </w:pPr>
          </w:p>
        </w:tc>
        <w:tc>
          <w:tcPr>
            <w:tcW w:w="854" w:type="dxa"/>
            <w:tcBorders>
              <w:top w:val="single" w:sz="4" w:space="0" w:color="auto"/>
              <w:bottom w:val="single" w:sz="4" w:space="0" w:color="auto"/>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22,3</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24,6</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26,9</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29</w:t>
            </w:r>
            <w:r w:rsidR="00A85114" w:rsidRPr="00BA3042">
              <w:rPr>
                <w:rFonts w:eastAsia="MS Mincho"/>
                <w:sz w:val="18"/>
                <w:szCs w:val="18"/>
                <w:lang w:val="fr-FR" w:eastAsia="ja-JP"/>
              </w:rPr>
              <w:t>,0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30,2</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31,7</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31,2</w:t>
            </w:r>
          </w:p>
        </w:tc>
      </w:tr>
      <w:tr w:rsidR="00AE6933" w:rsidRPr="00BA3042" w:rsidTr="00E40CAC">
        <w:tc>
          <w:tcPr>
            <w:tcW w:w="1232" w:type="dxa"/>
            <w:vMerge w:val="restart"/>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De 15 à 64 ans</w:t>
            </w:r>
          </w:p>
        </w:tc>
        <w:tc>
          <w:tcPr>
            <w:tcW w:w="854" w:type="dxa"/>
            <w:tcBorders>
              <w:top w:val="single" w:sz="4" w:space="0" w:color="auto"/>
              <w:bottom w:val="single" w:sz="4" w:space="0" w:color="auto"/>
            </w:tcBorders>
            <w:tcMar>
              <w:left w:w="0" w:type="dxa"/>
              <w:right w:w="0" w:type="dxa"/>
            </w:tcMar>
          </w:tcPr>
          <w:p w:rsidR="00AE6933" w:rsidRPr="00BA3042" w:rsidRDefault="00AE6933" w:rsidP="00372FB1">
            <w:pPr>
              <w:spacing w:before="70" w:after="70" w:line="220" w:lineRule="exact"/>
              <w:rPr>
                <w:b/>
                <w:sz w:val="18"/>
                <w:szCs w:val="18"/>
                <w:lang w:val="fr-FR"/>
              </w:rPr>
            </w:pPr>
            <w:r w:rsidRPr="00BA3042">
              <w:rPr>
                <w:b/>
                <w:sz w:val="18"/>
                <w:szCs w:val="18"/>
                <w:lang w:val="fr-FR"/>
              </w:rPr>
              <w:t>Total</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62,2</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62,8</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63,5</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64</w:t>
            </w:r>
            <w:r w:rsidR="00A85114" w:rsidRPr="00BA3042">
              <w:rPr>
                <w:b/>
                <w:sz w:val="18"/>
                <w:szCs w:val="18"/>
                <w:lang w:val="fr-FR"/>
              </w:rPr>
              <w:t>,0</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64,2</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64,2</w:t>
            </w:r>
          </w:p>
        </w:tc>
        <w:tc>
          <w:tcPr>
            <w:tcW w:w="917" w:type="dxa"/>
            <w:tcBorders>
              <w:top w:val="single" w:sz="4" w:space="0" w:color="auto"/>
              <w:bottom w:val="single" w:sz="4" w:space="0" w:color="auto"/>
            </w:tcBorders>
            <w:tcMar>
              <w:left w:w="0" w:type="dxa"/>
              <w:right w:w="0" w:type="dxa"/>
            </w:tcMar>
            <w:vAlign w:val="bottom"/>
          </w:tcPr>
          <w:p w:rsidR="00AE6933" w:rsidRPr="00BA3042" w:rsidRDefault="00AE6933" w:rsidP="00372FB1">
            <w:pPr>
              <w:suppressAutoHyphens w:val="0"/>
              <w:spacing w:before="70" w:after="70" w:line="220" w:lineRule="exact"/>
              <w:jc w:val="right"/>
              <w:rPr>
                <w:b/>
                <w:sz w:val="18"/>
                <w:szCs w:val="18"/>
                <w:lang w:val="fr-FR"/>
              </w:rPr>
            </w:pPr>
            <w:r w:rsidRPr="00BA3042">
              <w:rPr>
                <w:b/>
                <w:sz w:val="18"/>
                <w:szCs w:val="18"/>
                <w:lang w:val="fr-FR"/>
              </w:rPr>
              <w:t>63,9</w:t>
            </w:r>
          </w:p>
        </w:tc>
      </w:tr>
      <w:tr w:rsidR="00AE6933" w:rsidRPr="00BA3042" w:rsidTr="00E40CAC">
        <w:tc>
          <w:tcPr>
            <w:tcW w:w="1232" w:type="dxa"/>
            <w:vMerge/>
          </w:tcPr>
          <w:p w:rsidR="00AE6933" w:rsidRPr="00BA3042" w:rsidRDefault="00AE6933" w:rsidP="00E40CAC">
            <w:pPr>
              <w:spacing w:before="40" w:after="40" w:line="220" w:lineRule="exact"/>
              <w:jc w:val="center"/>
              <w:rPr>
                <w:sz w:val="18"/>
                <w:szCs w:val="18"/>
                <w:lang w:val="fr-FR"/>
              </w:rPr>
            </w:pPr>
          </w:p>
        </w:tc>
        <w:tc>
          <w:tcPr>
            <w:tcW w:w="854" w:type="dxa"/>
            <w:tcBorders>
              <w:top w:val="single" w:sz="4" w:space="0" w:color="auto"/>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7" w:type="dxa"/>
            <w:tcBorders>
              <w:top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49,2</w:t>
            </w:r>
          </w:p>
        </w:tc>
        <w:tc>
          <w:tcPr>
            <w:tcW w:w="917" w:type="dxa"/>
            <w:tcBorders>
              <w:top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50,4</w:t>
            </w:r>
          </w:p>
        </w:tc>
        <w:tc>
          <w:tcPr>
            <w:tcW w:w="917" w:type="dxa"/>
            <w:tcBorders>
              <w:top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50,2</w:t>
            </w:r>
          </w:p>
        </w:tc>
        <w:tc>
          <w:tcPr>
            <w:tcW w:w="917" w:type="dxa"/>
            <w:tcBorders>
              <w:top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50</w:t>
            </w:r>
            <w:r w:rsidR="00A85114" w:rsidRPr="00BA3042">
              <w:rPr>
                <w:rFonts w:eastAsia="MS Mincho"/>
                <w:sz w:val="18"/>
                <w:szCs w:val="18"/>
                <w:lang w:val="fr-FR" w:eastAsia="ja-JP"/>
              </w:rPr>
              <w:t>,0</w:t>
            </w:r>
          </w:p>
        </w:tc>
        <w:tc>
          <w:tcPr>
            <w:tcW w:w="917" w:type="dxa"/>
            <w:tcBorders>
              <w:top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50,4</w:t>
            </w:r>
          </w:p>
        </w:tc>
        <w:tc>
          <w:tcPr>
            <w:tcW w:w="917" w:type="dxa"/>
            <w:tcBorders>
              <w:top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51,2</w:t>
            </w:r>
          </w:p>
        </w:tc>
        <w:tc>
          <w:tcPr>
            <w:tcW w:w="917" w:type="dxa"/>
            <w:tcBorders>
              <w:top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50,8</w:t>
            </w:r>
          </w:p>
        </w:tc>
      </w:tr>
    </w:tbl>
    <w:p w:rsidR="00AE6933" w:rsidRPr="00BA3042" w:rsidRDefault="00AE6933" w:rsidP="00ED6AAB">
      <w:pPr>
        <w:spacing w:before="120" w:after="200" w:line="276" w:lineRule="auto"/>
        <w:ind w:left="1134" w:firstLine="170"/>
        <w:jc w:val="both"/>
        <w:rPr>
          <w:sz w:val="18"/>
          <w:szCs w:val="18"/>
          <w:lang w:val="fr-FR"/>
        </w:rPr>
      </w:pPr>
      <w:r w:rsidRPr="00BA3042">
        <w:rPr>
          <w:i/>
          <w:sz w:val="18"/>
          <w:szCs w:val="18"/>
          <w:lang w:val="fr-FR"/>
        </w:rPr>
        <w:t>Source</w:t>
      </w:r>
      <w:r w:rsidRPr="00BA3042">
        <w:rPr>
          <w:sz w:val="18"/>
          <w:szCs w:val="18"/>
          <w:lang w:val="fr-FR"/>
        </w:rPr>
        <w:t>: Office national des statistiques.</w:t>
      </w:r>
    </w:p>
    <w:p w:rsidR="00AE6933" w:rsidRPr="00BA3042" w:rsidRDefault="00A85114" w:rsidP="00ED6AAB">
      <w:pPr>
        <w:pStyle w:val="H23G"/>
        <w:spacing w:before="200"/>
        <w:rPr>
          <w:b w:val="0"/>
          <w:bCs/>
          <w:lang w:val="fr-FR"/>
        </w:rPr>
      </w:pPr>
      <w:r w:rsidRPr="00BA3042">
        <w:rPr>
          <w:lang w:val="fr-FR"/>
        </w:rPr>
        <w:tab/>
      </w:r>
      <w:r w:rsidRPr="00BA3042">
        <w:rPr>
          <w:lang w:val="fr-FR"/>
        </w:rPr>
        <w:tab/>
      </w:r>
      <w:r w:rsidR="00AE6933" w:rsidRPr="00BA3042">
        <w:rPr>
          <w:lang w:val="fr-FR"/>
        </w:rPr>
        <w:t>Taux d’emploi par âge et par sexe</w:t>
      </w:r>
      <w:r w:rsidR="00AE6933" w:rsidRPr="00BA3042">
        <w:rPr>
          <w:lang w:val="fr-FR"/>
        </w:rPr>
        <w:br/>
      </w:r>
      <w:r w:rsidR="00AE6933" w:rsidRPr="00BA3042">
        <w:rPr>
          <w:b w:val="0"/>
          <w:bCs/>
          <w:sz w:val="16"/>
          <w:szCs w:val="16"/>
          <w:lang w:val="fr-FR"/>
        </w:rPr>
        <w:t>(En pourcentage)</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3"/>
        <w:gridCol w:w="854"/>
        <w:gridCol w:w="918"/>
        <w:gridCol w:w="918"/>
        <w:gridCol w:w="918"/>
        <w:gridCol w:w="919"/>
        <w:gridCol w:w="918"/>
        <w:gridCol w:w="918"/>
        <w:gridCol w:w="919"/>
        <w:tblGridChange w:id="3">
          <w:tblGrid>
            <w:gridCol w:w="1223"/>
            <w:gridCol w:w="854"/>
            <w:gridCol w:w="918"/>
            <w:gridCol w:w="918"/>
            <w:gridCol w:w="918"/>
            <w:gridCol w:w="919"/>
            <w:gridCol w:w="918"/>
            <w:gridCol w:w="918"/>
            <w:gridCol w:w="919"/>
          </w:tblGrid>
        </w:tblGridChange>
      </w:tblGrid>
      <w:tr w:rsidR="00AE6933" w:rsidRPr="00BA3042" w:rsidTr="00E40CAC">
        <w:tc>
          <w:tcPr>
            <w:tcW w:w="1223" w:type="dxa"/>
            <w:tcBorders>
              <w:left w:val="nil"/>
              <w:bottom w:val="single" w:sz="12" w:space="0" w:color="auto"/>
              <w:right w:val="nil"/>
            </w:tcBorders>
            <w:tcMar>
              <w:left w:w="0" w:type="dxa"/>
              <w:right w:w="0" w:type="dxa"/>
            </w:tcMar>
          </w:tcPr>
          <w:p w:rsidR="00AE6933" w:rsidRPr="00BA3042" w:rsidRDefault="00AE6933" w:rsidP="00E40CAC">
            <w:pPr>
              <w:spacing w:before="80" w:after="80" w:line="200" w:lineRule="exact"/>
              <w:jc w:val="center"/>
              <w:rPr>
                <w:sz w:val="16"/>
                <w:szCs w:val="16"/>
                <w:lang w:val="fr-FR"/>
              </w:rPr>
            </w:pPr>
          </w:p>
        </w:tc>
        <w:tc>
          <w:tcPr>
            <w:tcW w:w="854" w:type="dxa"/>
            <w:tcBorders>
              <w:left w:val="nil"/>
              <w:bottom w:val="single" w:sz="12" w:space="0" w:color="auto"/>
              <w:right w:val="nil"/>
            </w:tcBorders>
            <w:tcMar>
              <w:left w:w="0" w:type="dxa"/>
              <w:right w:w="0" w:type="dxa"/>
            </w:tcMar>
          </w:tcPr>
          <w:p w:rsidR="00AE6933" w:rsidRPr="00BA3042" w:rsidRDefault="00AE6933" w:rsidP="00E40CAC">
            <w:pPr>
              <w:spacing w:before="80" w:after="80" w:line="200" w:lineRule="exact"/>
              <w:jc w:val="center"/>
              <w:rPr>
                <w:sz w:val="16"/>
                <w:szCs w:val="16"/>
                <w:lang w:val="fr-FR"/>
              </w:rPr>
            </w:pPr>
          </w:p>
        </w:tc>
        <w:tc>
          <w:tcPr>
            <w:tcW w:w="918" w:type="dxa"/>
            <w:tcBorders>
              <w:left w:val="nil"/>
              <w:bottom w:val="single" w:sz="12" w:space="0" w:color="auto"/>
              <w:right w:val="nil"/>
            </w:tcBorders>
            <w:tcMar>
              <w:left w:w="0" w:type="dxa"/>
              <w:right w:w="0" w:type="dxa"/>
            </w:tcMar>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2006</w:t>
            </w:r>
          </w:p>
        </w:tc>
        <w:tc>
          <w:tcPr>
            <w:tcW w:w="918" w:type="dxa"/>
            <w:tcBorders>
              <w:left w:val="nil"/>
              <w:bottom w:val="single" w:sz="12" w:space="0" w:color="auto"/>
              <w:right w:val="nil"/>
            </w:tcBorders>
            <w:tcMar>
              <w:left w:w="0" w:type="dxa"/>
              <w:right w:w="0" w:type="dxa"/>
            </w:tcMar>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2007</w:t>
            </w:r>
          </w:p>
        </w:tc>
        <w:tc>
          <w:tcPr>
            <w:tcW w:w="918" w:type="dxa"/>
            <w:tcBorders>
              <w:left w:val="nil"/>
              <w:bottom w:val="single" w:sz="12" w:space="0" w:color="auto"/>
              <w:right w:val="nil"/>
            </w:tcBorders>
            <w:tcMar>
              <w:left w:w="0" w:type="dxa"/>
              <w:right w:w="0" w:type="dxa"/>
            </w:tcMar>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2008</w:t>
            </w:r>
          </w:p>
        </w:tc>
        <w:tc>
          <w:tcPr>
            <w:tcW w:w="919" w:type="dxa"/>
            <w:tcBorders>
              <w:left w:val="nil"/>
              <w:bottom w:val="single" w:sz="12" w:space="0" w:color="auto"/>
              <w:right w:val="nil"/>
            </w:tcBorders>
            <w:tcMar>
              <w:left w:w="0" w:type="dxa"/>
              <w:right w:w="0" w:type="dxa"/>
            </w:tcMar>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2009</w:t>
            </w:r>
          </w:p>
        </w:tc>
        <w:tc>
          <w:tcPr>
            <w:tcW w:w="918" w:type="dxa"/>
            <w:tcBorders>
              <w:left w:val="nil"/>
              <w:bottom w:val="single" w:sz="12" w:space="0" w:color="auto"/>
              <w:right w:val="nil"/>
            </w:tcBorders>
            <w:tcMar>
              <w:left w:w="0" w:type="dxa"/>
              <w:right w:w="0" w:type="dxa"/>
            </w:tcMar>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2010</w:t>
            </w:r>
          </w:p>
        </w:tc>
        <w:tc>
          <w:tcPr>
            <w:tcW w:w="918" w:type="dxa"/>
            <w:tcBorders>
              <w:left w:val="nil"/>
              <w:bottom w:val="single" w:sz="12" w:space="0" w:color="auto"/>
              <w:right w:val="nil"/>
            </w:tcBorders>
            <w:tcMar>
              <w:left w:w="0" w:type="dxa"/>
              <w:right w:w="0" w:type="dxa"/>
            </w:tcMar>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2011</w:t>
            </w:r>
          </w:p>
        </w:tc>
        <w:tc>
          <w:tcPr>
            <w:tcW w:w="919" w:type="dxa"/>
            <w:tcBorders>
              <w:left w:val="nil"/>
              <w:bottom w:val="single" w:sz="12" w:space="0" w:color="auto"/>
              <w:right w:val="nil"/>
            </w:tcBorders>
            <w:tcMar>
              <w:left w:w="0" w:type="dxa"/>
              <w:right w:w="0" w:type="dxa"/>
            </w:tcMar>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2012</w:t>
            </w:r>
          </w:p>
        </w:tc>
      </w:tr>
      <w:tr w:rsidR="00AE6933" w:rsidRPr="00BA3042" w:rsidTr="00E40CAC">
        <w:tc>
          <w:tcPr>
            <w:tcW w:w="1223" w:type="dxa"/>
            <w:vMerge w:val="restart"/>
            <w:tcBorders>
              <w:top w:val="single" w:sz="12" w:space="0" w:color="auto"/>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De 15 à 24 ans</w:t>
            </w:r>
          </w:p>
        </w:tc>
        <w:tc>
          <w:tcPr>
            <w:tcW w:w="854" w:type="dxa"/>
            <w:tcBorders>
              <w:top w:val="single" w:sz="12" w:space="0" w:color="auto"/>
              <w:left w:val="nil"/>
              <w:bottom w:val="single" w:sz="4" w:space="0" w:color="auto"/>
              <w:right w:val="nil"/>
            </w:tcBorders>
            <w:tcMar>
              <w:left w:w="0" w:type="dxa"/>
              <w:right w:w="0" w:type="dxa"/>
            </w:tcMar>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8" w:type="dxa"/>
            <w:tcBorders>
              <w:top w:val="single" w:sz="12"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14,4</w:t>
            </w:r>
          </w:p>
        </w:tc>
        <w:tc>
          <w:tcPr>
            <w:tcW w:w="918" w:type="dxa"/>
            <w:tcBorders>
              <w:top w:val="single" w:sz="12"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15,2</w:t>
            </w:r>
          </w:p>
        </w:tc>
        <w:tc>
          <w:tcPr>
            <w:tcW w:w="918" w:type="dxa"/>
            <w:tcBorders>
              <w:top w:val="single" w:sz="12"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15,7</w:t>
            </w:r>
          </w:p>
        </w:tc>
        <w:tc>
          <w:tcPr>
            <w:tcW w:w="919" w:type="dxa"/>
            <w:tcBorders>
              <w:top w:val="single" w:sz="12"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15,7</w:t>
            </w:r>
          </w:p>
        </w:tc>
        <w:tc>
          <w:tcPr>
            <w:tcW w:w="918" w:type="dxa"/>
            <w:tcBorders>
              <w:top w:val="single" w:sz="12"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15,4</w:t>
            </w:r>
          </w:p>
        </w:tc>
        <w:tc>
          <w:tcPr>
            <w:tcW w:w="918" w:type="dxa"/>
            <w:tcBorders>
              <w:top w:val="single" w:sz="12"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14,4</w:t>
            </w:r>
          </w:p>
        </w:tc>
        <w:tc>
          <w:tcPr>
            <w:tcW w:w="919" w:type="dxa"/>
            <w:tcBorders>
              <w:top w:val="single" w:sz="12"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15,5</w:t>
            </w:r>
          </w:p>
        </w:tc>
      </w:tr>
      <w:tr w:rsidR="00AE6933" w:rsidRPr="00BA3042" w:rsidTr="00E40CAC">
        <w:tc>
          <w:tcPr>
            <w:tcW w:w="1223" w:type="dxa"/>
            <w:vMerge/>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p>
        </w:tc>
        <w:tc>
          <w:tcPr>
            <w:tcW w:w="854" w:type="dxa"/>
            <w:tcBorders>
              <w:top w:val="single" w:sz="4" w:space="0" w:color="auto"/>
              <w:left w:val="nil"/>
              <w:bottom w:val="single" w:sz="4" w:space="0" w:color="auto"/>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11,4</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11,5</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12</w:t>
            </w:r>
            <w:r w:rsidR="00A85114" w:rsidRPr="00BA3042">
              <w:rPr>
                <w:rFonts w:eastAsia="MS Mincho"/>
                <w:sz w:val="18"/>
                <w:szCs w:val="18"/>
                <w:lang w:val="fr-FR" w:eastAsia="ja-JP"/>
              </w:rPr>
              <w:t>,0</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10,6</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11,2</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10,8</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12,6</w:t>
            </w:r>
          </w:p>
        </w:tc>
      </w:tr>
      <w:tr w:rsidR="00AE6933" w:rsidRPr="00BA3042" w:rsidTr="00E40CAC">
        <w:tc>
          <w:tcPr>
            <w:tcW w:w="1223" w:type="dxa"/>
            <w:vMerge w:val="restart"/>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De 25 à 54 ans</w:t>
            </w:r>
          </w:p>
        </w:tc>
        <w:tc>
          <w:tcPr>
            <w:tcW w:w="854" w:type="dxa"/>
            <w:tcBorders>
              <w:top w:val="single" w:sz="4" w:space="0" w:color="auto"/>
              <w:left w:val="nil"/>
              <w:bottom w:val="single" w:sz="4" w:space="0" w:color="auto"/>
              <w:right w:val="nil"/>
            </w:tcBorders>
            <w:tcMar>
              <w:left w:w="0" w:type="dxa"/>
              <w:right w:w="0" w:type="dxa"/>
            </w:tcMar>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51,6</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52,8</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53,9</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55,3</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55,8</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56,4</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55,8</w:t>
            </w:r>
          </w:p>
        </w:tc>
      </w:tr>
      <w:tr w:rsidR="00AE6933" w:rsidRPr="00BA3042" w:rsidTr="00E40CAC">
        <w:tc>
          <w:tcPr>
            <w:tcW w:w="1223" w:type="dxa"/>
            <w:vMerge/>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p>
        </w:tc>
        <w:tc>
          <w:tcPr>
            <w:tcW w:w="854" w:type="dxa"/>
            <w:tcBorders>
              <w:top w:val="single" w:sz="4" w:space="0" w:color="auto"/>
              <w:left w:val="nil"/>
              <w:bottom w:val="single" w:sz="4" w:space="0" w:color="auto"/>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41,0</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43,0</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43,4</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44,5</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45,1</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46,8</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45,8</w:t>
            </w:r>
          </w:p>
        </w:tc>
      </w:tr>
      <w:tr w:rsidR="00AE6933" w:rsidRPr="00BA3042" w:rsidTr="00E40CAC">
        <w:tc>
          <w:tcPr>
            <w:tcW w:w="1223" w:type="dxa"/>
            <w:vMerge w:val="restart"/>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De 55 à 64 ans</w:t>
            </w:r>
          </w:p>
        </w:tc>
        <w:tc>
          <w:tcPr>
            <w:tcW w:w="854" w:type="dxa"/>
            <w:tcBorders>
              <w:top w:val="single" w:sz="4" w:space="0" w:color="auto"/>
              <w:left w:val="nil"/>
              <w:bottom w:val="single" w:sz="4" w:space="0" w:color="auto"/>
              <w:right w:val="nil"/>
            </w:tcBorders>
            <w:tcMar>
              <w:left w:w="0" w:type="dxa"/>
              <w:right w:w="0" w:type="dxa"/>
            </w:tcMar>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27,9</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28,8</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31,7</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34,6</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34,2</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35,4</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35,4</w:t>
            </w:r>
          </w:p>
        </w:tc>
      </w:tr>
      <w:tr w:rsidR="00AE6933" w:rsidRPr="00BA3042" w:rsidTr="00E40CAC">
        <w:tc>
          <w:tcPr>
            <w:tcW w:w="1223" w:type="dxa"/>
            <w:vMerge/>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p>
        </w:tc>
        <w:tc>
          <w:tcPr>
            <w:tcW w:w="854" w:type="dxa"/>
            <w:tcBorders>
              <w:top w:val="single" w:sz="4" w:space="0" w:color="auto"/>
              <w:left w:val="nil"/>
              <w:bottom w:val="single" w:sz="4" w:space="0" w:color="auto"/>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17,5</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19,6</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21,1</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22,4</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22,4</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24,0</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24,5</w:t>
            </w:r>
          </w:p>
        </w:tc>
      </w:tr>
      <w:tr w:rsidR="00AE6933" w:rsidRPr="00BA3042" w:rsidTr="00E40CAC">
        <w:tc>
          <w:tcPr>
            <w:tcW w:w="1223" w:type="dxa"/>
            <w:vMerge w:val="restart"/>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De 15 à 64 ans</w:t>
            </w:r>
          </w:p>
        </w:tc>
        <w:tc>
          <w:tcPr>
            <w:tcW w:w="854" w:type="dxa"/>
            <w:tcBorders>
              <w:top w:val="single" w:sz="4" w:space="0" w:color="auto"/>
              <w:left w:val="nil"/>
              <w:bottom w:val="single" w:sz="4" w:space="0" w:color="auto"/>
              <w:right w:val="nil"/>
            </w:tcBorders>
            <w:tcMar>
              <w:left w:w="0" w:type="dxa"/>
              <w:right w:w="0" w:type="dxa"/>
            </w:tcMar>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39,6</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40,7</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41,9</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43,3</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43,5</w:t>
            </w:r>
          </w:p>
        </w:tc>
        <w:tc>
          <w:tcPr>
            <w:tcW w:w="918"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43,9</w:t>
            </w:r>
          </w:p>
        </w:tc>
        <w:tc>
          <w:tcPr>
            <w:tcW w:w="919" w:type="dxa"/>
            <w:tcBorders>
              <w:top w:val="single" w:sz="4" w:space="0" w:color="auto"/>
              <w:left w:val="nil"/>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44,0</w:t>
            </w:r>
          </w:p>
        </w:tc>
      </w:tr>
      <w:tr w:rsidR="00AE6933" w:rsidRPr="00BA3042" w:rsidTr="00E40CAC">
        <w:tc>
          <w:tcPr>
            <w:tcW w:w="1223" w:type="dxa"/>
            <w:vMerge/>
            <w:tcBorders>
              <w:top w:val="nil"/>
              <w:left w:val="nil"/>
              <w:bottom w:val="single" w:sz="12" w:space="0" w:color="auto"/>
              <w:right w:val="nil"/>
            </w:tcBorders>
            <w:tcMar>
              <w:left w:w="0" w:type="dxa"/>
              <w:right w:w="0" w:type="dxa"/>
            </w:tcMar>
          </w:tcPr>
          <w:p w:rsidR="00AE6933" w:rsidRPr="00BA3042" w:rsidRDefault="00AE6933" w:rsidP="00E40CAC">
            <w:pPr>
              <w:spacing w:before="40" w:after="40" w:line="220" w:lineRule="exact"/>
              <w:jc w:val="right"/>
              <w:rPr>
                <w:sz w:val="18"/>
                <w:szCs w:val="18"/>
                <w:lang w:val="fr-FR"/>
              </w:rPr>
            </w:pPr>
          </w:p>
        </w:tc>
        <w:tc>
          <w:tcPr>
            <w:tcW w:w="854" w:type="dxa"/>
            <w:tcBorders>
              <w:top w:val="single" w:sz="4" w:space="0" w:color="auto"/>
              <w:left w:val="nil"/>
              <w:bottom w:val="single" w:sz="12" w:space="0" w:color="auto"/>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8" w:type="dxa"/>
            <w:tcBorders>
              <w:top w:val="single" w:sz="4" w:space="0" w:color="auto"/>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30,7</w:t>
            </w:r>
          </w:p>
        </w:tc>
        <w:tc>
          <w:tcPr>
            <w:tcW w:w="918" w:type="dxa"/>
            <w:tcBorders>
              <w:top w:val="single" w:sz="4" w:space="0" w:color="auto"/>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32,3</w:t>
            </w:r>
          </w:p>
        </w:tc>
        <w:tc>
          <w:tcPr>
            <w:tcW w:w="918" w:type="dxa"/>
            <w:tcBorders>
              <w:top w:val="single" w:sz="4" w:space="0" w:color="auto"/>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32,9</w:t>
            </w:r>
          </w:p>
        </w:tc>
        <w:tc>
          <w:tcPr>
            <w:tcW w:w="919" w:type="dxa"/>
            <w:tcBorders>
              <w:top w:val="single" w:sz="4" w:space="0" w:color="auto"/>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33,5</w:t>
            </w:r>
          </w:p>
        </w:tc>
        <w:tc>
          <w:tcPr>
            <w:tcW w:w="918" w:type="dxa"/>
            <w:tcBorders>
              <w:top w:val="single" w:sz="4" w:space="0" w:color="auto"/>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34</w:t>
            </w:r>
            <w:r w:rsidR="00A85114" w:rsidRPr="00BA3042">
              <w:rPr>
                <w:rFonts w:eastAsia="MS Mincho"/>
                <w:sz w:val="18"/>
                <w:szCs w:val="18"/>
                <w:lang w:val="fr-FR" w:eastAsia="ja-JP"/>
              </w:rPr>
              <w:t>,0</w:t>
            </w:r>
          </w:p>
        </w:tc>
        <w:tc>
          <w:tcPr>
            <w:tcW w:w="918" w:type="dxa"/>
            <w:tcBorders>
              <w:top w:val="single" w:sz="4" w:space="0" w:color="auto"/>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35,3</w:t>
            </w:r>
          </w:p>
        </w:tc>
        <w:tc>
          <w:tcPr>
            <w:tcW w:w="919" w:type="dxa"/>
            <w:tcBorders>
              <w:top w:val="single" w:sz="4" w:space="0" w:color="auto"/>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35,3</w:t>
            </w:r>
          </w:p>
        </w:tc>
      </w:tr>
    </w:tbl>
    <w:p w:rsidR="00AE6933" w:rsidRPr="00BA3042" w:rsidRDefault="00AE6933" w:rsidP="00ED6AAB">
      <w:pPr>
        <w:spacing w:before="120" w:after="200" w:line="276" w:lineRule="auto"/>
        <w:ind w:left="1134" w:firstLine="170"/>
        <w:jc w:val="both"/>
        <w:rPr>
          <w:i/>
          <w:sz w:val="18"/>
          <w:szCs w:val="18"/>
          <w:lang w:val="fr-FR"/>
        </w:rPr>
      </w:pPr>
      <w:r w:rsidRPr="00BA3042">
        <w:rPr>
          <w:i/>
          <w:sz w:val="18"/>
          <w:szCs w:val="18"/>
          <w:lang w:val="fr-FR"/>
        </w:rPr>
        <w:t>Source</w:t>
      </w:r>
      <w:r w:rsidRPr="00BA3042">
        <w:rPr>
          <w:sz w:val="18"/>
          <w:szCs w:val="18"/>
          <w:lang w:val="fr-FR"/>
        </w:rPr>
        <w:t>: Office national des statistiques.</w:t>
      </w:r>
    </w:p>
    <w:p w:rsidR="00AE6933" w:rsidRPr="00BA3042" w:rsidRDefault="00ED6AAB" w:rsidP="00ED6AAB">
      <w:pPr>
        <w:pStyle w:val="H23G"/>
        <w:spacing w:before="200"/>
        <w:rPr>
          <w:b w:val="0"/>
          <w:bCs/>
          <w:lang w:val="fr-FR"/>
        </w:rPr>
      </w:pPr>
      <w:r w:rsidRPr="00BA3042">
        <w:rPr>
          <w:lang w:val="fr-FR"/>
        </w:rPr>
        <w:tab/>
      </w:r>
      <w:r w:rsidRPr="00BA3042">
        <w:rPr>
          <w:lang w:val="fr-FR"/>
        </w:rPr>
        <w:tab/>
      </w:r>
      <w:r w:rsidR="00AE6933" w:rsidRPr="00BA3042">
        <w:rPr>
          <w:lang w:val="fr-FR"/>
        </w:rPr>
        <w:t>Taux de chômage par âge et par sexe</w:t>
      </w:r>
      <w:r w:rsidR="00AE6933" w:rsidRPr="00BA3042">
        <w:rPr>
          <w:lang w:val="fr-FR"/>
        </w:rPr>
        <w:br/>
      </w:r>
      <w:r w:rsidR="00AE6933" w:rsidRPr="00BA3042">
        <w:rPr>
          <w:b w:val="0"/>
          <w:bCs/>
          <w:sz w:val="16"/>
          <w:szCs w:val="16"/>
          <w:lang w:val="fr-FR"/>
        </w:rPr>
        <w:t>(En pourcentage)</w:t>
      </w:r>
    </w:p>
    <w:tbl>
      <w:tblPr>
        <w:tblW w:w="8505" w:type="dxa"/>
        <w:tblInd w:w="1134" w:type="dxa"/>
        <w:tblBorders>
          <w:top w:val="single" w:sz="4" w:space="0" w:color="auto"/>
          <w:bottom w:val="single" w:sz="4" w:space="0" w:color="auto"/>
        </w:tblBorders>
        <w:tblCellMar>
          <w:left w:w="0" w:type="dxa"/>
          <w:right w:w="0" w:type="dxa"/>
        </w:tblCellMar>
        <w:tblLook w:val="04A0"/>
      </w:tblPr>
      <w:tblGrid>
        <w:gridCol w:w="1232"/>
        <w:gridCol w:w="854"/>
        <w:gridCol w:w="917"/>
        <w:gridCol w:w="917"/>
        <w:gridCol w:w="917"/>
        <w:gridCol w:w="917"/>
        <w:gridCol w:w="917"/>
        <w:gridCol w:w="917"/>
        <w:gridCol w:w="917"/>
        <w:tblGridChange w:id="4">
          <w:tblGrid>
            <w:gridCol w:w="1232"/>
            <w:gridCol w:w="854"/>
            <w:gridCol w:w="917"/>
            <w:gridCol w:w="917"/>
            <w:gridCol w:w="917"/>
            <w:gridCol w:w="917"/>
            <w:gridCol w:w="917"/>
            <w:gridCol w:w="917"/>
            <w:gridCol w:w="917"/>
          </w:tblGrid>
        </w:tblGridChange>
      </w:tblGrid>
      <w:tr w:rsidR="00AE6933" w:rsidRPr="00BA3042" w:rsidTr="00ED6AAB">
        <w:tc>
          <w:tcPr>
            <w:tcW w:w="1232" w:type="dxa"/>
            <w:tcBorders>
              <w:top w:val="single" w:sz="4" w:space="0" w:color="auto"/>
              <w:bottom w:val="single" w:sz="12" w:space="0" w:color="auto"/>
            </w:tcBorders>
          </w:tcPr>
          <w:p w:rsidR="00AE6933" w:rsidRPr="00BA3042" w:rsidRDefault="00AE6933" w:rsidP="00E40CAC">
            <w:pPr>
              <w:spacing w:before="80" w:after="80" w:line="200" w:lineRule="exact"/>
              <w:jc w:val="center"/>
              <w:rPr>
                <w:sz w:val="16"/>
                <w:szCs w:val="16"/>
                <w:lang w:val="fr-FR"/>
              </w:rPr>
            </w:pPr>
          </w:p>
        </w:tc>
        <w:tc>
          <w:tcPr>
            <w:tcW w:w="854" w:type="dxa"/>
            <w:tcBorders>
              <w:top w:val="single" w:sz="4" w:space="0" w:color="auto"/>
              <w:bottom w:val="single" w:sz="12" w:space="0" w:color="auto"/>
            </w:tcBorders>
          </w:tcPr>
          <w:p w:rsidR="00AE6933" w:rsidRPr="00BA3042" w:rsidRDefault="00AE6933" w:rsidP="00E40CAC">
            <w:pPr>
              <w:spacing w:before="80" w:after="80" w:line="200" w:lineRule="exact"/>
              <w:jc w:val="center"/>
              <w:rPr>
                <w:sz w:val="16"/>
                <w:szCs w:val="16"/>
                <w:lang w:val="fr-FR"/>
              </w:rPr>
            </w:pPr>
          </w:p>
        </w:tc>
        <w:tc>
          <w:tcPr>
            <w:tcW w:w="917" w:type="dxa"/>
            <w:tcBorders>
              <w:top w:val="single" w:sz="4" w:space="0" w:color="auto"/>
              <w:bottom w:val="single" w:sz="12" w:space="0" w:color="auto"/>
            </w:tcBorders>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2006</w:t>
            </w:r>
          </w:p>
        </w:tc>
        <w:tc>
          <w:tcPr>
            <w:tcW w:w="917" w:type="dxa"/>
            <w:tcBorders>
              <w:top w:val="single" w:sz="4" w:space="0" w:color="auto"/>
              <w:bottom w:val="single" w:sz="12" w:space="0" w:color="auto"/>
            </w:tcBorders>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2007</w:t>
            </w:r>
          </w:p>
        </w:tc>
        <w:tc>
          <w:tcPr>
            <w:tcW w:w="917" w:type="dxa"/>
            <w:tcBorders>
              <w:top w:val="single" w:sz="4" w:space="0" w:color="auto"/>
              <w:bottom w:val="single" w:sz="12" w:space="0" w:color="auto"/>
            </w:tcBorders>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2008</w:t>
            </w:r>
          </w:p>
        </w:tc>
        <w:tc>
          <w:tcPr>
            <w:tcW w:w="917" w:type="dxa"/>
            <w:tcBorders>
              <w:top w:val="single" w:sz="4" w:space="0" w:color="auto"/>
              <w:bottom w:val="single" w:sz="12" w:space="0" w:color="auto"/>
            </w:tcBorders>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2009</w:t>
            </w:r>
          </w:p>
        </w:tc>
        <w:tc>
          <w:tcPr>
            <w:tcW w:w="917" w:type="dxa"/>
            <w:tcBorders>
              <w:top w:val="single" w:sz="4" w:space="0" w:color="auto"/>
              <w:bottom w:val="single" w:sz="12" w:space="0" w:color="auto"/>
            </w:tcBorders>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2010</w:t>
            </w:r>
          </w:p>
        </w:tc>
        <w:tc>
          <w:tcPr>
            <w:tcW w:w="917" w:type="dxa"/>
            <w:tcBorders>
              <w:top w:val="single" w:sz="4" w:space="0" w:color="auto"/>
              <w:bottom w:val="single" w:sz="12" w:space="0" w:color="auto"/>
            </w:tcBorders>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2011</w:t>
            </w:r>
          </w:p>
        </w:tc>
        <w:tc>
          <w:tcPr>
            <w:tcW w:w="917" w:type="dxa"/>
            <w:tcBorders>
              <w:top w:val="single" w:sz="4" w:space="0" w:color="auto"/>
              <w:bottom w:val="single" w:sz="12" w:space="0" w:color="auto"/>
            </w:tcBorders>
            <w:vAlign w:val="bottom"/>
          </w:tcPr>
          <w:p w:rsidR="00AE6933" w:rsidRPr="00BA3042" w:rsidRDefault="00AE6933" w:rsidP="00E40CAC">
            <w:pPr>
              <w:keepNext/>
              <w:suppressAutoHyphens w:val="0"/>
              <w:spacing w:before="80" w:after="80" w:line="200" w:lineRule="exact"/>
              <w:jc w:val="right"/>
              <w:rPr>
                <w:rFonts w:eastAsia="MS Mincho"/>
                <w:i/>
                <w:sz w:val="16"/>
                <w:szCs w:val="16"/>
                <w:lang w:val="fr-FR" w:eastAsia="ja-JP"/>
              </w:rPr>
            </w:pPr>
            <w:r w:rsidRPr="00BA3042">
              <w:rPr>
                <w:rFonts w:eastAsia="MS Mincho"/>
                <w:i/>
                <w:sz w:val="16"/>
                <w:szCs w:val="16"/>
                <w:lang w:val="fr-FR" w:eastAsia="ja-JP"/>
              </w:rPr>
              <w:t>2012</w:t>
            </w:r>
          </w:p>
        </w:tc>
      </w:tr>
      <w:tr w:rsidR="00AE6933" w:rsidRPr="00BA3042" w:rsidTr="00ED6AAB">
        <w:tc>
          <w:tcPr>
            <w:tcW w:w="1232" w:type="dxa"/>
            <w:vMerge w:val="restart"/>
            <w:tcBorders>
              <w:top w:val="single" w:sz="12" w:space="0" w:color="auto"/>
            </w:tcBorders>
          </w:tcPr>
          <w:p w:rsidR="00AE6933" w:rsidRPr="00BA3042" w:rsidRDefault="00AE6933" w:rsidP="00E40CAC">
            <w:pPr>
              <w:spacing w:before="80" w:after="80" w:line="220" w:lineRule="exact"/>
              <w:rPr>
                <w:sz w:val="18"/>
                <w:szCs w:val="18"/>
                <w:lang w:val="fr-FR"/>
              </w:rPr>
            </w:pPr>
            <w:r w:rsidRPr="00BA3042">
              <w:rPr>
                <w:sz w:val="18"/>
                <w:szCs w:val="18"/>
                <w:lang w:val="fr-FR"/>
              </w:rPr>
              <w:t>De 15 à 24 ans</w:t>
            </w:r>
          </w:p>
        </w:tc>
        <w:tc>
          <w:tcPr>
            <w:tcW w:w="854" w:type="dxa"/>
            <w:tcBorders>
              <w:top w:val="single" w:sz="12" w:space="0" w:color="auto"/>
              <w:bottom w:val="single" w:sz="4" w:space="0" w:color="auto"/>
            </w:tcBorders>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7" w:type="dxa"/>
            <w:tcBorders>
              <w:top w:val="single" w:sz="12"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59,7</w:t>
            </w:r>
          </w:p>
        </w:tc>
        <w:tc>
          <w:tcPr>
            <w:tcW w:w="917" w:type="dxa"/>
            <w:tcBorders>
              <w:top w:val="single" w:sz="12"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57,7</w:t>
            </w:r>
          </w:p>
        </w:tc>
        <w:tc>
          <w:tcPr>
            <w:tcW w:w="917" w:type="dxa"/>
            <w:tcBorders>
              <w:top w:val="single" w:sz="12"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56,4</w:t>
            </w:r>
          </w:p>
        </w:tc>
        <w:tc>
          <w:tcPr>
            <w:tcW w:w="917" w:type="dxa"/>
            <w:tcBorders>
              <w:top w:val="single" w:sz="12"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55,1</w:t>
            </w:r>
          </w:p>
        </w:tc>
        <w:tc>
          <w:tcPr>
            <w:tcW w:w="917" w:type="dxa"/>
            <w:tcBorders>
              <w:top w:val="single" w:sz="12"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53,7</w:t>
            </w:r>
          </w:p>
        </w:tc>
        <w:tc>
          <w:tcPr>
            <w:tcW w:w="917" w:type="dxa"/>
            <w:tcBorders>
              <w:top w:val="single" w:sz="12"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55,3</w:t>
            </w:r>
          </w:p>
        </w:tc>
        <w:tc>
          <w:tcPr>
            <w:tcW w:w="917" w:type="dxa"/>
            <w:tcBorders>
              <w:top w:val="single" w:sz="12"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53,9</w:t>
            </w:r>
          </w:p>
        </w:tc>
      </w:tr>
      <w:tr w:rsidR="00AE6933" w:rsidRPr="00BA3042" w:rsidTr="00ED6AAB">
        <w:tc>
          <w:tcPr>
            <w:tcW w:w="1232" w:type="dxa"/>
            <w:vMerge/>
          </w:tcPr>
          <w:p w:rsidR="00AE6933" w:rsidRPr="00BA3042" w:rsidRDefault="00AE6933" w:rsidP="00E40CAC">
            <w:pPr>
              <w:spacing w:before="80" w:after="80" w:line="220" w:lineRule="exact"/>
              <w:rPr>
                <w:sz w:val="18"/>
                <w:szCs w:val="18"/>
                <w:lang w:val="fr-FR"/>
              </w:rPr>
            </w:pPr>
          </w:p>
        </w:tc>
        <w:tc>
          <w:tcPr>
            <w:tcW w:w="854" w:type="dxa"/>
            <w:tcBorders>
              <w:top w:val="single" w:sz="4" w:space="0" w:color="auto"/>
              <w:bottom w:val="single" w:sz="4"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60,9</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58,2</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57,4</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59,4</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53,3</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54,8</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51,8</w:t>
            </w:r>
          </w:p>
        </w:tc>
      </w:tr>
      <w:tr w:rsidR="00AE6933" w:rsidRPr="00BA3042" w:rsidTr="00E40CAC">
        <w:tc>
          <w:tcPr>
            <w:tcW w:w="1232" w:type="dxa"/>
            <w:vMerge w:val="restart"/>
          </w:tcPr>
          <w:p w:rsidR="00AE6933" w:rsidRPr="00BA3042" w:rsidRDefault="00AE6933" w:rsidP="00E40CAC">
            <w:pPr>
              <w:spacing w:before="80" w:after="80" w:line="220" w:lineRule="exact"/>
              <w:rPr>
                <w:sz w:val="18"/>
                <w:szCs w:val="18"/>
                <w:lang w:val="fr-FR"/>
              </w:rPr>
            </w:pPr>
            <w:r w:rsidRPr="00BA3042">
              <w:rPr>
                <w:sz w:val="18"/>
                <w:szCs w:val="18"/>
                <w:lang w:val="fr-FR"/>
              </w:rPr>
              <w:t>De 25 à 54 ans</w:t>
            </w:r>
          </w:p>
        </w:tc>
        <w:tc>
          <w:tcPr>
            <w:tcW w:w="854" w:type="dxa"/>
            <w:tcBorders>
              <w:top w:val="single" w:sz="4" w:space="0" w:color="auto"/>
              <w:bottom w:val="single" w:sz="4" w:space="0" w:color="auto"/>
            </w:tcBorders>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33,3</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32,3</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31,0</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29,6</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29,7</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28,7</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29,0</w:t>
            </w:r>
          </w:p>
        </w:tc>
      </w:tr>
      <w:tr w:rsidR="00AE6933" w:rsidRPr="00BA3042" w:rsidTr="00E40CAC">
        <w:tc>
          <w:tcPr>
            <w:tcW w:w="1232" w:type="dxa"/>
            <w:vMerge/>
          </w:tcPr>
          <w:p w:rsidR="00AE6933" w:rsidRPr="00BA3042" w:rsidRDefault="00AE6933" w:rsidP="00E40CAC">
            <w:pPr>
              <w:spacing w:before="80" w:after="80" w:line="220" w:lineRule="exact"/>
              <w:rPr>
                <w:sz w:val="18"/>
                <w:szCs w:val="18"/>
                <w:lang w:val="fr-FR"/>
              </w:rPr>
            </w:pPr>
          </w:p>
        </w:tc>
        <w:tc>
          <w:tcPr>
            <w:tcW w:w="854" w:type="dxa"/>
            <w:tcBorders>
              <w:top w:val="single" w:sz="4" w:space="0" w:color="auto"/>
              <w:bottom w:val="single" w:sz="4"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34,9</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33,8</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32,1</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30,3</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30,6</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28,9</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28,9</w:t>
            </w:r>
          </w:p>
        </w:tc>
      </w:tr>
      <w:tr w:rsidR="00AE6933" w:rsidRPr="00BA3042" w:rsidTr="00E40CAC">
        <w:tc>
          <w:tcPr>
            <w:tcW w:w="1232" w:type="dxa"/>
            <w:vMerge w:val="restart"/>
          </w:tcPr>
          <w:p w:rsidR="00AE6933" w:rsidRPr="00BA3042" w:rsidRDefault="00AE6933" w:rsidP="00E40CAC">
            <w:pPr>
              <w:spacing w:before="80" w:after="80" w:line="220" w:lineRule="exact"/>
              <w:rPr>
                <w:sz w:val="18"/>
                <w:szCs w:val="18"/>
                <w:lang w:val="fr-FR"/>
              </w:rPr>
            </w:pPr>
            <w:r w:rsidRPr="00BA3042">
              <w:rPr>
                <w:sz w:val="18"/>
                <w:szCs w:val="18"/>
                <w:lang w:val="fr-FR"/>
              </w:rPr>
              <w:t>De 55 à 64 ans</w:t>
            </w:r>
          </w:p>
        </w:tc>
        <w:tc>
          <w:tcPr>
            <w:tcW w:w="854" w:type="dxa"/>
            <w:tcBorders>
              <w:top w:val="single" w:sz="4" w:space="0" w:color="auto"/>
              <w:bottom w:val="single" w:sz="4" w:space="0" w:color="auto"/>
            </w:tcBorders>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28,4</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28,0</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28,5</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26,3</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27,8</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28,2</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25,1</w:t>
            </w:r>
          </w:p>
        </w:tc>
      </w:tr>
      <w:tr w:rsidR="00AE6933" w:rsidRPr="00BA3042" w:rsidTr="00E40CAC">
        <w:tc>
          <w:tcPr>
            <w:tcW w:w="1232" w:type="dxa"/>
            <w:vMerge/>
            <w:tcBorders>
              <w:bottom w:val="nil"/>
            </w:tcBorders>
          </w:tcPr>
          <w:p w:rsidR="00AE6933" w:rsidRPr="00BA3042" w:rsidRDefault="00AE6933" w:rsidP="00E40CAC">
            <w:pPr>
              <w:spacing w:before="80" w:after="80" w:line="220" w:lineRule="exact"/>
              <w:rPr>
                <w:sz w:val="18"/>
                <w:szCs w:val="18"/>
                <w:lang w:val="fr-FR"/>
              </w:rPr>
            </w:pPr>
          </w:p>
        </w:tc>
        <w:tc>
          <w:tcPr>
            <w:tcW w:w="854" w:type="dxa"/>
            <w:tcBorders>
              <w:top w:val="single" w:sz="4" w:space="0" w:color="auto"/>
              <w:bottom w:val="single" w:sz="4"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21,2</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20,4</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21,5</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22,8</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25,8</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24,2</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21,4</w:t>
            </w:r>
          </w:p>
        </w:tc>
      </w:tr>
      <w:tr w:rsidR="00AE6933" w:rsidRPr="00BA3042" w:rsidTr="00E40CAC">
        <w:tc>
          <w:tcPr>
            <w:tcW w:w="1232" w:type="dxa"/>
            <w:vMerge w:val="restart"/>
            <w:tcBorders>
              <w:top w:val="nil"/>
              <w:bottom w:val="nil"/>
            </w:tcBorders>
          </w:tcPr>
          <w:p w:rsidR="00AE6933" w:rsidRPr="00BA3042" w:rsidRDefault="00AE6933" w:rsidP="00E40CAC">
            <w:pPr>
              <w:spacing w:before="80" w:after="80" w:line="220" w:lineRule="exact"/>
              <w:rPr>
                <w:sz w:val="18"/>
                <w:szCs w:val="18"/>
                <w:lang w:val="fr-FR"/>
              </w:rPr>
            </w:pPr>
            <w:r w:rsidRPr="00BA3042">
              <w:rPr>
                <w:sz w:val="18"/>
                <w:szCs w:val="18"/>
                <w:lang w:val="fr-FR"/>
              </w:rPr>
              <w:t>De 15 à 64 ans</w:t>
            </w:r>
          </w:p>
        </w:tc>
        <w:tc>
          <w:tcPr>
            <w:tcW w:w="854" w:type="dxa"/>
            <w:tcBorders>
              <w:top w:val="single" w:sz="4" w:space="0" w:color="auto"/>
              <w:bottom w:val="single" w:sz="4" w:space="0" w:color="auto"/>
            </w:tcBorders>
          </w:tcPr>
          <w:p w:rsidR="00AE6933" w:rsidRPr="00BA3042" w:rsidRDefault="00AE6933" w:rsidP="00E40CAC">
            <w:pPr>
              <w:spacing w:before="80" w:after="80" w:line="220" w:lineRule="exact"/>
              <w:rPr>
                <w:b/>
                <w:sz w:val="18"/>
                <w:szCs w:val="18"/>
                <w:lang w:val="fr-FR"/>
              </w:rPr>
            </w:pPr>
            <w:r w:rsidRPr="00BA3042">
              <w:rPr>
                <w:b/>
                <w:sz w:val="18"/>
                <w:szCs w:val="18"/>
                <w:lang w:val="fr-FR"/>
              </w:rPr>
              <w:t>Total</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36,3</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35,2</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34,0</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32,3</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32,2</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31,6</w:t>
            </w:r>
          </w:p>
        </w:tc>
        <w:tc>
          <w:tcPr>
            <w:tcW w:w="917" w:type="dxa"/>
            <w:tcBorders>
              <w:top w:val="single" w:sz="4" w:space="0" w:color="auto"/>
              <w:bottom w:val="single" w:sz="4" w:space="0" w:color="auto"/>
            </w:tcBorders>
            <w:vAlign w:val="bottom"/>
          </w:tcPr>
          <w:p w:rsidR="00AE6933" w:rsidRPr="00BA3042" w:rsidRDefault="00AE6933" w:rsidP="00E40CAC">
            <w:pPr>
              <w:suppressAutoHyphens w:val="0"/>
              <w:spacing w:before="80" w:after="80" w:line="220" w:lineRule="exact"/>
              <w:jc w:val="right"/>
              <w:rPr>
                <w:rFonts w:eastAsia="MS Mincho"/>
                <w:b/>
                <w:sz w:val="18"/>
                <w:szCs w:val="18"/>
                <w:lang w:val="fr-FR" w:eastAsia="ja-JP"/>
              </w:rPr>
            </w:pPr>
            <w:r w:rsidRPr="00BA3042">
              <w:rPr>
                <w:rFonts w:eastAsia="MS Mincho"/>
                <w:b/>
                <w:sz w:val="18"/>
                <w:szCs w:val="18"/>
                <w:lang w:val="fr-FR" w:eastAsia="ja-JP"/>
              </w:rPr>
              <w:t>31,2</w:t>
            </w:r>
          </w:p>
        </w:tc>
      </w:tr>
      <w:tr w:rsidR="00AE6933" w:rsidRPr="00BA3042" w:rsidTr="00E40CAC">
        <w:tc>
          <w:tcPr>
            <w:tcW w:w="1232" w:type="dxa"/>
            <w:vMerge/>
            <w:tcBorders>
              <w:top w:val="nil"/>
              <w:bottom w:val="single" w:sz="12" w:space="0" w:color="auto"/>
            </w:tcBorders>
          </w:tcPr>
          <w:p w:rsidR="00AE6933" w:rsidRPr="00BA3042" w:rsidRDefault="00AE6933" w:rsidP="00E40CAC">
            <w:pPr>
              <w:spacing w:before="80" w:after="80" w:line="220" w:lineRule="exact"/>
              <w:jc w:val="center"/>
              <w:rPr>
                <w:sz w:val="18"/>
                <w:szCs w:val="18"/>
                <w:lang w:val="fr-FR"/>
              </w:rPr>
            </w:pPr>
          </w:p>
        </w:tc>
        <w:tc>
          <w:tcPr>
            <w:tcW w:w="854" w:type="dxa"/>
            <w:tcBorders>
              <w:top w:val="single" w:sz="4" w:space="0" w:color="auto"/>
              <w:bottom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Femmes</w:t>
            </w:r>
          </w:p>
        </w:tc>
        <w:tc>
          <w:tcPr>
            <w:tcW w:w="917" w:type="dxa"/>
            <w:tcBorders>
              <w:top w:val="single" w:sz="4" w:space="0" w:color="auto"/>
              <w:bottom w:val="single" w:sz="12"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37,5</w:t>
            </w:r>
          </w:p>
        </w:tc>
        <w:tc>
          <w:tcPr>
            <w:tcW w:w="917" w:type="dxa"/>
            <w:tcBorders>
              <w:top w:val="single" w:sz="4" w:space="0" w:color="auto"/>
              <w:bottom w:val="single" w:sz="12"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35,8</w:t>
            </w:r>
          </w:p>
        </w:tc>
        <w:tc>
          <w:tcPr>
            <w:tcW w:w="917" w:type="dxa"/>
            <w:tcBorders>
              <w:top w:val="single" w:sz="4" w:space="0" w:color="auto"/>
              <w:bottom w:val="single" w:sz="12"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34,3</w:t>
            </w:r>
          </w:p>
        </w:tc>
        <w:tc>
          <w:tcPr>
            <w:tcW w:w="917" w:type="dxa"/>
            <w:tcBorders>
              <w:top w:val="single" w:sz="4" w:space="0" w:color="auto"/>
              <w:bottom w:val="single" w:sz="12"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32,9</w:t>
            </w:r>
          </w:p>
        </w:tc>
        <w:tc>
          <w:tcPr>
            <w:tcW w:w="917" w:type="dxa"/>
            <w:tcBorders>
              <w:top w:val="single" w:sz="4" w:space="0" w:color="auto"/>
              <w:bottom w:val="single" w:sz="12"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32,5</w:t>
            </w:r>
          </w:p>
        </w:tc>
        <w:tc>
          <w:tcPr>
            <w:tcW w:w="917" w:type="dxa"/>
            <w:tcBorders>
              <w:top w:val="single" w:sz="4" w:space="0" w:color="auto"/>
              <w:bottom w:val="single" w:sz="12"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31,0</w:t>
            </w:r>
          </w:p>
        </w:tc>
        <w:tc>
          <w:tcPr>
            <w:tcW w:w="917" w:type="dxa"/>
            <w:tcBorders>
              <w:top w:val="single" w:sz="4" w:space="0" w:color="auto"/>
              <w:bottom w:val="single" w:sz="12" w:space="0" w:color="auto"/>
            </w:tcBorders>
            <w:vAlign w:val="bottom"/>
          </w:tcPr>
          <w:p w:rsidR="00AE6933" w:rsidRPr="00BA3042" w:rsidRDefault="00AE6933" w:rsidP="00E40CAC">
            <w:pPr>
              <w:suppressAutoHyphens w:val="0"/>
              <w:spacing w:before="40" w:after="40" w:line="220" w:lineRule="exact"/>
              <w:jc w:val="right"/>
              <w:rPr>
                <w:rFonts w:eastAsia="MS Mincho"/>
                <w:sz w:val="18"/>
                <w:szCs w:val="18"/>
                <w:lang w:val="fr-FR" w:eastAsia="ja-JP"/>
              </w:rPr>
            </w:pPr>
            <w:r w:rsidRPr="00BA3042">
              <w:rPr>
                <w:rFonts w:eastAsia="MS Mincho"/>
                <w:sz w:val="18"/>
                <w:szCs w:val="18"/>
                <w:lang w:val="fr-FR" w:eastAsia="ja-JP"/>
              </w:rPr>
              <w:t>30,5</w:t>
            </w:r>
          </w:p>
        </w:tc>
      </w:tr>
    </w:tbl>
    <w:p w:rsidR="00AE6933" w:rsidRPr="00BA3042" w:rsidRDefault="00AE6933" w:rsidP="00AE6933">
      <w:pPr>
        <w:spacing w:before="120" w:after="240" w:line="276" w:lineRule="auto"/>
        <w:ind w:left="1134" w:firstLine="170"/>
        <w:jc w:val="both"/>
        <w:rPr>
          <w:i/>
          <w:sz w:val="18"/>
          <w:szCs w:val="18"/>
          <w:lang w:val="fr-FR"/>
        </w:rPr>
      </w:pPr>
      <w:r w:rsidRPr="00BA3042">
        <w:rPr>
          <w:i/>
          <w:sz w:val="18"/>
          <w:szCs w:val="18"/>
          <w:lang w:val="fr-FR"/>
        </w:rPr>
        <w:t>Source</w:t>
      </w:r>
      <w:r w:rsidRPr="00BA3042">
        <w:rPr>
          <w:sz w:val="18"/>
          <w:szCs w:val="18"/>
          <w:lang w:val="fr-FR"/>
        </w:rPr>
        <w:t>:</w:t>
      </w:r>
      <w:r w:rsidRPr="00BA3042">
        <w:rPr>
          <w:i/>
          <w:sz w:val="18"/>
          <w:szCs w:val="18"/>
          <w:lang w:val="fr-FR"/>
        </w:rPr>
        <w:t xml:space="preserve"> </w:t>
      </w:r>
      <w:r w:rsidRPr="00BA3042">
        <w:rPr>
          <w:sz w:val="18"/>
          <w:szCs w:val="18"/>
          <w:lang w:val="fr-FR"/>
        </w:rPr>
        <w:t>Office national des statistiques.</w:t>
      </w:r>
    </w:p>
    <w:p w:rsidR="00AE6933" w:rsidRPr="00BA3042" w:rsidRDefault="00AE6933" w:rsidP="00AE6933">
      <w:pPr>
        <w:pStyle w:val="SingleTxtG"/>
        <w:spacing w:after="240"/>
        <w:rPr>
          <w:lang w:val="fr-FR"/>
        </w:rPr>
      </w:pPr>
      <w:r w:rsidRPr="00BA3042">
        <w:rPr>
          <w:lang w:val="fr-FR"/>
        </w:rPr>
        <w:t>31.</w:t>
      </w:r>
      <w:r w:rsidRPr="00BA3042">
        <w:rPr>
          <w:lang w:val="fr-FR"/>
        </w:rPr>
        <w:tab/>
        <w:t xml:space="preserve">En 2012, la loi sur l’emploi et l’assurance chômage a été modifiée pour permettre aux personnes sans emploi d’être enregistrées en tant que demandeurs d’emploi actifs ou passifs. Ainsi, l’Agence pour l’emploi peut focaliser ses efforts sur les demandeurs d’emplois actifs, et concevoir des programmes d’aide à l’emploi adaptés. </w:t>
      </w:r>
    </w:p>
    <w:tbl>
      <w:tblPr>
        <w:tblW w:w="8505" w:type="dxa"/>
        <w:tblInd w:w="1134" w:type="dxa"/>
        <w:tblBorders>
          <w:left w:val="single" w:sz="4" w:space="0" w:color="auto"/>
          <w:bottom w:val="single" w:sz="12" w:space="0" w:color="auto"/>
          <w:right w:val="single" w:sz="4" w:space="0" w:color="auto"/>
        </w:tblBorders>
        <w:tblLook w:val="04A0"/>
      </w:tblPr>
      <w:tblGrid>
        <w:gridCol w:w="3794"/>
        <w:gridCol w:w="1427"/>
        <w:gridCol w:w="1652"/>
        <w:gridCol w:w="1632"/>
        <w:tblGridChange w:id="5">
          <w:tblGrid>
            <w:gridCol w:w="3794"/>
            <w:gridCol w:w="1427"/>
            <w:gridCol w:w="1652"/>
            <w:gridCol w:w="1632"/>
          </w:tblGrid>
        </w:tblGridChange>
      </w:tblGrid>
      <w:tr w:rsidR="00AE6933" w:rsidRPr="00BA3042" w:rsidTr="00372FB1">
        <w:tc>
          <w:tcPr>
            <w:tcW w:w="3794" w:type="dxa"/>
            <w:tcBorders>
              <w:top w:val="single" w:sz="4" w:space="0" w:color="auto"/>
              <w:left w:val="nil"/>
              <w:bottom w:val="single" w:sz="12" w:space="0" w:color="auto"/>
            </w:tcBorders>
            <w:tcMar>
              <w:left w:w="0" w:type="dxa"/>
              <w:right w:w="0" w:type="dxa"/>
            </w:tcMar>
          </w:tcPr>
          <w:p w:rsidR="00AE6933" w:rsidRPr="00BA3042" w:rsidRDefault="00AE6933" w:rsidP="00E40CAC">
            <w:pPr>
              <w:spacing w:before="80" w:after="80" w:line="200" w:lineRule="exact"/>
              <w:rPr>
                <w:i/>
                <w:sz w:val="16"/>
                <w:szCs w:val="16"/>
                <w:lang w:val="fr-FR"/>
              </w:rPr>
            </w:pPr>
            <w:r w:rsidRPr="00BA3042">
              <w:rPr>
                <w:i/>
                <w:sz w:val="16"/>
                <w:szCs w:val="16"/>
                <w:lang w:val="fr-FR"/>
              </w:rPr>
              <w:t>M</w:t>
            </w:r>
            <w:r w:rsidR="00372FB1" w:rsidRPr="00BA3042">
              <w:rPr>
                <w:i/>
                <w:sz w:val="16"/>
                <w:szCs w:val="16"/>
                <w:lang w:val="fr-FR"/>
              </w:rPr>
              <w:t>esures et programmes énergiques</w:t>
            </w:r>
            <w:r w:rsidR="00372FB1" w:rsidRPr="00BA3042">
              <w:rPr>
                <w:i/>
                <w:sz w:val="16"/>
                <w:szCs w:val="16"/>
                <w:lang w:val="fr-FR"/>
              </w:rPr>
              <w:br/>
            </w:r>
            <w:r w:rsidRPr="00BA3042">
              <w:rPr>
                <w:i/>
                <w:sz w:val="16"/>
                <w:szCs w:val="16"/>
                <w:lang w:val="fr-FR"/>
              </w:rPr>
              <w:t>en faveur de l’emploi</w:t>
            </w:r>
          </w:p>
        </w:tc>
        <w:tc>
          <w:tcPr>
            <w:tcW w:w="1427" w:type="dxa"/>
            <w:tcBorders>
              <w:top w:val="single" w:sz="4" w:space="0" w:color="auto"/>
              <w:bottom w:val="single" w:sz="12" w:space="0" w:color="auto"/>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2007</w:t>
            </w:r>
            <w:r w:rsidRPr="00BA3042">
              <w:rPr>
                <w:i/>
                <w:sz w:val="16"/>
                <w:szCs w:val="16"/>
                <w:lang w:val="fr-FR"/>
              </w:rPr>
              <w:br/>
              <w:t>(en millions de denar)</w:t>
            </w:r>
          </w:p>
        </w:tc>
        <w:tc>
          <w:tcPr>
            <w:tcW w:w="1652" w:type="dxa"/>
            <w:tcBorders>
              <w:top w:val="single" w:sz="4" w:space="0" w:color="auto"/>
              <w:bottom w:val="single" w:sz="12" w:space="0" w:color="auto"/>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2008</w:t>
            </w:r>
            <w:r w:rsidRPr="00BA3042">
              <w:rPr>
                <w:i/>
                <w:sz w:val="16"/>
                <w:szCs w:val="16"/>
                <w:lang w:val="fr-FR"/>
              </w:rPr>
              <w:br/>
              <w:t>(en millions de denar)</w:t>
            </w:r>
          </w:p>
        </w:tc>
        <w:tc>
          <w:tcPr>
            <w:tcW w:w="1632" w:type="dxa"/>
            <w:tcBorders>
              <w:top w:val="single" w:sz="4" w:space="0" w:color="auto"/>
              <w:bottom w:val="single" w:sz="12" w:space="0" w:color="auto"/>
              <w:right w:val="nil"/>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2009</w:t>
            </w:r>
            <w:r w:rsidRPr="00BA3042">
              <w:rPr>
                <w:i/>
                <w:sz w:val="16"/>
                <w:szCs w:val="16"/>
                <w:lang w:val="fr-FR"/>
              </w:rPr>
              <w:br/>
              <w:t>(en millions de denar)</w:t>
            </w:r>
          </w:p>
        </w:tc>
      </w:tr>
      <w:tr w:rsidR="00AE6933" w:rsidRPr="00BA3042" w:rsidTr="00372FB1">
        <w:tc>
          <w:tcPr>
            <w:tcW w:w="3794" w:type="dxa"/>
            <w:tcBorders>
              <w:top w:val="single" w:sz="12" w:space="0" w:color="auto"/>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en faveur du travail indépendant</w:t>
            </w:r>
          </w:p>
        </w:tc>
        <w:tc>
          <w:tcPr>
            <w:tcW w:w="1427" w:type="dxa"/>
            <w:tcBorders>
              <w:top w:val="single" w:sz="12"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84,51</w:t>
            </w:r>
          </w:p>
        </w:tc>
        <w:tc>
          <w:tcPr>
            <w:tcW w:w="1652" w:type="dxa"/>
            <w:tcBorders>
              <w:top w:val="single" w:sz="12"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102,49</w:t>
            </w:r>
          </w:p>
        </w:tc>
        <w:tc>
          <w:tcPr>
            <w:tcW w:w="1632" w:type="dxa"/>
            <w:tcBorders>
              <w:top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137,2</w:t>
            </w:r>
          </w:p>
        </w:tc>
      </w:tr>
      <w:tr w:rsidR="00AE6933" w:rsidRPr="00BA3042" w:rsidTr="00372FB1">
        <w:tc>
          <w:tcPr>
            <w:tcW w:w="3794"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Officialisation d’entreprise</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5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19,15</w:t>
            </w:r>
          </w:p>
        </w:tc>
        <w:tc>
          <w:tcPr>
            <w:tcW w:w="1632"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p>
        </w:tc>
      </w:tr>
      <w:tr w:rsidR="00AE6933" w:rsidRPr="00BA3042" w:rsidTr="00372FB1">
        <w:tc>
          <w:tcPr>
            <w:tcW w:w="3794"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de préparation à l’emploi</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50</w:t>
            </w:r>
          </w:p>
        </w:tc>
        <w:tc>
          <w:tcPr>
            <w:tcW w:w="165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50,78</w:t>
            </w:r>
          </w:p>
        </w:tc>
        <w:tc>
          <w:tcPr>
            <w:tcW w:w="1632"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21,55</w:t>
            </w:r>
          </w:p>
        </w:tc>
      </w:tr>
      <w:tr w:rsidR="00AE6933" w:rsidRPr="00BA3042" w:rsidTr="00372FB1">
        <w:tc>
          <w:tcPr>
            <w:tcW w:w="3794"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Emplois subventionnés</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76,34</w:t>
            </w:r>
          </w:p>
        </w:tc>
        <w:tc>
          <w:tcPr>
            <w:tcW w:w="165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94,44</w:t>
            </w:r>
          </w:p>
        </w:tc>
        <w:tc>
          <w:tcPr>
            <w:tcW w:w="1632"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391,72</w:t>
            </w:r>
          </w:p>
        </w:tc>
      </w:tr>
      <w:tr w:rsidR="00AE6933" w:rsidRPr="00BA3042" w:rsidTr="00372FB1">
        <w:tc>
          <w:tcPr>
            <w:tcW w:w="3794"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Apprentissage, premier emploi des jeunes</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165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1,69</w:t>
            </w:r>
          </w:p>
        </w:tc>
        <w:tc>
          <w:tcPr>
            <w:tcW w:w="1632"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2,25</w:t>
            </w:r>
          </w:p>
        </w:tc>
      </w:tr>
      <w:tr w:rsidR="00AE6933" w:rsidRPr="00BA3042" w:rsidTr="00372FB1">
        <w:tc>
          <w:tcPr>
            <w:tcW w:w="3794"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Travaux publics</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39,98</w:t>
            </w:r>
          </w:p>
        </w:tc>
        <w:tc>
          <w:tcPr>
            <w:tcW w:w="165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32"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219,38</w:t>
            </w:r>
          </w:p>
        </w:tc>
      </w:tr>
      <w:tr w:rsidR="00AE6933" w:rsidRPr="00BA3042" w:rsidTr="00372FB1">
        <w:tc>
          <w:tcPr>
            <w:tcW w:w="3794"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Enquête pilote sur les offres d’emploi</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5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32"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0,77</w:t>
            </w:r>
          </w:p>
        </w:tc>
      </w:tr>
      <w:tr w:rsidR="00AE6933" w:rsidRPr="00BA3042" w:rsidTr="00372FB1">
        <w:tc>
          <w:tcPr>
            <w:tcW w:w="3794"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d’emploi des Roms</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c>
          <w:tcPr>
            <w:tcW w:w="165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1,44</w:t>
            </w:r>
          </w:p>
        </w:tc>
        <w:tc>
          <w:tcPr>
            <w:tcW w:w="1632"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r>
      <w:tr w:rsidR="00AE6933" w:rsidRPr="00BA3042" w:rsidTr="00372FB1">
        <w:tc>
          <w:tcPr>
            <w:tcW w:w="3794" w:type="dxa"/>
            <w:tcBorders>
              <w:left w:val="nil"/>
              <w:bottom w:val="single" w:sz="4" w:space="0" w:color="auto"/>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de crédits pour l’emploi</w:t>
            </w:r>
          </w:p>
        </w:tc>
        <w:tc>
          <w:tcPr>
            <w:tcW w:w="1427" w:type="dxa"/>
            <w:tcBorders>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52" w:type="dxa"/>
            <w:tcBorders>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385,74</w:t>
            </w:r>
          </w:p>
        </w:tc>
        <w:tc>
          <w:tcPr>
            <w:tcW w:w="1632" w:type="dxa"/>
            <w:tcBorders>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326,65</w:t>
            </w:r>
          </w:p>
        </w:tc>
      </w:tr>
      <w:tr w:rsidR="00AE6933" w:rsidRPr="00BA3042" w:rsidTr="00372FB1">
        <w:tc>
          <w:tcPr>
            <w:tcW w:w="3794" w:type="dxa"/>
            <w:tcBorders>
              <w:top w:val="single" w:sz="4" w:space="0" w:color="auto"/>
              <w:left w:val="nil"/>
              <w:bottom w:val="single" w:sz="4" w:space="0" w:color="auto"/>
            </w:tcBorders>
            <w:tcMar>
              <w:left w:w="0" w:type="dxa"/>
              <w:right w:w="0" w:type="dxa"/>
            </w:tcMar>
          </w:tcPr>
          <w:p w:rsidR="00AE6933" w:rsidRPr="00BA3042" w:rsidRDefault="00AE6933" w:rsidP="00E40CAC">
            <w:pPr>
              <w:spacing w:before="80" w:after="80" w:line="220" w:lineRule="exact"/>
              <w:ind w:firstLine="284"/>
              <w:rPr>
                <w:b/>
                <w:sz w:val="18"/>
                <w:szCs w:val="18"/>
                <w:lang w:val="fr-FR"/>
              </w:rPr>
            </w:pPr>
            <w:r w:rsidRPr="00BA3042">
              <w:rPr>
                <w:b/>
                <w:sz w:val="18"/>
                <w:szCs w:val="18"/>
                <w:lang w:val="fr-FR"/>
              </w:rPr>
              <w:t>Total en denar</w:t>
            </w:r>
          </w:p>
        </w:tc>
        <w:tc>
          <w:tcPr>
            <w:tcW w:w="1427"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80" w:after="80" w:line="220" w:lineRule="exact"/>
              <w:jc w:val="right"/>
              <w:rPr>
                <w:b/>
                <w:bCs/>
                <w:sz w:val="18"/>
                <w:szCs w:val="18"/>
                <w:lang w:val="fr-FR"/>
              </w:rPr>
            </w:pPr>
            <w:r w:rsidRPr="00BA3042">
              <w:rPr>
                <w:b/>
                <w:bCs/>
                <w:sz w:val="18"/>
                <w:szCs w:val="18"/>
                <w:lang w:val="fr-FR"/>
              </w:rPr>
              <w:t>267,02</w:t>
            </w:r>
          </w:p>
        </w:tc>
        <w:tc>
          <w:tcPr>
            <w:tcW w:w="1652" w:type="dxa"/>
            <w:tcBorders>
              <w:top w:val="single" w:sz="4" w:space="0" w:color="auto"/>
              <w:bottom w:val="single" w:sz="4" w:space="0" w:color="auto"/>
            </w:tcBorders>
            <w:tcMar>
              <w:left w:w="0" w:type="dxa"/>
              <w:right w:w="0" w:type="dxa"/>
            </w:tcMar>
            <w:vAlign w:val="bottom"/>
          </w:tcPr>
          <w:p w:rsidR="00AE6933" w:rsidRPr="00BA3042" w:rsidRDefault="00AE6933" w:rsidP="00E40CAC">
            <w:pPr>
              <w:suppressAutoHyphens w:val="0"/>
              <w:spacing w:before="80" w:after="80" w:line="220" w:lineRule="exact"/>
              <w:jc w:val="right"/>
              <w:rPr>
                <w:b/>
                <w:bCs/>
                <w:sz w:val="18"/>
                <w:szCs w:val="18"/>
                <w:lang w:val="fr-FR"/>
              </w:rPr>
            </w:pPr>
            <w:r w:rsidRPr="00BA3042">
              <w:rPr>
                <w:b/>
                <w:bCs/>
                <w:sz w:val="18"/>
                <w:szCs w:val="18"/>
                <w:lang w:val="fr-FR"/>
              </w:rPr>
              <w:t>655,72</w:t>
            </w:r>
          </w:p>
        </w:tc>
        <w:tc>
          <w:tcPr>
            <w:tcW w:w="1632" w:type="dxa"/>
            <w:tcBorders>
              <w:top w:val="single" w:sz="4" w:space="0" w:color="auto"/>
              <w:bottom w:val="single" w:sz="4"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b/>
                <w:bCs/>
                <w:sz w:val="18"/>
                <w:szCs w:val="18"/>
                <w:lang w:val="fr-FR"/>
              </w:rPr>
            </w:pPr>
            <w:r w:rsidRPr="00BA3042">
              <w:rPr>
                <w:b/>
                <w:bCs/>
                <w:sz w:val="18"/>
                <w:szCs w:val="18"/>
                <w:lang w:val="fr-FR"/>
              </w:rPr>
              <w:t>1 151,3</w:t>
            </w:r>
          </w:p>
        </w:tc>
      </w:tr>
      <w:tr w:rsidR="00AE6933" w:rsidRPr="00BA3042" w:rsidTr="00372FB1">
        <w:tc>
          <w:tcPr>
            <w:tcW w:w="3794" w:type="dxa"/>
            <w:tcBorders>
              <w:top w:val="single" w:sz="4" w:space="0" w:color="auto"/>
              <w:left w:val="nil"/>
              <w:bottom w:val="single" w:sz="12" w:space="0" w:color="auto"/>
            </w:tcBorders>
            <w:tcMar>
              <w:left w:w="0" w:type="dxa"/>
              <w:right w:w="0" w:type="dxa"/>
            </w:tcMar>
          </w:tcPr>
          <w:p w:rsidR="00AE6933" w:rsidRPr="00BA3042" w:rsidRDefault="00AE6933" w:rsidP="00E40CAC">
            <w:pPr>
              <w:spacing w:before="80" w:after="80" w:line="220" w:lineRule="exact"/>
              <w:ind w:firstLine="284"/>
              <w:rPr>
                <w:b/>
                <w:sz w:val="18"/>
                <w:szCs w:val="18"/>
                <w:lang w:val="fr-FR"/>
              </w:rPr>
            </w:pPr>
            <w:r w:rsidRPr="00BA3042">
              <w:rPr>
                <w:b/>
                <w:sz w:val="18"/>
                <w:szCs w:val="18"/>
                <w:lang w:val="fr-FR"/>
              </w:rPr>
              <w:t>Total en euros</w:t>
            </w:r>
          </w:p>
        </w:tc>
        <w:tc>
          <w:tcPr>
            <w:tcW w:w="1427" w:type="dxa"/>
            <w:tcBorders>
              <w:top w:val="single" w:sz="4" w:space="0" w:color="auto"/>
              <w:bottom w:val="single" w:sz="12" w:space="0" w:color="auto"/>
            </w:tcBorders>
            <w:tcMar>
              <w:left w:w="0" w:type="dxa"/>
              <w:right w:w="0" w:type="dxa"/>
            </w:tcMar>
            <w:vAlign w:val="bottom"/>
          </w:tcPr>
          <w:p w:rsidR="00AE6933" w:rsidRPr="00BA3042" w:rsidDel="001F6BEC" w:rsidRDefault="00AE6933" w:rsidP="00E40CAC">
            <w:pPr>
              <w:suppressAutoHyphens w:val="0"/>
              <w:spacing w:before="80" w:after="80" w:line="220" w:lineRule="exact"/>
              <w:jc w:val="right"/>
              <w:rPr>
                <w:b/>
                <w:bCs/>
                <w:sz w:val="18"/>
                <w:szCs w:val="18"/>
                <w:lang w:val="fr-FR"/>
              </w:rPr>
            </w:pPr>
            <w:r w:rsidRPr="00BA3042">
              <w:rPr>
                <w:b/>
                <w:bCs/>
                <w:sz w:val="18"/>
                <w:szCs w:val="18"/>
                <w:lang w:val="fr-FR"/>
              </w:rPr>
              <w:t>4,37</w:t>
            </w:r>
          </w:p>
        </w:tc>
        <w:tc>
          <w:tcPr>
            <w:tcW w:w="1652" w:type="dxa"/>
            <w:tcBorders>
              <w:top w:val="single" w:sz="4" w:space="0" w:color="auto"/>
              <w:bottom w:val="single" w:sz="12" w:space="0" w:color="auto"/>
            </w:tcBorders>
            <w:tcMar>
              <w:left w:w="0" w:type="dxa"/>
              <w:right w:w="0" w:type="dxa"/>
            </w:tcMar>
            <w:vAlign w:val="bottom"/>
          </w:tcPr>
          <w:p w:rsidR="00AE6933" w:rsidRPr="00BA3042" w:rsidDel="001F6BEC" w:rsidRDefault="00AE6933" w:rsidP="00E40CAC">
            <w:pPr>
              <w:suppressAutoHyphens w:val="0"/>
              <w:spacing w:before="80" w:after="80" w:line="220" w:lineRule="exact"/>
              <w:jc w:val="right"/>
              <w:rPr>
                <w:b/>
                <w:bCs/>
                <w:sz w:val="18"/>
                <w:szCs w:val="18"/>
                <w:lang w:val="fr-FR"/>
              </w:rPr>
            </w:pPr>
            <w:r w:rsidRPr="00BA3042">
              <w:rPr>
                <w:b/>
                <w:bCs/>
                <w:sz w:val="18"/>
                <w:szCs w:val="18"/>
                <w:lang w:val="fr-FR"/>
              </w:rPr>
              <w:t>10,66</w:t>
            </w:r>
          </w:p>
        </w:tc>
        <w:tc>
          <w:tcPr>
            <w:tcW w:w="1632" w:type="dxa"/>
            <w:tcBorders>
              <w:top w:val="single" w:sz="4" w:space="0" w:color="auto"/>
              <w:bottom w:val="single" w:sz="12" w:space="0" w:color="auto"/>
              <w:right w:val="nil"/>
            </w:tcBorders>
            <w:tcMar>
              <w:left w:w="0" w:type="dxa"/>
              <w:right w:w="0" w:type="dxa"/>
            </w:tcMar>
            <w:vAlign w:val="bottom"/>
          </w:tcPr>
          <w:p w:rsidR="00AE6933" w:rsidRPr="00BA3042" w:rsidDel="001F6BEC" w:rsidRDefault="00AE6933" w:rsidP="00E40CAC">
            <w:pPr>
              <w:suppressAutoHyphens w:val="0"/>
              <w:spacing w:before="80" w:after="80" w:line="220" w:lineRule="exact"/>
              <w:jc w:val="right"/>
              <w:rPr>
                <w:b/>
                <w:bCs/>
                <w:sz w:val="18"/>
                <w:szCs w:val="18"/>
                <w:lang w:val="fr-FR"/>
              </w:rPr>
            </w:pPr>
            <w:r w:rsidRPr="00BA3042">
              <w:rPr>
                <w:b/>
                <w:bCs/>
                <w:sz w:val="18"/>
                <w:szCs w:val="18"/>
                <w:lang w:val="fr-FR"/>
              </w:rPr>
              <w:t>18,7</w:t>
            </w:r>
          </w:p>
        </w:tc>
      </w:tr>
    </w:tbl>
    <w:p w:rsidR="00AE6933" w:rsidRPr="00BA3042" w:rsidRDefault="00AE6933" w:rsidP="00AE6933">
      <w:pPr>
        <w:pStyle w:val="SingleTxtG"/>
        <w:spacing w:before="240" w:after="240"/>
        <w:rPr>
          <w:lang w:val="fr-FR"/>
        </w:rPr>
      </w:pPr>
      <w:r w:rsidRPr="00BA3042">
        <w:rPr>
          <w:lang w:val="fr-FR"/>
        </w:rPr>
        <w:t>32.</w:t>
      </w:r>
      <w:r w:rsidRPr="00BA3042">
        <w:rPr>
          <w:lang w:val="fr-FR"/>
        </w:rPr>
        <w:tab/>
        <w:t>Les fonds investis dans les mesures et programmes énergiques en faveur de l’emploi augmentent d’année en année, de même que le nombre de personnes employées ou recrutées grâce à ce dispositif.</w:t>
      </w:r>
    </w:p>
    <w:tbl>
      <w:tblPr>
        <w:tblW w:w="8505" w:type="dxa"/>
        <w:tblInd w:w="1134"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tblPr>
      <w:tblGrid>
        <w:gridCol w:w="3892"/>
        <w:gridCol w:w="1427"/>
        <w:gridCol w:w="1582"/>
        <w:gridCol w:w="1604"/>
      </w:tblGrid>
      <w:tr w:rsidR="00372FB1" w:rsidRPr="00BA3042" w:rsidTr="00372FB1">
        <w:trPr>
          <w:tblHeader/>
        </w:trPr>
        <w:tc>
          <w:tcPr>
            <w:tcW w:w="3892" w:type="dxa"/>
            <w:tcBorders>
              <w:top w:val="single" w:sz="4" w:space="0" w:color="auto"/>
              <w:left w:val="nil"/>
              <w:bottom w:val="single" w:sz="12" w:space="0" w:color="auto"/>
            </w:tcBorders>
            <w:tcMar>
              <w:left w:w="0" w:type="dxa"/>
              <w:right w:w="0" w:type="dxa"/>
            </w:tcMar>
            <w:vAlign w:val="bottom"/>
          </w:tcPr>
          <w:p w:rsidR="00AE6933" w:rsidRPr="00BA3042" w:rsidRDefault="00AE6933" w:rsidP="00372FB1">
            <w:pPr>
              <w:spacing w:before="80" w:after="80" w:line="200" w:lineRule="exact"/>
              <w:rPr>
                <w:i/>
                <w:sz w:val="16"/>
                <w:szCs w:val="16"/>
                <w:lang w:val="fr-FR"/>
              </w:rPr>
            </w:pPr>
            <w:r w:rsidRPr="00BA3042">
              <w:rPr>
                <w:i/>
                <w:sz w:val="16"/>
                <w:szCs w:val="16"/>
                <w:lang w:val="fr-FR"/>
              </w:rPr>
              <w:t>Mesures et programmes énergiques en faveur de l’emploi</w:t>
            </w:r>
          </w:p>
        </w:tc>
        <w:tc>
          <w:tcPr>
            <w:tcW w:w="1427" w:type="dxa"/>
            <w:tcBorders>
              <w:top w:val="single" w:sz="4" w:space="0" w:color="auto"/>
              <w:bottom w:val="single" w:sz="12" w:space="0" w:color="auto"/>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 xml:space="preserve">2010 </w:t>
            </w:r>
            <w:r w:rsidRPr="00BA3042">
              <w:rPr>
                <w:i/>
                <w:sz w:val="16"/>
                <w:szCs w:val="16"/>
                <w:lang w:val="fr-FR"/>
              </w:rPr>
              <w:br/>
              <w:t>(en millions de denar)</w:t>
            </w:r>
          </w:p>
        </w:tc>
        <w:tc>
          <w:tcPr>
            <w:tcW w:w="1582" w:type="dxa"/>
            <w:tcBorders>
              <w:top w:val="single" w:sz="4" w:space="0" w:color="auto"/>
              <w:bottom w:val="single" w:sz="12" w:space="0" w:color="auto"/>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2011</w:t>
            </w:r>
            <w:r w:rsidRPr="00BA3042">
              <w:rPr>
                <w:i/>
                <w:sz w:val="16"/>
                <w:szCs w:val="16"/>
                <w:lang w:val="fr-FR"/>
              </w:rPr>
              <w:br/>
              <w:t>(en millions de denar)</w:t>
            </w:r>
          </w:p>
        </w:tc>
        <w:tc>
          <w:tcPr>
            <w:tcW w:w="1604" w:type="dxa"/>
            <w:tcBorders>
              <w:top w:val="single" w:sz="4" w:space="0" w:color="auto"/>
              <w:bottom w:val="single" w:sz="12" w:space="0" w:color="auto"/>
              <w:right w:val="nil"/>
            </w:tcBorders>
            <w:tcMar>
              <w:left w:w="0" w:type="dxa"/>
              <w:right w:w="0" w:type="dxa"/>
            </w:tcMar>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2012</w:t>
            </w:r>
            <w:r w:rsidRPr="00BA3042">
              <w:rPr>
                <w:i/>
                <w:sz w:val="16"/>
                <w:szCs w:val="16"/>
                <w:lang w:val="fr-FR"/>
              </w:rPr>
              <w:br/>
              <w:t>(en millions de denar)</w:t>
            </w:r>
          </w:p>
        </w:tc>
      </w:tr>
      <w:tr w:rsidR="00372FB1" w:rsidRPr="00BA3042" w:rsidTr="00372FB1">
        <w:tc>
          <w:tcPr>
            <w:tcW w:w="3892" w:type="dxa"/>
            <w:tcBorders>
              <w:top w:val="single" w:sz="12" w:space="0" w:color="auto"/>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en faveur du travail indépendant</w:t>
            </w:r>
          </w:p>
        </w:tc>
        <w:tc>
          <w:tcPr>
            <w:tcW w:w="1427" w:type="dxa"/>
            <w:tcBorders>
              <w:top w:val="single" w:sz="12"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147,5</w:t>
            </w:r>
          </w:p>
        </w:tc>
        <w:tc>
          <w:tcPr>
            <w:tcW w:w="1582" w:type="dxa"/>
            <w:tcBorders>
              <w:top w:val="single" w:sz="12"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147,5</w:t>
            </w:r>
          </w:p>
        </w:tc>
        <w:tc>
          <w:tcPr>
            <w:tcW w:w="1604" w:type="dxa"/>
            <w:tcBorders>
              <w:top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188,31</w:t>
            </w:r>
          </w:p>
        </w:tc>
      </w:tr>
      <w:tr w:rsidR="00372FB1" w:rsidRPr="00BA3042" w:rsidTr="00372FB1">
        <w:tc>
          <w:tcPr>
            <w:tcW w:w="3892"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Officialisation d’entreprise</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r w:rsidR="00372FB1" w:rsidRPr="00BA3042">
              <w:rPr>
                <w:sz w:val="18"/>
                <w:szCs w:val="18"/>
                <w:lang w:val="fr-FR"/>
              </w:rPr>
              <w:t>,00</w:t>
            </w:r>
          </w:p>
        </w:tc>
        <w:tc>
          <w:tcPr>
            <w:tcW w:w="158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r w:rsidR="00372FB1" w:rsidRPr="00BA3042">
              <w:rPr>
                <w:sz w:val="18"/>
                <w:szCs w:val="18"/>
                <w:lang w:val="fr-FR"/>
              </w:rPr>
              <w:t>,00</w:t>
            </w:r>
          </w:p>
        </w:tc>
        <w:tc>
          <w:tcPr>
            <w:tcW w:w="1604"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r>
      <w:tr w:rsidR="00372FB1" w:rsidRPr="00BA3042" w:rsidTr="00372FB1">
        <w:tc>
          <w:tcPr>
            <w:tcW w:w="3892"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Soutien financier accordé aux personnes morales/créations de postes</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4,6</w:t>
            </w:r>
          </w:p>
        </w:tc>
        <w:tc>
          <w:tcPr>
            <w:tcW w:w="158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r w:rsidR="00372FB1" w:rsidRPr="00BA3042">
              <w:rPr>
                <w:sz w:val="18"/>
                <w:szCs w:val="18"/>
                <w:lang w:val="fr-FR"/>
              </w:rPr>
              <w:t>,00</w:t>
            </w:r>
          </w:p>
        </w:tc>
        <w:tc>
          <w:tcPr>
            <w:tcW w:w="1604"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8,28</w:t>
            </w:r>
          </w:p>
        </w:tc>
      </w:tr>
      <w:tr w:rsidR="00372FB1" w:rsidRPr="00BA3042" w:rsidTr="00372FB1">
        <w:tc>
          <w:tcPr>
            <w:tcW w:w="3892"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de développement de l’entreprenariat et de soutien aux entreprises existantes</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0,3</w:t>
            </w:r>
          </w:p>
        </w:tc>
        <w:tc>
          <w:tcPr>
            <w:tcW w:w="158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04"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r>
      <w:tr w:rsidR="00372FB1" w:rsidRPr="00BA3042" w:rsidTr="00372FB1">
        <w:tc>
          <w:tcPr>
            <w:tcW w:w="3892"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w:t>
            </w:r>
            <w:r w:rsidR="00372FB1" w:rsidRPr="00BA3042">
              <w:rPr>
                <w:sz w:val="18"/>
                <w:szCs w:val="18"/>
                <w:lang w:val="fr-FR"/>
              </w:rPr>
              <w:t>e pilote pour la mobilité de la</w:t>
            </w:r>
            <w:r w:rsidR="00372FB1" w:rsidRPr="00BA3042">
              <w:rPr>
                <w:sz w:val="18"/>
                <w:szCs w:val="18"/>
                <w:lang w:val="fr-FR"/>
              </w:rPr>
              <w:br/>
            </w:r>
            <w:r w:rsidRPr="00BA3042">
              <w:rPr>
                <w:sz w:val="18"/>
                <w:szCs w:val="18"/>
                <w:lang w:val="fr-FR"/>
              </w:rPr>
              <w:t>main-d’œuvre</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w:t>
            </w:r>
            <w:r w:rsidR="00372FB1" w:rsidRPr="00BA3042">
              <w:rPr>
                <w:sz w:val="18"/>
                <w:szCs w:val="18"/>
                <w:lang w:val="fr-FR"/>
              </w:rPr>
              <w:t>0</w:t>
            </w:r>
          </w:p>
        </w:tc>
        <w:tc>
          <w:tcPr>
            <w:tcW w:w="1604"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r>
      <w:tr w:rsidR="00372FB1" w:rsidRPr="00BA3042" w:rsidTr="00372FB1">
        <w:tc>
          <w:tcPr>
            <w:tcW w:w="3892"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de préparation à l’emploi</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12,66</w:t>
            </w:r>
          </w:p>
        </w:tc>
        <w:tc>
          <w:tcPr>
            <w:tcW w:w="158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13,8</w:t>
            </w:r>
            <w:r w:rsidR="00372FB1" w:rsidRPr="00BA3042">
              <w:rPr>
                <w:sz w:val="18"/>
                <w:szCs w:val="18"/>
                <w:lang w:val="fr-FR"/>
              </w:rPr>
              <w:t>0</w:t>
            </w:r>
          </w:p>
        </w:tc>
        <w:tc>
          <w:tcPr>
            <w:tcW w:w="1604"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12,3</w:t>
            </w:r>
            <w:r w:rsidR="00372FB1" w:rsidRPr="00BA3042">
              <w:rPr>
                <w:sz w:val="18"/>
                <w:szCs w:val="18"/>
                <w:lang w:val="fr-FR"/>
              </w:rPr>
              <w:t>0</w:t>
            </w:r>
          </w:p>
        </w:tc>
      </w:tr>
      <w:tr w:rsidR="00372FB1" w:rsidRPr="00BA3042" w:rsidTr="00372FB1">
        <w:tc>
          <w:tcPr>
            <w:tcW w:w="3892" w:type="dxa"/>
            <w:tcBorders>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 xml:space="preserve">Formation pilote destinée à des jeunes de moins de 30 ans connaissant déjà un employeur dans l’industrie textile </w:t>
            </w:r>
          </w:p>
        </w:tc>
        <w:tc>
          <w:tcPr>
            <w:tcW w:w="1427"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1,23</w:t>
            </w:r>
          </w:p>
        </w:tc>
        <w:tc>
          <w:tcPr>
            <w:tcW w:w="1604" w:type="dxa"/>
            <w:tcBorders>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r>
      <w:tr w:rsidR="00372FB1" w:rsidRPr="00BA3042" w:rsidTr="00372FB1">
        <w:tc>
          <w:tcPr>
            <w:tcW w:w="3892" w:type="dxa"/>
            <w:tcBorders>
              <w:left w:val="nil"/>
              <w:bottom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Emplois subventionnés</w:t>
            </w:r>
          </w:p>
        </w:tc>
        <w:tc>
          <w:tcPr>
            <w:tcW w:w="1427" w:type="dxa"/>
            <w:tcBorders>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264,22</w:t>
            </w:r>
          </w:p>
        </w:tc>
        <w:tc>
          <w:tcPr>
            <w:tcW w:w="1582" w:type="dxa"/>
            <w:tcBorders>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57,14</w:t>
            </w:r>
          </w:p>
        </w:tc>
        <w:tc>
          <w:tcPr>
            <w:tcW w:w="1604" w:type="dxa"/>
            <w:tcBorders>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197,02</w:t>
            </w:r>
          </w:p>
        </w:tc>
      </w:tr>
      <w:tr w:rsidR="00372FB1" w:rsidRPr="00BA3042" w:rsidTr="00372FB1">
        <w:tc>
          <w:tcPr>
            <w:tcW w:w="3892" w:type="dxa"/>
            <w:tcBorders>
              <w:top w:val="nil"/>
              <w:left w:val="nil"/>
              <w:bottom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Apprentissage, premier emploi pour les jeunes</w:t>
            </w:r>
          </w:p>
        </w:tc>
        <w:tc>
          <w:tcPr>
            <w:tcW w:w="1427"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2,19</w:t>
            </w:r>
          </w:p>
        </w:tc>
        <w:tc>
          <w:tcPr>
            <w:tcW w:w="1582"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4,37</w:t>
            </w:r>
          </w:p>
        </w:tc>
        <w:tc>
          <w:tcPr>
            <w:tcW w:w="1604" w:type="dxa"/>
            <w:tcBorders>
              <w:top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0,94</w:t>
            </w:r>
          </w:p>
        </w:tc>
      </w:tr>
      <w:tr w:rsidR="00372FB1" w:rsidRPr="00BA3042" w:rsidTr="00372FB1">
        <w:tc>
          <w:tcPr>
            <w:tcW w:w="3892" w:type="dxa"/>
            <w:tcBorders>
              <w:top w:val="nil"/>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d’apprentissage non rémunéré</w:t>
            </w:r>
          </w:p>
        </w:tc>
        <w:tc>
          <w:tcPr>
            <w:tcW w:w="1427" w:type="dxa"/>
            <w:tcBorders>
              <w:top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1582" w:type="dxa"/>
            <w:tcBorders>
              <w:top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1604" w:type="dxa"/>
            <w:tcBorders>
              <w:top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2,2</w:t>
            </w:r>
          </w:p>
        </w:tc>
      </w:tr>
      <w:tr w:rsidR="00372FB1" w:rsidRPr="00BA3042" w:rsidTr="00372FB1">
        <w:tc>
          <w:tcPr>
            <w:tcW w:w="3892" w:type="dxa"/>
            <w:tcBorders>
              <w:left w:val="nil"/>
              <w:bottom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Enquête sur les offres d’emploi</w:t>
            </w:r>
          </w:p>
        </w:tc>
        <w:tc>
          <w:tcPr>
            <w:tcW w:w="1427" w:type="dxa"/>
            <w:tcBorders>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0,29</w:t>
            </w:r>
          </w:p>
        </w:tc>
        <w:tc>
          <w:tcPr>
            <w:tcW w:w="1582" w:type="dxa"/>
            <w:tcBorders>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0,19</w:t>
            </w:r>
          </w:p>
        </w:tc>
        <w:tc>
          <w:tcPr>
            <w:tcW w:w="1604" w:type="dxa"/>
            <w:tcBorders>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0,12</w:t>
            </w:r>
          </w:p>
        </w:tc>
      </w:tr>
      <w:tr w:rsidR="00372FB1" w:rsidRPr="00BA3042" w:rsidTr="00372FB1">
        <w:tc>
          <w:tcPr>
            <w:tcW w:w="3892" w:type="dxa"/>
            <w:tcBorders>
              <w:top w:val="nil"/>
              <w:left w:val="nil"/>
              <w:bottom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de travaux publics</w:t>
            </w:r>
          </w:p>
        </w:tc>
        <w:tc>
          <w:tcPr>
            <w:tcW w:w="1427"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04" w:type="dxa"/>
            <w:tcBorders>
              <w:top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87,94</w:t>
            </w:r>
          </w:p>
        </w:tc>
      </w:tr>
      <w:tr w:rsidR="00372FB1" w:rsidRPr="00BA3042" w:rsidTr="00372FB1">
        <w:tc>
          <w:tcPr>
            <w:tcW w:w="3892" w:type="dxa"/>
            <w:tcBorders>
              <w:top w:val="nil"/>
              <w:left w:val="nil"/>
              <w:bottom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pilote pour l’emploi indépendant durable par la formation</w:t>
            </w:r>
          </w:p>
        </w:tc>
        <w:tc>
          <w:tcPr>
            <w:tcW w:w="1427"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1582"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1604" w:type="dxa"/>
            <w:tcBorders>
              <w:top w:val="nil"/>
              <w:bottom w:val="nil"/>
              <w:right w:val="nil"/>
            </w:tcBorders>
            <w:tcMar>
              <w:left w:w="0" w:type="dxa"/>
              <w:right w:w="0" w:type="dxa"/>
            </w:tcMar>
            <w:vAlign w:val="bottom"/>
          </w:tcPr>
          <w:p w:rsidR="00AE6933" w:rsidRPr="00BA3042" w:rsidDel="003219EE" w:rsidRDefault="00AE6933" w:rsidP="00E40CAC">
            <w:pPr>
              <w:suppressAutoHyphens w:val="0"/>
              <w:spacing w:before="40" w:after="40" w:line="220" w:lineRule="exact"/>
              <w:jc w:val="right"/>
              <w:rPr>
                <w:sz w:val="18"/>
                <w:szCs w:val="18"/>
                <w:lang w:val="fr-FR"/>
              </w:rPr>
            </w:pPr>
            <w:r w:rsidRPr="00BA3042">
              <w:rPr>
                <w:sz w:val="18"/>
                <w:szCs w:val="18"/>
                <w:lang w:val="fr-FR"/>
              </w:rPr>
              <w:t>0,44</w:t>
            </w:r>
          </w:p>
        </w:tc>
      </w:tr>
      <w:tr w:rsidR="00372FB1" w:rsidRPr="00BA3042" w:rsidTr="00372FB1">
        <w:tc>
          <w:tcPr>
            <w:tcW w:w="3892" w:type="dxa"/>
            <w:tcBorders>
              <w:top w:val="nil"/>
              <w:left w:val="nil"/>
              <w:bottom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pilote de services communautaires</w:t>
            </w:r>
          </w:p>
        </w:tc>
        <w:tc>
          <w:tcPr>
            <w:tcW w:w="1427"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1582" w:type="dxa"/>
            <w:tcBorders>
              <w:top w:val="nil"/>
              <w:bottom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1604" w:type="dxa"/>
            <w:tcBorders>
              <w:top w:val="nil"/>
              <w:bottom w:val="nil"/>
              <w:right w:val="nil"/>
            </w:tcBorders>
            <w:tcMar>
              <w:left w:w="0" w:type="dxa"/>
              <w:right w:w="0" w:type="dxa"/>
            </w:tcMar>
            <w:vAlign w:val="bottom"/>
          </w:tcPr>
          <w:p w:rsidR="00AE6933" w:rsidRPr="00BA3042" w:rsidDel="003219EE" w:rsidRDefault="00AE6933" w:rsidP="00E40CAC">
            <w:pPr>
              <w:suppressAutoHyphens w:val="0"/>
              <w:spacing w:before="40" w:after="40" w:line="220" w:lineRule="exact"/>
              <w:jc w:val="right"/>
              <w:rPr>
                <w:sz w:val="18"/>
                <w:szCs w:val="18"/>
                <w:lang w:val="fr-FR"/>
              </w:rPr>
            </w:pPr>
            <w:r w:rsidRPr="00BA3042">
              <w:rPr>
                <w:sz w:val="18"/>
                <w:szCs w:val="18"/>
                <w:lang w:val="fr-FR"/>
              </w:rPr>
              <w:t>0,48</w:t>
            </w:r>
          </w:p>
        </w:tc>
      </w:tr>
      <w:tr w:rsidR="00372FB1" w:rsidRPr="00BA3042" w:rsidTr="00372FB1">
        <w:tc>
          <w:tcPr>
            <w:tcW w:w="3892" w:type="dxa"/>
            <w:tcBorders>
              <w:top w:val="nil"/>
              <w:lef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 xml:space="preserve">Émancipation économique des femmes victimes de violences familiales </w:t>
            </w:r>
          </w:p>
        </w:tc>
        <w:tc>
          <w:tcPr>
            <w:tcW w:w="1427" w:type="dxa"/>
            <w:tcBorders>
              <w:top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Borders>
              <w:top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604" w:type="dxa"/>
            <w:tcBorders>
              <w:top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12,51</w:t>
            </w:r>
          </w:p>
        </w:tc>
      </w:tr>
      <w:tr w:rsidR="00372FB1" w:rsidRPr="00BA3042" w:rsidTr="00372FB1">
        <w:tc>
          <w:tcPr>
            <w:tcW w:w="3892" w:type="dxa"/>
            <w:tcBorders>
              <w:left w:val="nil"/>
              <w:bottom w:val="single" w:sz="4" w:space="0" w:color="auto"/>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Programme de crédits pour l’emploi</w:t>
            </w:r>
          </w:p>
        </w:tc>
        <w:tc>
          <w:tcPr>
            <w:tcW w:w="1427" w:type="dxa"/>
            <w:tcBorders>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Borders>
              <w:bottom w:val="single" w:sz="4" w:space="0" w:color="auto"/>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111,62</w:t>
            </w:r>
          </w:p>
        </w:tc>
        <w:tc>
          <w:tcPr>
            <w:tcW w:w="1604" w:type="dxa"/>
            <w:tcBorders>
              <w:bottom w:val="single" w:sz="4"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14,76</w:t>
            </w:r>
          </w:p>
        </w:tc>
      </w:tr>
      <w:tr w:rsidR="00372FB1" w:rsidRPr="00BA3042" w:rsidTr="00372FB1">
        <w:tc>
          <w:tcPr>
            <w:tcW w:w="3892" w:type="dxa"/>
            <w:tcBorders>
              <w:top w:val="single" w:sz="4" w:space="0" w:color="auto"/>
              <w:left w:val="nil"/>
              <w:bottom w:val="single" w:sz="6" w:space="0" w:color="auto"/>
            </w:tcBorders>
            <w:tcMar>
              <w:left w:w="0" w:type="dxa"/>
              <w:right w:w="0" w:type="dxa"/>
            </w:tcMar>
          </w:tcPr>
          <w:p w:rsidR="00AE6933" w:rsidRPr="00BA3042" w:rsidRDefault="00AE6933" w:rsidP="00E40CAC">
            <w:pPr>
              <w:spacing w:before="80" w:after="80" w:line="220" w:lineRule="exact"/>
              <w:ind w:firstLine="284"/>
              <w:rPr>
                <w:b/>
                <w:sz w:val="18"/>
                <w:szCs w:val="18"/>
                <w:lang w:val="fr-FR"/>
              </w:rPr>
            </w:pPr>
            <w:r w:rsidRPr="00BA3042">
              <w:rPr>
                <w:b/>
                <w:sz w:val="18"/>
                <w:szCs w:val="18"/>
                <w:lang w:val="fr-FR"/>
              </w:rPr>
              <w:t>Total en denar</w:t>
            </w:r>
          </w:p>
        </w:tc>
        <w:tc>
          <w:tcPr>
            <w:tcW w:w="1427" w:type="dxa"/>
            <w:tcBorders>
              <w:top w:val="single" w:sz="4" w:space="0" w:color="auto"/>
              <w:bottom w:val="single" w:sz="6" w:space="0" w:color="auto"/>
            </w:tcBorders>
            <w:tcMar>
              <w:left w:w="0" w:type="dxa"/>
              <w:right w:w="0" w:type="dxa"/>
            </w:tcMar>
            <w:vAlign w:val="bottom"/>
          </w:tcPr>
          <w:p w:rsidR="00AE6933" w:rsidRPr="00BA3042" w:rsidRDefault="00AE6933" w:rsidP="00E40CAC">
            <w:pPr>
              <w:suppressAutoHyphens w:val="0"/>
              <w:spacing w:before="80" w:after="80" w:line="220" w:lineRule="exact"/>
              <w:jc w:val="right"/>
              <w:rPr>
                <w:b/>
                <w:bCs/>
                <w:sz w:val="18"/>
                <w:szCs w:val="18"/>
                <w:lang w:val="fr-FR"/>
              </w:rPr>
            </w:pPr>
            <w:r w:rsidRPr="00BA3042">
              <w:rPr>
                <w:b/>
                <w:bCs/>
                <w:sz w:val="18"/>
                <w:szCs w:val="18"/>
                <w:lang w:val="fr-FR"/>
              </w:rPr>
              <w:t>478,8</w:t>
            </w:r>
            <w:r w:rsidR="00372FB1" w:rsidRPr="00BA3042">
              <w:rPr>
                <w:b/>
                <w:bCs/>
                <w:sz w:val="18"/>
                <w:szCs w:val="18"/>
                <w:lang w:val="fr-FR"/>
              </w:rPr>
              <w:t>0</w:t>
            </w:r>
            <w:r w:rsidRPr="00BA3042">
              <w:rPr>
                <w:b/>
                <w:bCs/>
                <w:sz w:val="18"/>
                <w:szCs w:val="18"/>
                <w:lang w:val="fr-FR"/>
              </w:rPr>
              <w:t xml:space="preserve"> </w:t>
            </w:r>
          </w:p>
        </w:tc>
        <w:tc>
          <w:tcPr>
            <w:tcW w:w="1582" w:type="dxa"/>
            <w:tcBorders>
              <w:top w:val="single" w:sz="4" w:space="0" w:color="auto"/>
              <w:bottom w:val="single" w:sz="6" w:space="0" w:color="auto"/>
            </w:tcBorders>
            <w:tcMar>
              <w:left w:w="0" w:type="dxa"/>
              <w:right w:w="0" w:type="dxa"/>
            </w:tcMar>
            <w:vAlign w:val="bottom"/>
          </w:tcPr>
          <w:p w:rsidR="00AE6933" w:rsidRPr="00BA3042" w:rsidRDefault="00AE6933" w:rsidP="00E40CAC">
            <w:pPr>
              <w:suppressAutoHyphens w:val="0"/>
              <w:spacing w:before="80" w:after="80" w:line="220" w:lineRule="exact"/>
              <w:jc w:val="right"/>
              <w:rPr>
                <w:b/>
                <w:bCs/>
                <w:sz w:val="18"/>
                <w:szCs w:val="18"/>
                <w:lang w:val="fr-FR"/>
              </w:rPr>
            </w:pPr>
            <w:r w:rsidRPr="00BA3042">
              <w:rPr>
                <w:b/>
                <w:bCs/>
                <w:sz w:val="18"/>
                <w:szCs w:val="18"/>
                <w:lang w:val="fr-FR"/>
              </w:rPr>
              <w:t>392,19</w:t>
            </w:r>
          </w:p>
        </w:tc>
        <w:tc>
          <w:tcPr>
            <w:tcW w:w="1604" w:type="dxa"/>
            <w:tcBorders>
              <w:top w:val="single" w:sz="4" w:space="0" w:color="auto"/>
              <w:bottom w:val="single" w:sz="6" w:space="0" w:color="auto"/>
              <w:right w:val="nil"/>
            </w:tcBorders>
            <w:tcMar>
              <w:left w:w="0" w:type="dxa"/>
              <w:right w:w="0" w:type="dxa"/>
            </w:tcMar>
            <w:vAlign w:val="bottom"/>
          </w:tcPr>
          <w:p w:rsidR="00AE6933" w:rsidRPr="00BA3042" w:rsidRDefault="00AE6933" w:rsidP="00E40CAC">
            <w:pPr>
              <w:suppressAutoHyphens w:val="0"/>
              <w:spacing w:before="80" w:after="80" w:line="220" w:lineRule="exact"/>
              <w:jc w:val="right"/>
              <w:rPr>
                <w:b/>
                <w:bCs/>
                <w:sz w:val="18"/>
                <w:szCs w:val="18"/>
                <w:lang w:val="fr-FR"/>
              </w:rPr>
            </w:pPr>
            <w:r w:rsidRPr="00BA3042">
              <w:rPr>
                <w:b/>
                <w:bCs/>
                <w:sz w:val="18"/>
                <w:szCs w:val="18"/>
                <w:lang w:val="fr-FR"/>
              </w:rPr>
              <w:t>525,32</w:t>
            </w:r>
          </w:p>
        </w:tc>
      </w:tr>
      <w:tr w:rsidR="00372FB1" w:rsidRPr="00BA3042" w:rsidTr="00372FB1">
        <w:tc>
          <w:tcPr>
            <w:tcW w:w="3892" w:type="dxa"/>
            <w:tcBorders>
              <w:top w:val="single" w:sz="6" w:space="0" w:color="auto"/>
              <w:left w:val="nil"/>
              <w:bottom w:val="single" w:sz="12" w:space="0" w:color="auto"/>
            </w:tcBorders>
            <w:tcMar>
              <w:left w:w="0" w:type="dxa"/>
              <w:right w:w="0" w:type="dxa"/>
            </w:tcMar>
          </w:tcPr>
          <w:p w:rsidR="00AE6933" w:rsidRPr="00BA3042" w:rsidRDefault="00AE6933" w:rsidP="00E40CAC">
            <w:pPr>
              <w:spacing w:before="80" w:after="80" w:line="220" w:lineRule="exact"/>
              <w:ind w:firstLine="284"/>
              <w:rPr>
                <w:b/>
                <w:sz w:val="18"/>
                <w:szCs w:val="18"/>
                <w:lang w:val="fr-FR"/>
              </w:rPr>
            </w:pPr>
            <w:r w:rsidRPr="00BA3042">
              <w:rPr>
                <w:b/>
                <w:sz w:val="18"/>
                <w:szCs w:val="18"/>
                <w:lang w:val="fr-FR"/>
              </w:rPr>
              <w:t>Total en euros</w:t>
            </w:r>
          </w:p>
        </w:tc>
        <w:tc>
          <w:tcPr>
            <w:tcW w:w="1427" w:type="dxa"/>
            <w:tcBorders>
              <w:top w:val="single" w:sz="6" w:space="0" w:color="auto"/>
              <w:bottom w:val="single" w:sz="12" w:space="0" w:color="auto"/>
            </w:tcBorders>
            <w:tcMar>
              <w:left w:w="0" w:type="dxa"/>
              <w:right w:w="0" w:type="dxa"/>
            </w:tcMar>
            <w:vAlign w:val="bottom"/>
          </w:tcPr>
          <w:p w:rsidR="00AE6933" w:rsidRPr="00BA3042" w:rsidDel="001F6BEC" w:rsidRDefault="00AE6933" w:rsidP="00E40CAC">
            <w:pPr>
              <w:suppressAutoHyphens w:val="0"/>
              <w:spacing w:before="80" w:after="80" w:line="220" w:lineRule="exact"/>
              <w:jc w:val="right"/>
              <w:rPr>
                <w:b/>
                <w:bCs/>
                <w:sz w:val="18"/>
                <w:szCs w:val="18"/>
                <w:lang w:val="fr-FR"/>
              </w:rPr>
            </w:pPr>
            <w:r w:rsidRPr="00BA3042">
              <w:rPr>
                <w:b/>
                <w:bCs/>
                <w:sz w:val="18"/>
                <w:szCs w:val="18"/>
                <w:lang w:val="fr-FR"/>
              </w:rPr>
              <w:t>7,79</w:t>
            </w:r>
          </w:p>
        </w:tc>
        <w:tc>
          <w:tcPr>
            <w:tcW w:w="1582" w:type="dxa"/>
            <w:tcBorders>
              <w:top w:val="single" w:sz="6" w:space="0" w:color="auto"/>
              <w:bottom w:val="single" w:sz="12" w:space="0" w:color="auto"/>
            </w:tcBorders>
            <w:tcMar>
              <w:left w:w="0" w:type="dxa"/>
              <w:right w:w="0" w:type="dxa"/>
            </w:tcMar>
            <w:vAlign w:val="bottom"/>
          </w:tcPr>
          <w:p w:rsidR="00AE6933" w:rsidRPr="00BA3042" w:rsidDel="001F6BEC" w:rsidRDefault="00AE6933" w:rsidP="00E40CAC">
            <w:pPr>
              <w:suppressAutoHyphens w:val="0"/>
              <w:spacing w:before="80" w:after="80" w:line="220" w:lineRule="exact"/>
              <w:jc w:val="right"/>
              <w:rPr>
                <w:b/>
                <w:bCs/>
                <w:sz w:val="18"/>
                <w:szCs w:val="18"/>
                <w:lang w:val="fr-FR"/>
              </w:rPr>
            </w:pPr>
            <w:r w:rsidRPr="00BA3042">
              <w:rPr>
                <w:b/>
                <w:bCs/>
                <w:sz w:val="18"/>
                <w:szCs w:val="18"/>
                <w:lang w:val="fr-FR"/>
              </w:rPr>
              <w:t>6,4</w:t>
            </w:r>
            <w:r w:rsidR="00372FB1" w:rsidRPr="00BA3042">
              <w:rPr>
                <w:b/>
                <w:bCs/>
                <w:sz w:val="18"/>
                <w:szCs w:val="18"/>
                <w:lang w:val="fr-FR"/>
              </w:rPr>
              <w:t>0</w:t>
            </w:r>
          </w:p>
        </w:tc>
        <w:tc>
          <w:tcPr>
            <w:tcW w:w="1604" w:type="dxa"/>
            <w:tcBorders>
              <w:top w:val="single" w:sz="6" w:space="0" w:color="auto"/>
              <w:bottom w:val="single" w:sz="12" w:space="0" w:color="auto"/>
              <w:right w:val="nil"/>
            </w:tcBorders>
            <w:tcMar>
              <w:left w:w="0" w:type="dxa"/>
              <w:right w:w="0" w:type="dxa"/>
            </w:tcMar>
            <w:vAlign w:val="bottom"/>
          </w:tcPr>
          <w:p w:rsidR="00AE6933" w:rsidRPr="00BA3042" w:rsidDel="001F6BEC" w:rsidRDefault="00AE6933" w:rsidP="00E40CAC">
            <w:pPr>
              <w:suppressAutoHyphens w:val="0"/>
              <w:spacing w:before="80" w:after="80" w:line="220" w:lineRule="exact"/>
              <w:jc w:val="right"/>
              <w:rPr>
                <w:b/>
                <w:bCs/>
                <w:sz w:val="18"/>
                <w:szCs w:val="18"/>
                <w:lang w:val="fr-FR"/>
              </w:rPr>
            </w:pPr>
            <w:r w:rsidRPr="00BA3042">
              <w:rPr>
                <w:b/>
                <w:bCs/>
                <w:sz w:val="18"/>
                <w:szCs w:val="18"/>
                <w:lang w:val="fr-FR"/>
              </w:rPr>
              <w:t>8,54</w:t>
            </w:r>
          </w:p>
        </w:tc>
      </w:tr>
    </w:tbl>
    <w:p w:rsidR="00AE6933" w:rsidRPr="00BA3042" w:rsidRDefault="00372FB1" w:rsidP="00372FB1">
      <w:pPr>
        <w:pStyle w:val="H23G"/>
        <w:rPr>
          <w:lang w:val="fr-FR"/>
        </w:rPr>
      </w:pPr>
      <w:r w:rsidRPr="00BA3042">
        <w:rPr>
          <w:lang w:val="fr-FR"/>
        </w:rPr>
        <w:tab/>
      </w:r>
      <w:r w:rsidRPr="00BA3042">
        <w:rPr>
          <w:lang w:val="fr-FR"/>
        </w:rPr>
        <w:tab/>
      </w:r>
      <w:r w:rsidR="00AE6933" w:rsidRPr="00BA3042">
        <w:rPr>
          <w:lang w:val="fr-FR"/>
        </w:rPr>
        <w:t>Nombre de bénéficiaires des programmes en faveur du travail indépendant</w:t>
      </w:r>
    </w:p>
    <w:tbl>
      <w:tblPr>
        <w:tblW w:w="8505" w:type="dxa"/>
        <w:tblInd w:w="1134"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tblPr>
      <w:tblGrid>
        <w:gridCol w:w="3892"/>
        <w:gridCol w:w="1427"/>
        <w:gridCol w:w="1582"/>
        <w:gridCol w:w="1604"/>
      </w:tblGrid>
      <w:tr w:rsidR="00527338" w:rsidRPr="00BA3042" w:rsidTr="00E40CAC">
        <w:trPr>
          <w:tblHeader/>
        </w:trPr>
        <w:tc>
          <w:tcPr>
            <w:tcW w:w="3892" w:type="dxa"/>
            <w:tcBorders>
              <w:top w:val="single" w:sz="4" w:space="0" w:color="auto"/>
              <w:left w:val="nil"/>
              <w:bottom w:val="single" w:sz="12" w:space="0" w:color="auto"/>
            </w:tcBorders>
            <w:tcMar>
              <w:left w:w="0" w:type="dxa"/>
              <w:right w:w="0" w:type="dxa"/>
            </w:tcMar>
            <w:vAlign w:val="bottom"/>
          </w:tcPr>
          <w:p w:rsidR="00527338" w:rsidRPr="00BA3042" w:rsidRDefault="00527338" w:rsidP="00E40CAC">
            <w:pPr>
              <w:spacing w:before="80" w:after="80" w:line="200" w:lineRule="exact"/>
              <w:rPr>
                <w:i/>
                <w:sz w:val="16"/>
                <w:szCs w:val="16"/>
                <w:lang w:val="fr-FR"/>
              </w:rPr>
            </w:pPr>
            <w:r w:rsidRPr="00BA3042">
              <w:rPr>
                <w:i/>
                <w:sz w:val="16"/>
                <w:szCs w:val="16"/>
                <w:lang w:val="fr-FR"/>
              </w:rPr>
              <w:t>Mesures et programmes énergiques en faveur de l’emploi</w:t>
            </w:r>
          </w:p>
        </w:tc>
        <w:tc>
          <w:tcPr>
            <w:tcW w:w="1427" w:type="dxa"/>
            <w:tcBorders>
              <w:top w:val="single" w:sz="4" w:space="0" w:color="auto"/>
              <w:bottom w:val="single" w:sz="12" w:space="0" w:color="auto"/>
            </w:tcBorders>
            <w:tcMar>
              <w:left w:w="0" w:type="dxa"/>
              <w:right w:w="0" w:type="dxa"/>
            </w:tcMar>
          </w:tcPr>
          <w:p w:rsidR="00527338" w:rsidRPr="00BA3042" w:rsidRDefault="00527338" w:rsidP="00E40CAC">
            <w:pPr>
              <w:spacing w:before="80" w:after="80" w:line="200" w:lineRule="exact"/>
              <w:jc w:val="right"/>
              <w:rPr>
                <w:i/>
                <w:sz w:val="16"/>
                <w:szCs w:val="16"/>
                <w:lang w:val="fr-FR"/>
              </w:rPr>
            </w:pPr>
            <w:r w:rsidRPr="00BA3042">
              <w:rPr>
                <w:i/>
                <w:sz w:val="16"/>
                <w:szCs w:val="16"/>
                <w:lang w:val="fr-FR"/>
              </w:rPr>
              <w:t xml:space="preserve">2010 </w:t>
            </w:r>
            <w:r w:rsidRPr="00BA3042">
              <w:rPr>
                <w:i/>
                <w:sz w:val="16"/>
                <w:szCs w:val="16"/>
                <w:lang w:val="fr-FR"/>
              </w:rPr>
              <w:br/>
              <w:t>(en millions de denar)</w:t>
            </w:r>
          </w:p>
        </w:tc>
        <w:tc>
          <w:tcPr>
            <w:tcW w:w="1582" w:type="dxa"/>
            <w:tcBorders>
              <w:top w:val="single" w:sz="4" w:space="0" w:color="auto"/>
              <w:bottom w:val="single" w:sz="12" w:space="0" w:color="auto"/>
            </w:tcBorders>
            <w:tcMar>
              <w:left w:w="0" w:type="dxa"/>
              <w:right w:w="0" w:type="dxa"/>
            </w:tcMar>
          </w:tcPr>
          <w:p w:rsidR="00527338" w:rsidRPr="00BA3042" w:rsidRDefault="00527338" w:rsidP="00E40CAC">
            <w:pPr>
              <w:spacing w:before="80" w:after="80" w:line="200" w:lineRule="exact"/>
              <w:jc w:val="right"/>
              <w:rPr>
                <w:i/>
                <w:sz w:val="16"/>
                <w:szCs w:val="16"/>
                <w:lang w:val="fr-FR"/>
              </w:rPr>
            </w:pPr>
            <w:r w:rsidRPr="00BA3042">
              <w:rPr>
                <w:i/>
                <w:sz w:val="16"/>
                <w:szCs w:val="16"/>
                <w:lang w:val="fr-FR"/>
              </w:rPr>
              <w:t>2011</w:t>
            </w:r>
            <w:r w:rsidRPr="00BA3042">
              <w:rPr>
                <w:i/>
                <w:sz w:val="16"/>
                <w:szCs w:val="16"/>
                <w:lang w:val="fr-FR"/>
              </w:rPr>
              <w:br/>
              <w:t>(en millions de denar)</w:t>
            </w:r>
          </w:p>
        </w:tc>
        <w:tc>
          <w:tcPr>
            <w:tcW w:w="1604" w:type="dxa"/>
            <w:tcBorders>
              <w:top w:val="single" w:sz="4" w:space="0" w:color="auto"/>
              <w:bottom w:val="single" w:sz="12" w:space="0" w:color="auto"/>
              <w:right w:val="nil"/>
            </w:tcBorders>
            <w:tcMar>
              <w:left w:w="0" w:type="dxa"/>
              <w:right w:w="0" w:type="dxa"/>
            </w:tcMar>
          </w:tcPr>
          <w:p w:rsidR="00527338" w:rsidRPr="00BA3042" w:rsidRDefault="00527338" w:rsidP="00527338">
            <w:pPr>
              <w:spacing w:before="80" w:after="80" w:line="200" w:lineRule="exact"/>
              <w:jc w:val="right"/>
              <w:rPr>
                <w:i/>
                <w:sz w:val="16"/>
                <w:szCs w:val="16"/>
                <w:lang w:val="fr-FR"/>
              </w:rPr>
            </w:pPr>
            <w:r w:rsidRPr="00BA3042">
              <w:rPr>
                <w:i/>
                <w:sz w:val="16"/>
                <w:szCs w:val="16"/>
                <w:lang w:val="fr-FR"/>
              </w:rPr>
              <w:t>2012</w:t>
            </w:r>
            <w:r w:rsidRPr="00BA3042">
              <w:rPr>
                <w:i/>
                <w:sz w:val="16"/>
                <w:szCs w:val="16"/>
                <w:lang w:val="fr-FR"/>
              </w:rPr>
              <w:br/>
              <w:t>(en millions de denar)</w:t>
            </w:r>
          </w:p>
        </w:tc>
      </w:tr>
      <w:tr w:rsidR="00527338" w:rsidRPr="00BA3042" w:rsidTr="00E40CAC">
        <w:tc>
          <w:tcPr>
            <w:tcW w:w="3892" w:type="dxa"/>
            <w:tcBorders>
              <w:top w:val="single" w:sz="12" w:space="0" w:color="auto"/>
              <w:left w:val="nil"/>
            </w:tcBorders>
            <w:tcMar>
              <w:left w:w="0" w:type="dxa"/>
              <w:right w:w="0" w:type="dxa"/>
            </w:tcMar>
          </w:tcPr>
          <w:p w:rsidR="00527338" w:rsidRPr="00BA3042" w:rsidRDefault="00527338" w:rsidP="00E40CAC">
            <w:pPr>
              <w:spacing w:before="40" w:after="40" w:line="220" w:lineRule="exact"/>
              <w:rPr>
                <w:sz w:val="18"/>
                <w:szCs w:val="18"/>
                <w:lang w:val="fr-FR"/>
              </w:rPr>
            </w:pPr>
            <w:r w:rsidRPr="00BA3042">
              <w:rPr>
                <w:sz w:val="18"/>
                <w:szCs w:val="18"/>
                <w:lang w:val="fr-FR"/>
              </w:rPr>
              <w:t>Programme en faveur du travail indépendant</w:t>
            </w:r>
          </w:p>
        </w:tc>
        <w:tc>
          <w:tcPr>
            <w:tcW w:w="1427" w:type="dxa"/>
            <w:tcBorders>
              <w:top w:val="single" w:sz="12" w:space="0" w:color="auto"/>
            </w:tcBorders>
            <w:tcMar>
              <w:left w:w="0" w:type="dxa"/>
              <w:right w:w="0" w:type="dxa"/>
            </w:tcMar>
            <w:vAlign w:val="bottom"/>
          </w:tcPr>
          <w:p w:rsidR="00527338" w:rsidRPr="00BA3042" w:rsidRDefault="00527338" w:rsidP="00E40CAC">
            <w:pPr>
              <w:suppressAutoHyphens w:val="0"/>
              <w:spacing w:before="40" w:after="40" w:line="220" w:lineRule="exact"/>
              <w:jc w:val="right"/>
              <w:rPr>
                <w:sz w:val="18"/>
                <w:szCs w:val="18"/>
                <w:lang w:val="fr-FR"/>
              </w:rPr>
            </w:pPr>
            <w:r w:rsidRPr="00BA3042">
              <w:rPr>
                <w:sz w:val="18"/>
                <w:szCs w:val="18"/>
                <w:lang w:val="fr-FR"/>
              </w:rPr>
              <w:t>558</w:t>
            </w:r>
          </w:p>
        </w:tc>
        <w:tc>
          <w:tcPr>
            <w:tcW w:w="1582" w:type="dxa"/>
            <w:tcBorders>
              <w:top w:val="single" w:sz="12" w:space="0" w:color="auto"/>
            </w:tcBorders>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529</w:t>
            </w:r>
          </w:p>
        </w:tc>
        <w:tc>
          <w:tcPr>
            <w:tcW w:w="1604" w:type="dxa"/>
            <w:tcBorders>
              <w:top w:val="single" w:sz="12" w:space="0" w:color="auto"/>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sz w:val="18"/>
                <w:szCs w:val="18"/>
                <w:lang w:val="fr-FR"/>
              </w:rPr>
            </w:pPr>
            <w:r w:rsidRPr="00BA3042">
              <w:rPr>
                <w:bCs/>
                <w:sz w:val="18"/>
                <w:szCs w:val="18"/>
                <w:lang w:val="fr-FR"/>
              </w:rPr>
              <w:t>654</w:t>
            </w:r>
          </w:p>
        </w:tc>
      </w:tr>
      <w:tr w:rsidR="00527338" w:rsidRPr="00BA3042" w:rsidTr="00E40CAC">
        <w:tc>
          <w:tcPr>
            <w:tcW w:w="3892" w:type="dxa"/>
            <w:tcBorders>
              <w:left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Officialisation d’entreprise</w:t>
            </w:r>
          </w:p>
        </w:tc>
        <w:tc>
          <w:tcPr>
            <w:tcW w:w="1427"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w:t>
            </w:r>
          </w:p>
        </w:tc>
        <w:tc>
          <w:tcPr>
            <w:tcW w:w="1582"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113</w:t>
            </w:r>
          </w:p>
        </w:tc>
        <w:tc>
          <w:tcPr>
            <w:tcW w:w="1604" w:type="dxa"/>
            <w:tcBorders>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sz w:val="18"/>
                <w:szCs w:val="18"/>
                <w:lang w:val="fr-FR"/>
              </w:rPr>
            </w:pPr>
            <w:r w:rsidRPr="00BA3042">
              <w:rPr>
                <w:sz w:val="18"/>
                <w:szCs w:val="18"/>
                <w:lang w:val="fr-FR"/>
              </w:rPr>
              <w:t>250</w:t>
            </w:r>
          </w:p>
        </w:tc>
      </w:tr>
      <w:tr w:rsidR="00527338" w:rsidRPr="00BA3042" w:rsidTr="00E40CAC">
        <w:tc>
          <w:tcPr>
            <w:tcW w:w="3892" w:type="dxa"/>
            <w:tcBorders>
              <w:left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Programme de préparation à l’emploi</w:t>
            </w:r>
          </w:p>
        </w:tc>
        <w:tc>
          <w:tcPr>
            <w:tcW w:w="1427"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5 000</w:t>
            </w:r>
          </w:p>
        </w:tc>
        <w:tc>
          <w:tcPr>
            <w:tcW w:w="1582"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5 701</w:t>
            </w:r>
          </w:p>
        </w:tc>
        <w:tc>
          <w:tcPr>
            <w:tcW w:w="1604" w:type="dxa"/>
            <w:tcBorders>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bCs/>
                <w:sz w:val="18"/>
                <w:szCs w:val="18"/>
                <w:lang w:val="fr-FR"/>
              </w:rPr>
            </w:pPr>
            <w:r w:rsidRPr="00BA3042">
              <w:rPr>
                <w:bCs/>
                <w:sz w:val="18"/>
                <w:szCs w:val="18"/>
                <w:lang w:val="fr-FR"/>
              </w:rPr>
              <w:t>3 692</w:t>
            </w:r>
          </w:p>
        </w:tc>
      </w:tr>
      <w:tr w:rsidR="00527338" w:rsidRPr="00BA3042" w:rsidTr="00E40CAC">
        <w:tc>
          <w:tcPr>
            <w:tcW w:w="3892" w:type="dxa"/>
            <w:tcBorders>
              <w:left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Emplois subventionnés</w:t>
            </w:r>
          </w:p>
        </w:tc>
        <w:tc>
          <w:tcPr>
            <w:tcW w:w="1427"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348</w:t>
            </w:r>
          </w:p>
        </w:tc>
        <w:tc>
          <w:tcPr>
            <w:tcW w:w="1582"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356</w:t>
            </w:r>
          </w:p>
        </w:tc>
        <w:tc>
          <w:tcPr>
            <w:tcW w:w="1604" w:type="dxa"/>
            <w:tcBorders>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sz w:val="18"/>
                <w:szCs w:val="18"/>
                <w:lang w:val="fr-FR"/>
              </w:rPr>
            </w:pPr>
            <w:r w:rsidRPr="00BA3042">
              <w:rPr>
                <w:bCs/>
                <w:sz w:val="18"/>
                <w:szCs w:val="18"/>
                <w:lang w:val="fr-FR"/>
              </w:rPr>
              <w:t>1</w:t>
            </w:r>
            <w:r w:rsidRPr="00BA3042">
              <w:rPr>
                <w:sz w:val="18"/>
                <w:szCs w:val="18"/>
                <w:lang w:val="fr-FR"/>
              </w:rPr>
              <w:t> 816</w:t>
            </w:r>
          </w:p>
        </w:tc>
      </w:tr>
      <w:tr w:rsidR="00527338" w:rsidRPr="00BA3042" w:rsidTr="00E40CAC">
        <w:tc>
          <w:tcPr>
            <w:tcW w:w="3892" w:type="dxa"/>
            <w:tcBorders>
              <w:left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Apprentissage, premier emploi pour les jeunes</w:t>
            </w:r>
          </w:p>
        </w:tc>
        <w:tc>
          <w:tcPr>
            <w:tcW w:w="1427"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600</w:t>
            </w:r>
          </w:p>
        </w:tc>
        <w:tc>
          <w:tcPr>
            <w:tcW w:w="1582"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124</w:t>
            </w:r>
          </w:p>
        </w:tc>
        <w:tc>
          <w:tcPr>
            <w:tcW w:w="1604" w:type="dxa"/>
            <w:tcBorders>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sz w:val="18"/>
                <w:szCs w:val="18"/>
                <w:lang w:val="fr-FR"/>
              </w:rPr>
            </w:pPr>
            <w:r w:rsidRPr="00BA3042">
              <w:rPr>
                <w:bCs/>
                <w:sz w:val="18"/>
                <w:szCs w:val="18"/>
                <w:lang w:val="fr-FR"/>
              </w:rPr>
              <w:t>110</w:t>
            </w:r>
          </w:p>
        </w:tc>
      </w:tr>
      <w:tr w:rsidR="00527338" w:rsidRPr="00BA3042" w:rsidTr="00E40CAC">
        <w:tc>
          <w:tcPr>
            <w:tcW w:w="3892" w:type="dxa"/>
            <w:tcBorders>
              <w:left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Programme de travaux publics</w:t>
            </w:r>
          </w:p>
        </w:tc>
        <w:tc>
          <w:tcPr>
            <w:tcW w:w="1427" w:type="dxa"/>
            <w:tcMar>
              <w:left w:w="0" w:type="dxa"/>
              <w:right w:w="0" w:type="dxa"/>
            </w:tcMar>
            <w:vAlign w:val="bottom"/>
          </w:tcPr>
          <w:p w:rsidR="00527338" w:rsidRPr="00BA3042" w:rsidRDefault="00527338" w:rsidP="00E40CAC">
            <w:pPr>
              <w:suppressAutoHyphens w:val="0"/>
              <w:spacing w:before="40" w:after="40" w:line="220" w:lineRule="exact"/>
              <w:jc w:val="right"/>
              <w:rPr>
                <w:sz w:val="18"/>
                <w:szCs w:val="18"/>
                <w:lang w:val="fr-FR"/>
              </w:rPr>
            </w:pPr>
            <w:r w:rsidRPr="00BA3042">
              <w:rPr>
                <w:sz w:val="18"/>
                <w:szCs w:val="18"/>
                <w:lang w:val="fr-FR"/>
              </w:rPr>
              <w:t>1 383</w:t>
            </w:r>
          </w:p>
        </w:tc>
        <w:tc>
          <w:tcPr>
            <w:tcW w:w="1582"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w:t>
            </w:r>
          </w:p>
        </w:tc>
        <w:tc>
          <w:tcPr>
            <w:tcW w:w="1604" w:type="dxa"/>
            <w:tcBorders>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sz w:val="18"/>
                <w:szCs w:val="18"/>
                <w:lang w:val="fr-FR"/>
              </w:rPr>
            </w:pPr>
            <w:r w:rsidRPr="00BA3042">
              <w:rPr>
                <w:bCs/>
                <w:sz w:val="18"/>
                <w:szCs w:val="18"/>
                <w:lang w:val="fr-FR"/>
              </w:rPr>
              <w:t>4</w:t>
            </w:r>
            <w:r w:rsidRPr="00BA3042">
              <w:rPr>
                <w:sz w:val="18"/>
                <w:szCs w:val="18"/>
                <w:lang w:val="fr-FR"/>
              </w:rPr>
              <w:t> 983</w:t>
            </w:r>
          </w:p>
        </w:tc>
      </w:tr>
      <w:tr w:rsidR="00527338" w:rsidRPr="00BA3042" w:rsidTr="00E40CAC">
        <w:tc>
          <w:tcPr>
            <w:tcW w:w="3892" w:type="dxa"/>
            <w:tcBorders>
              <w:left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Enquête pilote sur les offres d’emploi</w:t>
            </w:r>
          </w:p>
        </w:tc>
        <w:tc>
          <w:tcPr>
            <w:tcW w:w="1427"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w:t>
            </w:r>
          </w:p>
        </w:tc>
        <w:tc>
          <w:tcPr>
            <w:tcW w:w="1582" w:type="dxa"/>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w:t>
            </w:r>
          </w:p>
        </w:tc>
        <w:tc>
          <w:tcPr>
            <w:tcW w:w="1604" w:type="dxa"/>
            <w:tcBorders>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sz w:val="18"/>
                <w:szCs w:val="18"/>
                <w:lang w:val="fr-FR"/>
              </w:rPr>
            </w:pPr>
            <w:r w:rsidRPr="00BA3042">
              <w:rPr>
                <w:sz w:val="18"/>
                <w:szCs w:val="18"/>
                <w:lang w:val="fr-FR"/>
              </w:rPr>
              <w:t>89</w:t>
            </w:r>
          </w:p>
        </w:tc>
      </w:tr>
      <w:tr w:rsidR="00527338" w:rsidRPr="00BA3042" w:rsidTr="00E40CAC">
        <w:tc>
          <w:tcPr>
            <w:tcW w:w="3892" w:type="dxa"/>
            <w:tcBorders>
              <w:left w:val="nil"/>
              <w:bottom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Émancipation économique des femmes victimes de violences familiales</w:t>
            </w:r>
          </w:p>
        </w:tc>
        <w:tc>
          <w:tcPr>
            <w:tcW w:w="1427" w:type="dxa"/>
            <w:tcBorders>
              <w:bottom w:val="nil"/>
            </w:tcBorders>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w:t>
            </w:r>
          </w:p>
        </w:tc>
        <w:tc>
          <w:tcPr>
            <w:tcW w:w="1582" w:type="dxa"/>
            <w:tcBorders>
              <w:bottom w:val="nil"/>
            </w:tcBorders>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w:t>
            </w:r>
          </w:p>
        </w:tc>
        <w:tc>
          <w:tcPr>
            <w:tcW w:w="1604" w:type="dxa"/>
            <w:tcBorders>
              <w:bottom w:val="nil"/>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sz w:val="18"/>
                <w:szCs w:val="18"/>
                <w:lang w:val="fr-FR"/>
              </w:rPr>
            </w:pPr>
            <w:r w:rsidRPr="00BA3042">
              <w:rPr>
                <w:sz w:val="18"/>
                <w:szCs w:val="18"/>
                <w:lang w:val="fr-FR"/>
              </w:rPr>
              <w:t>-</w:t>
            </w:r>
          </w:p>
        </w:tc>
      </w:tr>
      <w:tr w:rsidR="00527338" w:rsidRPr="00BA3042" w:rsidTr="00E40CAC">
        <w:tc>
          <w:tcPr>
            <w:tcW w:w="3892" w:type="dxa"/>
            <w:tcBorders>
              <w:top w:val="nil"/>
              <w:left w:val="nil"/>
              <w:bottom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Programme d’emploi des Roms</w:t>
            </w:r>
          </w:p>
        </w:tc>
        <w:tc>
          <w:tcPr>
            <w:tcW w:w="1427" w:type="dxa"/>
            <w:tcBorders>
              <w:top w:val="nil"/>
              <w:bottom w:val="nil"/>
            </w:tcBorders>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38</w:t>
            </w:r>
          </w:p>
        </w:tc>
        <w:tc>
          <w:tcPr>
            <w:tcW w:w="1582" w:type="dxa"/>
            <w:tcBorders>
              <w:top w:val="nil"/>
              <w:bottom w:val="nil"/>
            </w:tcBorders>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60</w:t>
            </w:r>
          </w:p>
        </w:tc>
        <w:tc>
          <w:tcPr>
            <w:tcW w:w="1604" w:type="dxa"/>
            <w:tcBorders>
              <w:top w:val="nil"/>
              <w:bottom w:val="nil"/>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bCs/>
                <w:sz w:val="18"/>
                <w:szCs w:val="18"/>
                <w:lang w:val="fr-FR"/>
              </w:rPr>
            </w:pPr>
            <w:r w:rsidRPr="00BA3042">
              <w:rPr>
                <w:bCs/>
                <w:sz w:val="18"/>
                <w:szCs w:val="18"/>
                <w:lang w:val="fr-FR"/>
              </w:rPr>
              <w:t>7</w:t>
            </w:r>
          </w:p>
        </w:tc>
      </w:tr>
      <w:tr w:rsidR="00527338" w:rsidRPr="00BA3042" w:rsidTr="00E40CAC">
        <w:tc>
          <w:tcPr>
            <w:tcW w:w="3892" w:type="dxa"/>
            <w:tcBorders>
              <w:top w:val="nil"/>
              <w:left w:val="nil"/>
            </w:tcBorders>
            <w:tcMar>
              <w:left w:w="0" w:type="dxa"/>
              <w:right w:w="0" w:type="dxa"/>
            </w:tcMar>
          </w:tcPr>
          <w:p w:rsidR="00527338" w:rsidRPr="00BA3042" w:rsidRDefault="00527338" w:rsidP="00E40CAC">
            <w:pPr>
              <w:spacing w:before="40" w:after="40" w:line="220" w:lineRule="exact"/>
              <w:ind w:right="-10"/>
              <w:rPr>
                <w:sz w:val="18"/>
                <w:szCs w:val="18"/>
                <w:lang w:val="fr-FR"/>
              </w:rPr>
            </w:pPr>
            <w:r w:rsidRPr="00BA3042">
              <w:rPr>
                <w:sz w:val="18"/>
                <w:szCs w:val="18"/>
                <w:lang w:val="fr-FR"/>
              </w:rPr>
              <w:t>Programme de crédits pour l’emploi</w:t>
            </w:r>
          </w:p>
        </w:tc>
        <w:tc>
          <w:tcPr>
            <w:tcW w:w="1427" w:type="dxa"/>
            <w:tcBorders>
              <w:top w:val="nil"/>
            </w:tcBorders>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w:t>
            </w:r>
          </w:p>
        </w:tc>
        <w:tc>
          <w:tcPr>
            <w:tcW w:w="1582" w:type="dxa"/>
            <w:tcBorders>
              <w:top w:val="nil"/>
            </w:tcBorders>
            <w:tcMar>
              <w:left w:w="0" w:type="dxa"/>
              <w:right w:w="0" w:type="dxa"/>
            </w:tcMar>
            <w:vAlign w:val="bottom"/>
          </w:tcPr>
          <w:p w:rsidR="00527338" w:rsidRPr="00BA3042" w:rsidRDefault="00527338" w:rsidP="00E40CAC">
            <w:pPr>
              <w:suppressAutoHyphens w:val="0"/>
              <w:spacing w:before="40" w:after="40" w:line="220" w:lineRule="exact"/>
              <w:jc w:val="right"/>
              <w:rPr>
                <w:bCs/>
                <w:sz w:val="18"/>
                <w:szCs w:val="18"/>
                <w:lang w:val="fr-FR"/>
              </w:rPr>
            </w:pPr>
            <w:r w:rsidRPr="00BA3042">
              <w:rPr>
                <w:bCs/>
                <w:sz w:val="18"/>
                <w:szCs w:val="18"/>
                <w:lang w:val="fr-FR"/>
              </w:rPr>
              <w:t>1 964</w:t>
            </w:r>
          </w:p>
        </w:tc>
        <w:tc>
          <w:tcPr>
            <w:tcW w:w="1604" w:type="dxa"/>
            <w:tcBorders>
              <w:top w:val="nil"/>
              <w:right w:val="nil"/>
            </w:tcBorders>
            <w:tcMar>
              <w:left w:w="0" w:type="dxa"/>
              <w:right w:w="0" w:type="dxa"/>
            </w:tcMar>
            <w:vAlign w:val="bottom"/>
          </w:tcPr>
          <w:p w:rsidR="00527338" w:rsidRPr="00BA3042" w:rsidRDefault="00527338" w:rsidP="00527338">
            <w:pPr>
              <w:suppressAutoHyphens w:val="0"/>
              <w:spacing w:before="40" w:after="40" w:line="220" w:lineRule="exact"/>
              <w:jc w:val="right"/>
              <w:rPr>
                <w:bCs/>
                <w:sz w:val="18"/>
                <w:szCs w:val="18"/>
                <w:lang w:val="fr-FR"/>
              </w:rPr>
            </w:pPr>
            <w:r w:rsidRPr="00BA3042">
              <w:rPr>
                <w:bCs/>
                <w:sz w:val="18"/>
                <w:szCs w:val="18"/>
                <w:lang w:val="fr-FR"/>
              </w:rPr>
              <w:t>1 315</w:t>
            </w:r>
          </w:p>
        </w:tc>
      </w:tr>
      <w:tr w:rsidR="00527338" w:rsidRPr="00BA3042" w:rsidTr="00E40CAC">
        <w:tc>
          <w:tcPr>
            <w:tcW w:w="3892" w:type="dxa"/>
            <w:tcBorders>
              <w:top w:val="single" w:sz="6" w:space="0" w:color="auto"/>
              <w:left w:val="nil"/>
              <w:bottom w:val="single" w:sz="12" w:space="0" w:color="auto"/>
            </w:tcBorders>
            <w:tcMar>
              <w:left w:w="0" w:type="dxa"/>
              <w:right w:w="0" w:type="dxa"/>
            </w:tcMar>
            <w:vAlign w:val="center"/>
          </w:tcPr>
          <w:p w:rsidR="00527338" w:rsidRPr="00BA3042" w:rsidRDefault="00527338" w:rsidP="00E40CAC">
            <w:pPr>
              <w:spacing w:before="80" w:after="80" w:line="220" w:lineRule="exact"/>
              <w:ind w:right="-10" w:firstLine="284"/>
              <w:rPr>
                <w:b/>
                <w:sz w:val="18"/>
                <w:szCs w:val="18"/>
                <w:lang w:val="fr-FR"/>
              </w:rPr>
            </w:pPr>
            <w:r w:rsidRPr="00BA3042">
              <w:rPr>
                <w:b/>
                <w:sz w:val="18"/>
                <w:szCs w:val="18"/>
                <w:lang w:val="fr-FR"/>
              </w:rPr>
              <w:t>Total</w:t>
            </w:r>
          </w:p>
        </w:tc>
        <w:tc>
          <w:tcPr>
            <w:tcW w:w="1427" w:type="dxa"/>
            <w:tcBorders>
              <w:top w:val="single" w:sz="6" w:space="0" w:color="auto"/>
              <w:bottom w:val="single" w:sz="12" w:space="0" w:color="auto"/>
            </w:tcBorders>
            <w:tcMar>
              <w:left w:w="0" w:type="dxa"/>
              <w:right w:w="0" w:type="dxa"/>
            </w:tcMar>
            <w:vAlign w:val="center"/>
          </w:tcPr>
          <w:p w:rsidR="00527338" w:rsidRPr="00BA3042" w:rsidRDefault="00527338" w:rsidP="00E40CAC">
            <w:pPr>
              <w:suppressAutoHyphens w:val="0"/>
              <w:spacing w:before="80" w:after="80" w:line="220" w:lineRule="exact"/>
              <w:jc w:val="right"/>
              <w:rPr>
                <w:b/>
                <w:sz w:val="18"/>
                <w:szCs w:val="18"/>
                <w:lang w:val="fr-FR"/>
              </w:rPr>
            </w:pPr>
            <w:r w:rsidRPr="00BA3042">
              <w:rPr>
                <w:b/>
                <w:bCs/>
                <w:i/>
                <w:sz w:val="18"/>
                <w:szCs w:val="18"/>
                <w:lang w:val="fr-FR"/>
              </w:rPr>
              <w:t>7</w:t>
            </w:r>
            <w:r w:rsidRPr="00BA3042">
              <w:rPr>
                <w:b/>
                <w:sz w:val="18"/>
                <w:szCs w:val="18"/>
                <w:lang w:val="fr-FR"/>
              </w:rPr>
              <w:t> 995</w:t>
            </w:r>
          </w:p>
        </w:tc>
        <w:tc>
          <w:tcPr>
            <w:tcW w:w="1582" w:type="dxa"/>
            <w:tcBorders>
              <w:top w:val="single" w:sz="6" w:space="0" w:color="auto"/>
              <w:bottom w:val="single" w:sz="12" w:space="0" w:color="auto"/>
            </w:tcBorders>
            <w:tcMar>
              <w:left w:w="0" w:type="dxa"/>
              <w:right w:w="0" w:type="dxa"/>
            </w:tcMar>
            <w:vAlign w:val="center"/>
          </w:tcPr>
          <w:p w:rsidR="00527338" w:rsidRPr="00BA3042" w:rsidRDefault="00527338" w:rsidP="00E40CAC">
            <w:pPr>
              <w:suppressAutoHyphens w:val="0"/>
              <w:spacing w:before="80" w:after="80" w:line="220" w:lineRule="exact"/>
              <w:jc w:val="right"/>
              <w:rPr>
                <w:b/>
                <w:bCs/>
                <w:sz w:val="18"/>
                <w:szCs w:val="18"/>
                <w:lang w:val="fr-FR"/>
              </w:rPr>
            </w:pPr>
            <w:r w:rsidRPr="00BA3042">
              <w:rPr>
                <w:b/>
                <w:bCs/>
                <w:sz w:val="18"/>
                <w:szCs w:val="18"/>
                <w:lang w:val="fr-FR"/>
              </w:rPr>
              <w:t>8 847</w:t>
            </w:r>
          </w:p>
        </w:tc>
        <w:tc>
          <w:tcPr>
            <w:tcW w:w="1604" w:type="dxa"/>
            <w:tcBorders>
              <w:top w:val="single" w:sz="6" w:space="0" w:color="auto"/>
              <w:bottom w:val="single" w:sz="12" w:space="0" w:color="auto"/>
              <w:right w:val="nil"/>
            </w:tcBorders>
            <w:tcMar>
              <w:left w:w="0" w:type="dxa"/>
              <w:right w:w="0" w:type="dxa"/>
            </w:tcMar>
            <w:vAlign w:val="center"/>
          </w:tcPr>
          <w:p w:rsidR="00527338" w:rsidRPr="00BA3042" w:rsidRDefault="00527338" w:rsidP="00527338">
            <w:pPr>
              <w:suppressAutoHyphens w:val="0"/>
              <w:spacing w:before="80" w:after="80" w:line="220" w:lineRule="exact"/>
              <w:jc w:val="right"/>
              <w:rPr>
                <w:b/>
                <w:sz w:val="18"/>
                <w:szCs w:val="18"/>
                <w:lang w:val="fr-FR"/>
              </w:rPr>
            </w:pPr>
            <w:r w:rsidRPr="00BA3042">
              <w:rPr>
                <w:b/>
                <w:sz w:val="18"/>
                <w:szCs w:val="18"/>
                <w:lang w:val="fr-FR"/>
              </w:rPr>
              <w:t>12 673</w:t>
            </w:r>
          </w:p>
        </w:tc>
      </w:tr>
    </w:tbl>
    <w:p w:rsidR="00AE6933" w:rsidRPr="00BA3042" w:rsidRDefault="00AE6933" w:rsidP="00AE6933">
      <w:pPr>
        <w:spacing w:after="240" w:line="276" w:lineRule="auto"/>
        <w:jc w:val="both"/>
        <w:rPr>
          <w:sz w:val="18"/>
          <w:szCs w:val="18"/>
          <w:lang w:val="fr-FR"/>
        </w:rPr>
      </w:pPr>
    </w:p>
    <w:tbl>
      <w:tblPr>
        <w:tblW w:w="8505" w:type="dxa"/>
        <w:tblInd w:w="1134"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tblPr>
      <w:tblGrid>
        <w:gridCol w:w="3892"/>
        <w:gridCol w:w="1427"/>
        <w:gridCol w:w="1582"/>
        <w:gridCol w:w="1604"/>
      </w:tblGrid>
      <w:tr w:rsidR="007D3783" w:rsidRPr="00BA3042" w:rsidTr="00E40CAC">
        <w:trPr>
          <w:tblHeader/>
        </w:trPr>
        <w:tc>
          <w:tcPr>
            <w:tcW w:w="3892" w:type="dxa"/>
            <w:tcBorders>
              <w:top w:val="single" w:sz="4" w:space="0" w:color="auto"/>
              <w:left w:val="nil"/>
              <w:bottom w:val="single" w:sz="12" w:space="0" w:color="auto"/>
            </w:tcBorders>
            <w:tcMar>
              <w:left w:w="0" w:type="dxa"/>
              <w:right w:w="0" w:type="dxa"/>
            </w:tcMar>
            <w:vAlign w:val="bottom"/>
          </w:tcPr>
          <w:p w:rsidR="007D3783" w:rsidRPr="00BA3042" w:rsidRDefault="007D3783" w:rsidP="00E40CAC">
            <w:pPr>
              <w:spacing w:before="80" w:after="80" w:line="200" w:lineRule="exact"/>
              <w:rPr>
                <w:i/>
                <w:sz w:val="16"/>
                <w:szCs w:val="16"/>
                <w:lang w:val="fr-FR"/>
              </w:rPr>
            </w:pPr>
            <w:r w:rsidRPr="00BA3042">
              <w:rPr>
                <w:i/>
                <w:sz w:val="16"/>
                <w:szCs w:val="16"/>
                <w:lang w:val="fr-FR"/>
              </w:rPr>
              <w:t>Mesures et programmes énergiques en faveur de l’emploi</w:t>
            </w:r>
          </w:p>
        </w:tc>
        <w:tc>
          <w:tcPr>
            <w:tcW w:w="1427" w:type="dxa"/>
            <w:tcBorders>
              <w:top w:val="single" w:sz="4" w:space="0" w:color="auto"/>
              <w:bottom w:val="single" w:sz="12" w:space="0" w:color="auto"/>
            </w:tcBorders>
            <w:tcMar>
              <w:left w:w="0" w:type="dxa"/>
              <w:right w:w="0" w:type="dxa"/>
            </w:tcMar>
          </w:tcPr>
          <w:p w:rsidR="007D3783" w:rsidRPr="00BA3042" w:rsidRDefault="007D3783" w:rsidP="00E40CAC">
            <w:pPr>
              <w:spacing w:before="80" w:after="80" w:line="200" w:lineRule="exact"/>
              <w:jc w:val="right"/>
              <w:rPr>
                <w:i/>
                <w:sz w:val="16"/>
                <w:szCs w:val="16"/>
                <w:lang w:val="fr-FR"/>
              </w:rPr>
            </w:pPr>
            <w:r w:rsidRPr="00BA3042">
              <w:rPr>
                <w:i/>
                <w:sz w:val="16"/>
                <w:szCs w:val="16"/>
                <w:lang w:val="fr-FR"/>
              </w:rPr>
              <w:t xml:space="preserve">2010 </w:t>
            </w:r>
            <w:r w:rsidRPr="00BA3042">
              <w:rPr>
                <w:i/>
                <w:sz w:val="16"/>
                <w:szCs w:val="16"/>
                <w:lang w:val="fr-FR"/>
              </w:rPr>
              <w:br/>
              <w:t>(en millions de denar)</w:t>
            </w:r>
          </w:p>
        </w:tc>
        <w:tc>
          <w:tcPr>
            <w:tcW w:w="1582" w:type="dxa"/>
            <w:tcBorders>
              <w:top w:val="single" w:sz="4" w:space="0" w:color="auto"/>
              <w:bottom w:val="single" w:sz="12" w:space="0" w:color="auto"/>
            </w:tcBorders>
            <w:tcMar>
              <w:left w:w="0" w:type="dxa"/>
              <w:right w:w="0" w:type="dxa"/>
            </w:tcMar>
          </w:tcPr>
          <w:p w:rsidR="007D3783" w:rsidRPr="00BA3042" w:rsidRDefault="007D3783" w:rsidP="00E40CAC">
            <w:pPr>
              <w:spacing w:before="80" w:after="80" w:line="200" w:lineRule="exact"/>
              <w:jc w:val="right"/>
              <w:rPr>
                <w:i/>
                <w:sz w:val="16"/>
                <w:szCs w:val="16"/>
                <w:lang w:val="fr-FR"/>
              </w:rPr>
            </w:pPr>
            <w:r w:rsidRPr="00BA3042">
              <w:rPr>
                <w:i/>
                <w:sz w:val="16"/>
                <w:szCs w:val="16"/>
                <w:lang w:val="fr-FR"/>
              </w:rPr>
              <w:t>2011</w:t>
            </w:r>
            <w:r w:rsidRPr="00BA3042">
              <w:rPr>
                <w:i/>
                <w:sz w:val="16"/>
                <w:szCs w:val="16"/>
                <w:lang w:val="fr-FR"/>
              </w:rPr>
              <w:br/>
              <w:t>(en millions de denar)</w:t>
            </w:r>
          </w:p>
        </w:tc>
        <w:tc>
          <w:tcPr>
            <w:tcW w:w="1604" w:type="dxa"/>
            <w:tcBorders>
              <w:top w:val="single" w:sz="4" w:space="0" w:color="auto"/>
              <w:bottom w:val="single" w:sz="12" w:space="0" w:color="auto"/>
              <w:right w:val="nil"/>
            </w:tcBorders>
            <w:tcMar>
              <w:left w:w="0" w:type="dxa"/>
              <w:right w:w="0" w:type="dxa"/>
            </w:tcMar>
          </w:tcPr>
          <w:p w:rsidR="007D3783" w:rsidRPr="00BA3042" w:rsidRDefault="007D3783" w:rsidP="00E40CAC">
            <w:pPr>
              <w:spacing w:before="80" w:after="80" w:line="200" w:lineRule="exact"/>
              <w:jc w:val="right"/>
              <w:rPr>
                <w:i/>
                <w:sz w:val="16"/>
                <w:szCs w:val="16"/>
                <w:lang w:val="fr-FR"/>
              </w:rPr>
            </w:pPr>
            <w:r w:rsidRPr="00BA3042">
              <w:rPr>
                <w:i/>
                <w:sz w:val="16"/>
                <w:szCs w:val="16"/>
                <w:lang w:val="fr-FR"/>
              </w:rPr>
              <w:t>2012</w:t>
            </w:r>
            <w:r w:rsidRPr="00BA3042">
              <w:rPr>
                <w:i/>
                <w:sz w:val="16"/>
                <w:szCs w:val="16"/>
                <w:lang w:val="fr-FR"/>
              </w:rPr>
              <w:br/>
              <w:t>(en millions de denar)</w:t>
            </w:r>
          </w:p>
        </w:tc>
      </w:tr>
      <w:tr w:rsidR="007D3783" w:rsidRPr="00BA3042" w:rsidTr="00E40CAC">
        <w:tc>
          <w:tcPr>
            <w:tcW w:w="3892" w:type="dxa"/>
            <w:tcBorders>
              <w:top w:val="single" w:sz="12" w:space="0" w:color="auto"/>
              <w:left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Programme en faveur du travail indépendant</w:t>
            </w:r>
          </w:p>
        </w:tc>
        <w:tc>
          <w:tcPr>
            <w:tcW w:w="1427" w:type="dxa"/>
            <w:tcBorders>
              <w:top w:val="single" w:sz="12" w:space="0" w:color="auto"/>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700</w:t>
            </w:r>
          </w:p>
        </w:tc>
        <w:tc>
          <w:tcPr>
            <w:tcW w:w="1582" w:type="dxa"/>
            <w:tcBorders>
              <w:top w:val="single" w:sz="12" w:space="0" w:color="auto"/>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700</w:t>
            </w:r>
          </w:p>
        </w:tc>
        <w:tc>
          <w:tcPr>
            <w:tcW w:w="1604" w:type="dxa"/>
            <w:tcBorders>
              <w:top w:val="single" w:sz="12" w:space="0" w:color="auto"/>
              <w:right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900</w:t>
            </w:r>
          </w:p>
        </w:tc>
      </w:tr>
      <w:tr w:rsidR="007D3783" w:rsidRPr="00BA3042" w:rsidTr="00E40CAC">
        <w:tc>
          <w:tcPr>
            <w:tcW w:w="3892" w:type="dxa"/>
            <w:tcBorders>
              <w:left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Officialisation d’entreprise</w:t>
            </w:r>
          </w:p>
        </w:tc>
        <w:tc>
          <w:tcPr>
            <w:tcW w:w="1427"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250</w:t>
            </w:r>
          </w:p>
        </w:tc>
        <w:tc>
          <w:tcPr>
            <w:tcW w:w="1582"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250</w:t>
            </w:r>
          </w:p>
        </w:tc>
        <w:tc>
          <w:tcPr>
            <w:tcW w:w="1604" w:type="dxa"/>
            <w:tcBorders>
              <w:right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w:t>
            </w:r>
          </w:p>
        </w:tc>
      </w:tr>
      <w:tr w:rsidR="007D3783" w:rsidRPr="00BA3042" w:rsidTr="00E40CAC">
        <w:tc>
          <w:tcPr>
            <w:tcW w:w="3892" w:type="dxa"/>
            <w:tcBorders>
              <w:left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Programme de préparation à l’emploi</w:t>
            </w:r>
          </w:p>
        </w:tc>
        <w:tc>
          <w:tcPr>
            <w:tcW w:w="1427"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3 244</w:t>
            </w:r>
          </w:p>
        </w:tc>
        <w:tc>
          <w:tcPr>
            <w:tcW w:w="1582"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2 843</w:t>
            </w:r>
          </w:p>
        </w:tc>
        <w:tc>
          <w:tcPr>
            <w:tcW w:w="1604" w:type="dxa"/>
            <w:tcBorders>
              <w:right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435</w:t>
            </w:r>
          </w:p>
        </w:tc>
      </w:tr>
      <w:tr w:rsidR="007D3783" w:rsidRPr="00BA3042" w:rsidTr="00E40CAC">
        <w:tc>
          <w:tcPr>
            <w:tcW w:w="3892" w:type="dxa"/>
            <w:tcBorders>
              <w:left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Formation à la création d’entreprise</w:t>
            </w:r>
          </w:p>
        </w:tc>
        <w:tc>
          <w:tcPr>
            <w:tcW w:w="1427"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1 217</w:t>
            </w:r>
          </w:p>
        </w:tc>
        <w:tc>
          <w:tcPr>
            <w:tcW w:w="1582"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1 000</w:t>
            </w:r>
          </w:p>
        </w:tc>
        <w:tc>
          <w:tcPr>
            <w:tcW w:w="1604" w:type="dxa"/>
            <w:tcBorders>
              <w:right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1 243</w:t>
            </w:r>
          </w:p>
        </w:tc>
      </w:tr>
      <w:tr w:rsidR="007D3783" w:rsidRPr="00BA3042" w:rsidTr="00E40CAC">
        <w:tc>
          <w:tcPr>
            <w:tcW w:w="3892" w:type="dxa"/>
            <w:tcBorders>
              <w:left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Soutien financier accordé aux personnes morales/créations de postes</w:t>
            </w:r>
          </w:p>
        </w:tc>
        <w:tc>
          <w:tcPr>
            <w:tcW w:w="1427" w:type="dxa"/>
            <w:tcMar>
              <w:left w:w="0" w:type="dxa"/>
              <w:right w:w="0" w:type="dxa"/>
            </w:tcMar>
            <w:vAlign w:val="bottom"/>
          </w:tcPr>
          <w:p w:rsidR="007D3783" w:rsidRPr="00BA3042" w:rsidRDefault="007D3783" w:rsidP="00E40CAC">
            <w:pPr>
              <w:keepNext/>
              <w:keepLines/>
              <w:suppressAutoHyphens w:val="0"/>
              <w:spacing w:before="40" w:after="40" w:line="220" w:lineRule="exact"/>
              <w:jc w:val="right"/>
              <w:rPr>
                <w:sz w:val="18"/>
                <w:szCs w:val="18"/>
                <w:lang w:val="fr-FR"/>
              </w:rPr>
            </w:pPr>
            <w:r w:rsidRPr="00BA3042">
              <w:rPr>
                <w:sz w:val="18"/>
                <w:szCs w:val="18"/>
                <w:lang w:val="fr-FR"/>
              </w:rPr>
              <w:t>50</w:t>
            </w:r>
          </w:p>
        </w:tc>
        <w:tc>
          <w:tcPr>
            <w:tcW w:w="1582" w:type="dxa"/>
            <w:tcMar>
              <w:left w:w="0" w:type="dxa"/>
              <w:right w:w="0" w:type="dxa"/>
            </w:tcMar>
            <w:vAlign w:val="bottom"/>
          </w:tcPr>
          <w:p w:rsidR="007D3783" w:rsidRPr="00BA3042" w:rsidRDefault="007D3783" w:rsidP="00E40CAC">
            <w:pPr>
              <w:keepNext/>
              <w:keepLines/>
              <w:suppressAutoHyphens w:val="0"/>
              <w:spacing w:before="40" w:after="40" w:line="220" w:lineRule="exact"/>
              <w:jc w:val="right"/>
              <w:rPr>
                <w:sz w:val="18"/>
                <w:szCs w:val="18"/>
                <w:lang w:val="fr-FR"/>
              </w:rPr>
            </w:pPr>
            <w:r w:rsidRPr="00BA3042">
              <w:rPr>
                <w:sz w:val="18"/>
                <w:szCs w:val="18"/>
                <w:lang w:val="fr-FR"/>
              </w:rPr>
              <w:t>87</w:t>
            </w:r>
          </w:p>
        </w:tc>
        <w:tc>
          <w:tcPr>
            <w:tcW w:w="1604" w:type="dxa"/>
            <w:tcBorders>
              <w:right w:val="nil"/>
            </w:tcBorders>
            <w:tcMar>
              <w:left w:w="0" w:type="dxa"/>
              <w:right w:w="0" w:type="dxa"/>
            </w:tcMar>
            <w:vAlign w:val="bottom"/>
          </w:tcPr>
          <w:p w:rsidR="007D3783" w:rsidRPr="00BA3042" w:rsidRDefault="007D3783" w:rsidP="00E40CAC">
            <w:pPr>
              <w:keepNext/>
              <w:keepLines/>
              <w:suppressAutoHyphens w:val="0"/>
              <w:spacing w:before="40" w:after="40" w:line="220" w:lineRule="exact"/>
              <w:jc w:val="right"/>
              <w:rPr>
                <w:sz w:val="18"/>
                <w:szCs w:val="18"/>
                <w:lang w:val="fr-FR"/>
              </w:rPr>
            </w:pPr>
            <w:r w:rsidRPr="00BA3042">
              <w:rPr>
                <w:sz w:val="18"/>
                <w:szCs w:val="18"/>
                <w:lang w:val="fr-FR"/>
              </w:rPr>
              <w:t>89</w:t>
            </w:r>
          </w:p>
        </w:tc>
      </w:tr>
      <w:tr w:rsidR="007D3783" w:rsidRPr="00BA3042" w:rsidTr="00E40CAC">
        <w:tc>
          <w:tcPr>
            <w:tcW w:w="3892" w:type="dxa"/>
            <w:tcBorders>
              <w:left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Programme de développement de l’entreprenariat et de soutien aux entreprises existantes</w:t>
            </w:r>
          </w:p>
        </w:tc>
        <w:tc>
          <w:tcPr>
            <w:tcW w:w="1427" w:type="dxa"/>
            <w:tcMar>
              <w:left w:w="0" w:type="dxa"/>
              <w:right w:w="0" w:type="dxa"/>
            </w:tcMar>
            <w:vAlign w:val="bottom"/>
          </w:tcPr>
          <w:p w:rsidR="007D3783" w:rsidRPr="00BA3042" w:rsidRDefault="007D3783" w:rsidP="00E40CAC">
            <w:pPr>
              <w:keepNext/>
              <w:keepLines/>
              <w:suppressAutoHyphens w:val="0"/>
              <w:spacing w:before="40" w:after="40" w:line="220" w:lineRule="exact"/>
              <w:jc w:val="right"/>
              <w:rPr>
                <w:sz w:val="18"/>
                <w:szCs w:val="18"/>
                <w:lang w:val="fr-FR"/>
              </w:rPr>
            </w:pPr>
            <w:r w:rsidRPr="00BA3042">
              <w:rPr>
                <w:sz w:val="18"/>
                <w:szCs w:val="18"/>
                <w:lang w:val="fr-FR"/>
              </w:rPr>
              <w:t>31</w:t>
            </w:r>
          </w:p>
        </w:tc>
        <w:tc>
          <w:tcPr>
            <w:tcW w:w="1582" w:type="dxa"/>
            <w:tcMar>
              <w:left w:w="0" w:type="dxa"/>
              <w:right w:w="0" w:type="dxa"/>
            </w:tcMar>
            <w:vAlign w:val="bottom"/>
          </w:tcPr>
          <w:p w:rsidR="007D3783" w:rsidRPr="00BA3042" w:rsidRDefault="007D3783" w:rsidP="00E40CAC">
            <w:pPr>
              <w:keepNext/>
              <w:keepLines/>
              <w:suppressAutoHyphens w:val="0"/>
              <w:spacing w:before="40" w:after="40" w:line="220" w:lineRule="exact"/>
              <w:jc w:val="right"/>
              <w:rPr>
                <w:sz w:val="18"/>
                <w:szCs w:val="18"/>
                <w:lang w:val="fr-FR"/>
              </w:rPr>
            </w:pPr>
            <w:r w:rsidRPr="00BA3042">
              <w:rPr>
                <w:sz w:val="18"/>
                <w:szCs w:val="18"/>
                <w:lang w:val="fr-FR"/>
              </w:rPr>
              <w:t>-</w:t>
            </w:r>
          </w:p>
        </w:tc>
        <w:tc>
          <w:tcPr>
            <w:tcW w:w="1604" w:type="dxa"/>
            <w:tcBorders>
              <w:right w:val="nil"/>
            </w:tcBorders>
            <w:tcMar>
              <w:left w:w="0" w:type="dxa"/>
              <w:right w:w="0" w:type="dxa"/>
            </w:tcMar>
            <w:vAlign w:val="bottom"/>
          </w:tcPr>
          <w:p w:rsidR="007D3783" w:rsidRPr="00BA3042" w:rsidRDefault="007D3783" w:rsidP="00E40CAC">
            <w:pPr>
              <w:keepNext/>
              <w:keepLines/>
              <w:suppressAutoHyphens w:val="0"/>
              <w:spacing w:before="40" w:after="40" w:line="220" w:lineRule="exact"/>
              <w:jc w:val="right"/>
              <w:rPr>
                <w:sz w:val="18"/>
                <w:szCs w:val="18"/>
                <w:lang w:val="fr-FR"/>
              </w:rPr>
            </w:pPr>
            <w:r w:rsidRPr="00BA3042">
              <w:rPr>
                <w:sz w:val="18"/>
                <w:szCs w:val="18"/>
                <w:lang w:val="fr-FR"/>
              </w:rPr>
              <w:t>-</w:t>
            </w:r>
          </w:p>
        </w:tc>
      </w:tr>
      <w:tr w:rsidR="007D3783" w:rsidRPr="00BA3042" w:rsidTr="00E40CAC">
        <w:tc>
          <w:tcPr>
            <w:tcW w:w="3892" w:type="dxa"/>
            <w:tcBorders>
              <w:left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Programme pilote pour la mobilité de la main-d’œuvre</w:t>
            </w:r>
          </w:p>
        </w:tc>
        <w:tc>
          <w:tcPr>
            <w:tcW w:w="1427"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7</w:t>
            </w:r>
          </w:p>
        </w:tc>
        <w:tc>
          <w:tcPr>
            <w:tcW w:w="1604" w:type="dxa"/>
            <w:tcBorders>
              <w:right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w:t>
            </w:r>
          </w:p>
        </w:tc>
      </w:tr>
      <w:tr w:rsidR="007D3783" w:rsidRPr="00BA3042" w:rsidTr="00E40CAC">
        <w:tc>
          <w:tcPr>
            <w:tcW w:w="3892" w:type="dxa"/>
            <w:tcBorders>
              <w:left w:val="nil"/>
              <w:bottom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Formation pilote destinée à des jeunes de moins de 30 ans connaissant déjà un employeur dans l’industrie textile</w:t>
            </w:r>
          </w:p>
        </w:tc>
        <w:tc>
          <w:tcPr>
            <w:tcW w:w="1427" w:type="dxa"/>
            <w:tcBorders>
              <w:bottom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p>
        </w:tc>
        <w:tc>
          <w:tcPr>
            <w:tcW w:w="1582" w:type="dxa"/>
            <w:tcBorders>
              <w:bottom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104</w:t>
            </w:r>
          </w:p>
        </w:tc>
        <w:tc>
          <w:tcPr>
            <w:tcW w:w="1604" w:type="dxa"/>
            <w:tcBorders>
              <w:bottom w:val="nil"/>
              <w:right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p>
        </w:tc>
      </w:tr>
      <w:tr w:rsidR="007D3783" w:rsidRPr="00BA3042" w:rsidTr="00E40CAC">
        <w:tc>
          <w:tcPr>
            <w:tcW w:w="3892" w:type="dxa"/>
            <w:tcBorders>
              <w:top w:val="nil"/>
              <w:left w:val="nil"/>
              <w:bottom w:val="nil"/>
            </w:tcBorders>
            <w:tcMar>
              <w:left w:w="0" w:type="dxa"/>
              <w:right w:w="0" w:type="dxa"/>
            </w:tcMar>
          </w:tcPr>
          <w:p w:rsidR="007D3783" w:rsidRPr="00BA3042" w:rsidRDefault="007D3783" w:rsidP="00E40CAC">
            <w:pPr>
              <w:spacing w:before="40" w:after="40" w:line="220" w:lineRule="exact"/>
              <w:rPr>
                <w:sz w:val="18"/>
                <w:szCs w:val="18"/>
                <w:lang w:val="fr-FR"/>
              </w:rPr>
            </w:pPr>
            <w:r w:rsidRPr="00BA3042">
              <w:rPr>
                <w:sz w:val="18"/>
                <w:szCs w:val="18"/>
                <w:lang w:val="fr-FR"/>
              </w:rPr>
              <w:t>Emplois subventionnés</w:t>
            </w:r>
          </w:p>
        </w:tc>
        <w:tc>
          <w:tcPr>
            <w:tcW w:w="1427" w:type="dxa"/>
            <w:tcBorders>
              <w:top w:val="nil"/>
              <w:bottom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1 421</w:t>
            </w:r>
          </w:p>
        </w:tc>
        <w:tc>
          <w:tcPr>
            <w:tcW w:w="1582" w:type="dxa"/>
            <w:tcBorders>
              <w:top w:val="nil"/>
              <w:bottom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1 005</w:t>
            </w:r>
          </w:p>
        </w:tc>
        <w:tc>
          <w:tcPr>
            <w:tcW w:w="1604" w:type="dxa"/>
            <w:tcBorders>
              <w:top w:val="nil"/>
              <w:bottom w:val="nil"/>
              <w:right w:val="nil"/>
            </w:tcBorders>
            <w:tcMar>
              <w:left w:w="0" w:type="dxa"/>
              <w:right w:w="0" w:type="dxa"/>
            </w:tcMar>
            <w:vAlign w:val="bottom"/>
          </w:tcPr>
          <w:p w:rsidR="007D3783" w:rsidRPr="00BA3042" w:rsidRDefault="007D3783" w:rsidP="00E40CAC">
            <w:pPr>
              <w:suppressAutoHyphens w:val="0"/>
              <w:spacing w:before="40" w:after="40" w:line="220" w:lineRule="exact"/>
              <w:jc w:val="right"/>
              <w:rPr>
                <w:sz w:val="18"/>
                <w:szCs w:val="18"/>
                <w:lang w:val="fr-FR"/>
              </w:rPr>
            </w:pPr>
            <w:r w:rsidRPr="00BA3042">
              <w:rPr>
                <w:sz w:val="18"/>
                <w:szCs w:val="18"/>
                <w:lang w:val="fr-FR"/>
              </w:rPr>
              <w:t>1 063</w:t>
            </w:r>
          </w:p>
        </w:tc>
      </w:tr>
      <w:tr w:rsidR="008715A7" w:rsidRPr="00BA3042" w:rsidTr="00E40CAC">
        <w:tc>
          <w:tcPr>
            <w:tcW w:w="3892" w:type="dxa"/>
            <w:tcBorders>
              <w:top w:val="nil"/>
              <w:left w:val="nil"/>
            </w:tcBorders>
            <w:tcMar>
              <w:left w:w="0" w:type="dxa"/>
              <w:right w:w="0" w:type="dxa"/>
            </w:tcMar>
          </w:tcPr>
          <w:p w:rsidR="008715A7" w:rsidRPr="00BA3042" w:rsidRDefault="008715A7" w:rsidP="00E40CAC">
            <w:pPr>
              <w:spacing w:before="40" w:after="40" w:line="220" w:lineRule="exact"/>
              <w:rPr>
                <w:sz w:val="18"/>
                <w:szCs w:val="18"/>
                <w:lang w:val="fr-FR"/>
              </w:rPr>
            </w:pPr>
            <w:r w:rsidRPr="00BA3042">
              <w:rPr>
                <w:sz w:val="18"/>
                <w:szCs w:val="18"/>
                <w:lang w:val="fr-FR"/>
              </w:rPr>
              <w:t>Apprentissage, premier emploi pour les jeunes</w:t>
            </w:r>
          </w:p>
        </w:tc>
        <w:tc>
          <w:tcPr>
            <w:tcW w:w="1427"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142</w:t>
            </w:r>
          </w:p>
        </w:tc>
        <w:tc>
          <w:tcPr>
            <w:tcW w:w="1582"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287</w:t>
            </w:r>
          </w:p>
        </w:tc>
        <w:tc>
          <w:tcPr>
            <w:tcW w:w="1604" w:type="dxa"/>
            <w:tcBorders>
              <w:top w:val="nil"/>
              <w:right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103</w:t>
            </w:r>
          </w:p>
        </w:tc>
      </w:tr>
      <w:tr w:rsidR="008715A7" w:rsidRPr="00BA3042" w:rsidTr="00B84783">
        <w:tc>
          <w:tcPr>
            <w:tcW w:w="3892" w:type="dxa"/>
            <w:tcBorders>
              <w:top w:val="nil"/>
              <w:left w:val="nil"/>
              <w:bottom w:val="nil"/>
            </w:tcBorders>
            <w:tcMar>
              <w:left w:w="0" w:type="dxa"/>
              <w:right w:w="0" w:type="dxa"/>
            </w:tcMar>
          </w:tcPr>
          <w:p w:rsidR="008715A7" w:rsidRPr="00BA3042" w:rsidRDefault="008715A7" w:rsidP="00E40CAC">
            <w:pPr>
              <w:spacing w:before="40" w:after="40" w:line="220" w:lineRule="exact"/>
              <w:rPr>
                <w:sz w:val="18"/>
                <w:szCs w:val="18"/>
                <w:lang w:val="fr-FR"/>
              </w:rPr>
            </w:pPr>
            <w:r w:rsidRPr="00BA3042">
              <w:rPr>
                <w:sz w:val="18"/>
                <w:szCs w:val="18"/>
                <w:lang w:val="fr-FR"/>
              </w:rPr>
              <w:t>Programme d’apprentissage non rémunéré</w:t>
            </w:r>
          </w:p>
        </w:tc>
        <w:tc>
          <w:tcPr>
            <w:tcW w:w="1427" w:type="dxa"/>
            <w:tcBorders>
              <w:top w:val="nil"/>
              <w:bottom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p>
        </w:tc>
        <w:tc>
          <w:tcPr>
            <w:tcW w:w="1582" w:type="dxa"/>
            <w:tcBorders>
              <w:top w:val="nil"/>
              <w:bottom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p>
        </w:tc>
        <w:tc>
          <w:tcPr>
            <w:tcW w:w="1604" w:type="dxa"/>
            <w:tcBorders>
              <w:top w:val="nil"/>
              <w:bottom w:val="nil"/>
              <w:right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514</w:t>
            </w:r>
          </w:p>
        </w:tc>
      </w:tr>
      <w:tr w:rsidR="008715A7" w:rsidRPr="00BA3042" w:rsidTr="00B84783">
        <w:tc>
          <w:tcPr>
            <w:tcW w:w="3892" w:type="dxa"/>
            <w:tcBorders>
              <w:top w:val="nil"/>
              <w:left w:val="nil"/>
              <w:bottom w:val="nil"/>
            </w:tcBorders>
            <w:tcMar>
              <w:left w:w="0" w:type="dxa"/>
              <w:right w:w="0" w:type="dxa"/>
            </w:tcMar>
          </w:tcPr>
          <w:p w:rsidR="008715A7" w:rsidRPr="00BA3042" w:rsidRDefault="008715A7" w:rsidP="00E40CAC">
            <w:pPr>
              <w:spacing w:before="40" w:after="40" w:line="220" w:lineRule="exact"/>
              <w:rPr>
                <w:sz w:val="18"/>
                <w:szCs w:val="18"/>
                <w:lang w:val="fr-FR"/>
              </w:rPr>
            </w:pPr>
            <w:r w:rsidRPr="00BA3042">
              <w:rPr>
                <w:sz w:val="18"/>
                <w:szCs w:val="18"/>
                <w:lang w:val="fr-FR"/>
              </w:rPr>
              <w:t>Programme de travaux publics</w:t>
            </w:r>
          </w:p>
        </w:tc>
        <w:tc>
          <w:tcPr>
            <w:tcW w:w="1427" w:type="dxa"/>
            <w:tcBorders>
              <w:top w:val="nil"/>
              <w:bottom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Borders>
              <w:top w:val="nil"/>
              <w:bottom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c>
          <w:tcPr>
            <w:tcW w:w="1604" w:type="dxa"/>
            <w:tcBorders>
              <w:top w:val="nil"/>
              <w:bottom w:val="nil"/>
              <w:right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3 064</w:t>
            </w:r>
          </w:p>
        </w:tc>
      </w:tr>
      <w:tr w:rsidR="008715A7" w:rsidRPr="00BA3042" w:rsidTr="00B84783">
        <w:tc>
          <w:tcPr>
            <w:tcW w:w="3892" w:type="dxa"/>
            <w:tcBorders>
              <w:top w:val="nil"/>
              <w:left w:val="nil"/>
            </w:tcBorders>
            <w:tcMar>
              <w:left w:w="0" w:type="dxa"/>
              <w:right w:w="0" w:type="dxa"/>
            </w:tcMar>
          </w:tcPr>
          <w:p w:rsidR="008715A7" w:rsidRPr="00BA3042" w:rsidRDefault="008715A7" w:rsidP="00E40CAC">
            <w:pPr>
              <w:spacing w:before="40" w:after="40" w:line="220" w:lineRule="exact"/>
              <w:rPr>
                <w:sz w:val="18"/>
                <w:szCs w:val="18"/>
                <w:lang w:val="fr-FR"/>
              </w:rPr>
            </w:pPr>
            <w:r w:rsidRPr="00BA3042">
              <w:rPr>
                <w:sz w:val="18"/>
                <w:szCs w:val="18"/>
                <w:lang w:val="fr-FR"/>
              </w:rPr>
              <w:t>Enquête pilote sur les offres d’emploi</w:t>
            </w:r>
          </w:p>
        </w:tc>
        <w:tc>
          <w:tcPr>
            <w:tcW w:w="1427"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58</w:t>
            </w:r>
          </w:p>
        </w:tc>
        <w:tc>
          <w:tcPr>
            <w:tcW w:w="1582"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38</w:t>
            </w:r>
          </w:p>
        </w:tc>
        <w:tc>
          <w:tcPr>
            <w:tcW w:w="1604" w:type="dxa"/>
            <w:tcBorders>
              <w:top w:val="nil"/>
              <w:right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16</w:t>
            </w:r>
          </w:p>
        </w:tc>
      </w:tr>
      <w:tr w:rsidR="008715A7" w:rsidRPr="00BA3042" w:rsidTr="00E40CAC">
        <w:tc>
          <w:tcPr>
            <w:tcW w:w="3892" w:type="dxa"/>
            <w:tcBorders>
              <w:top w:val="nil"/>
              <w:left w:val="nil"/>
            </w:tcBorders>
            <w:tcMar>
              <w:left w:w="0" w:type="dxa"/>
              <w:right w:w="0" w:type="dxa"/>
            </w:tcMar>
          </w:tcPr>
          <w:p w:rsidR="008715A7" w:rsidRPr="00BA3042" w:rsidRDefault="008715A7" w:rsidP="00E40CAC">
            <w:pPr>
              <w:spacing w:before="40" w:after="40" w:line="220" w:lineRule="exact"/>
              <w:rPr>
                <w:sz w:val="18"/>
                <w:szCs w:val="18"/>
                <w:lang w:val="fr-FR"/>
              </w:rPr>
            </w:pPr>
            <w:r w:rsidRPr="00BA3042">
              <w:rPr>
                <w:sz w:val="18"/>
                <w:szCs w:val="18"/>
                <w:lang w:val="fr-FR"/>
              </w:rPr>
              <w:t>Émancipation économique des femmes victimes de violences familiales</w:t>
            </w:r>
          </w:p>
        </w:tc>
        <w:tc>
          <w:tcPr>
            <w:tcW w:w="1427"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28</w:t>
            </w:r>
          </w:p>
        </w:tc>
        <w:tc>
          <w:tcPr>
            <w:tcW w:w="1582"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c>
          <w:tcPr>
            <w:tcW w:w="1604" w:type="dxa"/>
            <w:tcBorders>
              <w:top w:val="nil"/>
              <w:right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r>
      <w:tr w:rsidR="008715A7" w:rsidRPr="00BA3042" w:rsidTr="00E40CAC">
        <w:tc>
          <w:tcPr>
            <w:tcW w:w="3892" w:type="dxa"/>
            <w:tcBorders>
              <w:top w:val="nil"/>
              <w:left w:val="nil"/>
            </w:tcBorders>
            <w:tcMar>
              <w:left w:w="0" w:type="dxa"/>
              <w:right w:w="0" w:type="dxa"/>
            </w:tcMar>
          </w:tcPr>
          <w:p w:rsidR="008715A7" w:rsidRPr="00BA3042" w:rsidRDefault="008715A7" w:rsidP="00E40CAC">
            <w:pPr>
              <w:spacing w:before="40" w:after="40" w:line="220" w:lineRule="exact"/>
              <w:rPr>
                <w:sz w:val="18"/>
                <w:szCs w:val="18"/>
                <w:lang w:val="fr-FR"/>
              </w:rPr>
            </w:pPr>
            <w:r w:rsidRPr="00BA3042">
              <w:rPr>
                <w:sz w:val="18"/>
                <w:szCs w:val="18"/>
                <w:lang w:val="fr-FR"/>
              </w:rPr>
              <w:t>Programme d’emploi des Roms</w:t>
            </w:r>
          </w:p>
        </w:tc>
        <w:tc>
          <w:tcPr>
            <w:tcW w:w="1427"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c>
          <w:tcPr>
            <w:tcW w:w="1604" w:type="dxa"/>
            <w:tcBorders>
              <w:top w:val="nil"/>
              <w:right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r>
      <w:tr w:rsidR="008715A7" w:rsidRPr="00BA3042" w:rsidTr="00E40CAC">
        <w:tc>
          <w:tcPr>
            <w:tcW w:w="3892" w:type="dxa"/>
            <w:tcBorders>
              <w:top w:val="nil"/>
              <w:left w:val="nil"/>
            </w:tcBorders>
            <w:tcMar>
              <w:left w:w="0" w:type="dxa"/>
              <w:right w:w="0" w:type="dxa"/>
            </w:tcMar>
          </w:tcPr>
          <w:p w:rsidR="008715A7" w:rsidRPr="00BA3042" w:rsidRDefault="008715A7" w:rsidP="00E40CAC">
            <w:pPr>
              <w:spacing w:before="40" w:after="40" w:line="220" w:lineRule="exact"/>
              <w:rPr>
                <w:sz w:val="18"/>
                <w:szCs w:val="18"/>
                <w:lang w:val="fr-FR"/>
              </w:rPr>
            </w:pPr>
            <w:r w:rsidRPr="00BA3042">
              <w:rPr>
                <w:sz w:val="18"/>
                <w:szCs w:val="18"/>
                <w:lang w:val="fr-FR"/>
              </w:rPr>
              <w:t>Programme de crédits pour l’emploi</w:t>
            </w:r>
          </w:p>
        </w:tc>
        <w:tc>
          <w:tcPr>
            <w:tcW w:w="1427"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w:t>
            </w:r>
          </w:p>
        </w:tc>
        <w:tc>
          <w:tcPr>
            <w:tcW w:w="1582" w:type="dxa"/>
            <w:tcBorders>
              <w:top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605</w:t>
            </w:r>
          </w:p>
        </w:tc>
        <w:tc>
          <w:tcPr>
            <w:tcW w:w="1604" w:type="dxa"/>
            <w:tcBorders>
              <w:top w:val="nil"/>
              <w:right w:val="nil"/>
            </w:tcBorders>
            <w:tcMar>
              <w:left w:w="0" w:type="dxa"/>
              <w:right w:w="0" w:type="dxa"/>
            </w:tcMar>
            <w:vAlign w:val="bottom"/>
          </w:tcPr>
          <w:p w:rsidR="008715A7" w:rsidRPr="00BA3042" w:rsidRDefault="008715A7" w:rsidP="00E40CAC">
            <w:pPr>
              <w:suppressAutoHyphens w:val="0"/>
              <w:spacing w:before="40" w:after="40" w:line="220" w:lineRule="exact"/>
              <w:jc w:val="right"/>
              <w:rPr>
                <w:sz w:val="18"/>
                <w:szCs w:val="18"/>
                <w:lang w:val="fr-FR"/>
              </w:rPr>
            </w:pPr>
            <w:r w:rsidRPr="00BA3042">
              <w:rPr>
                <w:sz w:val="18"/>
                <w:szCs w:val="18"/>
                <w:lang w:val="fr-FR"/>
              </w:rPr>
              <w:t>80</w:t>
            </w:r>
          </w:p>
        </w:tc>
      </w:tr>
      <w:tr w:rsidR="008715A7" w:rsidRPr="00BA3042" w:rsidTr="00E40CAC">
        <w:tc>
          <w:tcPr>
            <w:tcW w:w="3892" w:type="dxa"/>
            <w:tcBorders>
              <w:top w:val="single" w:sz="6" w:space="0" w:color="auto"/>
              <w:left w:val="nil"/>
              <w:bottom w:val="single" w:sz="12" w:space="0" w:color="auto"/>
            </w:tcBorders>
            <w:tcMar>
              <w:left w:w="0" w:type="dxa"/>
              <w:right w:w="0" w:type="dxa"/>
            </w:tcMar>
          </w:tcPr>
          <w:p w:rsidR="008715A7" w:rsidRPr="00BA3042" w:rsidRDefault="008715A7" w:rsidP="00E40CAC">
            <w:pPr>
              <w:spacing w:before="80" w:after="80" w:line="220" w:lineRule="exact"/>
              <w:ind w:firstLine="284"/>
              <w:rPr>
                <w:b/>
                <w:sz w:val="18"/>
                <w:szCs w:val="18"/>
                <w:lang w:val="fr-FR"/>
              </w:rPr>
            </w:pPr>
            <w:r w:rsidRPr="00BA3042">
              <w:rPr>
                <w:b/>
                <w:sz w:val="18"/>
                <w:szCs w:val="18"/>
                <w:lang w:val="fr-FR"/>
              </w:rPr>
              <w:t>Total</w:t>
            </w:r>
          </w:p>
        </w:tc>
        <w:tc>
          <w:tcPr>
            <w:tcW w:w="1427" w:type="dxa"/>
            <w:tcBorders>
              <w:top w:val="single" w:sz="6" w:space="0" w:color="auto"/>
              <w:bottom w:val="single" w:sz="12" w:space="0" w:color="auto"/>
            </w:tcBorders>
            <w:tcMar>
              <w:left w:w="0" w:type="dxa"/>
              <w:right w:w="0" w:type="dxa"/>
            </w:tcMar>
          </w:tcPr>
          <w:p w:rsidR="008715A7" w:rsidRPr="00BA3042" w:rsidRDefault="008715A7" w:rsidP="00E40CAC">
            <w:pPr>
              <w:spacing w:before="80" w:after="80" w:line="220" w:lineRule="exact"/>
              <w:ind w:firstLine="284"/>
              <w:jc w:val="right"/>
              <w:rPr>
                <w:b/>
                <w:sz w:val="18"/>
                <w:szCs w:val="18"/>
                <w:lang w:val="fr-FR"/>
              </w:rPr>
            </w:pPr>
            <w:r w:rsidRPr="00BA3042">
              <w:rPr>
                <w:b/>
                <w:sz w:val="18"/>
                <w:szCs w:val="18"/>
                <w:lang w:val="fr-FR"/>
              </w:rPr>
              <w:t>7 131</w:t>
            </w:r>
          </w:p>
        </w:tc>
        <w:tc>
          <w:tcPr>
            <w:tcW w:w="1582" w:type="dxa"/>
            <w:tcBorders>
              <w:top w:val="single" w:sz="6" w:space="0" w:color="auto"/>
              <w:bottom w:val="single" w:sz="12" w:space="0" w:color="auto"/>
            </w:tcBorders>
            <w:tcMar>
              <w:left w:w="0" w:type="dxa"/>
              <w:right w:w="0" w:type="dxa"/>
            </w:tcMar>
          </w:tcPr>
          <w:p w:rsidR="008715A7" w:rsidRPr="00BA3042" w:rsidRDefault="008715A7" w:rsidP="00E40CAC">
            <w:pPr>
              <w:spacing w:before="80" w:after="80" w:line="220" w:lineRule="exact"/>
              <w:ind w:firstLine="284"/>
              <w:jc w:val="right"/>
              <w:rPr>
                <w:b/>
                <w:sz w:val="18"/>
                <w:szCs w:val="18"/>
                <w:lang w:val="fr-FR"/>
              </w:rPr>
            </w:pPr>
            <w:r w:rsidRPr="00BA3042">
              <w:rPr>
                <w:b/>
                <w:sz w:val="18"/>
                <w:szCs w:val="18"/>
                <w:lang w:val="fr-FR"/>
              </w:rPr>
              <w:t>5 926</w:t>
            </w:r>
          </w:p>
        </w:tc>
        <w:tc>
          <w:tcPr>
            <w:tcW w:w="1604" w:type="dxa"/>
            <w:tcBorders>
              <w:top w:val="single" w:sz="6" w:space="0" w:color="auto"/>
              <w:bottom w:val="single" w:sz="12" w:space="0" w:color="auto"/>
              <w:right w:val="nil"/>
            </w:tcBorders>
            <w:tcMar>
              <w:left w:w="0" w:type="dxa"/>
              <w:right w:w="0" w:type="dxa"/>
            </w:tcMar>
          </w:tcPr>
          <w:p w:rsidR="008715A7" w:rsidRPr="00BA3042" w:rsidRDefault="008715A7" w:rsidP="00E40CAC">
            <w:pPr>
              <w:spacing w:before="80" w:after="80" w:line="220" w:lineRule="exact"/>
              <w:ind w:firstLine="284"/>
              <w:jc w:val="right"/>
              <w:rPr>
                <w:b/>
                <w:sz w:val="18"/>
                <w:szCs w:val="18"/>
                <w:lang w:val="fr-FR"/>
              </w:rPr>
            </w:pPr>
            <w:r w:rsidRPr="00BA3042">
              <w:rPr>
                <w:b/>
                <w:sz w:val="18"/>
                <w:szCs w:val="18"/>
                <w:lang w:val="fr-FR"/>
              </w:rPr>
              <w:t>7 530</w:t>
            </w:r>
          </w:p>
        </w:tc>
      </w:tr>
    </w:tbl>
    <w:p w:rsidR="00AE6933" w:rsidRPr="00BA3042" w:rsidRDefault="00AE6933" w:rsidP="00AE6933">
      <w:pPr>
        <w:pStyle w:val="SingleTxtG"/>
        <w:spacing w:before="240"/>
        <w:rPr>
          <w:lang w:val="fr-FR"/>
        </w:rPr>
      </w:pPr>
      <w:r w:rsidRPr="00BA3042">
        <w:rPr>
          <w:lang w:val="fr-FR"/>
        </w:rPr>
        <w:t>33.</w:t>
      </w:r>
      <w:r w:rsidRPr="00BA3042">
        <w:rPr>
          <w:lang w:val="fr-FR"/>
        </w:rPr>
        <w:tab/>
        <w:t>Des projets sont en cours d’exécution pour mieux intégrer les femmes, en particulier celles appartenant à des communautés ethniques. En novembre 2012, sept projets ont été lancés dans le cadre du Programme de subventions pour le renforcement des capacités d’insertion des femmes marginalisées sur le marché du travail, focalisé sur les femmes appartenant à des groupes ethniques minoritaires.</w:t>
      </w:r>
    </w:p>
    <w:p w:rsidR="00AE6933" w:rsidRPr="00BA3042" w:rsidRDefault="00AE6933" w:rsidP="00AE6933">
      <w:pPr>
        <w:pStyle w:val="SingleTxtG"/>
        <w:rPr>
          <w:lang w:val="fr-FR"/>
        </w:rPr>
      </w:pPr>
      <w:r w:rsidRPr="00BA3042">
        <w:rPr>
          <w:lang w:val="fr-FR"/>
        </w:rPr>
        <w:t>34.</w:t>
      </w:r>
      <w:r w:rsidRPr="00BA3042">
        <w:rPr>
          <w:lang w:val="fr-FR"/>
        </w:rPr>
        <w:tab/>
        <w:t>Le projet pour le renforcement des capacités d’intégration des femmes marginalisées sur le marché du travail, focalisé sur les femmes appartenant à des groupes ethniques minoritaires, financé par l’Union européenne, a été mis en œuvre entre septembre 2012 et décembre 2013 par un consortium dirigé par WYG International, pour le compte du Ministère du travail et de la politique sociale. Dans ce cadre, plusieurs formations ont été organisées à l’intention de représentants des secteurs public et non gouvernemental. Ces formations ont permis d’approfondir des questions telles que la politique et la pratique de l’emploi, la non-discrimination et l’égalité des sexes, la création d’opportunités d’emploi pour les femmes marginalisées au niveau local, et le travail avec les femmes marginalisées sur le marché du travail. Ce projet encourageait également la coopération entre les services publics pour l’emploi, les centres sociaux, le secteur non gouvernemental et les entrepreneurs.</w:t>
      </w:r>
    </w:p>
    <w:p w:rsidR="00AE6933" w:rsidRPr="00BA3042" w:rsidRDefault="00AE6933" w:rsidP="00AE6933">
      <w:pPr>
        <w:pStyle w:val="SingleTxtG"/>
        <w:rPr>
          <w:lang w:val="fr-FR"/>
        </w:rPr>
      </w:pPr>
      <w:r w:rsidRPr="00BA3042">
        <w:rPr>
          <w:lang w:val="fr-FR"/>
        </w:rPr>
        <w:t>35.</w:t>
      </w:r>
      <w:r w:rsidRPr="00BA3042">
        <w:rPr>
          <w:lang w:val="fr-FR"/>
        </w:rPr>
        <w:tab/>
        <w:t xml:space="preserve">Selon les renseignements fournis par l’Agence pour l’emploi, les femmes roms ont été régulièrement concernées par une partie de ces mesures. Ainsi, en 2012 ont été organisées 44 réunions d’information pour expliquer les mesures énergiques en faveur de l’emploi dans 10 villes habitées par une communauté rom numériquement importante. Soixante ateliers ont également été organisés pour préparer les participants à élaborer des plans d'entreprise. Trois femmes roms ayant participé à ces ateliers sont devenues travailleuses indépendantes. Trente et une femmes roms ont demandé un crédit pour devenir travailleuses indépendantes, et deux d’entre elles ont bénéficié d’un prêt. Six femmes roms et quatre femmes handicapées ont été embauchées dans le cadre du programme d’emplois subventionnés. </w:t>
      </w:r>
    </w:p>
    <w:p w:rsidR="00AE6933" w:rsidRPr="00BA3042" w:rsidRDefault="00AE6933" w:rsidP="00AE6933">
      <w:pPr>
        <w:pStyle w:val="SingleTxtG"/>
        <w:rPr>
          <w:lang w:val="fr-FR"/>
        </w:rPr>
      </w:pPr>
      <w:r w:rsidRPr="00BA3042">
        <w:rPr>
          <w:lang w:val="fr-FR"/>
        </w:rPr>
        <w:t>36.</w:t>
      </w:r>
      <w:r w:rsidRPr="00BA3042">
        <w:rPr>
          <w:lang w:val="fr-FR"/>
        </w:rPr>
        <w:tab/>
        <w:t xml:space="preserve">De plus, des femmes roms ont aussi participé au programme de travaux publics. Ainsi, plus de 22 femmes roms ont tiré parti de ce dispositif. </w:t>
      </w:r>
    </w:p>
    <w:p w:rsidR="00AE6933" w:rsidRPr="00BA3042" w:rsidRDefault="00AE6933" w:rsidP="00AE6933">
      <w:pPr>
        <w:pStyle w:val="H1G"/>
        <w:rPr>
          <w:lang w:val="fr-FR"/>
        </w:rPr>
      </w:pPr>
      <w:r w:rsidRPr="00BA3042">
        <w:rPr>
          <w:lang w:val="fr-FR"/>
        </w:rPr>
        <w:tab/>
      </w:r>
      <w:r w:rsidRPr="00BA3042">
        <w:rPr>
          <w:lang w:val="fr-FR"/>
        </w:rPr>
        <w:tab/>
        <w:t>Article 7</w:t>
      </w:r>
      <w:r w:rsidRPr="00BA3042">
        <w:rPr>
          <w:lang w:val="fr-FR"/>
        </w:rPr>
        <w:br/>
        <w:t>Réponse à la recommandation n</w:t>
      </w:r>
      <w:r w:rsidRPr="00BA3042">
        <w:rPr>
          <w:vertAlign w:val="superscript"/>
          <w:lang w:val="fr-FR"/>
        </w:rPr>
        <w:t>o</w:t>
      </w:r>
      <w:r w:rsidRPr="00BA3042">
        <w:rPr>
          <w:lang w:val="fr-FR"/>
        </w:rPr>
        <w:t xml:space="preserve"> 36 du Comité</w:t>
      </w:r>
    </w:p>
    <w:p w:rsidR="00AE6933" w:rsidRPr="00BA3042" w:rsidRDefault="00AE6933" w:rsidP="00AE6933">
      <w:pPr>
        <w:pStyle w:val="SingleTxtG"/>
        <w:rPr>
          <w:lang w:val="fr-FR"/>
        </w:rPr>
      </w:pPr>
      <w:r w:rsidRPr="00BA3042">
        <w:rPr>
          <w:lang w:val="fr-FR"/>
        </w:rPr>
        <w:t>37.</w:t>
      </w:r>
      <w:r w:rsidRPr="00BA3042">
        <w:rPr>
          <w:lang w:val="fr-FR"/>
        </w:rPr>
        <w:tab/>
        <w:t>La loi sur le salaire minimum a été adoptée au début de 2012 (Journal officiel n</w:t>
      </w:r>
      <w:r w:rsidRPr="00BA3042">
        <w:rPr>
          <w:vertAlign w:val="superscript"/>
          <w:lang w:val="fr-FR"/>
        </w:rPr>
        <w:t>o</w:t>
      </w:r>
      <w:r w:rsidRPr="00BA3042">
        <w:rPr>
          <w:lang w:val="fr-FR"/>
        </w:rPr>
        <w:t xml:space="preserve"> 11/2012). Elle s’applique à tous les travailleurs, y compris à ceux du secteur privé. Elle fixe le niveau du salaire minimum et dispose qu’il correspond à 39,6 % du salaire mensuel moyen payé dans le pays au cours de l’année précédente. Cette loi a été rédigée en coopération avec les partenaires sociaux; en amont, une analyse comparative de la manière de fixer le salaire minimum dans plusieurs pays européens a été réalisée, et le montant du salaire minimum a été comparé au salaire moyen dans chaque pays examiné. </w:t>
      </w:r>
    </w:p>
    <w:p w:rsidR="00AE6933" w:rsidRPr="00BA3042" w:rsidRDefault="00AE6933" w:rsidP="00AE6933">
      <w:pPr>
        <w:pStyle w:val="SingleTxtG"/>
        <w:rPr>
          <w:lang w:val="fr-FR"/>
        </w:rPr>
      </w:pPr>
      <w:r w:rsidRPr="00BA3042">
        <w:rPr>
          <w:lang w:val="fr-FR"/>
        </w:rPr>
        <w:t>38.</w:t>
      </w:r>
      <w:r w:rsidRPr="00BA3042">
        <w:rPr>
          <w:lang w:val="fr-FR"/>
        </w:rPr>
        <w:tab/>
        <w:t>La loi sur le salaire minimum est applicable depuis janvier 2012.</w:t>
      </w:r>
    </w:p>
    <w:p w:rsidR="00AE6933" w:rsidRPr="00BA3042" w:rsidRDefault="00AE6933" w:rsidP="00AE6933">
      <w:pPr>
        <w:pStyle w:val="SingleTxtG"/>
        <w:rPr>
          <w:lang w:val="fr-FR"/>
        </w:rPr>
      </w:pPr>
      <w:r w:rsidRPr="00BA3042">
        <w:rPr>
          <w:lang w:val="fr-FR"/>
        </w:rPr>
        <w:t>39.</w:t>
      </w:r>
      <w:r w:rsidRPr="00BA3042">
        <w:rPr>
          <w:lang w:val="fr-FR"/>
        </w:rPr>
        <w:tab/>
        <w:t xml:space="preserve">En vertu de cette loi, le salaire minimum est le salaire de base minimum qu’un employeur est tenu de verser à un travailleur exécutant à temps plein un travail conforme à des normes de performances. Le salaire minimum net s’établit à 8 050 denar, sauf dans l’industrie textile et le secteur de la maroquinerie où le salaire minimum était de 6 300 denar, et où il est passé à 6 859 denar en 2013. La loi prévoit une amende équivalant à 6 000 à 7 000 euros, payable en denar, pour tout employeur qui ne paie pas le salaire minimum. À cet égard, la loi prescrit également l’imposition d’une amende équivalant à 3 000 à 4 000 euros, payable en denar, à la personne responsable auprès de l’employeur. L’inspection publique du travail supervise l’application de cette loi. </w:t>
      </w:r>
    </w:p>
    <w:p w:rsidR="00AE6933" w:rsidRPr="00BA3042" w:rsidRDefault="00AE6933" w:rsidP="00AE6933">
      <w:pPr>
        <w:pStyle w:val="SingleTxtG"/>
        <w:rPr>
          <w:lang w:val="fr-FR"/>
        </w:rPr>
      </w:pPr>
      <w:r w:rsidRPr="00BA3042">
        <w:rPr>
          <w:lang w:val="fr-FR"/>
        </w:rPr>
        <w:t>40.</w:t>
      </w:r>
      <w:r w:rsidRPr="00BA3042">
        <w:rPr>
          <w:lang w:val="fr-FR"/>
        </w:rPr>
        <w:tab/>
        <w:t xml:space="preserve">En 2012, quelque 28 745 inspections régulières ont été conduites pour contrôler le salaire des travailleurs. Sur cet ensemble, 558 inspections ont été réalisées à la demande de travailleurs. Ces inspections n’ont mis en lumière aucun salaire inférieur au minimum légal. Cependant, dans certains cas, il est apparu que des employeurs versaient les salaires avec un retard d’un, deux, ou plusieurs mois. </w:t>
      </w:r>
    </w:p>
    <w:p w:rsidR="00AE6933" w:rsidRPr="00BA3042" w:rsidRDefault="00AE6933" w:rsidP="00AE6933">
      <w:pPr>
        <w:pStyle w:val="SingleTxtG"/>
        <w:rPr>
          <w:lang w:val="fr-FR"/>
        </w:rPr>
      </w:pPr>
      <w:r w:rsidRPr="00BA3042">
        <w:rPr>
          <w:lang w:val="fr-FR"/>
        </w:rPr>
        <w:t>41.</w:t>
      </w:r>
      <w:r w:rsidRPr="00BA3042">
        <w:rPr>
          <w:lang w:val="fr-FR"/>
        </w:rPr>
        <w:tab/>
        <w:t xml:space="preserve">L’Inspection a délivré 1 405 décisions ordonnant aux employeurs de verser les salaires impayés dans des délais prescrits. De plus, la Commission des infractions mineures a été saisie pour poursuivre 133 employeurs qui ne payaient pas les salaires. Dans deux cas, une procédure pénale a été engagée à l’encontre d’employeurs mauvais payeurs pour violation des droits du travail. </w:t>
      </w:r>
    </w:p>
    <w:p w:rsidR="00AE6933" w:rsidRPr="00BA3042" w:rsidRDefault="00AE6933" w:rsidP="00AE6933">
      <w:pPr>
        <w:pStyle w:val="SingleTxtG"/>
        <w:rPr>
          <w:lang w:val="fr-FR"/>
        </w:rPr>
      </w:pPr>
      <w:r w:rsidRPr="00BA3042">
        <w:rPr>
          <w:lang w:val="fr-FR"/>
        </w:rPr>
        <w:t>42.</w:t>
      </w:r>
      <w:r w:rsidRPr="00BA3042">
        <w:rPr>
          <w:lang w:val="fr-FR"/>
        </w:rPr>
        <w:tab/>
        <w:t xml:space="preserve">Au cours des six premiers mois de 2013, quelque 11 712 inspections régulières ont été effectuées pour contrôler le paiement des salaires, dont 333 sur demande des travailleurs. L’Inspection a délivré 648 décisions ordonnant aux employeurs de verser les salaires impayés dans des délais prescrits. De plus, 41 demandes d’ouverture de procédure pour infraction mineure ont été déposées. </w:t>
      </w:r>
    </w:p>
    <w:p w:rsidR="00AE6933" w:rsidRPr="00BA3042" w:rsidRDefault="00AE6933" w:rsidP="00AE6933">
      <w:pPr>
        <w:pStyle w:val="SingleTxtG"/>
        <w:rPr>
          <w:lang w:val="fr-FR"/>
        </w:rPr>
      </w:pPr>
      <w:r w:rsidRPr="00BA3042">
        <w:rPr>
          <w:lang w:val="fr-FR"/>
        </w:rPr>
        <w:t>43.</w:t>
      </w:r>
      <w:r w:rsidRPr="00BA3042">
        <w:rPr>
          <w:lang w:val="fr-FR"/>
        </w:rPr>
        <w:tab/>
        <w:t xml:space="preserve">La loi sur le travail dispose que le travail à temps plein ne peut excéder quarante heures, et que la loi ou les conventions collectives peuvent autoriser le travail à temps plein de moins de quarante heures, dans les limites d’un minimum de trente-six heures. Pour les travaux dangereux ou préjudiciables à la santé, le travail à temps plein peut être inférieur à trente-six heures (art. 116). </w:t>
      </w:r>
    </w:p>
    <w:p w:rsidR="00AE6933" w:rsidRPr="00BA3042" w:rsidRDefault="00AE6933" w:rsidP="00AE6933">
      <w:pPr>
        <w:pStyle w:val="SingleTxtG"/>
        <w:rPr>
          <w:lang w:val="fr-FR"/>
        </w:rPr>
      </w:pPr>
      <w:r w:rsidRPr="00BA3042">
        <w:rPr>
          <w:lang w:val="fr-FR"/>
        </w:rPr>
        <w:t>44.</w:t>
      </w:r>
      <w:r w:rsidRPr="00BA3042">
        <w:rPr>
          <w:lang w:val="fr-FR"/>
        </w:rPr>
        <w:tab/>
        <w:t xml:space="preserve">L’article 117 de cette loi détermine le nombre maximal d’heures supplémentaires qu’il est permis d’accomplir pendant une semaine (huit heures) et pendant une année (cent quatre-vingt-dix heures). Les employés qui ont effectué plus de cent cinquante heures supplémentaires au cours d’une année donnée, qui n’ont pas été absents plus de vingt et un jours dans l’année (étant entendu que cette période n’inclut pas les jours de congé annuel régulier), et qui ont travaillé pendant toute l’année pour le même employeur ont droit, en plus d’un complément de salaire, à une prime équivalente à un mois du salaire moyen en République de Macédoine. Les employeurs sont obligés de tenir un registre distinct des heures supplémentaires (art. 117). </w:t>
      </w:r>
    </w:p>
    <w:p w:rsidR="00AE6933" w:rsidRPr="00BA3042" w:rsidRDefault="00AE6933" w:rsidP="00AE6933">
      <w:pPr>
        <w:pStyle w:val="SingleTxtG"/>
        <w:rPr>
          <w:lang w:val="fr-FR"/>
        </w:rPr>
      </w:pPr>
      <w:r w:rsidRPr="00BA3042">
        <w:rPr>
          <w:lang w:val="fr-FR"/>
        </w:rPr>
        <w:t>45.</w:t>
      </w:r>
      <w:r w:rsidRPr="00BA3042">
        <w:rPr>
          <w:lang w:val="fr-FR"/>
        </w:rPr>
        <w:tab/>
        <w:t>Le paragraphe 2.3 de l’article 6, intitulé «Interdiction de la discrimination», dispose que les femmes et les hommes doivent avoir des chances et un traitement égaux, notamment en recevant un salaire égal pour un travail égal. L’article 108 définit plus précisément ce droit. Ainsi:</w:t>
      </w:r>
    </w:p>
    <w:p w:rsidR="00AE6933" w:rsidRPr="00BA3042" w:rsidRDefault="00AE6933" w:rsidP="00AE6933">
      <w:pPr>
        <w:pStyle w:val="SingleTxtG"/>
        <w:ind w:left="1701" w:firstLine="567"/>
        <w:rPr>
          <w:lang w:val="fr-FR"/>
        </w:rPr>
      </w:pPr>
      <w:r w:rsidRPr="00BA3042">
        <w:rPr>
          <w:lang w:val="fr-FR"/>
        </w:rPr>
        <w:t>«1)</w:t>
      </w:r>
      <w:r w:rsidRPr="00BA3042">
        <w:rPr>
          <w:lang w:val="fr-FR"/>
        </w:rPr>
        <w:tab/>
        <w:t>L’employeur verse un salaire égal à tous ses salariés accomplissant un travail répondant aux mêmes normes de performance, sans distinction de sexe;</w:t>
      </w:r>
    </w:p>
    <w:p w:rsidR="00AE6933" w:rsidRPr="00BA3042" w:rsidRDefault="00AE6933" w:rsidP="00AE6933">
      <w:pPr>
        <w:pStyle w:val="SingleTxtG"/>
        <w:ind w:left="1701" w:firstLine="567"/>
        <w:rPr>
          <w:lang w:val="fr-FR"/>
        </w:rPr>
      </w:pPr>
      <w:r w:rsidRPr="00BA3042">
        <w:rPr>
          <w:lang w:val="fr-FR"/>
        </w:rPr>
        <w:t>2)</w:t>
      </w:r>
      <w:r w:rsidRPr="00BA3042">
        <w:rPr>
          <w:lang w:val="fr-FR"/>
        </w:rPr>
        <w:tab/>
        <w:t>Les dispositions d’un contrat de travail, de conventions collectives ou de règlements intérieurs d’entreprise contrevenant aux dispositions du paragraphe 1) ci-dessus sont nulles et non avenues.».</w:t>
      </w:r>
    </w:p>
    <w:p w:rsidR="00AE6933" w:rsidRPr="00BA3042" w:rsidRDefault="00AE6933" w:rsidP="00AE6933">
      <w:pPr>
        <w:pStyle w:val="SingleTxtG"/>
        <w:rPr>
          <w:lang w:val="fr-FR"/>
        </w:rPr>
      </w:pPr>
      <w:r w:rsidRPr="00BA3042">
        <w:rPr>
          <w:lang w:val="fr-FR"/>
        </w:rPr>
        <w:t>46.</w:t>
      </w:r>
      <w:r w:rsidRPr="00BA3042">
        <w:rPr>
          <w:lang w:val="fr-FR"/>
        </w:rPr>
        <w:tab/>
        <w:t>En vertu de l’article 5 de la loi sur la sécurité et l’hygiène du travail (Journal officiel n</w:t>
      </w:r>
      <w:r w:rsidRPr="00BA3042">
        <w:rPr>
          <w:vertAlign w:val="superscript"/>
          <w:lang w:val="fr-FR"/>
        </w:rPr>
        <w:t>os</w:t>
      </w:r>
      <w:r w:rsidRPr="00BA3042">
        <w:rPr>
          <w:lang w:val="fr-FR"/>
        </w:rPr>
        <w:t xml:space="preserve"> 92/2007, 136/11, 23/13, 25/13 et 137/13), les employeurs sont tenus de garantir la sécurité et la santé des salariés au travail, en tenant compte de tous les aspects de l’emploi. Les employeurs doivent prendre les mesures qui s’imposent pour garantir la sécurité et la santé de leurs employés sur le lieu de travail, notamment en adoptant des mesures visant à prévenir les maladies professionnelles; ils doivent également informer les travailleurs sur la sécurité au travail, les former en conséquence et prendre les mesures organisationnelles et financières requises pour assurer leur sécurité et leur santé au travail.</w:t>
      </w:r>
    </w:p>
    <w:p w:rsidR="00AE6933" w:rsidRPr="00BA3042" w:rsidRDefault="00AE6933" w:rsidP="00AE6933">
      <w:pPr>
        <w:pStyle w:val="H1G"/>
        <w:rPr>
          <w:lang w:val="fr-FR"/>
        </w:rPr>
      </w:pPr>
      <w:r w:rsidRPr="00BA3042">
        <w:rPr>
          <w:lang w:val="fr-FR"/>
        </w:rPr>
        <w:tab/>
      </w:r>
      <w:r w:rsidRPr="00BA3042">
        <w:rPr>
          <w:lang w:val="fr-FR"/>
        </w:rPr>
        <w:tab/>
        <w:t>Article 8</w:t>
      </w:r>
      <w:r w:rsidRPr="00BA3042">
        <w:rPr>
          <w:lang w:val="fr-FR"/>
        </w:rPr>
        <w:br/>
        <w:t>Réponse à la recommandation n</w:t>
      </w:r>
      <w:r w:rsidRPr="00BA3042">
        <w:rPr>
          <w:vertAlign w:val="superscript"/>
          <w:lang w:val="fr-FR"/>
        </w:rPr>
        <w:t>o</w:t>
      </w:r>
      <w:r w:rsidRPr="00BA3042">
        <w:rPr>
          <w:lang w:val="fr-FR"/>
        </w:rPr>
        <w:t xml:space="preserve"> 37 du Comité</w:t>
      </w:r>
    </w:p>
    <w:p w:rsidR="00AE6933" w:rsidRPr="00BA3042" w:rsidRDefault="00AE6933" w:rsidP="00AE6933">
      <w:pPr>
        <w:pStyle w:val="SingleTxtG"/>
        <w:rPr>
          <w:lang w:val="fr-FR"/>
        </w:rPr>
      </w:pPr>
      <w:r w:rsidRPr="00BA3042">
        <w:rPr>
          <w:lang w:val="fr-FR"/>
        </w:rPr>
        <w:t>47.</w:t>
      </w:r>
      <w:r w:rsidRPr="00BA3042">
        <w:rPr>
          <w:lang w:val="fr-FR"/>
        </w:rPr>
        <w:tab/>
        <w:t xml:space="preserve">À propos de la formation et du fonctionnement des syndicats, ainsi que du droit de grève, il convient de se référer au rapport initial de la République de Macédoine. </w:t>
      </w:r>
    </w:p>
    <w:p w:rsidR="00AE6933" w:rsidRPr="00BA3042" w:rsidRDefault="00AE6933" w:rsidP="00AE6933">
      <w:pPr>
        <w:pStyle w:val="SingleTxtG"/>
        <w:rPr>
          <w:lang w:val="fr-FR"/>
        </w:rPr>
      </w:pPr>
      <w:r w:rsidRPr="00BA3042">
        <w:rPr>
          <w:lang w:val="fr-FR"/>
        </w:rPr>
        <w:t>48.</w:t>
      </w:r>
      <w:r w:rsidRPr="00BA3042">
        <w:rPr>
          <w:lang w:val="fr-FR"/>
        </w:rPr>
        <w:tab/>
        <w:t>L’article 237 de la loi sur le travail (Journal officiel n</w:t>
      </w:r>
      <w:r w:rsidRPr="00BA3042">
        <w:rPr>
          <w:vertAlign w:val="superscript"/>
          <w:lang w:val="fr-FR"/>
        </w:rPr>
        <w:t>os</w:t>
      </w:r>
      <w:r w:rsidRPr="00BA3042">
        <w:rPr>
          <w:lang w:val="fr-FR"/>
        </w:rPr>
        <w:t xml:space="preserve"> 62/2005, 106/2008, 161/2008, 114/2009, 130/2009, 50/10, 52/10, 124/10, 47/11, 11/12, 39/12, 13/13 et 25/13) dispose qu’un employeur peut suspendre un travailleur uniquement dans le contexte d’un mouvement de grève en cours. Ce même article dispose que le nombre de travailleurs suspendus ne peut être supérieur à 2 % des participants à la grève. </w:t>
      </w:r>
    </w:p>
    <w:p w:rsidR="00AE6933" w:rsidRPr="00BA3042" w:rsidRDefault="00AE6933" w:rsidP="00AE6933">
      <w:pPr>
        <w:pStyle w:val="SingleTxtG"/>
        <w:rPr>
          <w:lang w:val="fr-FR"/>
        </w:rPr>
      </w:pPr>
      <w:r w:rsidRPr="00BA3042">
        <w:rPr>
          <w:lang w:val="fr-FR"/>
        </w:rPr>
        <w:t>49.</w:t>
      </w:r>
      <w:r w:rsidRPr="00BA3042">
        <w:rPr>
          <w:lang w:val="fr-FR"/>
        </w:rPr>
        <w:tab/>
        <w:t xml:space="preserve">Ces dispositions s’appliquent exclusivement aux travailleurs dont la conduite encourage les comportements violents et antidémocratiques, et qui entravent les négociations entre les travailleurs et les employeurs. </w:t>
      </w:r>
    </w:p>
    <w:p w:rsidR="00AE6933" w:rsidRPr="00BA3042" w:rsidRDefault="00AE6933" w:rsidP="00AE6933">
      <w:pPr>
        <w:pStyle w:val="SingleTxtG"/>
        <w:rPr>
          <w:lang w:val="fr-FR"/>
        </w:rPr>
      </w:pPr>
      <w:r w:rsidRPr="00BA3042">
        <w:rPr>
          <w:lang w:val="fr-FR"/>
        </w:rPr>
        <w:t>50.</w:t>
      </w:r>
      <w:r w:rsidRPr="00BA3042">
        <w:rPr>
          <w:lang w:val="fr-FR"/>
        </w:rPr>
        <w:tab/>
        <w:t xml:space="preserve">L’employeur est tenu de verser les cotisations fixées par la réglementation spéciale définissant le salaire minimum servant de base au versement des cotisations pour ses salariés faisant l’objet d’une mesure de suspension, pendant la période d’application de cette mesure, ce qui signifie que ces salariés ne sont pas licenciés et que leur employeur continue de verser pour eux les cotisations fixées par la loi, de même que pour tous les autres travailleurs participant à la grève. </w:t>
      </w:r>
    </w:p>
    <w:p w:rsidR="00AE6933" w:rsidRPr="00BA3042" w:rsidRDefault="00AE6933" w:rsidP="00AE6933">
      <w:pPr>
        <w:pStyle w:val="H1G"/>
        <w:rPr>
          <w:lang w:val="fr-FR"/>
        </w:rPr>
      </w:pPr>
      <w:r w:rsidRPr="00BA3042">
        <w:rPr>
          <w:szCs w:val="24"/>
          <w:lang w:val="fr-FR"/>
        </w:rPr>
        <w:tab/>
      </w:r>
      <w:r w:rsidRPr="00BA3042">
        <w:rPr>
          <w:szCs w:val="24"/>
          <w:lang w:val="fr-FR"/>
        </w:rPr>
        <w:tab/>
      </w:r>
      <w:r w:rsidRPr="00BA3042">
        <w:rPr>
          <w:lang w:val="fr-FR"/>
        </w:rPr>
        <w:t>Article 9</w:t>
      </w:r>
      <w:r w:rsidRPr="00BA3042">
        <w:rPr>
          <w:lang w:val="fr-FR"/>
        </w:rPr>
        <w:br/>
        <w:t>Réponse à la recommandation n</w:t>
      </w:r>
      <w:r w:rsidRPr="00BA3042">
        <w:rPr>
          <w:vertAlign w:val="superscript"/>
          <w:lang w:val="fr-FR"/>
        </w:rPr>
        <w:t>o</w:t>
      </w:r>
      <w:r w:rsidRPr="00BA3042">
        <w:rPr>
          <w:lang w:val="fr-FR"/>
        </w:rPr>
        <w:t xml:space="preserve"> 38 du Comité</w:t>
      </w:r>
    </w:p>
    <w:p w:rsidR="00AE6933" w:rsidRPr="00BA3042" w:rsidRDefault="00AE6933" w:rsidP="00AE6933">
      <w:pPr>
        <w:pStyle w:val="SingleTxtG"/>
        <w:spacing w:after="240"/>
        <w:rPr>
          <w:lang w:val="fr-FR"/>
        </w:rPr>
      </w:pPr>
      <w:r w:rsidRPr="00BA3042">
        <w:rPr>
          <w:lang w:val="fr-FR"/>
        </w:rPr>
        <w:t>51.</w:t>
      </w:r>
      <w:r w:rsidRPr="00BA3042">
        <w:rPr>
          <w:lang w:val="fr-FR"/>
        </w:rPr>
        <w:tab/>
        <w:t>Afin d’assurer l’efficacité du système de soins de santé et de protection sociale, le Gouvernement a modifié la législation pertinente en vue de revaloriser les prestations sociales et de garantir le versement régulier des prestations sociales.</w:t>
      </w:r>
    </w:p>
    <w:tbl>
      <w:tblPr>
        <w:tblW w:w="7447" w:type="dxa"/>
        <w:tblInd w:w="1134" w:type="dxa"/>
        <w:tblBorders>
          <w:top w:val="single" w:sz="4" w:space="0" w:color="auto"/>
          <w:left w:val="single" w:sz="4" w:space="0" w:color="auto"/>
          <w:bottom w:val="single" w:sz="12" w:space="0" w:color="auto"/>
          <w:right w:val="single" w:sz="4" w:space="0" w:color="auto"/>
        </w:tblBorders>
        <w:tblCellMar>
          <w:left w:w="0" w:type="dxa"/>
          <w:right w:w="0" w:type="dxa"/>
        </w:tblCellMar>
        <w:tblLook w:val="04A0"/>
      </w:tblPr>
      <w:tblGrid>
        <w:gridCol w:w="3262"/>
        <w:gridCol w:w="849"/>
        <w:gridCol w:w="746"/>
        <w:gridCol w:w="630"/>
        <w:gridCol w:w="672"/>
        <w:gridCol w:w="714"/>
        <w:gridCol w:w="574"/>
      </w:tblGrid>
      <w:tr w:rsidR="008715A7" w:rsidRPr="00BA3042" w:rsidTr="008715A7">
        <w:tc>
          <w:tcPr>
            <w:tcW w:w="3262" w:type="dxa"/>
            <w:vMerge w:val="restart"/>
            <w:tcBorders>
              <w:top w:val="single" w:sz="4" w:space="0" w:color="auto"/>
              <w:left w:val="nil"/>
            </w:tcBorders>
            <w:vAlign w:val="bottom"/>
          </w:tcPr>
          <w:p w:rsidR="00AE6933" w:rsidRPr="00BA3042" w:rsidRDefault="00AE6933" w:rsidP="00E40CAC">
            <w:pPr>
              <w:spacing w:before="80" w:after="80" w:line="200" w:lineRule="exact"/>
              <w:rPr>
                <w:i/>
                <w:sz w:val="16"/>
                <w:szCs w:val="16"/>
                <w:lang w:val="fr-FR"/>
              </w:rPr>
            </w:pPr>
            <w:r w:rsidRPr="00BA3042">
              <w:rPr>
                <w:i/>
                <w:sz w:val="16"/>
                <w:szCs w:val="16"/>
                <w:lang w:val="fr-FR"/>
              </w:rPr>
              <w:t>Montant des prestations en denar</w:t>
            </w:r>
            <w:r w:rsidRPr="00BA3042" w:rsidDel="00AA3BA6">
              <w:rPr>
                <w:i/>
                <w:sz w:val="16"/>
                <w:szCs w:val="16"/>
                <w:lang w:val="fr-FR"/>
              </w:rPr>
              <w:t xml:space="preserve"> </w:t>
            </w:r>
          </w:p>
        </w:tc>
        <w:tc>
          <w:tcPr>
            <w:tcW w:w="1595" w:type="dxa"/>
            <w:gridSpan w:val="2"/>
            <w:tcBorders>
              <w:top w:val="single" w:sz="4" w:space="0" w:color="auto"/>
              <w:bottom w:val="single" w:sz="4" w:space="0" w:color="auto"/>
              <w:right w:val="single" w:sz="24" w:space="0" w:color="FFFFFF"/>
            </w:tcBorders>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Montant des prestations sociales</w:t>
            </w:r>
          </w:p>
        </w:tc>
        <w:tc>
          <w:tcPr>
            <w:tcW w:w="1302" w:type="dxa"/>
            <w:gridSpan w:val="2"/>
            <w:tcBorders>
              <w:top w:val="single" w:sz="4" w:space="0" w:color="auto"/>
              <w:left w:val="single" w:sz="24" w:space="0" w:color="FFFFFF"/>
              <w:bottom w:val="single" w:sz="4" w:space="0" w:color="auto"/>
              <w:right w:val="single" w:sz="24" w:space="0" w:color="FFFFFF"/>
            </w:tcBorders>
            <w:shd w:val="clear" w:color="auto" w:fill="FFFFFF"/>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En 2011</w:t>
            </w:r>
          </w:p>
        </w:tc>
        <w:tc>
          <w:tcPr>
            <w:tcW w:w="1288" w:type="dxa"/>
            <w:gridSpan w:val="2"/>
            <w:tcBorders>
              <w:top w:val="single" w:sz="4" w:space="0" w:color="auto"/>
              <w:left w:val="single" w:sz="24" w:space="0" w:color="FFFFFF"/>
              <w:bottom w:val="single" w:sz="4" w:space="0" w:color="auto"/>
              <w:right w:val="nil"/>
            </w:tcBorders>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En 2012</w:t>
            </w:r>
          </w:p>
        </w:tc>
      </w:tr>
      <w:tr w:rsidR="008715A7" w:rsidRPr="00BA3042" w:rsidTr="008715A7">
        <w:tc>
          <w:tcPr>
            <w:tcW w:w="3262" w:type="dxa"/>
            <w:vMerge/>
            <w:tcBorders>
              <w:left w:val="nil"/>
              <w:bottom w:val="single" w:sz="12" w:space="0" w:color="auto"/>
            </w:tcBorders>
          </w:tcPr>
          <w:p w:rsidR="008715A7" w:rsidRPr="00BA3042" w:rsidRDefault="008715A7" w:rsidP="00E40CAC">
            <w:pPr>
              <w:spacing w:before="80" w:after="80" w:line="200" w:lineRule="exact"/>
              <w:jc w:val="center"/>
              <w:rPr>
                <w:i/>
                <w:sz w:val="16"/>
                <w:szCs w:val="16"/>
                <w:lang w:val="fr-FR"/>
              </w:rPr>
            </w:pPr>
          </w:p>
        </w:tc>
        <w:tc>
          <w:tcPr>
            <w:tcW w:w="849" w:type="dxa"/>
            <w:tcBorders>
              <w:top w:val="single" w:sz="4" w:space="0" w:color="auto"/>
              <w:bottom w:val="single" w:sz="12" w:space="0" w:color="auto"/>
              <w:right w:val="nil"/>
            </w:tcBorders>
          </w:tcPr>
          <w:p w:rsidR="008715A7" w:rsidRPr="00BA3042" w:rsidRDefault="008715A7" w:rsidP="008715A7">
            <w:pPr>
              <w:spacing w:before="80" w:after="80" w:line="200" w:lineRule="exact"/>
              <w:jc w:val="right"/>
              <w:rPr>
                <w:i/>
                <w:sz w:val="16"/>
                <w:szCs w:val="16"/>
                <w:lang w:val="fr-FR"/>
              </w:rPr>
            </w:pPr>
            <w:r w:rsidRPr="00BA3042">
              <w:rPr>
                <w:i/>
                <w:sz w:val="16"/>
                <w:szCs w:val="16"/>
                <w:lang w:val="fr-FR"/>
              </w:rPr>
              <w:t xml:space="preserve">100 % </w:t>
            </w:r>
          </w:p>
        </w:tc>
        <w:tc>
          <w:tcPr>
            <w:tcW w:w="746" w:type="dxa"/>
            <w:tcBorders>
              <w:top w:val="single" w:sz="4" w:space="0" w:color="auto"/>
              <w:left w:val="nil"/>
              <w:bottom w:val="single" w:sz="12" w:space="0" w:color="auto"/>
              <w:right w:val="single" w:sz="24" w:space="0" w:color="FFFFFF"/>
            </w:tcBorders>
          </w:tcPr>
          <w:p w:rsidR="008715A7" w:rsidRPr="00BA3042" w:rsidRDefault="008715A7" w:rsidP="00E40CAC">
            <w:pPr>
              <w:spacing w:before="80" w:after="80" w:line="200" w:lineRule="exact"/>
              <w:jc w:val="right"/>
              <w:rPr>
                <w:i/>
                <w:sz w:val="16"/>
                <w:szCs w:val="16"/>
                <w:lang w:val="fr-FR"/>
              </w:rPr>
            </w:pPr>
            <w:r w:rsidRPr="00BA3042">
              <w:rPr>
                <w:i/>
                <w:sz w:val="16"/>
                <w:szCs w:val="16"/>
                <w:lang w:val="fr-FR"/>
              </w:rPr>
              <w:t>50 %</w:t>
            </w:r>
          </w:p>
        </w:tc>
        <w:tc>
          <w:tcPr>
            <w:tcW w:w="630" w:type="dxa"/>
            <w:tcBorders>
              <w:top w:val="single" w:sz="4" w:space="0" w:color="auto"/>
              <w:left w:val="single" w:sz="24" w:space="0" w:color="FFFFFF"/>
              <w:bottom w:val="single" w:sz="12" w:space="0" w:color="auto"/>
              <w:right w:val="nil"/>
            </w:tcBorders>
            <w:shd w:val="clear" w:color="auto" w:fill="FFFFFF"/>
          </w:tcPr>
          <w:p w:rsidR="008715A7" w:rsidRPr="00BA3042" w:rsidRDefault="008715A7" w:rsidP="008715A7">
            <w:pPr>
              <w:spacing w:before="80" w:after="80" w:line="200" w:lineRule="exact"/>
              <w:jc w:val="right"/>
              <w:rPr>
                <w:i/>
                <w:sz w:val="16"/>
                <w:szCs w:val="16"/>
                <w:lang w:val="fr-FR"/>
              </w:rPr>
            </w:pPr>
            <w:r w:rsidRPr="00BA3042">
              <w:rPr>
                <w:i/>
                <w:sz w:val="16"/>
                <w:szCs w:val="16"/>
                <w:lang w:val="fr-FR"/>
              </w:rPr>
              <w:t>100 %</w:t>
            </w:r>
          </w:p>
        </w:tc>
        <w:tc>
          <w:tcPr>
            <w:tcW w:w="672" w:type="dxa"/>
            <w:tcBorders>
              <w:top w:val="single" w:sz="4" w:space="0" w:color="auto"/>
              <w:left w:val="nil"/>
              <w:bottom w:val="single" w:sz="12" w:space="0" w:color="auto"/>
              <w:right w:val="single" w:sz="24" w:space="0" w:color="FFFFFF"/>
            </w:tcBorders>
            <w:shd w:val="clear" w:color="auto" w:fill="FFFFFF"/>
          </w:tcPr>
          <w:p w:rsidR="008715A7" w:rsidRPr="00BA3042" w:rsidRDefault="008715A7" w:rsidP="00E40CAC">
            <w:pPr>
              <w:spacing w:before="80" w:after="80" w:line="200" w:lineRule="exact"/>
              <w:jc w:val="right"/>
              <w:rPr>
                <w:i/>
                <w:sz w:val="16"/>
                <w:szCs w:val="16"/>
                <w:lang w:val="fr-FR"/>
              </w:rPr>
            </w:pPr>
            <w:r w:rsidRPr="00BA3042">
              <w:rPr>
                <w:i/>
                <w:sz w:val="16"/>
                <w:szCs w:val="16"/>
                <w:lang w:val="fr-FR"/>
              </w:rPr>
              <w:t>50 %</w:t>
            </w:r>
          </w:p>
        </w:tc>
        <w:tc>
          <w:tcPr>
            <w:tcW w:w="714" w:type="dxa"/>
            <w:tcBorders>
              <w:top w:val="single" w:sz="4" w:space="0" w:color="auto"/>
              <w:left w:val="single" w:sz="24" w:space="0" w:color="FFFFFF"/>
              <w:bottom w:val="single" w:sz="12" w:space="0" w:color="auto"/>
              <w:right w:val="nil"/>
            </w:tcBorders>
          </w:tcPr>
          <w:p w:rsidR="008715A7" w:rsidRPr="00BA3042" w:rsidRDefault="008715A7" w:rsidP="008715A7">
            <w:pPr>
              <w:spacing w:before="80" w:after="80" w:line="200" w:lineRule="exact"/>
              <w:jc w:val="right"/>
              <w:rPr>
                <w:i/>
                <w:sz w:val="16"/>
                <w:szCs w:val="16"/>
                <w:lang w:val="fr-FR"/>
              </w:rPr>
            </w:pPr>
            <w:r w:rsidRPr="00BA3042">
              <w:rPr>
                <w:i/>
                <w:sz w:val="16"/>
                <w:szCs w:val="16"/>
                <w:lang w:val="fr-FR"/>
              </w:rPr>
              <w:t xml:space="preserve">100 % </w:t>
            </w:r>
          </w:p>
        </w:tc>
        <w:tc>
          <w:tcPr>
            <w:tcW w:w="574" w:type="dxa"/>
            <w:tcBorders>
              <w:top w:val="single" w:sz="4" w:space="0" w:color="auto"/>
              <w:left w:val="nil"/>
              <w:bottom w:val="single" w:sz="12" w:space="0" w:color="auto"/>
              <w:right w:val="nil"/>
            </w:tcBorders>
          </w:tcPr>
          <w:p w:rsidR="008715A7" w:rsidRPr="00BA3042" w:rsidRDefault="008715A7" w:rsidP="00E40CAC">
            <w:pPr>
              <w:spacing w:before="80" w:after="80" w:line="200" w:lineRule="exact"/>
              <w:jc w:val="right"/>
              <w:rPr>
                <w:i/>
                <w:sz w:val="16"/>
                <w:szCs w:val="16"/>
                <w:lang w:val="fr-FR"/>
              </w:rPr>
            </w:pPr>
            <w:r w:rsidRPr="00BA3042">
              <w:rPr>
                <w:i/>
                <w:sz w:val="16"/>
                <w:szCs w:val="16"/>
                <w:lang w:val="fr-FR"/>
              </w:rPr>
              <w:t>50 %</w:t>
            </w:r>
          </w:p>
        </w:tc>
      </w:tr>
      <w:tr w:rsidR="008715A7" w:rsidRPr="00BA3042" w:rsidTr="008715A7">
        <w:tc>
          <w:tcPr>
            <w:tcW w:w="3262" w:type="dxa"/>
            <w:tcBorders>
              <w:top w:val="single" w:sz="12" w:space="0" w:color="auto"/>
              <w:left w:val="nil"/>
              <w:bottom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Personne seule</w:t>
            </w:r>
          </w:p>
        </w:tc>
        <w:tc>
          <w:tcPr>
            <w:tcW w:w="1595" w:type="dxa"/>
            <w:gridSpan w:val="2"/>
            <w:tcBorders>
              <w:top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 xml:space="preserve">2 140 </w:t>
            </w:r>
          </w:p>
        </w:tc>
        <w:tc>
          <w:tcPr>
            <w:tcW w:w="1302" w:type="dxa"/>
            <w:gridSpan w:val="2"/>
            <w:tcBorders>
              <w:top w:val="single" w:sz="12" w:space="0" w:color="auto"/>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1 070</w:t>
            </w:r>
          </w:p>
        </w:tc>
        <w:tc>
          <w:tcPr>
            <w:tcW w:w="1288" w:type="dxa"/>
            <w:gridSpan w:val="2"/>
            <w:tcBorders>
              <w:top w:val="single" w:sz="12" w:space="0" w:color="auto"/>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 xml:space="preserve">2 174 </w:t>
            </w:r>
          </w:p>
        </w:tc>
      </w:tr>
      <w:tr w:rsidR="008715A7" w:rsidRPr="00BA3042" w:rsidTr="008715A7">
        <w:tc>
          <w:tcPr>
            <w:tcW w:w="3262" w:type="dxa"/>
            <w:tcBorders>
              <w:top w:val="nil"/>
              <w:left w:val="nil"/>
              <w:bottom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Familles et foyers de 2 personnes</w:t>
            </w:r>
          </w:p>
        </w:tc>
        <w:tc>
          <w:tcPr>
            <w:tcW w:w="1595"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2 932</w:t>
            </w:r>
          </w:p>
        </w:tc>
        <w:tc>
          <w:tcPr>
            <w:tcW w:w="1302"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1 466</w:t>
            </w:r>
          </w:p>
        </w:tc>
        <w:tc>
          <w:tcPr>
            <w:tcW w:w="1288" w:type="dxa"/>
            <w:gridSpan w:val="2"/>
            <w:tcBorders>
              <w:top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2 979</w:t>
            </w:r>
          </w:p>
        </w:tc>
      </w:tr>
      <w:tr w:rsidR="008715A7" w:rsidRPr="00BA3042" w:rsidTr="008715A7">
        <w:tc>
          <w:tcPr>
            <w:tcW w:w="3262" w:type="dxa"/>
            <w:tcBorders>
              <w:top w:val="nil"/>
              <w:left w:val="nil"/>
              <w:bottom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Familles et foyers de 3 personnes</w:t>
            </w:r>
          </w:p>
        </w:tc>
        <w:tc>
          <w:tcPr>
            <w:tcW w:w="1595"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3 724</w:t>
            </w:r>
          </w:p>
        </w:tc>
        <w:tc>
          <w:tcPr>
            <w:tcW w:w="1302"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1 862</w:t>
            </w:r>
          </w:p>
        </w:tc>
        <w:tc>
          <w:tcPr>
            <w:tcW w:w="1288" w:type="dxa"/>
            <w:gridSpan w:val="2"/>
            <w:tcBorders>
              <w:top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 xml:space="preserve">3 784 </w:t>
            </w:r>
          </w:p>
        </w:tc>
      </w:tr>
      <w:tr w:rsidR="008715A7" w:rsidRPr="00BA3042" w:rsidTr="008715A7">
        <w:tc>
          <w:tcPr>
            <w:tcW w:w="3262" w:type="dxa"/>
            <w:tcBorders>
              <w:top w:val="nil"/>
              <w:left w:val="nil"/>
              <w:bottom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Familles et foyers de 4 personnes</w:t>
            </w:r>
          </w:p>
        </w:tc>
        <w:tc>
          <w:tcPr>
            <w:tcW w:w="1595"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4 516</w:t>
            </w:r>
          </w:p>
        </w:tc>
        <w:tc>
          <w:tcPr>
            <w:tcW w:w="1302"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2 258</w:t>
            </w:r>
          </w:p>
        </w:tc>
        <w:tc>
          <w:tcPr>
            <w:tcW w:w="1288" w:type="dxa"/>
            <w:gridSpan w:val="2"/>
            <w:tcBorders>
              <w:top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4 588</w:t>
            </w:r>
          </w:p>
        </w:tc>
      </w:tr>
      <w:tr w:rsidR="008715A7" w:rsidRPr="00BA3042" w:rsidTr="008715A7">
        <w:tc>
          <w:tcPr>
            <w:tcW w:w="3262" w:type="dxa"/>
            <w:tcBorders>
              <w:top w:val="nil"/>
              <w:left w:val="nil"/>
              <w:bottom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Familles et foyers de 5 personnes ou plus</w:t>
            </w:r>
          </w:p>
        </w:tc>
        <w:tc>
          <w:tcPr>
            <w:tcW w:w="1595"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5 308</w:t>
            </w:r>
          </w:p>
        </w:tc>
        <w:tc>
          <w:tcPr>
            <w:tcW w:w="1302" w:type="dxa"/>
            <w:gridSpan w:val="2"/>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 xml:space="preserve">2 654 </w:t>
            </w:r>
          </w:p>
        </w:tc>
        <w:tc>
          <w:tcPr>
            <w:tcW w:w="1288" w:type="dxa"/>
            <w:gridSpan w:val="2"/>
            <w:tcBorders>
              <w:top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5 393</w:t>
            </w:r>
          </w:p>
        </w:tc>
      </w:tr>
    </w:tbl>
    <w:p w:rsidR="00AE6933" w:rsidRPr="00BA3042" w:rsidRDefault="00AE6933" w:rsidP="00AE6933">
      <w:pPr>
        <w:pStyle w:val="SingleTxtG"/>
        <w:spacing w:before="240"/>
        <w:rPr>
          <w:lang w:val="fr-FR"/>
        </w:rPr>
      </w:pPr>
      <w:r w:rsidRPr="00BA3042">
        <w:rPr>
          <w:lang w:val="fr-FR"/>
        </w:rPr>
        <w:t>52.</w:t>
      </w:r>
      <w:r w:rsidRPr="00BA3042">
        <w:rPr>
          <w:lang w:val="fr-FR"/>
        </w:rPr>
        <w:tab/>
        <w:t>La loi de 2009 sur la protection sociale (Journal officiel n</w:t>
      </w:r>
      <w:r w:rsidRPr="00BA3042">
        <w:rPr>
          <w:vertAlign w:val="superscript"/>
          <w:lang w:val="fr-FR"/>
        </w:rPr>
        <w:t>o</w:t>
      </w:r>
      <w:r w:rsidRPr="00BA3042">
        <w:rPr>
          <w:lang w:val="fr-FR"/>
        </w:rPr>
        <w:t xml:space="preserve"> 79/09) a pour objet de faire progresser le système de protection sociale en améliorant et standardisant les conditions, modalités et procédures d’exercice des droits, de manière à définir une politique sociale active encourageant l’inclusion sociale des personnes marginalisées, la décentralisation, la désinstitutionalisation, et à garantir la pluralité des prestataires de services. </w:t>
      </w:r>
    </w:p>
    <w:p w:rsidR="00AE6933" w:rsidRPr="00BA3042" w:rsidRDefault="00AE6933" w:rsidP="00AE6933">
      <w:pPr>
        <w:pStyle w:val="SingleTxtG"/>
        <w:rPr>
          <w:lang w:val="fr-FR"/>
        </w:rPr>
      </w:pPr>
      <w:r w:rsidRPr="00BA3042">
        <w:rPr>
          <w:lang w:val="fr-FR"/>
        </w:rPr>
        <w:t>53.</w:t>
      </w:r>
      <w:r w:rsidRPr="00BA3042">
        <w:rPr>
          <w:lang w:val="fr-FR"/>
        </w:rPr>
        <w:tab/>
        <w:t>Un nouveau mode de calcul du montant des prestations pécuniaires a été introduit. Les nouvelles bases de calcul des prestations sociales correspondent à un montant nominal pour chaque type de prestation, réévalué annuellement en janvier et indexé sur l’indice du coût de la vie publié par l’Office national des statistiques.</w:t>
      </w:r>
    </w:p>
    <w:p w:rsidR="00AE6933" w:rsidRPr="00BA3042" w:rsidRDefault="008715A7" w:rsidP="008715A7">
      <w:pPr>
        <w:pStyle w:val="H23G"/>
        <w:rPr>
          <w:lang w:val="fr-FR"/>
        </w:rPr>
      </w:pPr>
      <w:r w:rsidRPr="00BA3042">
        <w:rPr>
          <w:lang w:val="fr-FR"/>
        </w:rPr>
        <w:tab/>
      </w:r>
      <w:r w:rsidRPr="00BA3042">
        <w:rPr>
          <w:lang w:val="fr-FR"/>
        </w:rPr>
        <w:tab/>
      </w:r>
      <w:r w:rsidR="00AE6933" w:rsidRPr="00BA3042">
        <w:rPr>
          <w:lang w:val="fr-FR"/>
        </w:rPr>
        <w:t xml:space="preserve">Paiement des différentes prestations sociales </w:t>
      </w:r>
    </w:p>
    <w:tbl>
      <w:tblPr>
        <w:tblW w:w="8505" w:type="dxa"/>
        <w:tblInd w:w="1134" w:type="dxa"/>
        <w:tblCellMar>
          <w:left w:w="0" w:type="dxa"/>
          <w:right w:w="0" w:type="dxa"/>
        </w:tblCellMar>
        <w:tblLook w:val="04A0"/>
      </w:tblPr>
      <w:tblGrid>
        <w:gridCol w:w="2296"/>
        <w:gridCol w:w="1190"/>
        <w:gridCol w:w="1273"/>
        <w:gridCol w:w="1260"/>
        <w:gridCol w:w="1211"/>
        <w:gridCol w:w="1275"/>
      </w:tblGrid>
      <w:tr w:rsidR="00AE6933" w:rsidRPr="00BA3042" w:rsidTr="008715A7">
        <w:trPr>
          <w:tblHeader/>
        </w:trPr>
        <w:tc>
          <w:tcPr>
            <w:tcW w:w="2296" w:type="dxa"/>
            <w:tcBorders>
              <w:top w:val="single" w:sz="4" w:space="0" w:color="auto"/>
              <w:bottom w:val="single" w:sz="12" w:space="0" w:color="auto"/>
            </w:tcBorders>
            <w:shd w:val="clear" w:color="auto" w:fill="auto"/>
          </w:tcPr>
          <w:p w:rsidR="00AE6933" w:rsidRPr="00BA3042" w:rsidRDefault="00AE6933" w:rsidP="00E40CAC">
            <w:pPr>
              <w:spacing w:before="80" w:after="80" w:line="200" w:lineRule="exact"/>
              <w:rPr>
                <w:i/>
                <w:sz w:val="16"/>
                <w:szCs w:val="16"/>
                <w:lang w:val="fr-FR"/>
              </w:rPr>
            </w:pPr>
            <w:r w:rsidRPr="00BA3042">
              <w:rPr>
                <w:i/>
                <w:sz w:val="16"/>
                <w:szCs w:val="16"/>
                <w:lang w:val="fr-FR"/>
              </w:rPr>
              <w:t>Montant annuel de la prestation en denar</w:t>
            </w:r>
          </w:p>
        </w:tc>
        <w:tc>
          <w:tcPr>
            <w:tcW w:w="1190" w:type="dxa"/>
            <w:tcBorders>
              <w:top w:val="single" w:sz="4" w:space="0" w:color="auto"/>
              <w:bottom w:val="single" w:sz="12" w:space="0" w:color="auto"/>
            </w:tcBorders>
            <w:shd w:val="clear" w:color="auto" w:fill="auto"/>
            <w:vAlign w:val="bottom"/>
          </w:tcPr>
          <w:p w:rsidR="00AE6933" w:rsidRPr="00BA3042" w:rsidRDefault="00AE6933" w:rsidP="00E40CAC">
            <w:pPr>
              <w:keepNext/>
              <w:suppressAutoHyphens w:val="0"/>
              <w:spacing w:before="80" w:after="80" w:line="200" w:lineRule="exact"/>
              <w:jc w:val="right"/>
              <w:rPr>
                <w:i/>
                <w:sz w:val="16"/>
                <w:szCs w:val="16"/>
                <w:lang w:val="fr-FR"/>
              </w:rPr>
            </w:pPr>
            <w:r w:rsidRPr="00BA3042">
              <w:rPr>
                <w:i/>
                <w:sz w:val="16"/>
                <w:szCs w:val="16"/>
                <w:lang w:val="fr-FR"/>
              </w:rPr>
              <w:t>2009</w:t>
            </w:r>
          </w:p>
        </w:tc>
        <w:tc>
          <w:tcPr>
            <w:tcW w:w="1273" w:type="dxa"/>
            <w:tcBorders>
              <w:top w:val="single" w:sz="4" w:space="0" w:color="auto"/>
              <w:bottom w:val="single" w:sz="12" w:space="0" w:color="auto"/>
            </w:tcBorders>
            <w:shd w:val="clear" w:color="auto" w:fill="auto"/>
            <w:vAlign w:val="bottom"/>
          </w:tcPr>
          <w:p w:rsidR="00AE6933" w:rsidRPr="00BA3042" w:rsidRDefault="00AE6933" w:rsidP="00E40CAC">
            <w:pPr>
              <w:keepNext/>
              <w:suppressAutoHyphens w:val="0"/>
              <w:spacing w:before="80" w:after="80" w:line="200" w:lineRule="exact"/>
              <w:jc w:val="right"/>
              <w:rPr>
                <w:i/>
                <w:sz w:val="16"/>
                <w:szCs w:val="16"/>
                <w:lang w:val="fr-FR"/>
              </w:rPr>
            </w:pPr>
            <w:r w:rsidRPr="00BA3042">
              <w:rPr>
                <w:i/>
                <w:sz w:val="16"/>
                <w:szCs w:val="16"/>
                <w:lang w:val="fr-FR"/>
              </w:rPr>
              <w:t>2010</w:t>
            </w:r>
          </w:p>
        </w:tc>
        <w:tc>
          <w:tcPr>
            <w:tcW w:w="1260" w:type="dxa"/>
            <w:tcBorders>
              <w:top w:val="single" w:sz="4" w:space="0" w:color="auto"/>
              <w:bottom w:val="single" w:sz="12" w:space="0" w:color="auto"/>
            </w:tcBorders>
            <w:shd w:val="clear" w:color="auto" w:fill="auto"/>
            <w:vAlign w:val="bottom"/>
          </w:tcPr>
          <w:p w:rsidR="00AE6933" w:rsidRPr="00BA3042" w:rsidRDefault="00AE6933" w:rsidP="00E40CAC">
            <w:pPr>
              <w:keepNext/>
              <w:suppressAutoHyphens w:val="0"/>
              <w:spacing w:before="80" w:after="80" w:line="200" w:lineRule="exact"/>
              <w:jc w:val="right"/>
              <w:rPr>
                <w:i/>
                <w:sz w:val="16"/>
                <w:szCs w:val="16"/>
                <w:lang w:val="fr-FR"/>
              </w:rPr>
            </w:pPr>
            <w:r w:rsidRPr="00BA3042">
              <w:rPr>
                <w:i/>
                <w:sz w:val="16"/>
                <w:szCs w:val="16"/>
                <w:lang w:val="fr-FR"/>
              </w:rPr>
              <w:t>2011</w:t>
            </w:r>
          </w:p>
        </w:tc>
        <w:tc>
          <w:tcPr>
            <w:tcW w:w="1211" w:type="dxa"/>
            <w:tcBorders>
              <w:top w:val="single" w:sz="4" w:space="0" w:color="auto"/>
              <w:bottom w:val="single" w:sz="12" w:space="0" w:color="auto"/>
            </w:tcBorders>
            <w:shd w:val="clear" w:color="auto" w:fill="auto"/>
            <w:vAlign w:val="bottom"/>
          </w:tcPr>
          <w:p w:rsidR="00AE6933" w:rsidRPr="00BA3042" w:rsidRDefault="00AE6933" w:rsidP="00E40CAC">
            <w:pPr>
              <w:keepNext/>
              <w:suppressAutoHyphens w:val="0"/>
              <w:spacing w:before="80" w:after="80" w:line="200" w:lineRule="exact"/>
              <w:jc w:val="right"/>
              <w:rPr>
                <w:i/>
                <w:sz w:val="16"/>
                <w:szCs w:val="16"/>
                <w:lang w:val="fr-FR"/>
              </w:rPr>
            </w:pPr>
            <w:r w:rsidRPr="00BA3042">
              <w:rPr>
                <w:i/>
                <w:sz w:val="16"/>
                <w:szCs w:val="16"/>
                <w:lang w:val="fr-FR"/>
              </w:rPr>
              <w:t>2012</w:t>
            </w:r>
          </w:p>
        </w:tc>
        <w:tc>
          <w:tcPr>
            <w:tcW w:w="1275" w:type="dxa"/>
            <w:tcBorders>
              <w:top w:val="single" w:sz="4" w:space="0" w:color="auto"/>
              <w:bottom w:val="single" w:sz="12" w:space="0" w:color="auto"/>
            </w:tcBorders>
            <w:shd w:val="clear" w:color="auto" w:fill="auto"/>
            <w:vAlign w:val="bottom"/>
          </w:tcPr>
          <w:p w:rsidR="00AE6933" w:rsidRPr="00BA3042" w:rsidRDefault="008715A7" w:rsidP="00E40CAC">
            <w:pPr>
              <w:keepNext/>
              <w:suppressAutoHyphens w:val="0"/>
              <w:spacing w:before="80" w:after="80" w:line="200" w:lineRule="exact"/>
              <w:jc w:val="right"/>
              <w:rPr>
                <w:i/>
                <w:sz w:val="16"/>
                <w:szCs w:val="16"/>
                <w:lang w:val="fr-FR"/>
              </w:rPr>
            </w:pPr>
            <w:r w:rsidRPr="00BA3042">
              <w:rPr>
                <w:i/>
                <w:sz w:val="16"/>
                <w:szCs w:val="16"/>
                <w:lang w:val="fr-FR"/>
              </w:rPr>
              <w:t>Première moitié</w:t>
            </w:r>
            <w:r w:rsidRPr="00BA3042">
              <w:rPr>
                <w:i/>
                <w:sz w:val="16"/>
                <w:szCs w:val="16"/>
                <w:lang w:val="fr-FR"/>
              </w:rPr>
              <w:br/>
            </w:r>
            <w:r w:rsidR="00AE6933" w:rsidRPr="00BA3042">
              <w:rPr>
                <w:i/>
                <w:sz w:val="16"/>
                <w:szCs w:val="16"/>
                <w:lang w:val="fr-FR"/>
              </w:rPr>
              <w:t>de 2013</w:t>
            </w:r>
          </w:p>
        </w:tc>
      </w:tr>
      <w:tr w:rsidR="00AE6933" w:rsidRPr="00BA3042" w:rsidTr="008715A7">
        <w:tc>
          <w:tcPr>
            <w:tcW w:w="2296" w:type="dxa"/>
            <w:tcBorders>
              <w:top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Allocation permanente</w:t>
            </w:r>
          </w:p>
        </w:tc>
        <w:tc>
          <w:tcPr>
            <w:tcW w:w="1190" w:type="dxa"/>
            <w:tcBorders>
              <w:top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249 681 535</w:t>
            </w:r>
          </w:p>
        </w:tc>
        <w:tc>
          <w:tcPr>
            <w:tcW w:w="1273" w:type="dxa"/>
            <w:tcBorders>
              <w:top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268 445 850</w:t>
            </w:r>
          </w:p>
        </w:tc>
        <w:tc>
          <w:tcPr>
            <w:tcW w:w="1260" w:type="dxa"/>
            <w:tcBorders>
              <w:top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304 120 977</w:t>
            </w:r>
          </w:p>
        </w:tc>
        <w:tc>
          <w:tcPr>
            <w:tcW w:w="1211" w:type="dxa"/>
            <w:tcBorders>
              <w:top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286 297 338</w:t>
            </w:r>
          </w:p>
        </w:tc>
        <w:tc>
          <w:tcPr>
            <w:tcW w:w="1275" w:type="dxa"/>
            <w:tcBorders>
              <w:top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143 861 091</w:t>
            </w:r>
          </w:p>
        </w:tc>
      </w:tr>
      <w:tr w:rsidR="00AE6933" w:rsidRPr="00BA3042" w:rsidTr="008715A7">
        <w:tc>
          <w:tcPr>
            <w:tcW w:w="2296" w:type="dxa"/>
          </w:tcPr>
          <w:p w:rsidR="00AE6933" w:rsidRPr="00BA3042" w:rsidRDefault="00AE6933" w:rsidP="00E40CAC">
            <w:pPr>
              <w:spacing w:before="40" w:after="40" w:line="220" w:lineRule="exact"/>
              <w:rPr>
                <w:sz w:val="18"/>
                <w:szCs w:val="18"/>
                <w:lang w:val="fr-FR"/>
              </w:rPr>
            </w:pPr>
            <w:r w:rsidRPr="00BA3042">
              <w:rPr>
                <w:sz w:val="18"/>
                <w:szCs w:val="18"/>
                <w:lang w:val="fr-FR"/>
              </w:rPr>
              <w:t>Assistance sociale</w:t>
            </w:r>
          </w:p>
        </w:tc>
        <w:tc>
          <w:tcPr>
            <w:tcW w:w="119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1 553 816 381</w:t>
            </w:r>
          </w:p>
        </w:tc>
        <w:tc>
          <w:tcPr>
            <w:tcW w:w="1273"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1 488 374 539</w:t>
            </w:r>
          </w:p>
        </w:tc>
        <w:tc>
          <w:tcPr>
            <w:tcW w:w="126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1 460 062 356</w:t>
            </w:r>
          </w:p>
        </w:tc>
        <w:tc>
          <w:tcPr>
            <w:tcW w:w="1211"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1 208 903 406</w:t>
            </w:r>
          </w:p>
        </w:tc>
        <w:tc>
          <w:tcPr>
            <w:tcW w:w="1275"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593 138 983</w:t>
            </w:r>
          </w:p>
        </w:tc>
      </w:tr>
      <w:tr w:rsidR="00AE6933" w:rsidRPr="00BA3042" w:rsidTr="008715A7">
        <w:tc>
          <w:tcPr>
            <w:tcW w:w="2296" w:type="dxa"/>
          </w:tcPr>
          <w:p w:rsidR="00AE6933" w:rsidRPr="00BA3042" w:rsidRDefault="00AE6933" w:rsidP="00E40CAC">
            <w:pPr>
              <w:spacing w:before="40" w:after="40" w:line="220" w:lineRule="exact"/>
              <w:rPr>
                <w:sz w:val="18"/>
                <w:szCs w:val="18"/>
                <w:lang w:val="fr-FR"/>
              </w:rPr>
            </w:pPr>
            <w:r w:rsidRPr="00BA3042">
              <w:rPr>
                <w:sz w:val="18"/>
                <w:szCs w:val="18"/>
                <w:lang w:val="fr-FR"/>
              </w:rPr>
              <w:t>Allocation pour les soignants</w:t>
            </w:r>
          </w:p>
        </w:tc>
        <w:tc>
          <w:tcPr>
            <w:tcW w:w="119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1 024 925 604</w:t>
            </w:r>
          </w:p>
        </w:tc>
        <w:tc>
          <w:tcPr>
            <w:tcW w:w="1273"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1 158 958 458</w:t>
            </w:r>
          </w:p>
        </w:tc>
        <w:tc>
          <w:tcPr>
            <w:tcW w:w="126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1 396 618 370</w:t>
            </w:r>
          </w:p>
        </w:tc>
        <w:tc>
          <w:tcPr>
            <w:tcW w:w="1211"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1 660 259 191</w:t>
            </w:r>
          </w:p>
        </w:tc>
        <w:tc>
          <w:tcPr>
            <w:tcW w:w="1275"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712 433 878</w:t>
            </w:r>
          </w:p>
        </w:tc>
      </w:tr>
      <w:tr w:rsidR="00AE6933" w:rsidRPr="00BA3042" w:rsidTr="008715A7">
        <w:tc>
          <w:tcPr>
            <w:tcW w:w="2296" w:type="dxa"/>
          </w:tcPr>
          <w:p w:rsidR="00AE6933" w:rsidRPr="00BA3042" w:rsidRDefault="00AE6933" w:rsidP="00E40CAC">
            <w:pPr>
              <w:spacing w:before="40" w:after="40" w:line="220" w:lineRule="exact"/>
              <w:rPr>
                <w:sz w:val="18"/>
                <w:szCs w:val="18"/>
                <w:lang w:val="fr-FR"/>
              </w:rPr>
            </w:pPr>
            <w:r w:rsidRPr="00BA3042">
              <w:rPr>
                <w:sz w:val="18"/>
                <w:szCs w:val="18"/>
                <w:lang w:val="fr-FR"/>
              </w:rPr>
              <w:t>Allocation forfaitaire unique</w:t>
            </w:r>
          </w:p>
        </w:tc>
        <w:tc>
          <w:tcPr>
            <w:tcW w:w="119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55 189 793</w:t>
            </w:r>
          </w:p>
        </w:tc>
        <w:tc>
          <w:tcPr>
            <w:tcW w:w="1273"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19 623 353</w:t>
            </w:r>
          </w:p>
        </w:tc>
        <w:tc>
          <w:tcPr>
            <w:tcW w:w="126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33 277 162</w:t>
            </w:r>
          </w:p>
        </w:tc>
        <w:tc>
          <w:tcPr>
            <w:tcW w:w="1211"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38 278 291</w:t>
            </w:r>
          </w:p>
        </w:tc>
        <w:tc>
          <w:tcPr>
            <w:tcW w:w="1275"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23 016 648</w:t>
            </w:r>
          </w:p>
        </w:tc>
      </w:tr>
      <w:tr w:rsidR="00AE6933" w:rsidRPr="00BA3042" w:rsidTr="008715A7">
        <w:tc>
          <w:tcPr>
            <w:tcW w:w="2296" w:type="dxa"/>
          </w:tcPr>
          <w:p w:rsidR="00AE6933" w:rsidRPr="00BA3042" w:rsidRDefault="00AE6933" w:rsidP="00E40CAC">
            <w:pPr>
              <w:spacing w:before="40" w:after="40" w:line="220" w:lineRule="exact"/>
              <w:rPr>
                <w:sz w:val="18"/>
                <w:szCs w:val="18"/>
                <w:lang w:val="fr-FR"/>
              </w:rPr>
            </w:pPr>
            <w:r w:rsidRPr="00BA3042">
              <w:rPr>
                <w:sz w:val="18"/>
                <w:szCs w:val="18"/>
                <w:lang w:val="fr-FR"/>
              </w:rPr>
              <w:t>Allocation pour personne de plus de 18 ans</w:t>
            </w:r>
          </w:p>
        </w:tc>
        <w:tc>
          <w:tcPr>
            <w:tcW w:w="119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5 237 533</w:t>
            </w:r>
          </w:p>
        </w:tc>
        <w:tc>
          <w:tcPr>
            <w:tcW w:w="1273"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5 668 547</w:t>
            </w:r>
          </w:p>
        </w:tc>
        <w:tc>
          <w:tcPr>
            <w:tcW w:w="126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6 983 416</w:t>
            </w:r>
          </w:p>
        </w:tc>
        <w:tc>
          <w:tcPr>
            <w:tcW w:w="1211"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11 350 433</w:t>
            </w:r>
          </w:p>
        </w:tc>
        <w:tc>
          <w:tcPr>
            <w:tcW w:w="1275"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11 933 106</w:t>
            </w:r>
          </w:p>
        </w:tc>
      </w:tr>
      <w:tr w:rsidR="00AE6933" w:rsidRPr="00BA3042" w:rsidTr="008715A7">
        <w:tc>
          <w:tcPr>
            <w:tcW w:w="2296" w:type="dxa"/>
          </w:tcPr>
          <w:p w:rsidR="00AE6933" w:rsidRPr="00BA3042" w:rsidRDefault="00AE6933" w:rsidP="00E40CAC">
            <w:pPr>
              <w:spacing w:before="40" w:after="40" w:line="220" w:lineRule="exact"/>
              <w:rPr>
                <w:sz w:val="18"/>
                <w:szCs w:val="18"/>
                <w:lang w:val="fr-FR"/>
              </w:rPr>
            </w:pPr>
            <w:r w:rsidRPr="00BA3042">
              <w:rPr>
                <w:sz w:val="18"/>
                <w:szCs w:val="18"/>
                <w:lang w:val="fr-FR"/>
              </w:rPr>
              <w:t>Placement en famille d’accueil</w:t>
            </w:r>
          </w:p>
        </w:tc>
        <w:tc>
          <w:tcPr>
            <w:tcW w:w="119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22 438 781</w:t>
            </w:r>
          </w:p>
        </w:tc>
        <w:tc>
          <w:tcPr>
            <w:tcW w:w="1273"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26 898 130</w:t>
            </w:r>
          </w:p>
        </w:tc>
        <w:tc>
          <w:tcPr>
            <w:tcW w:w="1260"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28 326 071</w:t>
            </w:r>
          </w:p>
        </w:tc>
        <w:tc>
          <w:tcPr>
            <w:tcW w:w="1211"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25 235 786</w:t>
            </w:r>
          </w:p>
        </w:tc>
        <w:tc>
          <w:tcPr>
            <w:tcW w:w="1275" w:type="dxa"/>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12 233 987</w:t>
            </w:r>
          </w:p>
        </w:tc>
      </w:tr>
      <w:tr w:rsidR="00AE6933" w:rsidRPr="00BA3042" w:rsidTr="008715A7">
        <w:tc>
          <w:tcPr>
            <w:tcW w:w="2296" w:type="dxa"/>
            <w:tcBorders>
              <w:bottom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Pension d’invalide civil</w:t>
            </w:r>
          </w:p>
        </w:tc>
        <w:tc>
          <w:tcPr>
            <w:tcW w:w="1190" w:type="dxa"/>
            <w:tcBorders>
              <w:bottom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51 857 943</w:t>
            </w:r>
          </w:p>
        </w:tc>
        <w:tc>
          <w:tcPr>
            <w:tcW w:w="1273" w:type="dxa"/>
            <w:tcBorders>
              <w:bottom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98 879 471</w:t>
            </w:r>
          </w:p>
        </w:tc>
        <w:tc>
          <w:tcPr>
            <w:tcW w:w="1260" w:type="dxa"/>
            <w:tcBorders>
              <w:bottom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109 043 884</w:t>
            </w:r>
          </w:p>
        </w:tc>
        <w:tc>
          <w:tcPr>
            <w:tcW w:w="1211" w:type="dxa"/>
            <w:tcBorders>
              <w:bottom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98 428 836</w:t>
            </w:r>
          </w:p>
        </w:tc>
        <w:tc>
          <w:tcPr>
            <w:tcW w:w="1275" w:type="dxa"/>
            <w:tcBorders>
              <w:bottom w:val="single" w:sz="12" w:space="0" w:color="auto"/>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48 608 165</w:t>
            </w:r>
          </w:p>
        </w:tc>
      </w:tr>
    </w:tbl>
    <w:p w:rsidR="00AE6933" w:rsidRPr="00BA3042" w:rsidRDefault="00AE6933" w:rsidP="00AE6933">
      <w:pPr>
        <w:spacing w:after="120" w:line="276" w:lineRule="auto"/>
        <w:jc w:val="both"/>
        <w:rPr>
          <w:sz w:val="24"/>
          <w:szCs w:val="24"/>
          <w:lang w:val="fr-FR"/>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3164"/>
        <w:gridCol w:w="1068"/>
        <w:gridCol w:w="1068"/>
        <w:gridCol w:w="1068"/>
        <w:gridCol w:w="995"/>
        <w:gridCol w:w="1142"/>
      </w:tblGrid>
      <w:tr w:rsidR="00D90EF2" w:rsidRPr="00BA3042" w:rsidTr="00D90EF2">
        <w:tc>
          <w:tcPr>
            <w:tcW w:w="3164" w:type="dxa"/>
            <w:tcBorders>
              <w:left w:val="nil"/>
              <w:bottom w:val="single" w:sz="12" w:space="0" w:color="auto"/>
              <w:right w:val="nil"/>
            </w:tcBorders>
          </w:tcPr>
          <w:p w:rsidR="00AE6933" w:rsidRPr="00BA3042" w:rsidRDefault="00AE6933" w:rsidP="00E40CAC">
            <w:pPr>
              <w:keepNext/>
              <w:keepLines/>
              <w:spacing w:before="80" w:after="80" w:line="200" w:lineRule="exact"/>
              <w:rPr>
                <w:i/>
                <w:sz w:val="16"/>
                <w:szCs w:val="16"/>
                <w:lang w:val="fr-FR"/>
              </w:rPr>
            </w:pPr>
            <w:r w:rsidRPr="00BA3042">
              <w:rPr>
                <w:i/>
                <w:sz w:val="16"/>
                <w:szCs w:val="16"/>
                <w:lang w:val="fr-FR"/>
              </w:rPr>
              <w:t>Montant annuel en fonction du nombre de bénéficiaires</w:t>
            </w:r>
          </w:p>
        </w:tc>
        <w:tc>
          <w:tcPr>
            <w:tcW w:w="1068"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i/>
                <w:sz w:val="16"/>
                <w:szCs w:val="16"/>
                <w:lang w:val="fr-FR"/>
              </w:rPr>
            </w:pPr>
            <w:r w:rsidRPr="00BA3042">
              <w:rPr>
                <w:i/>
                <w:sz w:val="16"/>
                <w:szCs w:val="16"/>
                <w:lang w:val="fr-FR"/>
              </w:rPr>
              <w:t>2009</w:t>
            </w:r>
          </w:p>
        </w:tc>
        <w:tc>
          <w:tcPr>
            <w:tcW w:w="1068"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i/>
                <w:sz w:val="16"/>
                <w:szCs w:val="16"/>
                <w:lang w:val="fr-FR"/>
              </w:rPr>
            </w:pPr>
            <w:r w:rsidRPr="00BA3042">
              <w:rPr>
                <w:i/>
                <w:sz w:val="16"/>
                <w:szCs w:val="16"/>
                <w:lang w:val="fr-FR"/>
              </w:rPr>
              <w:t>2010</w:t>
            </w:r>
          </w:p>
        </w:tc>
        <w:tc>
          <w:tcPr>
            <w:tcW w:w="1068"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i/>
                <w:sz w:val="16"/>
                <w:szCs w:val="16"/>
                <w:lang w:val="fr-FR"/>
              </w:rPr>
            </w:pPr>
            <w:r w:rsidRPr="00BA3042">
              <w:rPr>
                <w:i/>
                <w:sz w:val="16"/>
                <w:szCs w:val="16"/>
                <w:lang w:val="fr-FR"/>
              </w:rPr>
              <w:t>2011</w:t>
            </w:r>
          </w:p>
        </w:tc>
        <w:tc>
          <w:tcPr>
            <w:tcW w:w="995"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i/>
                <w:sz w:val="16"/>
                <w:szCs w:val="16"/>
                <w:lang w:val="fr-FR"/>
              </w:rPr>
            </w:pPr>
            <w:r w:rsidRPr="00BA3042">
              <w:rPr>
                <w:i/>
                <w:sz w:val="16"/>
                <w:szCs w:val="16"/>
                <w:lang w:val="fr-FR"/>
              </w:rPr>
              <w:t>2012</w:t>
            </w:r>
          </w:p>
        </w:tc>
        <w:tc>
          <w:tcPr>
            <w:tcW w:w="1142" w:type="dxa"/>
            <w:tcBorders>
              <w:left w:val="nil"/>
              <w:bottom w:val="single" w:sz="12" w:space="0" w:color="auto"/>
              <w:right w:val="nil"/>
            </w:tcBorders>
            <w:vAlign w:val="bottom"/>
          </w:tcPr>
          <w:p w:rsidR="00AE6933" w:rsidRPr="00BA3042" w:rsidRDefault="008715A7" w:rsidP="00E40CAC">
            <w:pPr>
              <w:keepNext/>
              <w:keepLines/>
              <w:suppressAutoHyphens w:val="0"/>
              <w:spacing w:before="80" w:after="80" w:line="200" w:lineRule="exact"/>
              <w:jc w:val="right"/>
              <w:rPr>
                <w:i/>
                <w:sz w:val="16"/>
                <w:szCs w:val="16"/>
                <w:lang w:val="fr-FR"/>
              </w:rPr>
            </w:pPr>
            <w:r w:rsidRPr="00BA3042">
              <w:rPr>
                <w:i/>
                <w:sz w:val="16"/>
                <w:szCs w:val="16"/>
                <w:lang w:val="fr-FR"/>
              </w:rPr>
              <w:t>Première moitié</w:t>
            </w:r>
            <w:r w:rsidRPr="00BA3042">
              <w:rPr>
                <w:i/>
                <w:sz w:val="16"/>
                <w:szCs w:val="16"/>
                <w:lang w:val="fr-FR"/>
              </w:rPr>
              <w:br/>
            </w:r>
            <w:r w:rsidR="00AE6933" w:rsidRPr="00BA3042">
              <w:rPr>
                <w:i/>
                <w:sz w:val="16"/>
                <w:szCs w:val="16"/>
                <w:lang w:val="fr-FR"/>
              </w:rPr>
              <w:t>de 2013</w:t>
            </w:r>
          </w:p>
        </w:tc>
      </w:tr>
      <w:tr w:rsidR="00D90EF2" w:rsidRPr="00BA3042" w:rsidTr="00D90EF2">
        <w:tc>
          <w:tcPr>
            <w:tcW w:w="3164" w:type="dxa"/>
            <w:tcBorders>
              <w:top w:val="single" w:sz="12" w:space="0" w:color="auto"/>
              <w:left w:val="nil"/>
              <w:bottom w:val="nil"/>
              <w:right w:val="nil"/>
            </w:tcBorders>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Allocation permanente</w:t>
            </w:r>
          </w:p>
        </w:tc>
        <w:tc>
          <w:tcPr>
            <w:tcW w:w="1068"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65 584</w:t>
            </w:r>
          </w:p>
        </w:tc>
        <w:tc>
          <w:tcPr>
            <w:tcW w:w="1068"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68 128</w:t>
            </w:r>
          </w:p>
        </w:tc>
        <w:tc>
          <w:tcPr>
            <w:tcW w:w="1068"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74 130</w:t>
            </w:r>
          </w:p>
        </w:tc>
        <w:tc>
          <w:tcPr>
            <w:tcW w:w="995"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69 433</w:t>
            </w:r>
          </w:p>
        </w:tc>
        <w:tc>
          <w:tcPr>
            <w:tcW w:w="1142"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34 370</w:t>
            </w:r>
          </w:p>
        </w:tc>
      </w:tr>
      <w:tr w:rsidR="00D90EF2" w:rsidRPr="00BA3042" w:rsidTr="00D90EF2">
        <w:tc>
          <w:tcPr>
            <w:tcW w:w="316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Assistance sociale</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634 588</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611 084</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587 112</w:t>
            </w:r>
          </w:p>
        </w:tc>
        <w:tc>
          <w:tcPr>
            <w:tcW w:w="99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469 053</w:t>
            </w:r>
          </w:p>
        </w:tc>
        <w:tc>
          <w:tcPr>
            <w:tcW w:w="114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165 739</w:t>
            </w:r>
          </w:p>
        </w:tc>
      </w:tr>
      <w:tr w:rsidR="00D90EF2" w:rsidRPr="00BA3042" w:rsidTr="00D90EF2">
        <w:tc>
          <w:tcPr>
            <w:tcW w:w="316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Allocation pour les soignants</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241 016</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267 580</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290 326</w:t>
            </w:r>
          </w:p>
        </w:tc>
        <w:tc>
          <w:tcPr>
            <w:tcW w:w="99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337 592</w:t>
            </w:r>
          </w:p>
        </w:tc>
        <w:tc>
          <w:tcPr>
            <w:tcW w:w="114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119 089</w:t>
            </w:r>
          </w:p>
        </w:tc>
      </w:tr>
      <w:tr w:rsidR="00D90EF2" w:rsidRPr="00BA3042" w:rsidTr="00D90EF2">
        <w:tc>
          <w:tcPr>
            <w:tcW w:w="316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Allocation forfaitaire unique</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22 301</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7 088</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8 909</w:t>
            </w:r>
          </w:p>
        </w:tc>
        <w:tc>
          <w:tcPr>
            <w:tcW w:w="99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11 095</w:t>
            </w:r>
          </w:p>
        </w:tc>
        <w:tc>
          <w:tcPr>
            <w:tcW w:w="114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7 176</w:t>
            </w:r>
          </w:p>
        </w:tc>
      </w:tr>
      <w:tr w:rsidR="00D90EF2" w:rsidRPr="00BA3042" w:rsidTr="00D90EF2">
        <w:tc>
          <w:tcPr>
            <w:tcW w:w="316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Allocation pour personne de plus de 18 ans</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1 179</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1 279</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1 461</w:t>
            </w:r>
          </w:p>
        </w:tc>
        <w:tc>
          <w:tcPr>
            <w:tcW w:w="99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1 723</w:t>
            </w:r>
          </w:p>
        </w:tc>
        <w:tc>
          <w:tcPr>
            <w:tcW w:w="114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1 149</w:t>
            </w:r>
          </w:p>
        </w:tc>
      </w:tr>
      <w:tr w:rsidR="00D90EF2" w:rsidRPr="00BA3042" w:rsidTr="00D90EF2">
        <w:tc>
          <w:tcPr>
            <w:tcW w:w="316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Placement en famille d’accueil</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3 180</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3 543</w:t>
            </w:r>
          </w:p>
        </w:tc>
        <w:tc>
          <w:tcPr>
            <w:tcW w:w="10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3 671</w:t>
            </w:r>
          </w:p>
        </w:tc>
        <w:tc>
          <w:tcPr>
            <w:tcW w:w="99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3 181</w:t>
            </w:r>
          </w:p>
        </w:tc>
        <w:tc>
          <w:tcPr>
            <w:tcW w:w="114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1 075</w:t>
            </w:r>
          </w:p>
        </w:tc>
      </w:tr>
      <w:tr w:rsidR="00D90EF2" w:rsidRPr="00BA3042" w:rsidTr="00D90EF2">
        <w:tc>
          <w:tcPr>
            <w:tcW w:w="3164" w:type="dxa"/>
            <w:tcBorders>
              <w:top w:val="nil"/>
              <w:left w:val="nil"/>
              <w:bottom w:val="single" w:sz="12"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Pension d’invalide civil</w:t>
            </w:r>
          </w:p>
        </w:tc>
        <w:tc>
          <w:tcPr>
            <w:tcW w:w="106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4 045</w:t>
            </w:r>
          </w:p>
        </w:tc>
        <w:tc>
          <w:tcPr>
            <w:tcW w:w="106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3 905</w:t>
            </w:r>
          </w:p>
        </w:tc>
        <w:tc>
          <w:tcPr>
            <w:tcW w:w="106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3 756</w:t>
            </w:r>
          </w:p>
        </w:tc>
        <w:tc>
          <w:tcPr>
            <w:tcW w:w="995"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3 590</w:t>
            </w:r>
          </w:p>
        </w:tc>
        <w:tc>
          <w:tcPr>
            <w:tcW w:w="114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1 750</w:t>
            </w:r>
          </w:p>
        </w:tc>
      </w:tr>
    </w:tbl>
    <w:p w:rsidR="00AE6933" w:rsidRPr="00BA3042" w:rsidRDefault="00AE6933" w:rsidP="00AE6933">
      <w:pPr>
        <w:pStyle w:val="SingleTxtG"/>
        <w:spacing w:before="120" w:after="240"/>
        <w:ind w:firstLine="170"/>
        <w:rPr>
          <w:sz w:val="18"/>
          <w:szCs w:val="18"/>
          <w:lang w:val="fr-FR"/>
        </w:rPr>
      </w:pPr>
      <w:r w:rsidRPr="00BA3042">
        <w:rPr>
          <w:i/>
          <w:sz w:val="18"/>
          <w:szCs w:val="18"/>
          <w:lang w:val="fr-FR"/>
        </w:rPr>
        <w:t>Source</w:t>
      </w:r>
      <w:r w:rsidRPr="00BA3042">
        <w:rPr>
          <w:sz w:val="18"/>
          <w:szCs w:val="18"/>
          <w:lang w:val="fr-FR"/>
        </w:rPr>
        <w:t>: Ministère du travail et de la politique sociale.</w:t>
      </w:r>
    </w:p>
    <w:p w:rsidR="00AE6933" w:rsidRPr="00BA3042" w:rsidRDefault="00AE6933" w:rsidP="00AE6933">
      <w:pPr>
        <w:pStyle w:val="SingleTxtG"/>
        <w:rPr>
          <w:lang w:val="fr-FR"/>
        </w:rPr>
      </w:pPr>
      <w:r w:rsidRPr="00BA3042">
        <w:rPr>
          <w:lang w:val="fr-FR"/>
        </w:rPr>
        <w:t>54.</w:t>
      </w:r>
      <w:r w:rsidRPr="00BA3042">
        <w:rPr>
          <w:lang w:val="fr-FR"/>
        </w:rPr>
        <w:tab/>
        <w:t>La loi sur la protection sociale définit les types de prestations sociales pécuniaires suivants: prestations pécuniaires pour personne défavorisée apte au travail; prestation pécuniaire permanente; prestation pécuniaire pour les personnes qui, avant 18 ans, étaient orphelines ou privées de soins parentaux; prestation pécuniaire pour les femmes donnant naissance à un quatrième enfant; prestation pécuniaire pour soignant; prestation pécuniaire forfaitaire unique ou prestation en nature; prestation pécuniaire pour les personnes qui travaillent à temps partiel pour prendre soin d’un enfant handicapé physique ou mental; allocation logement; prise en charge médicale.</w:t>
      </w:r>
    </w:p>
    <w:p w:rsidR="00AE6933" w:rsidRPr="00BA3042" w:rsidRDefault="00AE6933" w:rsidP="00AE6933">
      <w:pPr>
        <w:pStyle w:val="SingleTxtG"/>
        <w:rPr>
          <w:lang w:val="fr-FR"/>
        </w:rPr>
      </w:pPr>
      <w:r w:rsidRPr="00BA3042">
        <w:rPr>
          <w:lang w:val="fr-FR"/>
        </w:rPr>
        <w:t>55.</w:t>
      </w:r>
      <w:r w:rsidRPr="00BA3042">
        <w:rPr>
          <w:lang w:val="fr-FR"/>
        </w:rPr>
        <w:tab/>
        <w:t>Le droit à la prestation pécuniaire en cas de chômage est exercé conformément à la loi sur l’emploi et l’assurance chômage (Journal officiel n</w:t>
      </w:r>
      <w:r w:rsidRPr="00BA3042">
        <w:rPr>
          <w:vertAlign w:val="superscript"/>
          <w:lang w:val="fr-FR"/>
        </w:rPr>
        <w:t>os</w:t>
      </w:r>
      <w:r w:rsidRPr="00BA3042">
        <w:rPr>
          <w:lang w:val="fr-FR"/>
        </w:rPr>
        <w:t xml:space="preserve"> 37/97, 25/00, 101/00, 50/01, 25/03, 37/04, 4/05, 50/06, 29/07, 102/08, 161/08, 50/10, 88/10, 51/11, 11/12, 80/12 et 114/12). Les conditions d’attribution de cette prestation sont les suivantes: l’intéressé doit avoir travaillé précédemment et être à jour de ses cotisations, conformément à la loi. Le montant de la prestation dépend du montant du salaire ayant servi de base au calcul des cotisations. Ainsi, l’article 68 de cette loi dispose que le montant de la prestation pécuniaire est égale à 50 % du salaire moyen net perçu au cours des vingt-quatre derniers mois pour une personne ayant droit à cette prestation pendant douze mois, et 40 % du salaire pour une personne ayant droit à la prestation pendant une période supérieure à douze mois. Le montant de la prestation ne saurait être supérieur à 80 % du salaire mensuel moyen versé aux travailleurs au cours du mois précédent. </w:t>
      </w:r>
    </w:p>
    <w:p w:rsidR="00AE6933" w:rsidRPr="00BA3042" w:rsidRDefault="00AE6933" w:rsidP="00AE6933">
      <w:pPr>
        <w:pStyle w:val="SingleTxtG"/>
        <w:rPr>
          <w:lang w:val="fr-FR"/>
        </w:rPr>
      </w:pPr>
      <w:r w:rsidRPr="00BA3042">
        <w:rPr>
          <w:lang w:val="fr-FR"/>
        </w:rPr>
        <w:t>56.</w:t>
      </w:r>
      <w:r w:rsidRPr="00BA3042">
        <w:rPr>
          <w:lang w:val="fr-FR"/>
        </w:rPr>
        <w:tab/>
        <w:t>La loi modifiant et complétant la loi sur la protection sociale (Journal officiel n</w:t>
      </w:r>
      <w:r w:rsidRPr="00BA3042">
        <w:rPr>
          <w:vertAlign w:val="superscript"/>
          <w:lang w:val="fr-FR"/>
        </w:rPr>
        <w:t>o</w:t>
      </w:r>
      <w:r w:rsidRPr="00BA3042">
        <w:rPr>
          <w:lang w:val="fr-FR"/>
        </w:rPr>
        <w:t> 36/11) a introduit de nouvelles prestations pécuniaires, destinées en particulier à encourager l’insertion sociale des catégories de personnes vulnérables: l’allocation pour la cécité ou la mobilité, et l’allocation pour personne orpheline ou privée de soins parentaux avant 18 ans qui poursuit à plein temps des études de deuxième et de troisième cycle universitaire.</w:t>
      </w:r>
    </w:p>
    <w:p w:rsidR="00AE6933" w:rsidRPr="00BA3042" w:rsidRDefault="00D90EF2" w:rsidP="00D90EF2">
      <w:pPr>
        <w:pStyle w:val="H23G"/>
        <w:rPr>
          <w:lang w:val="fr-FR"/>
        </w:rPr>
      </w:pPr>
      <w:r w:rsidRPr="00BA3042">
        <w:rPr>
          <w:lang w:val="fr-FR"/>
        </w:rPr>
        <w:tab/>
      </w:r>
      <w:r w:rsidRPr="00BA3042">
        <w:rPr>
          <w:lang w:val="fr-FR"/>
        </w:rPr>
        <w:tab/>
      </w:r>
      <w:r w:rsidR="00AE6933" w:rsidRPr="00BA3042">
        <w:rPr>
          <w:lang w:val="fr-FR"/>
        </w:rPr>
        <w:t>Prestation pécuniaire destinée aux personnes qui, avant 18 ans, étaient orphelines</w:t>
      </w:r>
      <w:r w:rsidR="00AE6933" w:rsidRPr="00BA3042">
        <w:rPr>
          <w:lang w:val="fr-FR"/>
        </w:rPr>
        <w:br/>
        <w:t>ou privées de soins parentaux, payable jusqu’à l’âge de 26 ans au maximum</w:t>
      </w:r>
    </w:p>
    <w:tbl>
      <w:tblPr>
        <w:tblW w:w="7371" w:type="dxa"/>
        <w:tblInd w:w="1134" w:type="dxa"/>
        <w:tblCellMar>
          <w:left w:w="0" w:type="dxa"/>
          <w:right w:w="0" w:type="dxa"/>
        </w:tblCellMar>
        <w:tblLook w:val="04A0"/>
      </w:tblPr>
      <w:tblGrid>
        <w:gridCol w:w="1219"/>
        <w:gridCol w:w="3076"/>
        <w:gridCol w:w="3076"/>
      </w:tblGrid>
      <w:tr w:rsidR="00AE6933" w:rsidRPr="00BA3042" w:rsidTr="00E40CAC">
        <w:trPr>
          <w:tblHeader/>
        </w:trPr>
        <w:tc>
          <w:tcPr>
            <w:tcW w:w="1219" w:type="dxa"/>
            <w:tcBorders>
              <w:top w:val="single" w:sz="4" w:space="0" w:color="auto"/>
              <w:bottom w:val="single" w:sz="12" w:space="0" w:color="auto"/>
            </w:tcBorders>
            <w:vAlign w:val="bottom"/>
          </w:tcPr>
          <w:p w:rsidR="00AE6933" w:rsidRPr="00BA3042" w:rsidRDefault="00AE6933" w:rsidP="00E40CAC">
            <w:pPr>
              <w:spacing w:before="80" w:after="80" w:line="200" w:lineRule="exact"/>
              <w:rPr>
                <w:i/>
                <w:sz w:val="16"/>
                <w:szCs w:val="16"/>
                <w:lang w:val="fr-FR"/>
              </w:rPr>
            </w:pPr>
            <w:r w:rsidRPr="00BA3042">
              <w:rPr>
                <w:i/>
                <w:sz w:val="16"/>
                <w:szCs w:val="16"/>
                <w:lang w:val="fr-FR"/>
              </w:rPr>
              <w:t>Année</w:t>
            </w:r>
          </w:p>
        </w:tc>
        <w:tc>
          <w:tcPr>
            <w:tcW w:w="3076" w:type="dxa"/>
            <w:tcBorders>
              <w:top w:val="single" w:sz="4" w:space="0" w:color="auto"/>
              <w:bottom w:val="single" w:sz="12" w:space="0" w:color="auto"/>
            </w:tcBorders>
            <w:vAlign w:val="bottom"/>
          </w:tcPr>
          <w:p w:rsidR="00AE6933" w:rsidRPr="00BA3042" w:rsidRDefault="00AE6933" w:rsidP="00D90EF2">
            <w:pPr>
              <w:spacing w:before="80" w:after="80" w:line="200" w:lineRule="exact"/>
              <w:jc w:val="right"/>
              <w:rPr>
                <w:i/>
                <w:sz w:val="16"/>
                <w:szCs w:val="16"/>
                <w:lang w:val="fr-FR"/>
              </w:rPr>
            </w:pPr>
            <w:r w:rsidRPr="00BA3042">
              <w:rPr>
                <w:i/>
                <w:sz w:val="16"/>
                <w:szCs w:val="16"/>
                <w:lang w:val="fr-FR"/>
              </w:rPr>
              <w:t>Mont</w:t>
            </w:r>
            <w:r w:rsidR="00D90EF2" w:rsidRPr="00BA3042">
              <w:rPr>
                <w:i/>
                <w:sz w:val="16"/>
                <w:szCs w:val="16"/>
                <w:lang w:val="fr-FR"/>
              </w:rPr>
              <w:t>ant de la prestation pécuniaire</w:t>
            </w:r>
            <w:r w:rsidR="00D90EF2" w:rsidRPr="00BA3042">
              <w:rPr>
                <w:i/>
                <w:sz w:val="16"/>
                <w:szCs w:val="16"/>
                <w:lang w:val="fr-FR"/>
              </w:rPr>
              <w:br/>
            </w:r>
            <w:r w:rsidRPr="00BA3042">
              <w:rPr>
                <w:i/>
                <w:sz w:val="16"/>
                <w:szCs w:val="16"/>
                <w:lang w:val="fr-FR"/>
              </w:rPr>
              <w:t>payable</w:t>
            </w:r>
            <w:r w:rsidR="00D90EF2" w:rsidRPr="00BA3042">
              <w:rPr>
                <w:i/>
                <w:sz w:val="16"/>
                <w:szCs w:val="16"/>
                <w:lang w:val="fr-FR"/>
              </w:rPr>
              <w:t xml:space="preserve"> </w:t>
            </w:r>
            <w:r w:rsidRPr="00BA3042">
              <w:rPr>
                <w:i/>
                <w:sz w:val="16"/>
                <w:szCs w:val="16"/>
                <w:lang w:val="fr-FR"/>
              </w:rPr>
              <w:t>de 18 à 26 ans</w:t>
            </w:r>
          </w:p>
        </w:tc>
        <w:tc>
          <w:tcPr>
            <w:tcW w:w="3076" w:type="dxa"/>
            <w:tcBorders>
              <w:top w:val="single" w:sz="4" w:space="0" w:color="auto"/>
              <w:bottom w:val="single" w:sz="12" w:space="0" w:color="auto"/>
            </w:tcBorders>
          </w:tcPr>
          <w:p w:rsidR="00AE6933" w:rsidRPr="00BA3042" w:rsidRDefault="00AE6933" w:rsidP="00D90EF2">
            <w:pPr>
              <w:spacing w:before="80" w:after="80" w:line="200" w:lineRule="exact"/>
              <w:jc w:val="right"/>
              <w:rPr>
                <w:i/>
                <w:sz w:val="16"/>
                <w:szCs w:val="16"/>
                <w:lang w:val="fr-FR"/>
              </w:rPr>
            </w:pPr>
            <w:r w:rsidRPr="00BA3042">
              <w:rPr>
                <w:i/>
                <w:sz w:val="16"/>
                <w:szCs w:val="16"/>
                <w:lang w:val="fr-FR"/>
              </w:rPr>
              <w:t>Montant de la prestation pécuniaire</w:t>
            </w:r>
            <w:r w:rsidR="00D90EF2" w:rsidRPr="00BA3042">
              <w:rPr>
                <w:i/>
                <w:sz w:val="16"/>
                <w:szCs w:val="16"/>
                <w:lang w:val="fr-FR"/>
              </w:rPr>
              <w:t xml:space="preserve"> </w:t>
            </w:r>
            <w:r w:rsidRPr="00BA3042">
              <w:rPr>
                <w:i/>
                <w:sz w:val="16"/>
                <w:szCs w:val="16"/>
                <w:lang w:val="fr-FR"/>
              </w:rPr>
              <w:t xml:space="preserve">destiné </w:t>
            </w:r>
            <w:r w:rsidR="00D90EF2" w:rsidRPr="00BA3042">
              <w:rPr>
                <w:i/>
                <w:sz w:val="16"/>
                <w:szCs w:val="16"/>
                <w:lang w:val="fr-FR"/>
              </w:rPr>
              <w:br/>
            </w:r>
            <w:r w:rsidRPr="00BA3042">
              <w:rPr>
                <w:i/>
                <w:sz w:val="16"/>
                <w:szCs w:val="16"/>
                <w:lang w:val="fr-FR"/>
              </w:rPr>
              <w:t>aux étudiants à temps plein</w:t>
            </w:r>
            <w:r w:rsidR="00D90EF2" w:rsidRPr="00BA3042">
              <w:rPr>
                <w:i/>
                <w:sz w:val="16"/>
                <w:szCs w:val="16"/>
                <w:lang w:val="fr-FR"/>
              </w:rPr>
              <w:t xml:space="preserve"> </w:t>
            </w:r>
            <w:r w:rsidRPr="00BA3042">
              <w:rPr>
                <w:i/>
                <w:sz w:val="16"/>
                <w:szCs w:val="16"/>
                <w:lang w:val="fr-FR"/>
              </w:rPr>
              <w:t>de 18 à 26 ans</w:t>
            </w:r>
          </w:p>
        </w:tc>
      </w:tr>
      <w:tr w:rsidR="00AE6933" w:rsidRPr="00BA3042" w:rsidTr="00E40CAC">
        <w:tc>
          <w:tcPr>
            <w:tcW w:w="1219" w:type="dxa"/>
            <w:tcBorders>
              <w:top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2008</w:t>
            </w:r>
          </w:p>
        </w:tc>
        <w:tc>
          <w:tcPr>
            <w:tcW w:w="3076" w:type="dxa"/>
            <w:tcBorders>
              <w:top w:val="single" w:sz="12" w:space="0" w:color="auto"/>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3 646</w:t>
            </w:r>
          </w:p>
        </w:tc>
        <w:tc>
          <w:tcPr>
            <w:tcW w:w="3076" w:type="dxa"/>
            <w:tcBorders>
              <w:top w:val="single" w:sz="12" w:space="0" w:color="auto"/>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5 104</w:t>
            </w:r>
          </w:p>
        </w:tc>
      </w:tr>
      <w:tr w:rsidR="00AE6933" w:rsidRPr="00BA3042" w:rsidTr="00E40CAC">
        <w:tc>
          <w:tcPr>
            <w:tcW w:w="1219" w:type="dxa"/>
          </w:tcPr>
          <w:p w:rsidR="00AE6933" w:rsidRPr="00BA3042" w:rsidRDefault="00AE6933" w:rsidP="00E40CAC">
            <w:pPr>
              <w:spacing w:before="40" w:after="40" w:line="220" w:lineRule="exact"/>
              <w:rPr>
                <w:sz w:val="18"/>
                <w:szCs w:val="18"/>
                <w:lang w:val="fr-FR"/>
              </w:rPr>
            </w:pPr>
            <w:r w:rsidRPr="00BA3042">
              <w:rPr>
                <w:sz w:val="18"/>
                <w:szCs w:val="18"/>
                <w:lang w:val="fr-FR"/>
              </w:rPr>
              <w:t>2009</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4 024</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5 634</w:t>
            </w:r>
          </w:p>
        </w:tc>
      </w:tr>
      <w:tr w:rsidR="00AE6933" w:rsidRPr="00BA3042" w:rsidTr="00E40CAC">
        <w:tc>
          <w:tcPr>
            <w:tcW w:w="1219" w:type="dxa"/>
          </w:tcPr>
          <w:p w:rsidR="00AE6933" w:rsidRPr="00BA3042" w:rsidRDefault="00AE6933" w:rsidP="00E40CAC">
            <w:pPr>
              <w:spacing w:before="40" w:after="40" w:line="220" w:lineRule="exact"/>
              <w:rPr>
                <w:sz w:val="18"/>
                <w:szCs w:val="18"/>
                <w:lang w:val="fr-FR"/>
              </w:rPr>
            </w:pPr>
            <w:r w:rsidRPr="00BA3042">
              <w:rPr>
                <w:sz w:val="18"/>
                <w:szCs w:val="18"/>
                <w:lang w:val="fr-FR"/>
              </w:rPr>
              <w:t>2010</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4 000</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5 600</w:t>
            </w:r>
          </w:p>
        </w:tc>
      </w:tr>
      <w:tr w:rsidR="00AE6933" w:rsidRPr="00BA3042" w:rsidTr="00E40CAC">
        <w:tc>
          <w:tcPr>
            <w:tcW w:w="1219" w:type="dxa"/>
          </w:tcPr>
          <w:p w:rsidR="00AE6933" w:rsidRPr="00BA3042" w:rsidRDefault="00AE6933" w:rsidP="00E40CAC">
            <w:pPr>
              <w:spacing w:before="40" w:after="40" w:line="220" w:lineRule="exact"/>
              <w:rPr>
                <w:sz w:val="18"/>
                <w:szCs w:val="18"/>
                <w:lang w:val="fr-FR"/>
              </w:rPr>
            </w:pPr>
            <w:r w:rsidRPr="00BA3042">
              <w:rPr>
                <w:sz w:val="18"/>
                <w:szCs w:val="18"/>
                <w:lang w:val="fr-FR"/>
              </w:rPr>
              <w:t>2011</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4 064</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5 689,5</w:t>
            </w:r>
            <w:r w:rsidR="00744A0D" w:rsidRPr="00BA3042">
              <w:rPr>
                <w:sz w:val="18"/>
                <w:szCs w:val="18"/>
                <w:lang w:val="fr-FR"/>
              </w:rPr>
              <w:t>0</w:t>
            </w:r>
          </w:p>
        </w:tc>
      </w:tr>
      <w:tr w:rsidR="00AE6933" w:rsidRPr="00BA3042" w:rsidTr="00E40CAC">
        <w:tc>
          <w:tcPr>
            <w:tcW w:w="1219" w:type="dxa"/>
          </w:tcPr>
          <w:p w:rsidR="00AE6933" w:rsidRPr="00BA3042" w:rsidRDefault="00AE6933" w:rsidP="00E40CAC">
            <w:pPr>
              <w:spacing w:before="40" w:after="40" w:line="220" w:lineRule="exact"/>
              <w:rPr>
                <w:sz w:val="18"/>
                <w:szCs w:val="18"/>
                <w:lang w:val="fr-FR"/>
              </w:rPr>
            </w:pPr>
            <w:r w:rsidRPr="00BA3042">
              <w:rPr>
                <w:sz w:val="18"/>
                <w:szCs w:val="18"/>
                <w:lang w:val="fr-FR"/>
              </w:rPr>
              <w:t>2012</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4 156</w:t>
            </w:r>
          </w:p>
        </w:tc>
        <w:tc>
          <w:tcPr>
            <w:tcW w:w="3076"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5 818,5</w:t>
            </w:r>
            <w:r w:rsidR="00744A0D" w:rsidRPr="00BA3042">
              <w:rPr>
                <w:sz w:val="18"/>
                <w:szCs w:val="18"/>
                <w:lang w:val="fr-FR"/>
              </w:rPr>
              <w:t>0</w:t>
            </w:r>
          </w:p>
        </w:tc>
      </w:tr>
      <w:tr w:rsidR="00AE6933" w:rsidRPr="00BA3042" w:rsidTr="00E40CAC">
        <w:tc>
          <w:tcPr>
            <w:tcW w:w="1219" w:type="dxa"/>
            <w:tcBorders>
              <w:bottom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2013</w:t>
            </w:r>
          </w:p>
        </w:tc>
        <w:tc>
          <w:tcPr>
            <w:tcW w:w="3076" w:type="dxa"/>
            <w:tcBorders>
              <w:bottom w:val="single" w:sz="12" w:space="0" w:color="auto"/>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4 156</w:t>
            </w:r>
            <w:r w:rsidR="00744A0D" w:rsidRPr="00BA3042">
              <w:rPr>
                <w:sz w:val="18"/>
                <w:szCs w:val="18"/>
                <w:lang w:val="fr-FR"/>
              </w:rPr>
              <w:t>,00</w:t>
            </w:r>
          </w:p>
        </w:tc>
        <w:tc>
          <w:tcPr>
            <w:tcW w:w="3076" w:type="dxa"/>
            <w:tcBorders>
              <w:bottom w:val="single" w:sz="12" w:space="0" w:color="auto"/>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5 818,5</w:t>
            </w:r>
            <w:r w:rsidR="00744A0D" w:rsidRPr="00BA3042">
              <w:rPr>
                <w:sz w:val="18"/>
                <w:szCs w:val="18"/>
                <w:lang w:val="fr-FR"/>
              </w:rPr>
              <w:t>0</w:t>
            </w:r>
          </w:p>
        </w:tc>
      </w:tr>
    </w:tbl>
    <w:p w:rsidR="00AE6933" w:rsidRPr="00BA3042" w:rsidRDefault="00744A0D" w:rsidP="00744A0D">
      <w:pPr>
        <w:pStyle w:val="H23G"/>
        <w:rPr>
          <w:lang w:val="fr-FR"/>
        </w:rPr>
      </w:pPr>
      <w:r w:rsidRPr="00BA3042">
        <w:rPr>
          <w:lang w:val="fr-FR"/>
        </w:rPr>
        <w:tab/>
      </w:r>
      <w:r w:rsidRPr="00BA3042">
        <w:rPr>
          <w:lang w:val="fr-FR"/>
        </w:rPr>
        <w:tab/>
      </w:r>
      <w:r w:rsidR="00AE6933" w:rsidRPr="00BA3042">
        <w:rPr>
          <w:lang w:val="fr-FR"/>
        </w:rPr>
        <w:t>Prestation pécuniaire destinée aux personnes qui étaient orphelines ou privées de soins parentaux avant l’âge de 18 ans</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19"/>
        <w:gridCol w:w="3076"/>
        <w:gridCol w:w="3076"/>
      </w:tblGrid>
      <w:tr w:rsidR="00AE6933" w:rsidRPr="00BA3042" w:rsidTr="00E40CAC">
        <w:tc>
          <w:tcPr>
            <w:tcW w:w="1219" w:type="dxa"/>
            <w:tcBorders>
              <w:left w:val="nil"/>
              <w:bottom w:val="single" w:sz="12" w:space="0" w:color="auto"/>
              <w:right w:val="nil"/>
            </w:tcBorders>
          </w:tcPr>
          <w:p w:rsidR="00AE6933" w:rsidRPr="00BA3042" w:rsidRDefault="00AE6933" w:rsidP="00E40CAC">
            <w:pPr>
              <w:spacing w:before="80" w:after="80" w:line="200" w:lineRule="exact"/>
              <w:rPr>
                <w:i/>
                <w:sz w:val="16"/>
                <w:szCs w:val="16"/>
                <w:lang w:val="fr-FR"/>
              </w:rPr>
            </w:pPr>
            <w:r w:rsidRPr="00BA3042">
              <w:rPr>
                <w:i/>
                <w:sz w:val="16"/>
                <w:szCs w:val="16"/>
                <w:lang w:val="fr-FR"/>
              </w:rPr>
              <w:t>Année</w:t>
            </w:r>
          </w:p>
        </w:tc>
        <w:tc>
          <w:tcPr>
            <w:tcW w:w="3076" w:type="dxa"/>
            <w:tcBorders>
              <w:left w:val="nil"/>
              <w:bottom w:val="single" w:sz="12" w:space="0" w:color="auto"/>
              <w:right w:val="nil"/>
            </w:tcBorders>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Avec logement social</w:t>
            </w:r>
          </w:p>
        </w:tc>
        <w:tc>
          <w:tcPr>
            <w:tcW w:w="3076" w:type="dxa"/>
            <w:tcBorders>
              <w:left w:val="nil"/>
              <w:bottom w:val="single" w:sz="12" w:space="0" w:color="auto"/>
              <w:right w:val="nil"/>
            </w:tcBorders>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Sans logement social</w:t>
            </w:r>
          </w:p>
        </w:tc>
      </w:tr>
      <w:tr w:rsidR="00AE6933" w:rsidRPr="00BA3042" w:rsidTr="00E40CAC">
        <w:tc>
          <w:tcPr>
            <w:tcW w:w="1219" w:type="dxa"/>
            <w:tcBorders>
              <w:top w:val="single" w:sz="12" w:space="0" w:color="auto"/>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2011</w:t>
            </w:r>
          </w:p>
        </w:tc>
        <w:tc>
          <w:tcPr>
            <w:tcW w:w="3076" w:type="dxa"/>
            <w:tcBorders>
              <w:top w:val="single" w:sz="12" w:space="0" w:color="auto"/>
              <w:left w:val="nil"/>
              <w:bottom w:val="nil"/>
              <w:right w:val="nil"/>
            </w:tcBorders>
            <w:vAlign w:val="bottom"/>
          </w:tcPr>
          <w:p w:rsidR="00AE6933" w:rsidRPr="00BA3042" w:rsidRDefault="00AE6933" w:rsidP="00E40CAC">
            <w:pPr>
              <w:spacing w:before="40" w:after="40" w:line="220" w:lineRule="exact"/>
              <w:jc w:val="right"/>
              <w:rPr>
                <w:sz w:val="18"/>
                <w:szCs w:val="18"/>
                <w:lang w:val="fr-FR"/>
              </w:rPr>
            </w:pPr>
            <w:r w:rsidRPr="00BA3042">
              <w:rPr>
                <w:sz w:val="18"/>
                <w:szCs w:val="18"/>
                <w:lang w:val="fr-FR"/>
              </w:rPr>
              <w:t>9 000</w:t>
            </w:r>
          </w:p>
        </w:tc>
        <w:tc>
          <w:tcPr>
            <w:tcW w:w="3076" w:type="dxa"/>
            <w:tcBorders>
              <w:top w:val="single" w:sz="12" w:space="0" w:color="auto"/>
              <w:left w:val="nil"/>
              <w:bottom w:val="nil"/>
              <w:right w:val="nil"/>
            </w:tcBorders>
            <w:vAlign w:val="bottom"/>
          </w:tcPr>
          <w:p w:rsidR="00AE6933" w:rsidRPr="00BA3042" w:rsidRDefault="00AE6933" w:rsidP="00E40CAC">
            <w:pPr>
              <w:spacing w:before="40" w:after="40" w:line="220" w:lineRule="exact"/>
              <w:jc w:val="right"/>
              <w:rPr>
                <w:sz w:val="18"/>
                <w:szCs w:val="18"/>
                <w:lang w:val="fr-FR"/>
              </w:rPr>
            </w:pPr>
            <w:r w:rsidRPr="00BA3042">
              <w:rPr>
                <w:sz w:val="18"/>
                <w:szCs w:val="18"/>
                <w:lang w:val="fr-FR"/>
              </w:rPr>
              <w:t>18 000</w:t>
            </w:r>
          </w:p>
        </w:tc>
      </w:tr>
      <w:tr w:rsidR="00AE6933" w:rsidRPr="00BA3042" w:rsidTr="00E40CAC">
        <w:tc>
          <w:tcPr>
            <w:tcW w:w="1219"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2012</w:t>
            </w:r>
          </w:p>
        </w:tc>
        <w:tc>
          <w:tcPr>
            <w:tcW w:w="3076" w:type="dxa"/>
            <w:tcBorders>
              <w:top w:val="nil"/>
              <w:left w:val="nil"/>
              <w:bottom w:val="nil"/>
              <w:right w:val="nil"/>
            </w:tcBorders>
            <w:vAlign w:val="bottom"/>
          </w:tcPr>
          <w:p w:rsidR="00AE6933" w:rsidRPr="00BA3042" w:rsidRDefault="00AE6933" w:rsidP="00E40CAC">
            <w:pPr>
              <w:spacing w:before="40" w:after="40" w:line="220" w:lineRule="exact"/>
              <w:jc w:val="right"/>
              <w:rPr>
                <w:sz w:val="18"/>
                <w:szCs w:val="18"/>
                <w:lang w:val="fr-FR"/>
              </w:rPr>
            </w:pPr>
            <w:r w:rsidRPr="00BA3042">
              <w:rPr>
                <w:sz w:val="18"/>
                <w:szCs w:val="18"/>
                <w:lang w:val="fr-FR"/>
              </w:rPr>
              <w:t>9 351</w:t>
            </w:r>
          </w:p>
        </w:tc>
        <w:tc>
          <w:tcPr>
            <w:tcW w:w="3076" w:type="dxa"/>
            <w:tcBorders>
              <w:top w:val="nil"/>
              <w:left w:val="nil"/>
              <w:bottom w:val="nil"/>
              <w:right w:val="nil"/>
            </w:tcBorders>
            <w:vAlign w:val="bottom"/>
          </w:tcPr>
          <w:p w:rsidR="00AE6933" w:rsidRPr="00BA3042" w:rsidRDefault="00AE6933" w:rsidP="00E40CAC">
            <w:pPr>
              <w:spacing w:before="40" w:after="40" w:line="220" w:lineRule="exact"/>
              <w:jc w:val="right"/>
              <w:rPr>
                <w:sz w:val="18"/>
                <w:szCs w:val="18"/>
                <w:lang w:val="fr-FR"/>
              </w:rPr>
            </w:pPr>
            <w:r w:rsidRPr="00BA3042">
              <w:rPr>
                <w:sz w:val="18"/>
                <w:szCs w:val="18"/>
                <w:lang w:val="fr-FR"/>
              </w:rPr>
              <w:t>18 702</w:t>
            </w:r>
          </w:p>
        </w:tc>
      </w:tr>
      <w:tr w:rsidR="00AE6933" w:rsidRPr="00BA3042" w:rsidTr="00E40CAC">
        <w:tc>
          <w:tcPr>
            <w:tcW w:w="1219" w:type="dxa"/>
            <w:tcBorders>
              <w:top w:val="nil"/>
              <w:left w:val="nil"/>
              <w:bottom w:val="single" w:sz="12"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2013</w:t>
            </w:r>
          </w:p>
        </w:tc>
        <w:tc>
          <w:tcPr>
            <w:tcW w:w="3076" w:type="dxa"/>
            <w:tcBorders>
              <w:top w:val="nil"/>
              <w:left w:val="nil"/>
              <w:bottom w:val="single" w:sz="12" w:space="0" w:color="auto"/>
              <w:right w:val="nil"/>
            </w:tcBorders>
            <w:vAlign w:val="bottom"/>
          </w:tcPr>
          <w:p w:rsidR="00AE6933" w:rsidRPr="00BA3042" w:rsidRDefault="00AE6933" w:rsidP="00E40CAC">
            <w:pPr>
              <w:spacing w:before="40" w:after="40" w:line="220" w:lineRule="exact"/>
              <w:jc w:val="right"/>
              <w:rPr>
                <w:sz w:val="18"/>
                <w:szCs w:val="18"/>
                <w:lang w:val="fr-FR"/>
              </w:rPr>
            </w:pPr>
            <w:r w:rsidRPr="00BA3042">
              <w:rPr>
                <w:sz w:val="18"/>
                <w:szCs w:val="18"/>
                <w:lang w:val="fr-FR"/>
              </w:rPr>
              <w:t>12 000</w:t>
            </w:r>
          </w:p>
        </w:tc>
        <w:tc>
          <w:tcPr>
            <w:tcW w:w="3076" w:type="dxa"/>
            <w:tcBorders>
              <w:top w:val="nil"/>
              <w:left w:val="nil"/>
              <w:bottom w:val="single" w:sz="12" w:space="0" w:color="auto"/>
              <w:right w:val="nil"/>
            </w:tcBorders>
            <w:vAlign w:val="bottom"/>
          </w:tcPr>
          <w:p w:rsidR="00AE6933" w:rsidRPr="00BA3042" w:rsidRDefault="00AE6933" w:rsidP="00E40CAC">
            <w:pPr>
              <w:spacing w:before="40" w:after="40" w:line="220" w:lineRule="exact"/>
              <w:jc w:val="right"/>
              <w:rPr>
                <w:sz w:val="18"/>
                <w:szCs w:val="18"/>
                <w:lang w:val="fr-FR"/>
              </w:rPr>
            </w:pPr>
            <w:r w:rsidRPr="00BA3042">
              <w:rPr>
                <w:sz w:val="18"/>
                <w:szCs w:val="18"/>
                <w:lang w:val="fr-FR"/>
              </w:rPr>
              <w:t>24 000</w:t>
            </w:r>
          </w:p>
        </w:tc>
      </w:tr>
    </w:tbl>
    <w:p w:rsidR="00AE6933" w:rsidRPr="00BA3042" w:rsidRDefault="00AE6933" w:rsidP="00AE6933">
      <w:pPr>
        <w:spacing w:after="120" w:line="276" w:lineRule="auto"/>
        <w:jc w:val="both"/>
        <w:rPr>
          <w:sz w:val="24"/>
          <w:szCs w:val="24"/>
          <w:lang w:val="fr-FR"/>
        </w:rPr>
      </w:pP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842"/>
        <w:gridCol w:w="1843"/>
        <w:gridCol w:w="1843"/>
        <w:gridCol w:w="1843"/>
      </w:tblGrid>
      <w:tr w:rsidR="00AE6933" w:rsidRPr="00BA3042" w:rsidTr="00E40CAC">
        <w:tc>
          <w:tcPr>
            <w:tcW w:w="3685" w:type="dxa"/>
            <w:gridSpan w:val="2"/>
            <w:tcBorders>
              <w:left w:val="nil"/>
              <w:bottom w:val="single" w:sz="4" w:space="0" w:color="auto"/>
              <w:right w:val="single" w:sz="24" w:space="0" w:color="FFFFFF"/>
            </w:tcBorders>
            <w:shd w:val="clear" w:color="auto" w:fill="FFFFFF"/>
          </w:tcPr>
          <w:p w:rsidR="00AE6933" w:rsidRPr="00BA3042" w:rsidRDefault="00AE6933" w:rsidP="00E40CAC">
            <w:pPr>
              <w:spacing w:line="200" w:lineRule="exact"/>
              <w:jc w:val="center"/>
              <w:rPr>
                <w:i/>
                <w:sz w:val="16"/>
                <w:szCs w:val="16"/>
                <w:lang w:val="fr-FR"/>
              </w:rPr>
            </w:pPr>
            <w:r w:rsidRPr="00BA3042">
              <w:rPr>
                <w:i/>
                <w:sz w:val="16"/>
                <w:szCs w:val="16"/>
                <w:lang w:val="fr-FR"/>
              </w:rPr>
              <w:t>Mobilité et cécité</w:t>
            </w:r>
            <w:r w:rsidRPr="00BA3042">
              <w:rPr>
                <w:i/>
                <w:sz w:val="16"/>
                <w:szCs w:val="16"/>
                <w:lang w:val="fr-FR"/>
              </w:rPr>
              <w:br/>
              <w:t>2012</w:t>
            </w:r>
          </w:p>
        </w:tc>
        <w:tc>
          <w:tcPr>
            <w:tcW w:w="3686" w:type="dxa"/>
            <w:gridSpan w:val="2"/>
            <w:tcBorders>
              <w:left w:val="single" w:sz="24" w:space="0" w:color="FFFFFF"/>
              <w:bottom w:val="single" w:sz="4" w:space="0" w:color="auto"/>
              <w:right w:val="nil"/>
            </w:tcBorders>
            <w:shd w:val="clear" w:color="auto" w:fill="FFFFFF"/>
          </w:tcPr>
          <w:p w:rsidR="00AE6933" w:rsidRPr="00BA3042" w:rsidRDefault="00AE6933" w:rsidP="00E40CAC">
            <w:pPr>
              <w:spacing w:line="200" w:lineRule="exact"/>
              <w:jc w:val="center"/>
              <w:rPr>
                <w:i/>
                <w:sz w:val="16"/>
                <w:szCs w:val="16"/>
                <w:lang w:val="fr-FR"/>
              </w:rPr>
            </w:pPr>
            <w:r w:rsidRPr="00BA3042">
              <w:rPr>
                <w:i/>
                <w:sz w:val="16"/>
                <w:szCs w:val="16"/>
                <w:lang w:val="fr-FR"/>
              </w:rPr>
              <w:t>Mobilité et cécité</w:t>
            </w:r>
            <w:r w:rsidRPr="00BA3042">
              <w:rPr>
                <w:i/>
                <w:sz w:val="16"/>
                <w:szCs w:val="16"/>
                <w:lang w:val="fr-FR"/>
              </w:rPr>
              <w:br/>
              <w:t>Première moitié de 2013</w:t>
            </w:r>
          </w:p>
        </w:tc>
      </w:tr>
      <w:tr w:rsidR="00AE6933" w:rsidRPr="00BA3042" w:rsidTr="00E40CAC">
        <w:trPr>
          <w:trHeight w:val="213"/>
        </w:trPr>
        <w:tc>
          <w:tcPr>
            <w:tcW w:w="1842" w:type="dxa"/>
            <w:tcBorders>
              <w:top w:val="single" w:sz="4" w:space="0" w:color="auto"/>
              <w:left w:val="nil"/>
              <w:bottom w:val="single" w:sz="12" w:space="0" w:color="auto"/>
              <w:right w:val="nil"/>
            </w:tcBorders>
          </w:tcPr>
          <w:p w:rsidR="00AE6933" w:rsidRPr="00BA3042" w:rsidRDefault="00AE6933" w:rsidP="00E40CAC">
            <w:pPr>
              <w:spacing w:before="80" w:after="80" w:line="200" w:lineRule="exact"/>
              <w:rPr>
                <w:i/>
                <w:sz w:val="16"/>
                <w:szCs w:val="16"/>
                <w:lang w:val="fr-FR"/>
              </w:rPr>
            </w:pPr>
            <w:r w:rsidRPr="00BA3042">
              <w:rPr>
                <w:i/>
                <w:sz w:val="16"/>
                <w:szCs w:val="16"/>
                <w:lang w:val="fr-FR"/>
              </w:rPr>
              <w:t>Nombre de bénéficiaires</w:t>
            </w:r>
          </w:p>
        </w:tc>
        <w:tc>
          <w:tcPr>
            <w:tcW w:w="1843" w:type="dxa"/>
            <w:tcBorders>
              <w:top w:val="single" w:sz="4" w:space="0" w:color="auto"/>
              <w:left w:val="nil"/>
              <w:bottom w:val="single" w:sz="12" w:space="0" w:color="auto"/>
              <w:right w:val="single" w:sz="24" w:space="0" w:color="FFFFFF"/>
            </w:tcBorders>
            <w:shd w:val="clear" w:color="auto" w:fill="FFFFFF"/>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Montant en denar</w:t>
            </w:r>
          </w:p>
        </w:tc>
        <w:tc>
          <w:tcPr>
            <w:tcW w:w="1843" w:type="dxa"/>
            <w:tcBorders>
              <w:top w:val="single" w:sz="4" w:space="0" w:color="auto"/>
              <w:left w:val="single" w:sz="24" w:space="0" w:color="FFFFFF"/>
              <w:bottom w:val="single" w:sz="12" w:space="0" w:color="auto"/>
              <w:right w:val="nil"/>
            </w:tcBorders>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Nombre de bénéficiaires</w:t>
            </w:r>
          </w:p>
        </w:tc>
        <w:tc>
          <w:tcPr>
            <w:tcW w:w="1843" w:type="dxa"/>
            <w:tcBorders>
              <w:top w:val="single" w:sz="4" w:space="0" w:color="auto"/>
              <w:left w:val="nil"/>
              <w:bottom w:val="single" w:sz="12" w:space="0" w:color="auto"/>
              <w:right w:val="nil"/>
            </w:tcBorders>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Montant en denar</w:t>
            </w:r>
          </w:p>
        </w:tc>
      </w:tr>
      <w:tr w:rsidR="00AE6933" w:rsidRPr="00BA3042" w:rsidTr="00E40CAC">
        <w:tc>
          <w:tcPr>
            <w:tcW w:w="1842" w:type="dxa"/>
            <w:tcBorders>
              <w:top w:val="single" w:sz="12" w:space="0" w:color="auto"/>
              <w:left w:val="nil"/>
              <w:bottom w:val="single" w:sz="12"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849</w:t>
            </w:r>
          </w:p>
        </w:tc>
        <w:tc>
          <w:tcPr>
            <w:tcW w:w="1843" w:type="dxa"/>
            <w:tcBorders>
              <w:top w:val="single" w:sz="12" w:space="0" w:color="auto"/>
              <w:left w:val="nil"/>
              <w:bottom w:val="single" w:sz="12" w:space="0" w:color="auto"/>
              <w:right w:val="nil"/>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7 904 762</w:t>
            </w:r>
          </w:p>
        </w:tc>
        <w:tc>
          <w:tcPr>
            <w:tcW w:w="1843" w:type="dxa"/>
            <w:tcBorders>
              <w:top w:val="single" w:sz="12" w:space="0" w:color="auto"/>
              <w:left w:val="nil"/>
              <w:bottom w:val="single" w:sz="12" w:space="0" w:color="auto"/>
              <w:right w:val="nil"/>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2 529</w:t>
            </w:r>
          </w:p>
        </w:tc>
        <w:tc>
          <w:tcPr>
            <w:tcW w:w="1843" w:type="dxa"/>
            <w:tcBorders>
              <w:top w:val="single" w:sz="12" w:space="0" w:color="auto"/>
              <w:left w:val="nil"/>
              <w:bottom w:val="single" w:sz="12" w:space="0" w:color="auto"/>
              <w:right w:val="nil"/>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28 044 965</w:t>
            </w:r>
          </w:p>
        </w:tc>
      </w:tr>
    </w:tbl>
    <w:p w:rsidR="00AE6933" w:rsidRPr="00BA3042" w:rsidRDefault="00AE6933" w:rsidP="00AE6933">
      <w:pPr>
        <w:pStyle w:val="SingleTxtG"/>
        <w:spacing w:before="240"/>
        <w:rPr>
          <w:lang w:val="fr-FR"/>
        </w:rPr>
      </w:pPr>
      <w:r w:rsidRPr="00BA3042">
        <w:rPr>
          <w:lang w:val="fr-FR"/>
        </w:rPr>
        <w:t>57.</w:t>
      </w:r>
      <w:r w:rsidRPr="00BA3042">
        <w:rPr>
          <w:lang w:val="fr-FR"/>
        </w:rPr>
        <w:tab/>
        <w:t>En vertu de la loi modifiant et complétant la loi sur la protection sociale (Journal officiel n</w:t>
      </w:r>
      <w:r w:rsidRPr="00BA3042">
        <w:rPr>
          <w:vertAlign w:val="superscript"/>
          <w:lang w:val="fr-FR"/>
        </w:rPr>
        <w:t>o</w:t>
      </w:r>
      <w:r w:rsidRPr="00BA3042">
        <w:rPr>
          <w:lang w:val="fr-FR"/>
        </w:rPr>
        <w:t> 166/12), la base de calcul du montant de la prestation sociale et de la prestation permanente a augmenté de 5 % en mars 2013.</w:t>
      </w:r>
    </w:p>
    <w:p w:rsidR="00AE6933" w:rsidRPr="00BA3042" w:rsidRDefault="00AE6933" w:rsidP="00AE6933">
      <w:pPr>
        <w:pStyle w:val="SingleTxtG"/>
        <w:rPr>
          <w:lang w:val="fr-FR"/>
        </w:rPr>
      </w:pPr>
      <w:r w:rsidRPr="00BA3042">
        <w:rPr>
          <w:lang w:val="fr-FR"/>
        </w:rPr>
        <w:t>58.</w:t>
      </w:r>
      <w:r w:rsidRPr="00BA3042">
        <w:rPr>
          <w:lang w:val="fr-FR"/>
        </w:rPr>
        <w:tab/>
        <w:t>La loi modifiant et complétant la loi sur la protection sociale (Journal officiel n</w:t>
      </w:r>
      <w:r w:rsidRPr="00BA3042">
        <w:rPr>
          <w:vertAlign w:val="superscript"/>
          <w:lang w:val="fr-FR"/>
        </w:rPr>
        <w:t>o</w:t>
      </w:r>
      <w:r w:rsidRPr="00BA3042">
        <w:rPr>
          <w:lang w:val="fr-FR"/>
        </w:rPr>
        <w:t> 79/13) a amélioré la situation des bénéficiaires de prestations sociales qui ont un travail temporaire en élargissant les possibilités de travail intérimaire dans le secteur privé, et elle a renforcé leur sécurité en prescrivant l’obligation de conclure des contrats de travail intérimaire. Ceci facilite l’insertion de cette catégorie de bénéficiaires sur le marché du travail; parallèlement, la période de recrutement des travailleurs publics saisonniers est passée de cinq à quatre-vingt-dix jours.</w:t>
      </w:r>
    </w:p>
    <w:p w:rsidR="00AE6933" w:rsidRPr="00BA3042" w:rsidRDefault="00AE6933" w:rsidP="00AE6933">
      <w:pPr>
        <w:pStyle w:val="SingleTxtG"/>
        <w:rPr>
          <w:lang w:val="fr-FR"/>
        </w:rPr>
      </w:pPr>
      <w:r w:rsidRPr="00BA3042">
        <w:rPr>
          <w:lang w:val="fr-FR"/>
        </w:rPr>
        <w:t>59.</w:t>
      </w:r>
      <w:r w:rsidRPr="00BA3042">
        <w:rPr>
          <w:lang w:val="fr-FR"/>
        </w:rPr>
        <w:tab/>
        <w:t>Les derniers ajouts et modifications de la loi sur la protection sociale ont introduit un nouveau droit aux prestations pécuniaires pour les familles d’accueil. Ceci garantit la sécurité des parents d’accueils qui, après avoir atteint 62 ans, cessent d’accueillir des personnes, sont sans emploi et n’ont pas droit à une pension de retraite, conformément à la réglementation sur les pensions et l’assurance invalidité.</w:t>
      </w:r>
    </w:p>
    <w:p w:rsidR="00AE6933" w:rsidRPr="00BA3042" w:rsidRDefault="00AE6933" w:rsidP="00AE6933">
      <w:pPr>
        <w:pStyle w:val="SingleTxtG"/>
        <w:rPr>
          <w:lang w:val="fr-FR"/>
        </w:rPr>
      </w:pPr>
      <w:r w:rsidRPr="00BA3042">
        <w:rPr>
          <w:lang w:val="fr-FR"/>
        </w:rPr>
        <w:t>60.</w:t>
      </w:r>
      <w:r w:rsidRPr="00BA3042">
        <w:rPr>
          <w:lang w:val="fr-FR"/>
        </w:rPr>
        <w:tab/>
        <w:t>L’une des actions programmées par le Gouvernement consiste à garantir la sécurité sociale des retraités en revalorisant les pensions de retraite et en améliorant la régularité des versements.</w:t>
      </w:r>
    </w:p>
    <w:p w:rsidR="00AE6933" w:rsidRPr="00BA3042" w:rsidRDefault="00AE6933" w:rsidP="00AE6933">
      <w:pPr>
        <w:pStyle w:val="SingleTxtG"/>
        <w:spacing w:after="240"/>
        <w:rPr>
          <w:lang w:val="fr-FR"/>
        </w:rPr>
      </w:pPr>
      <w:r w:rsidRPr="00BA3042">
        <w:rPr>
          <w:lang w:val="fr-FR"/>
        </w:rPr>
        <w:t>61.</w:t>
      </w:r>
      <w:r w:rsidRPr="00BA3042">
        <w:rPr>
          <w:lang w:val="fr-FR"/>
        </w:rPr>
        <w:tab/>
        <w:t>Jusqu’en 2007, les pensions de retraite étaient divisées en trois catégories en fonction de leur montant et elles étaient versées le 15 du mois suivant le terme mensuel échu. Depuis 2008, le Gouvernement, c’est-à-dire le Ministère du travail et de la politique sociale et le Fonds de pensions et d’assurance invalidité se sont engagés à verser les pensions au début de la première semaine de chaque mois suivant le terme mensuel échu, et ce, pour toutes les catégories de pensions. En janvier 2008, le Gouvernement a modifié le mode de revalorisation des pensions (50 % en fonction de l’augmentation des salaires et 50 % en fonction de l’augmentation du coût de la vie) et il a augmenté leur niveau. Entre 2006 et 2013, le niveau des pensions les plus modestes a augmenté de 60,9 %, cependant que, globalement entre 2005 et 2013, les pensions de retraite ont augmenté de 44,13 %.</w:t>
      </w:r>
    </w:p>
    <w:tbl>
      <w:tblPr>
        <w:tblW w:w="7371" w:type="dxa"/>
        <w:tblInd w:w="1134" w:type="dxa"/>
        <w:tblBorders>
          <w:top w:val="single" w:sz="4" w:space="0" w:color="auto"/>
          <w:left w:val="single" w:sz="4" w:space="0" w:color="auto"/>
          <w:bottom w:val="single" w:sz="12" w:space="0" w:color="auto"/>
          <w:right w:val="single" w:sz="4" w:space="0" w:color="auto"/>
        </w:tblBorders>
        <w:tblCellMar>
          <w:left w:w="0" w:type="dxa"/>
          <w:right w:w="0" w:type="dxa"/>
        </w:tblCellMar>
        <w:tblLook w:val="04A0"/>
      </w:tblPr>
      <w:tblGrid>
        <w:gridCol w:w="728"/>
        <w:gridCol w:w="2506"/>
        <w:gridCol w:w="2510"/>
        <w:gridCol w:w="1627"/>
      </w:tblGrid>
      <w:tr w:rsidR="00AE6933" w:rsidRPr="00BA3042" w:rsidTr="00E40CAC">
        <w:tc>
          <w:tcPr>
            <w:tcW w:w="728" w:type="dxa"/>
            <w:tcBorders>
              <w:top w:val="single" w:sz="4" w:space="0" w:color="auto"/>
              <w:left w:val="nil"/>
              <w:bottom w:val="single" w:sz="12" w:space="0" w:color="auto"/>
            </w:tcBorders>
            <w:shd w:val="clear" w:color="auto" w:fill="auto"/>
            <w:vAlign w:val="bottom"/>
          </w:tcPr>
          <w:p w:rsidR="00AE6933" w:rsidRPr="00BA3042" w:rsidRDefault="00AE6933" w:rsidP="00E40CAC">
            <w:pPr>
              <w:spacing w:before="80" w:after="80" w:line="200" w:lineRule="exact"/>
              <w:rPr>
                <w:i/>
                <w:sz w:val="16"/>
                <w:szCs w:val="16"/>
                <w:lang w:val="fr-FR"/>
              </w:rPr>
            </w:pPr>
            <w:r w:rsidRPr="00BA3042">
              <w:rPr>
                <w:i/>
                <w:sz w:val="16"/>
                <w:szCs w:val="16"/>
                <w:lang w:val="fr-FR"/>
              </w:rPr>
              <w:t>Année</w:t>
            </w:r>
          </w:p>
        </w:tc>
        <w:tc>
          <w:tcPr>
            <w:tcW w:w="2506" w:type="dxa"/>
            <w:tcBorders>
              <w:top w:val="single" w:sz="4" w:space="0" w:color="auto"/>
              <w:bottom w:val="single" w:sz="12" w:space="0" w:color="auto"/>
            </w:tcBorders>
            <w:shd w:val="clear" w:color="auto" w:fill="auto"/>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Indexation des pensions de retraite</w:t>
            </w:r>
            <w:r w:rsidRPr="00BA3042">
              <w:rPr>
                <w:i/>
                <w:sz w:val="16"/>
                <w:szCs w:val="16"/>
                <w:lang w:val="fr-FR"/>
              </w:rPr>
              <w:br/>
              <w:t>au 1</w:t>
            </w:r>
            <w:r w:rsidRPr="00BA3042">
              <w:rPr>
                <w:i/>
                <w:sz w:val="16"/>
                <w:szCs w:val="16"/>
                <w:vertAlign w:val="superscript"/>
                <w:lang w:val="fr-FR"/>
              </w:rPr>
              <w:t>er</w:t>
            </w:r>
            <w:r w:rsidRPr="00BA3042">
              <w:rPr>
                <w:i/>
                <w:sz w:val="16"/>
                <w:szCs w:val="16"/>
                <w:lang w:val="fr-FR"/>
              </w:rPr>
              <w:t xml:space="preserve"> janvier (en %)</w:t>
            </w:r>
          </w:p>
        </w:tc>
        <w:tc>
          <w:tcPr>
            <w:tcW w:w="2510" w:type="dxa"/>
            <w:tcBorders>
              <w:top w:val="single" w:sz="4" w:space="0" w:color="auto"/>
              <w:bottom w:val="single" w:sz="12" w:space="0" w:color="auto"/>
            </w:tcBorders>
            <w:shd w:val="clear" w:color="auto" w:fill="auto"/>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Indexation des pensions de retraite</w:t>
            </w:r>
            <w:r w:rsidRPr="00BA3042">
              <w:rPr>
                <w:i/>
                <w:sz w:val="16"/>
                <w:szCs w:val="16"/>
                <w:lang w:val="fr-FR"/>
              </w:rPr>
              <w:br/>
              <w:t>au 1</w:t>
            </w:r>
            <w:r w:rsidRPr="00BA3042">
              <w:rPr>
                <w:i/>
                <w:sz w:val="16"/>
                <w:szCs w:val="16"/>
                <w:vertAlign w:val="superscript"/>
                <w:lang w:val="fr-FR"/>
              </w:rPr>
              <w:t>er</w:t>
            </w:r>
            <w:r w:rsidRPr="00BA3042">
              <w:rPr>
                <w:i/>
                <w:sz w:val="16"/>
                <w:szCs w:val="16"/>
                <w:lang w:val="fr-FR"/>
              </w:rPr>
              <w:t xml:space="preserve"> juillet (en %)</w:t>
            </w:r>
          </w:p>
        </w:tc>
        <w:tc>
          <w:tcPr>
            <w:tcW w:w="1627" w:type="dxa"/>
            <w:tcBorders>
              <w:top w:val="single" w:sz="4" w:space="0" w:color="auto"/>
              <w:bottom w:val="single" w:sz="12" w:space="0" w:color="auto"/>
              <w:right w:val="nil"/>
            </w:tcBorders>
            <w:shd w:val="clear" w:color="auto" w:fill="auto"/>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Augmentation (en %)</w:t>
            </w:r>
          </w:p>
        </w:tc>
      </w:tr>
      <w:tr w:rsidR="00AE6933" w:rsidRPr="00BA3042" w:rsidTr="00E40CAC">
        <w:tc>
          <w:tcPr>
            <w:tcW w:w="728" w:type="dxa"/>
            <w:tcBorders>
              <w:top w:val="single" w:sz="12" w:space="0" w:color="auto"/>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2005</w:t>
            </w:r>
          </w:p>
        </w:tc>
        <w:tc>
          <w:tcPr>
            <w:tcW w:w="2506" w:type="dxa"/>
            <w:tcBorders>
              <w:top w:val="single" w:sz="12" w:space="0" w:color="auto"/>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w:t>
            </w:r>
          </w:p>
        </w:tc>
        <w:tc>
          <w:tcPr>
            <w:tcW w:w="2510" w:type="dxa"/>
            <w:tcBorders>
              <w:top w:val="single" w:sz="12" w:space="0" w:color="auto"/>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0,40</w:t>
            </w:r>
          </w:p>
        </w:tc>
        <w:tc>
          <w:tcPr>
            <w:tcW w:w="1627" w:type="dxa"/>
            <w:tcBorders>
              <w:top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0,40</w:t>
            </w:r>
          </w:p>
        </w:tc>
      </w:tr>
      <w:tr w:rsidR="00AE6933" w:rsidRPr="00BA3042" w:rsidTr="00E40CAC">
        <w:tc>
          <w:tcPr>
            <w:tcW w:w="728" w:type="dxa"/>
            <w:tcBorders>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2006</w:t>
            </w:r>
          </w:p>
        </w:tc>
        <w:tc>
          <w:tcPr>
            <w:tcW w:w="2506"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0,48</w:t>
            </w:r>
          </w:p>
        </w:tc>
        <w:tc>
          <w:tcPr>
            <w:tcW w:w="2510"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2,18</w:t>
            </w:r>
          </w:p>
        </w:tc>
        <w:tc>
          <w:tcPr>
            <w:tcW w:w="1627" w:type="dxa"/>
            <w:tcBorders>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2,67</w:t>
            </w:r>
          </w:p>
        </w:tc>
      </w:tr>
      <w:tr w:rsidR="00AE6933" w:rsidRPr="00BA3042" w:rsidTr="00E40CAC">
        <w:tc>
          <w:tcPr>
            <w:tcW w:w="728" w:type="dxa"/>
            <w:tcBorders>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2007</w:t>
            </w:r>
          </w:p>
        </w:tc>
        <w:tc>
          <w:tcPr>
            <w:tcW w:w="2506"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0,64</w:t>
            </w:r>
          </w:p>
        </w:tc>
        <w:tc>
          <w:tcPr>
            <w:tcW w:w="2510"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1,04</w:t>
            </w:r>
          </w:p>
        </w:tc>
        <w:tc>
          <w:tcPr>
            <w:tcW w:w="1627" w:type="dxa"/>
            <w:tcBorders>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1,69</w:t>
            </w:r>
          </w:p>
        </w:tc>
      </w:tr>
      <w:tr w:rsidR="00AE6933" w:rsidRPr="00BA3042" w:rsidTr="00E40CAC">
        <w:tc>
          <w:tcPr>
            <w:tcW w:w="728" w:type="dxa"/>
            <w:tcBorders>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2008*</w:t>
            </w:r>
          </w:p>
        </w:tc>
        <w:tc>
          <w:tcPr>
            <w:tcW w:w="2506"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13,00</w:t>
            </w:r>
          </w:p>
        </w:tc>
        <w:tc>
          <w:tcPr>
            <w:tcW w:w="2510"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7,65</w:t>
            </w:r>
          </w:p>
        </w:tc>
        <w:tc>
          <w:tcPr>
            <w:tcW w:w="1627" w:type="dxa"/>
            <w:tcBorders>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21,66</w:t>
            </w:r>
          </w:p>
        </w:tc>
      </w:tr>
      <w:tr w:rsidR="00AE6933" w:rsidRPr="00BA3042" w:rsidTr="00E40CAC">
        <w:tc>
          <w:tcPr>
            <w:tcW w:w="728" w:type="dxa"/>
            <w:tcBorders>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2009</w:t>
            </w:r>
          </w:p>
        </w:tc>
        <w:tc>
          <w:tcPr>
            <w:tcW w:w="2506"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3,50</w:t>
            </w:r>
          </w:p>
        </w:tc>
        <w:tc>
          <w:tcPr>
            <w:tcW w:w="2510"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2,02</w:t>
            </w:r>
          </w:p>
        </w:tc>
        <w:tc>
          <w:tcPr>
            <w:tcW w:w="1627" w:type="dxa"/>
            <w:tcBorders>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5,59</w:t>
            </w:r>
          </w:p>
        </w:tc>
      </w:tr>
      <w:tr w:rsidR="00AE6933" w:rsidRPr="00BA3042" w:rsidTr="00E40CAC">
        <w:tc>
          <w:tcPr>
            <w:tcW w:w="728" w:type="dxa"/>
            <w:tcBorders>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2010</w:t>
            </w:r>
          </w:p>
        </w:tc>
        <w:tc>
          <w:tcPr>
            <w:tcW w:w="2506"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0,30</w:t>
            </w:r>
          </w:p>
        </w:tc>
        <w:tc>
          <w:tcPr>
            <w:tcW w:w="2510"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1,10</w:t>
            </w:r>
          </w:p>
        </w:tc>
        <w:tc>
          <w:tcPr>
            <w:tcW w:w="1627" w:type="dxa"/>
            <w:tcBorders>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1,40</w:t>
            </w:r>
          </w:p>
        </w:tc>
      </w:tr>
      <w:tr w:rsidR="00AE6933" w:rsidRPr="00BA3042" w:rsidTr="00E40CAC">
        <w:tc>
          <w:tcPr>
            <w:tcW w:w="728" w:type="dxa"/>
            <w:tcBorders>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2011</w:t>
            </w:r>
          </w:p>
        </w:tc>
        <w:tc>
          <w:tcPr>
            <w:tcW w:w="2506"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0,75</w:t>
            </w:r>
          </w:p>
        </w:tc>
        <w:tc>
          <w:tcPr>
            <w:tcW w:w="2510"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2,10</w:t>
            </w:r>
          </w:p>
        </w:tc>
        <w:tc>
          <w:tcPr>
            <w:tcW w:w="1627" w:type="dxa"/>
            <w:tcBorders>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2,86</w:t>
            </w:r>
          </w:p>
        </w:tc>
      </w:tr>
      <w:tr w:rsidR="00AE6933" w:rsidRPr="00BA3042" w:rsidTr="00E40CAC">
        <w:tc>
          <w:tcPr>
            <w:tcW w:w="728" w:type="dxa"/>
            <w:tcBorders>
              <w:left w:val="nil"/>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2012</w:t>
            </w:r>
          </w:p>
        </w:tc>
        <w:tc>
          <w:tcPr>
            <w:tcW w:w="2506"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0,31</w:t>
            </w:r>
          </w:p>
        </w:tc>
        <w:tc>
          <w:tcPr>
            <w:tcW w:w="2510" w:type="dxa"/>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1,40</w:t>
            </w:r>
          </w:p>
        </w:tc>
        <w:tc>
          <w:tcPr>
            <w:tcW w:w="1627" w:type="dxa"/>
            <w:tcBorders>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1,71</w:t>
            </w:r>
          </w:p>
        </w:tc>
      </w:tr>
      <w:tr w:rsidR="00AE6933" w:rsidRPr="00BA3042" w:rsidTr="00E40CAC">
        <w:tc>
          <w:tcPr>
            <w:tcW w:w="728" w:type="dxa"/>
            <w:tcBorders>
              <w:left w:val="nil"/>
              <w:bottom w:val="single" w:sz="12" w:space="0" w:color="auto"/>
            </w:tcBorders>
          </w:tcPr>
          <w:p w:rsidR="00AE6933" w:rsidRPr="00BA3042" w:rsidRDefault="00AE6933" w:rsidP="00E40CAC">
            <w:pPr>
              <w:suppressAutoHyphens w:val="0"/>
              <w:autoSpaceDE w:val="0"/>
              <w:autoSpaceDN w:val="0"/>
              <w:adjustRightInd w:val="0"/>
              <w:spacing w:before="40" w:after="40" w:line="220" w:lineRule="exact"/>
              <w:rPr>
                <w:sz w:val="18"/>
                <w:szCs w:val="18"/>
                <w:lang w:val="fr-FR" w:eastAsia="en-GB"/>
              </w:rPr>
            </w:pPr>
            <w:r w:rsidRPr="00BA3042">
              <w:rPr>
                <w:sz w:val="18"/>
                <w:szCs w:val="18"/>
                <w:lang w:val="fr-FR" w:eastAsia="en-GB"/>
              </w:rPr>
              <w:t>2013</w:t>
            </w:r>
          </w:p>
        </w:tc>
        <w:tc>
          <w:tcPr>
            <w:tcW w:w="2506" w:type="dxa"/>
            <w:tcBorders>
              <w:bottom w:val="single" w:sz="12" w:space="0" w:color="auto"/>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1,15 et 5</w:t>
            </w:r>
          </w:p>
        </w:tc>
        <w:tc>
          <w:tcPr>
            <w:tcW w:w="2510" w:type="dxa"/>
            <w:tcBorders>
              <w:bottom w:val="single" w:sz="12" w:space="0" w:color="auto"/>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0,75</w:t>
            </w:r>
          </w:p>
        </w:tc>
        <w:tc>
          <w:tcPr>
            <w:tcW w:w="1627" w:type="dxa"/>
            <w:tcBorders>
              <w:bottom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8"/>
                <w:lang w:val="fr-FR" w:eastAsia="en-GB"/>
              </w:rPr>
            </w:pPr>
            <w:r w:rsidRPr="00BA3042">
              <w:rPr>
                <w:sz w:val="18"/>
                <w:szCs w:val="18"/>
                <w:lang w:val="fr-FR" w:eastAsia="en-GB"/>
              </w:rPr>
              <w:t>7</w:t>
            </w:r>
          </w:p>
        </w:tc>
      </w:tr>
    </w:tbl>
    <w:p w:rsidR="00AE6933" w:rsidRPr="00BA3042" w:rsidRDefault="00AE6933" w:rsidP="00AE6933">
      <w:pPr>
        <w:pStyle w:val="SingleTxtG"/>
        <w:spacing w:before="240"/>
        <w:rPr>
          <w:lang w:val="fr-FR"/>
        </w:rPr>
      </w:pPr>
      <w:r w:rsidRPr="00BA3042">
        <w:rPr>
          <w:lang w:val="fr-FR"/>
        </w:rPr>
        <w:t>62.</w:t>
      </w:r>
      <w:r w:rsidRPr="00BA3042">
        <w:rPr>
          <w:lang w:val="fr-FR"/>
        </w:rPr>
        <w:tab/>
        <w:t>Le programme d’aide au paiement des factures d’électricité, adopté chaque année, a permis d’aider les catégories de bénéficiaires des prestations sociales les plus vulnérables à faire face à leurs factures d’électricité de septembre 2010 au 31 décembre 2013. Le montant de cette allocation était de 600 denar, et il est passé à 700 denar le 1</w:t>
      </w:r>
      <w:r w:rsidRPr="00BA3042">
        <w:rPr>
          <w:vertAlign w:val="superscript"/>
          <w:lang w:val="fr-FR"/>
        </w:rPr>
        <w:t>er</w:t>
      </w:r>
      <w:r w:rsidRPr="00BA3042">
        <w:rPr>
          <w:lang w:val="fr-FR"/>
        </w:rPr>
        <w:t xml:space="preserve"> août 2012, conformément aux modifications apportées en 2012 au programme d’aide au paiement des factures d’électricité (Journal officiel n</w:t>
      </w:r>
      <w:r w:rsidRPr="00BA3042">
        <w:rPr>
          <w:vertAlign w:val="superscript"/>
          <w:lang w:val="fr-FR"/>
        </w:rPr>
        <w:t>o</w:t>
      </w:r>
      <w:r w:rsidRPr="00BA3042">
        <w:rPr>
          <w:lang w:val="fr-FR"/>
        </w:rPr>
        <w:t xml:space="preserve"> 83/12). </w:t>
      </w:r>
    </w:p>
    <w:p w:rsidR="00AE6933" w:rsidRPr="00BA3042" w:rsidRDefault="00AE6933" w:rsidP="00AE6933">
      <w:pPr>
        <w:pStyle w:val="Heading1"/>
        <w:spacing w:after="120"/>
        <w:rPr>
          <w:b/>
          <w:lang w:val="fr-FR"/>
        </w:rPr>
      </w:pPr>
      <w:r w:rsidRPr="00BA3042">
        <w:rPr>
          <w:b/>
          <w:lang w:val="fr-FR"/>
        </w:rPr>
        <w:t>Nombre de paiements et de bénéficiaires de l’aide au paiement des factures d’électricité</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72"/>
        <w:gridCol w:w="2199"/>
        <w:gridCol w:w="2200"/>
        <w:gridCol w:w="2200"/>
      </w:tblGrid>
      <w:tr w:rsidR="00AE6933" w:rsidRPr="00BA3042" w:rsidTr="00E40CAC">
        <w:tc>
          <w:tcPr>
            <w:tcW w:w="772" w:type="dxa"/>
            <w:tcBorders>
              <w:left w:val="nil"/>
              <w:bottom w:val="single" w:sz="12" w:space="0" w:color="auto"/>
              <w:right w:val="nil"/>
            </w:tcBorders>
            <w:vAlign w:val="bottom"/>
          </w:tcPr>
          <w:p w:rsidR="00AE6933" w:rsidRPr="00BA3042" w:rsidRDefault="00AE6933" w:rsidP="00E40CAC">
            <w:pPr>
              <w:spacing w:before="80" w:after="80" w:line="200" w:lineRule="exact"/>
              <w:rPr>
                <w:i/>
                <w:sz w:val="16"/>
                <w:szCs w:val="16"/>
                <w:lang w:val="fr-FR"/>
              </w:rPr>
            </w:pPr>
            <w:r w:rsidRPr="00BA3042">
              <w:rPr>
                <w:i/>
                <w:sz w:val="16"/>
                <w:szCs w:val="16"/>
                <w:lang w:val="fr-FR"/>
              </w:rPr>
              <w:t>Année</w:t>
            </w:r>
          </w:p>
        </w:tc>
        <w:tc>
          <w:tcPr>
            <w:tcW w:w="2199" w:type="dxa"/>
            <w:tcBorders>
              <w:left w:val="nil"/>
              <w:bottom w:val="single" w:sz="12" w:space="0" w:color="auto"/>
              <w:right w:val="nil"/>
            </w:tcBorders>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Nombre de bénéficiaires</w:t>
            </w:r>
          </w:p>
        </w:tc>
        <w:tc>
          <w:tcPr>
            <w:tcW w:w="2200" w:type="dxa"/>
            <w:tcBorders>
              <w:left w:val="nil"/>
              <w:bottom w:val="single" w:sz="12" w:space="0" w:color="auto"/>
              <w:right w:val="nil"/>
            </w:tcBorders>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Nombre de paiements</w:t>
            </w:r>
          </w:p>
        </w:tc>
        <w:tc>
          <w:tcPr>
            <w:tcW w:w="2200" w:type="dxa"/>
            <w:tcBorders>
              <w:left w:val="nil"/>
              <w:bottom w:val="single" w:sz="12" w:space="0" w:color="auto"/>
              <w:right w:val="nil"/>
            </w:tcBorders>
          </w:tcPr>
          <w:p w:rsidR="00AE6933" w:rsidRPr="00BA3042" w:rsidRDefault="00AE6933" w:rsidP="00E40CAC">
            <w:pPr>
              <w:spacing w:before="80" w:after="80" w:line="200" w:lineRule="exact"/>
              <w:jc w:val="center"/>
              <w:rPr>
                <w:i/>
                <w:sz w:val="16"/>
                <w:szCs w:val="16"/>
                <w:lang w:val="fr-FR"/>
              </w:rPr>
            </w:pPr>
            <w:r w:rsidRPr="00BA3042">
              <w:rPr>
                <w:i/>
                <w:sz w:val="16"/>
                <w:szCs w:val="16"/>
                <w:lang w:val="fr-FR"/>
              </w:rPr>
              <w:t>Montant versé (en denar)</w:t>
            </w:r>
          </w:p>
        </w:tc>
      </w:tr>
      <w:tr w:rsidR="00AE6933" w:rsidRPr="00BA3042" w:rsidTr="00E40CAC">
        <w:tc>
          <w:tcPr>
            <w:tcW w:w="772"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rPr>
                <w:sz w:val="18"/>
                <w:szCs w:val="18"/>
                <w:lang w:val="fr-FR"/>
              </w:rPr>
            </w:pPr>
            <w:r w:rsidRPr="00BA3042">
              <w:rPr>
                <w:sz w:val="18"/>
                <w:szCs w:val="18"/>
                <w:lang w:val="fr-FR"/>
              </w:rPr>
              <w:t>2010</w:t>
            </w:r>
          </w:p>
        </w:tc>
        <w:tc>
          <w:tcPr>
            <w:tcW w:w="219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14 496</w:t>
            </w:r>
          </w:p>
        </w:tc>
        <w:tc>
          <w:tcPr>
            <w:tcW w:w="220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36 550</w:t>
            </w:r>
          </w:p>
        </w:tc>
        <w:tc>
          <w:tcPr>
            <w:tcW w:w="220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20 921 972</w:t>
            </w:r>
          </w:p>
        </w:tc>
      </w:tr>
      <w:tr w:rsidR="00AE6933" w:rsidRPr="00BA3042" w:rsidTr="00E40CAC">
        <w:tc>
          <w:tcPr>
            <w:tcW w:w="77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rPr>
                <w:sz w:val="18"/>
                <w:szCs w:val="18"/>
                <w:lang w:val="fr-FR"/>
              </w:rPr>
            </w:pPr>
            <w:r w:rsidRPr="00BA3042">
              <w:rPr>
                <w:sz w:val="18"/>
                <w:szCs w:val="18"/>
                <w:lang w:val="fr-FR"/>
              </w:rPr>
              <w:t>2011</w:t>
            </w:r>
          </w:p>
        </w:tc>
        <w:tc>
          <w:tcPr>
            <w:tcW w:w="219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15 743</w:t>
            </w:r>
          </w:p>
        </w:tc>
        <w:tc>
          <w:tcPr>
            <w:tcW w:w="220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99 452</w:t>
            </w:r>
          </w:p>
        </w:tc>
        <w:tc>
          <w:tcPr>
            <w:tcW w:w="220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57 029 533</w:t>
            </w:r>
          </w:p>
        </w:tc>
      </w:tr>
    </w:tbl>
    <w:p w:rsidR="00AE6933" w:rsidRPr="00BA3042" w:rsidRDefault="00AE6933" w:rsidP="00AE6933">
      <w:pPr>
        <w:pStyle w:val="SingleTxtG"/>
        <w:spacing w:before="120" w:after="240"/>
        <w:ind w:firstLine="170"/>
        <w:rPr>
          <w:sz w:val="18"/>
          <w:szCs w:val="18"/>
          <w:lang w:val="fr-FR"/>
        </w:rPr>
      </w:pPr>
      <w:r w:rsidRPr="00BA3042">
        <w:rPr>
          <w:i/>
          <w:sz w:val="18"/>
          <w:szCs w:val="18"/>
          <w:lang w:val="fr-FR"/>
        </w:rPr>
        <w:t>Source</w:t>
      </w:r>
      <w:r w:rsidRPr="00BA3042">
        <w:rPr>
          <w:sz w:val="18"/>
          <w:szCs w:val="18"/>
          <w:lang w:val="fr-FR"/>
        </w:rPr>
        <w:t>: Ministère du travail et de la politique sociale.</w:t>
      </w:r>
    </w:p>
    <w:p w:rsidR="00AE6933" w:rsidRPr="00BA3042" w:rsidRDefault="00AE6933" w:rsidP="00AE6933">
      <w:pPr>
        <w:pStyle w:val="SingleTxtG"/>
        <w:rPr>
          <w:lang w:val="fr-FR"/>
        </w:rPr>
      </w:pPr>
      <w:r w:rsidRPr="00BA3042">
        <w:rPr>
          <w:lang w:val="fr-FR"/>
        </w:rPr>
        <w:t>63.</w:t>
      </w:r>
      <w:r w:rsidRPr="00BA3042">
        <w:rPr>
          <w:lang w:val="fr-FR"/>
        </w:rPr>
        <w:tab/>
        <w:t xml:space="preserve">La République de Macédoine a mis en œuvre un programme de bourses d’études secondaires soumises à conditions à partir de l’année 2010/11, et ce programme a été maintenu en 2011/12. </w:t>
      </w:r>
    </w:p>
    <w:p w:rsidR="00AE6933" w:rsidRPr="00BA3042" w:rsidRDefault="00AE6933" w:rsidP="00AE6933">
      <w:pPr>
        <w:pStyle w:val="SingleTxtG"/>
        <w:rPr>
          <w:lang w:val="fr-FR"/>
        </w:rPr>
      </w:pPr>
      <w:r w:rsidRPr="00BA3042">
        <w:rPr>
          <w:lang w:val="fr-FR"/>
        </w:rPr>
        <w:t>64.</w:t>
      </w:r>
      <w:r w:rsidRPr="00BA3042">
        <w:rPr>
          <w:lang w:val="fr-FR"/>
        </w:rPr>
        <w:tab/>
        <w:t>Les procédures administratives relatives à l’exercice du droit aux prestations pécuniaires ont été améliorées par la mise en place d’un système obligatoire d’échange d’informations en ligne entre les institutions qui tiennent à jour des bases de données. Un système informatique a été mis en place dans les centres sociaux et au Ministère du travail et de la politique sociale pour faciliter la gestion des prestations sociales pécuniaires. Il existe aussi un programme informatique pour enregistrer les bénéficiaires des services de protection sociale, utilisé dans tous les centres sociaux. Des mesures ont été mises en place pour renforcer les capacités des travailleurs des centres sociaux; ils ont été formés à l’utilisation d’un module servant à élaborer les rapports statistiques et analyser des indicateurs de performance dans le domaine du travail social et de la protection sociale. Ce processus a débouché sur la conception d’un règlement relatif aux registres des bénéficiaires de prestations sociales et à la documentation concernant l’action des professionnels de ce secteur (Journal officiel n</w:t>
      </w:r>
      <w:r w:rsidRPr="00BA3042">
        <w:rPr>
          <w:vertAlign w:val="superscript"/>
          <w:lang w:val="fr-FR"/>
        </w:rPr>
        <w:t>o</w:t>
      </w:r>
      <w:r w:rsidRPr="00BA3042">
        <w:rPr>
          <w:lang w:val="fr-FR"/>
        </w:rPr>
        <w:t xml:space="preserve"> 171/11). </w:t>
      </w:r>
    </w:p>
    <w:p w:rsidR="00AE6933" w:rsidRPr="00BA3042" w:rsidRDefault="00AE6933" w:rsidP="00AE6933">
      <w:pPr>
        <w:pStyle w:val="SingleTxtG"/>
        <w:rPr>
          <w:lang w:val="fr-FR"/>
        </w:rPr>
      </w:pPr>
      <w:r w:rsidRPr="00BA3042">
        <w:rPr>
          <w:lang w:val="fr-FR"/>
        </w:rPr>
        <w:t>65.</w:t>
      </w:r>
      <w:r w:rsidRPr="00BA3042">
        <w:rPr>
          <w:lang w:val="fr-FR"/>
        </w:rPr>
        <w:tab/>
        <w:t xml:space="preserve">Le Gouvernement a adopté le Programme national (2011-2012) pour le développement de la protection sociale, principalement dans le but d’élaborer un système de protection sociale intégré, transparent et durable, permettant de garantir que les mesures et les services sont accessibles, efficaces, de qualité et adaptés aux besoins des bénéficiaires au niveau local. Ce programme prévoit la diversification de la protection sociale, en établissant différentes formes de coopération en réseau et en appliquant les principes de la bonne gouvernance: primauté du droit, transparence, responsabilisation et responsabilité, prévisibilité et pérennité, continuité, efficacité, effectivité, accessibilité et disponibilité, inclusion, égalité de traitement et non-discrimination. </w:t>
      </w:r>
    </w:p>
    <w:p w:rsidR="00AE6933" w:rsidRPr="00BA3042" w:rsidRDefault="00AE6933" w:rsidP="00AE6933">
      <w:pPr>
        <w:pStyle w:val="SingleTxtG"/>
        <w:rPr>
          <w:lang w:val="fr-FR"/>
        </w:rPr>
      </w:pPr>
      <w:r w:rsidRPr="00BA3042">
        <w:rPr>
          <w:lang w:val="fr-FR"/>
        </w:rPr>
        <w:t>66.</w:t>
      </w:r>
      <w:r w:rsidRPr="00BA3042">
        <w:rPr>
          <w:lang w:val="fr-FR"/>
        </w:rPr>
        <w:tab/>
        <w:t xml:space="preserve">La loi sur l’assurance maladie garantit le droit de tous les ressortissants nationaux à l’assurance maladie. Son article 5 définit les catégories de l’assurance maladie. </w:t>
      </w:r>
    </w:p>
    <w:p w:rsidR="00AE6933" w:rsidRPr="00BA3042" w:rsidRDefault="00AE6933" w:rsidP="00AE6933">
      <w:pPr>
        <w:pStyle w:val="SingleTxtG"/>
        <w:rPr>
          <w:lang w:val="fr-FR"/>
        </w:rPr>
      </w:pPr>
      <w:r w:rsidRPr="00BA3042">
        <w:rPr>
          <w:lang w:val="fr-FR"/>
        </w:rPr>
        <w:t>67.</w:t>
      </w:r>
      <w:r w:rsidRPr="00BA3042">
        <w:rPr>
          <w:lang w:val="fr-FR"/>
        </w:rPr>
        <w:tab/>
        <w:t xml:space="preserve">Les membres de la famille d’une personne titulaire de l’assurance maladie obligatoire sont également couverts par l’assurance maladie obligatoire; cependant, conformément à l’article 5.1.10 de cette loi, les personnes rattachées aux réfugiés et aux personnes bénéficiant d’une protection subsidiaire font exception à cette règle. L’assurance maladie obligatoire permet à son titulaire d’exercer les droits énoncés dans cette loi en cas de maladie et d’accident survenant en dehors du travail, d’accident du travail ou de maladie professionnelle. </w:t>
      </w:r>
    </w:p>
    <w:p w:rsidR="00AE6933" w:rsidRPr="00BA3042" w:rsidRDefault="00AE6933" w:rsidP="00AE6933">
      <w:pPr>
        <w:pStyle w:val="H1G"/>
        <w:rPr>
          <w:lang w:val="fr-FR"/>
        </w:rPr>
      </w:pPr>
      <w:r w:rsidRPr="00BA3042">
        <w:rPr>
          <w:szCs w:val="24"/>
          <w:lang w:val="fr-FR"/>
        </w:rPr>
        <w:tab/>
      </w:r>
      <w:r w:rsidRPr="00BA3042">
        <w:rPr>
          <w:szCs w:val="24"/>
          <w:lang w:val="fr-FR"/>
        </w:rPr>
        <w:tab/>
      </w:r>
      <w:r w:rsidRPr="00BA3042">
        <w:rPr>
          <w:lang w:val="fr-FR"/>
        </w:rPr>
        <w:t>Article 10</w:t>
      </w:r>
      <w:r w:rsidRPr="00BA3042">
        <w:rPr>
          <w:lang w:val="fr-FR"/>
        </w:rPr>
        <w:br/>
        <w:t>Réponse aux recommandations n</w:t>
      </w:r>
      <w:r w:rsidRPr="00BA3042">
        <w:rPr>
          <w:vertAlign w:val="superscript"/>
          <w:lang w:val="fr-FR"/>
        </w:rPr>
        <w:t>os</w:t>
      </w:r>
      <w:r w:rsidRPr="00BA3042">
        <w:rPr>
          <w:lang w:val="fr-FR"/>
        </w:rPr>
        <w:t xml:space="preserve"> 39, 40 et 41 du Comité</w:t>
      </w:r>
    </w:p>
    <w:p w:rsidR="00AE6933" w:rsidRPr="00BA3042" w:rsidRDefault="00AE6933" w:rsidP="00AE6933">
      <w:pPr>
        <w:pStyle w:val="SingleTxtG"/>
        <w:rPr>
          <w:lang w:val="fr-FR"/>
        </w:rPr>
      </w:pPr>
      <w:r w:rsidRPr="00BA3042">
        <w:rPr>
          <w:lang w:val="fr-FR"/>
        </w:rPr>
        <w:t>68.</w:t>
      </w:r>
      <w:r w:rsidRPr="00BA3042">
        <w:rPr>
          <w:lang w:val="fr-FR"/>
        </w:rPr>
        <w:tab/>
        <w:t>Les derniers ajouts et modifications apportés à la loi sur la famille définissent comme suit la violence dans la famille: les mauvais traitements, comportements injurieux, les menaces, le fait d’infliger des lésions corporelles, les violences sexuelles, psychologiques ou physiques de nature à engendrer un sentiment d’insécurité, de peur ou l’impression d’être menacé, dirigés contre un conjoint, parent, enfant, une personne liée par le mariage, un partenariat civil ou le concubinage, un ex-conjoint, le père ou la mère d’un enfant naturel, un partenaire intime, une personne liée par l’adoption ou la tutelle, frères, sœurs, demi-frères, demi-sœurs, membres âgés de la famille ou du foyer placés sous tutelle ou sous curatelle.</w:t>
      </w:r>
    </w:p>
    <w:p w:rsidR="00AE6933" w:rsidRPr="00BA3042" w:rsidRDefault="00AE6933" w:rsidP="00AE6933">
      <w:pPr>
        <w:pStyle w:val="SingleTxtG"/>
        <w:rPr>
          <w:lang w:val="fr-FR"/>
        </w:rPr>
      </w:pPr>
      <w:r w:rsidRPr="00BA3042">
        <w:rPr>
          <w:lang w:val="fr-FR"/>
        </w:rPr>
        <w:t>69.</w:t>
      </w:r>
      <w:r w:rsidRPr="00BA3042">
        <w:rPr>
          <w:lang w:val="fr-FR"/>
        </w:rPr>
        <w:tab/>
        <w:t xml:space="preserve">La loi sur la famille interdit tout type de violence entre membres d’une même famille, sans distinction d’âge et de sexe. </w:t>
      </w:r>
    </w:p>
    <w:p w:rsidR="00AE6933" w:rsidRPr="00BA3042" w:rsidRDefault="00AE6933" w:rsidP="00AE6933">
      <w:pPr>
        <w:pStyle w:val="SingleTxtG"/>
        <w:rPr>
          <w:lang w:val="fr-FR"/>
        </w:rPr>
      </w:pPr>
      <w:r w:rsidRPr="00BA3042">
        <w:rPr>
          <w:lang w:val="fr-FR"/>
        </w:rPr>
        <w:t>70.</w:t>
      </w:r>
      <w:r w:rsidRPr="00BA3042">
        <w:rPr>
          <w:lang w:val="fr-FR"/>
        </w:rPr>
        <w:tab/>
        <w:t>En juillet 2012, le Gouvernement a adopté la Stratégie nationale pour la prévention de la violence dans la famille et la protection des victimes (2012-2015). Cette stratégie est mise en œuvre dans cinq domaines prioritaires: prévention, protection, assistance et soutien aux victimes; poursuite des auteurs des actes; coopération interministérielle et renforcement des capacités institutionnelles; suivi; et évaluation. Un organe national de coordination est chargé de mettre en œuvre cette stratégie entre 2012 et 2015.</w:t>
      </w:r>
    </w:p>
    <w:p w:rsidR="00AE6933" w:rsidRPr="00BA3042" w:rsidRDefault="00AE6933" w:rsidP="00AE6933">
      <w:pPr>
        <w:pStyle w:val="SingleTxtG"/>
        <w:rPr>
          <w:lang w:val="fr-FR"/>
        </w:rPr>
      </w:pPr>
      <w:r w:rsidRPr="00BA3042">
        <w:rPr>
          <w:lang w:val="fr-FR"/>
        </w:rPr>
        <w:t>71.</w:t>
      </w:r>
      <w:r w:rsidRPr="00BA3042">
        <w:rPr>
          <w:lang w:val="fr-FR"/>
        </w:rPr>
        <w:tab/>
        <w:t>Afin de renforcer les structures professionnelles, des formations ont été organisées pour les membres des professions travaillant dans les centres sociaux, les établissements de soins de santé, les établissements d’enseignement, les organes de l’autonomie locale, les organisations de la société civile, les principaux ministères et institutions de l’État. Un protocole conjoint définissant les procédures à appliquer en cas de violence dans la famille a été adopté.</w:t>
      </w:r>
    </w:p>
    <w:p w:rsidR="00AE6933" w:rsidRPr="00BA3042" w:rsidRDefault="00AE6933" w:rsidP="00AE6933">
      <w:pPr>
        <w:pStyle w:val="SingleTxtG"/>
        <w:rPr>
          <w:lang w:val="fr-FR"/>
        </w:rPr>
      </w:pPr>
      <w:r w:rsidRPr="00BA3042">
        <w:rPr>
          <w:lang w:val="fr-FR"/>
        </w:rPr>
        <w:t>72.</w:t>
      </w:r>
      <w:r w:rsidRPr="00BA3042">
        <w:rPr>
          <w:lang w:val="fr-FR"/>
        </w:rPr>
        <w:tab/>
        <w:t>Le système de protection des victimes de violence dans la famille est notamment composé du Centre de conseils psychosociaux pour les parents et les enfants victimes de violence familiale, quatre centres régionaux pour victimes de ces violences, et d’un Centre de conseils psychosociaux pour les auteurs d’actes de violence familiale, situés à Skopje.</w:t>
      </w:r>
    </w:p>
    <w:p w:rsidR="00AE6933" w:rsidRPr="00BA3042" w:rsidRDefault="00744A0D" w:rsidP="00744A0D">
      <w:pPr>
        <w:pStyle w:val="H23G"/>
        <w:rPr>
          <w:lang w:val="fr-FR"/>
        </w:rPr>
      </w:pPr>
      <w:r w:rsidRPr="00BA3042">
        <w:rPr>
          <w:lang w:val="fr-FR"/>
        </w:rPr>
        <w:tab/>
      </w:r>
      <w:r w:rsidRPr="00BA3042">
        <w:rPr>
          <w:lang w:val="fr-FR"/>
        </w:rPr>
        <w:tab/>
      </w:r>
      <w:r w:rsidR="00AE6933" w:rsidRPr="00BA3042">
        <w:rPr>
          <w:lang w:val="fr-FR"/>
        </w:rPr>
        <w:t>Statistiques du Ministère du travail et de la politique sociale (2009-2013)</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67"/>
        <w:gridCol w:w="759"/>
        <w:gridCol w:w="1191"/>
        <w:gridCol w:w="1191"/>
        <w:gridCol w:w="1191"/>
        <w:gridCol w:w="1272"/>
      </w:tblGrid>
      <w:tr w:rsidR="00AE6933" w:rsidRPr="00BA3042" w:rsidTr="00E40CAC">
        <w:tc>
          <w:tcPr>
            <w:tcW w:w="1767" w:type="dxa"/>
            <w:tcBorders>
              <w:left w:val="nil"/>
              <w:bottom w:val="single" w:sz="12" w:space="0" w:color="auto"/>
              <w:right w:val="nil"/>
            </w:tcBorders>
            <w:vAlign w:val="bottom"/>
          </w:tcPr>
          <w:p w:rsidR="00AE6933" w:rsidRPr="00BA3042" w:rsidRDefault="00AE6933" w:rsidP="00E40CAC">
            <w:pPr>
              <w:keepNext/>
              <w:keepLines/>
              <w:spacing w:before="80" w:after="80" w:line="200" w:lineRule="exact"/>
              <w:rPr>
                <w:i/>
                <w:sz w:val="16"/>
                <w:szCs w:val="16"/>
                <w:lang w:val="fr-FR"/>
              </w:rPr>
            </w:pPr>
            <w:r w:rsidRPr="00BA3042">
              <w:rPr>
                <w:i/>
                <w:sz w:val="16"/>
                <w:szCs w:val="16"/>
                <w:lang w:val="fr-FR"/>
              </w:rPr>
              <w:t>Année</w:t>
            </w:r>
          </w:p>
        </w:tc>
        <w:tc>
          <w:tcPr>
            <w:tcW w:w="759"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bCs/>
                <w:i/>
                <w:sz w:val="16"/>
                <w:szCs w:val="16"/>
                <w:lang w:val="fr-FR" w:eastAsia="en-GB"/>
              </w:rPr>
            </w:pPr>
            <w:r w:rsidRPr="00BA3042">
              <w:rPr>
                <w:bCs/>
                <w:i/>
                <w:sz w:val="16"/>
                <w:szCs w:val="16"/>
                <w:lang w:val="fr-FR" w:eastAsia="en-GB"/>
              </w:rPr>
              <w:t>2009</w:t>
            </w:r>
          </w:p>
        </w:tc>
        <w:tc>
          <w:tcPr>
            <w:tcW w:w="1191"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bCs/>
                <w:i/>
                <w:sz w:val="16"/>
                <w:szCs w:val="16"/>
                <w:lang w:val="fr-FR" w:eastAsia="en-GB"/>
              </w:rPr>
            </w:pPr>
            <w:r w:rsidRPr="00BA3042">
              <w:rPr>
                <w:bCs/>
                <w:i/>
                <w:sz w:val="16"/>
                <w:szCs w:val="16"/>
                <w:lang w:val="fr-FR" w:eastAsia="en-GB"/>
              </w:rPr>
              <w:t>2010</w:t>
            </w:r>
          </w:p>
        </w:tc>
        <w:tc>
          <w:tcPr>
            <w:tcW w:w="1191"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bCs/>
                <w:i/>
                <w:sz w:val="16"/>
                <w:szCs w:val="16"/>
                <w:lang w:val="fr-FR" w:eastAsia="en-GB"/>
              </w:rPr>
            </w:pPr>
            <w:r w:rsidRPr="00BA3042">
              <w:rPr>
                <w:bCs/>
                <w:i/>
                <w:sz w:val="16"/>
                <w:szCs w:val="16"/>
                <w:lang w:val="fr-FR"/>
              </w:rPr>
              <w:t>2011</w:t>
            </w:r>
          </w:p>
        </w:tc>
        <w:tc>
          <w:tcPr>
            <w:tcW w:w="1191"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bCs/>
                <w:i/>
                <w:sz w:val="16"/>
                <w:szCs w:val="16"/>
                <w:lang w:val="fr-FR" w:eastAsia="en-GB"/>
              </w:rPr>
            </w:pPr>
            <w:r w:rsidRPr="00BA3042">
              <w:rPr>
                <w:bCs/>
                <w:i/>
                <w:sz w:val="16"/>
                <w:szCs w:val="16"/>
                <w:lang w:val="fr-FR" w:eastAsia="en-GB"/>
              </w:rPr>
              <w:t>2012</w:t>
            </w:r>
          </w:p>
        </w:tc>
        <w:tc>
          <w:tcPr>
            <w:tcW w:w="1272" w:type="dxa"/>
            <w:tcBorders>
              <w:left w:val="nil"/>
              <w:bottom w:val="single" w:sz="12" w:space="0" w:color="auto"/>
              <w:right w:val="nil"/>
            </w:tcBorders>
            <w:vAlign w:val="bottom"/>
          </w:tcPr>
          <w:p w:rsidR="00AE6933" w:rsidRPr="00BA3042" w:rsidRDefault="00AE6933" w:rsidP="00E40CAC">
            <w:pPr>
              <w:keepNext/>
              <w:keepLines/>
              <w:suppressAutoHyphens w:val="0"/>
              <w:spacing w:before="80" w:after="80" w:line="200" w:lineRule="exact"/>
              <w:jc w:val="right"/>
              <w:rPr>
                <w:bCs/>
                <w:i/>
                <w:sz w:val="16"/>
                <w:szCs w:val="16"/>
                <w:lang w:val="fr-FR" w:eastAsia="en-GB"/>
              </w:rPr>
            </w:pPr>
            <w:r w:rsidRPr="00BA3042">
              <w:rPr>
                <w:bCs/>
                <w:i/>
                <w:sz w:val="16"/>
                <w:szCs w:val="16"/>
                <w:lang w:val="fr-FR"/>
              </w:rPr>
              <w:t>2013</w:t>
            </w:r>
            <w:r w:rsidRPr="00BA3042">
              <w:rPr>
                <w:bCs/>
                <w:i/>
                <w:sz w:val="16"/>
                <w:szCs w:val="16"/>
                <w:lang w:val="fr-FR"/>
              </w:rPr>
              <w:br/>
              <w:t>(janvier-juin)</w:t>
            </w:r>
          </w:p>
        </w:tc>
      </w:tr>
      <w:tr w:rsidR="00AE6933" w:rsidRPr="00BA3042" w:rsidTr="00E40CAC">
        <w:tc>
          <w:tcPr>
            <w:tcW w:w="1767" w:type="dxa"/>
            <w:tcBorders>
              <w:top w:val="single" w:sz="12" w:space="0" w:color="auto"/>
              <w:left w:val="nil"/>
              <w:bottom w:val="nil"/>
              <w:right w:val="nil"/>
            </w:tcBorders>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Cas de violences familiales signalés</w:t>
            </w:r>
          </w:p>
        </w:tc>
        <w:tc>
          <w:tcPr>
            <w:tcW w:w="759"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751</w:t>
            </w:r>
          </w:p>
        </w:tc>
        <w:tc>
          <w:tcPr>
            <w:tcW w:w="1191"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651</w:t>
            </w:r>
          </w:p>
        </w:tc>
        <w:tc>
          <w:tcPr>
            <w:tcW w:w="1191"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733</w:t>
            </w:r>
          </w:p>
        </w:tc>
        <w:tc>
          <w:tcPr>
            <w:tcW w:w="1191"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854</w:t>
            </w:r>
          </w:p>
        </w:tc>
        <w:tc>
          <w:tcPr>
            <w:tcW w:w="1272" w:type="dxa"/>
            <w:tcBorders>
              <w:top w:val="single" w:sz="12" w:space="0" w:color="auto"/>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403</w:t>
            </w:r>
          </w:p>
        </w:tc>
      </w:tr>
      <w:tr w:rsidR="00AE6933" w:rsidRPr="00BA3042" w:rsidTr="00E40CAC">
        <w:tc>
          <w:tcPr>
            <w:tcW w:w="1767" w:type="dxa"/>
            <w:tcBorders>
              <w:top w:val="nil"/>
              <w:left w:val="nil"/>
              <w:bottom w:val="nil"/>
              <w:right w:val="nil"/>
            </w:tcBorders>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Affaires jugées</w:t>
            </w:r>
          </w:p>
        </w:tc>
        <w:tc>
          <w:tcPr>
            <w:tcW w:w="759"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101</w:t>
            </w:r>
          </w:p>
        </w:tc>
        <w:tc>
          <w:tcPr>
            <w:tcW w:w="1191"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158</w:t>
            </w:r>
          </w:p>
        </w:tc>
        <w:tc>
          <w:tcPr>
            <w:tcW w:w="1191"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251</w:t>
            </w:r>
          </w:p>
        </w:tc>
        <w:tc>
          <w:tcPr>
            <w:tcW w:w="1191"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310</w:t>
            </w:r>
          </w:p>
        </w:tc>
        <w:tc>
          <w:tcPr>
            <w:tcW w:w="1272"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eastAsia="en-GB"/>
              </w:rPr>
            </w:pPr>
            <w:r w:rsidRPr="00BA3042">
              <w:rPr>
                <w:bCs/>
                <w:sz w:val="18"/>
                <w:szCs w:val="18"/>
                <w:lang w:val="fr-FR" w:eastAsia="en-GB"/>
              </w:rPr>
              <w:t>116</w:t>
            </w:r>
          </w:p>
        </w:tc>
      </w:tr>
      <w:tr w:rsidR="00AE6933" w:rsidRPr="00BA3042" w:rsidTr="00E40CAC">
        <w:tc>
          <w:tcPr>
            <w:tcW w:w="1767"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Mesures adoptées</w:t>
            </w:r>
          </w:p>
        </w:tc>
        <w:tc>
          <w:tcPr>
            <w:tcW w:w="7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79</w:t>
            </w:r>
          </w:p>
        </w:tc>
        <w:tc>
          <w:tcPr>
            <w:tcW w:w="11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137</w:t>
            </w:r>
          </w:p>
        </w:tc>
        <w:tc>
          <w:tcPr>
            <w:tcW w:w="11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183</w:t>
            </w:r>
          </w:p>
        </w:tc>
        <w:tc>
          <w:tcPr>
            <w:tcW w:w="11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223</w:t>
            </w:r>
          </w:p>
        </w:tc>
        <w:tc>
          <w:tcPr>
            <w:tcW w:w="127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104</w:t>
            </w:r>
          </w:p>
        </w:tc>
      </w:tr>
      <w:tr w:rsidR="00AE6933" w:rsidRPr="00BA3042" w:rsidTr="00E40CAC">
        <w:tc>
          <w:tcPr>
            <w:tcW w:w="1767" w:type="dxa"/>
            <w:tcBorders>
              <w:top w:val="nil"/>
              <w:left w:val="nil"/>
              <w:bottom w:val="single" w:sz="12"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Placement en refuge</w:t>
            </w:r>
          </w:p>
        </w:tc>
        <w:tc>
          <w:tcPr>
            <w:tcW w:w="75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28</w:t>
            </w:r>
          </w:p>
        </w:tc>
        <w:tc>
          <w:tcPr>
            <w:tcW w:w="1191"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25</w:t>
            </w:r>
          </w:p>
        </w:tc>
        <w:tc>
          <w:tcPr>
            <w:tcW w:w="1191"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27</w:t>
            </w:r>
          </w:p>
        </w:tc>
        <w:tc>
          <w:tcPr>
            <w:tcW w:w="1191"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42</w:t>
            </w:r>
          </w:p>
        </w:tc>
        <w:tc>
          <w:tcPr>
            <w:tcW w:w="127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eastAsia="en-GB"/>
              </w:rPr>
            </w:pPr>
            <w:r w:rsidRPr="00BA3042">
              <w:rPr>
                <w:bCs/>
                <w:sz w:val="18"/>
                <w:szCs w:val="18"/>
                <w:lang w:val="fr-FR" w:eastAsia="en-GB"/>
              </w:rPr>
              <w:t>14</w:t>
            </w:r>
          </w:p>
        </w:tc>
      </w:tr>
    </w:tbl>
    <w:p w:rsidR="00AE6933" w:rsidRPr="00BA3042" w:rsidRDefault="00AE6933" w:rsidP="00AE6933">
      <w:pPr>
        <w:pStyle w:val="SingleTxtG"/>
        <w:spacing w:before="240"/>
        <w:rPr>
          <w:lang w:val="fr-FR"/>
        </w:rPr>
      </w:pPr>
      <w:r w:rsidRPr="00BA3042">
        <w:rPr>
          <w:lang w:val="fr-FR"/>
        </w:rPr>
        <w:t>73.</w:t>
      </w:r>
      <w:r w:rsidRPr="00BA3042">
        <w:rPr>
          <w:lang w:val="fr-FR"/>
        </w:rPr>
        <w:tab/>
        <w:t>Dans un climat de prise de conscience du problème de la violence familiale et d’encouragement à signaler les cas, des campagnes sont régulièrement conduites au cours des seize jours d’activisme contre la violence dans la famille.</w:t>
      </w:r>
    </w:p>
    <w:p w:rsidR="00AE6933" w:rsidRPr="00BA3042" w:rsidRDefault="00AE6933" w:rsidP="00AE6933">
      <w:pPr>
        <w:pStyle w:val="SingleTxtG"/>
        <w:rPr>
          <w:lang w:val="fr-FR"/>
        </w:rPr>
      </w:pPr>
      <w:r w:rsidRPr="00BA3042">
        <w:rPr>
          <w:lang w:val="fr-FR"/>
        </w:rPr>
        <w:t>74.</w:t>
      </w:r>
      <w:r w:rsidRPr="00BA3042">
        <w:rPr>
          <w:lang w:val="fr-FR"/>
        </w:rPr>
        <w:tab/>
        <w:t>En 2011, la République de Macédoine a signé la Convention du Conseil de l’Europe sur la prévention et la lutte contre la violence à l’égard des femmes et la violence domestique (ETC 210).</w:t>
      </w:r>
    </w:p>
    <w:p w:rsidR="00AE6933" w:rsidRPr="00BA3042" w:rsidRDefault="00AE6933" w:rsidP="00AE6933">
      <w:pPr>
        <w:pStyle w:val="SingleTxtG"/>
        <w:rPr>
          <w:lang w:val="fr-FR"/>
        </w:rPr>
      </w:pPr>
      <w:r w:rsidRPr="00BA3042">
        <w:rPr>
          <w:lang w:val="fr-FR"/>
        </w:rPr>
        <w:t>75.</w:t>
      </w:r>
      <w:r w:rsidRPr="00BA3042">
        <w:rPr>
          <w:lang w:val="fr-FR"/>
        </w:rPr>
        <w:tab/>
        <w:t>Le Gouvernement lutte inlassablement contre les sévices sexuels sur enfants et la pédophilie. En 2008, il a adopté un Plan d’action (2009-2012) pour la prévention et la répression des sévices sexuels sur enfants et la pédophilie. De surcroît, un organe national de coordination a été créé pour appliquer le plan d’action. Des formations pertinentes ont également été organisées pour le personnel des centres sociaux et des médias. Des procédures opérationnelles normalisées pour les institutions ont été adoptées en 2010 afin de traiter les cas de sévices sexuels et de pédophilie. La ligne téléphonique d’urgence pour signaler les cas est entrée en fonction en 2009. En 2012, le Ministère du travail et de la politique sociale a créé un site Internet (</w:t>
      </w:r>
      <w:hyperlink r:id="rId8" w:history="1">
        <w:r w:rsidRPr="00BA3042">
          <w:rPr>
            <w:lang w:val="fr-FR"/>
          </w:rPr>
          <w:t>www.stop-pedofilija.org.mk</w:t>
        </w:r>
      </w:hyperlink>
      <w:r w:rsidRPr="00BA3042">
        <w:rPr>
          <w:lang w:val="fr-FR"/>
        </w:rPr>
        <w:t>) pour dénoncer les cas. De plus, la République de Macédoine a adopté une loi portant création d’un registre spécial des personnes condamnées pour sévices sexuels sur mineurs et pédophilie (Journal officiel n</w:t>
      </w:r>
      <w:r w:rsidRPr="00BA3042">
        <w:rPr>
          <w:vertAlign w:val="superscript"/>
          <w:lang w:val="fr-FR"/>
        </w:rPr>
        <w:t>o</w:t>
      </w:r>
      <w:r w:rsidRPr="00BA3042">
        <w:rPr>
          <w:lang w:val="fr-FR"/>
        </w:rPr>
        <w:t> 11/12), ainsi qu’un règlement relatif aux modalités d’enregistrement des personnes condamnées pour ces raisons et aux procédures d’échange d’informations et de coopération (Journal officiel n</w:t>
      </w:r>
      <w:r w:rsidRPr="00BA3042">
        <w:rPr>
          <w:vertAlign w:val="superscript"/>
          <w:lang w:val="fr-FR"/>
        </w:rPr>
        <w:t>o</w:t>
      </w:r>
      <w:r w:rsidRPr="00BA3042">
        <w:rPr>
          <w:lang w:val="fr-FR"/>
        </w:rPr>
        <w:t> 62/12).</w:t>
      </w:r>
    </w:p>
    <w:p w:rsidR="00AE6933" w:rsidRPr="00BA3042" w:rsidRDefault="00AE6933" w:rsidP="00AE6933">
      <w:pPr>
        <w:pStyle w:val="SingleTxtG"/>
        <w:rPr>
          <w:lang w:val="fr-FR"/>
        </w:rPr>
      </w:pPr>
      <w:r w:rsidRPr="00BA3042">
        <w:rPr>
          <w:lang w:val="fr-FR"/>
        </w:rPr>
        <w:t>76.</w:t>
      </w:r>
      <w:r w:rsidRPr="00BA3042">
        <w:rPr>
          <w:lang w:val="fr-FR"/>
        </w:rPr>
        <w:tab/>
        <w:t xml:space="preserve">Un plan national d’action pour la prévention et la répression de la maltraitance et de l’abandon moral des enfants a été adopté en 2012, assorti d’un plan d’action concernant l’année 2013. </w:t>
      </w:r>
    </w:p>
    <w:p w:rsidR="00AE6933" w:rsidRPr="00BA3042" w:rsidRDefault="00AE6933" w:rsidP="00AE6933">
      <w:pPr>
        <w:pStyle w:val="SingleTxtG"/>
        <w:rPr>
          <w:lang w:val="fr-FR"/>
        </w:rPr>
      </w:pPr>
      <w:r w:rsidRPr="00BA3042">
        <w:rPr>
          <w:lang w:val="fr-FR"/>
        </w:rPr>
        <w:t>77.</w:t>
      </w:r>
      <w:r w:rsidRPr="00BA3042">
        <w:rPr>
          <w:lang w:val="fr-FR"/>
        </w:rPr>
        <w:tab/>
        <w:t>Le Gouvernement s’efforce de traiter le problème des enfants des rues. Ainsi, conformément à l’article 140 de la loi sur la protection sociale (Journal officiel n</w:t>
      </w:r>
      <w:r w:rsidRPr="00BA3042">
        <w:rPr>
          <w:vertAlign w:val="superscript"/>
          <w:lang w:val="fr-FR"/>
        </w:rPr>
        <w:t>os</w:t>
      </w:r>
      <w:r w:rsidRPr="00BA3042">
        <w:rPr>
          <w:lang w:val="fr-FR"/>
        </w:rPr>
        <w:t> 79/09, 36/11,51/11, 166/12, 15/13 et 79/13), les enfants des rues sont pris en charge dans des centres de jour pour enfants des rues, ce qui leur permet d’accéder à l’hygiène personnel, des repas, une éducation, des conseils psychosociaux, ainsi qu’à des activités culturelles et récréatives. À ce jour, trois centres de jour accueillent les enfants des rues (deux à Skopje et un à Bitola), et deux centres de transit ouverts vingt-quatre heures sur vingt-quatre ont ouvert, l’un à Skopje, l’autre à Ohrid, pour accueillir en urgence, pendant vingt-quatre à quarante-huit heures, des enfants à la rue.</w:t>
      </w:r>
    </w:p>
    <w:p w:rsidR="00AE6933" w:rsidRPr="00BA3042" w:rsidRDefault="00AE6933" w:rsidP="00AE6933">
      <w:pPr>
        <w:pStyle w:val="SingleTxtG"/>
        <w:rPr>
          <w:lang w:val="fr-FR"/>
        </w:rPr>
      </w:pPr>
      <w:r w:rsidRPr="00BA3042">
        <w:rPr>
          <w:lang w:val="fr-FR"/>
        </w:rPr>
        <w:t>78.</w:t>
      </w:r>
      <w:r w:rsidRPr="00BA3042">
        <w:rPr>
          <w:lang w:val="fr-FR"/>
        </w:rPr>
        <w:tab/>
        <w:t xml:space="preserve">En 2010, un protocole pluridisciplinaire pour la prise en charge des enfants des rues a été adopté et a introduit des procédures normalisées et harmonisées destinées à tous les organismes publics et associations de citoyens concernés. </w:t>
      </w:r>
    </w:p>
    <w:p w:rsidR="00AE6933" w:rsidRPr="00BA3042" w:rsidRDefault="00AE6933" w:rsidP="00AE6933">
      <w:pPr>
        <w:pStyle w:val="SingleTxtG"/>
        <w:rPr>
          <w:lang w:val="fr-FR"/>
        </w:rPr>
      </w:pPr>
      <w:r w:rsidRPr="00BA3042">
        <w:rPr>
          <w:lang w:val="fr-FR"/>
        </w:rPr>
        <w:t>79.</w:t>
      </w:r>
      <w:r w:rsidRPr="00BA3042">
        <w:rPr>
          <w:lang w:val="fr-FR"/>
        </w:rPr>
        <w:tab/>
        <w:t xml:space="preserve">Le Programme de travail social de terrain a été adopté en 2011; il s’agit d’une nouvelle forme de travail social. De plus, le Plan d’action (2013-2015) en faveur des enfants des rues annonce des mesures et des actions spécifiques, principalement focalisées sur l’éducation et les soins de santé. </w:t>
      </w:r>
    </w:p>
    <w:p w:rsidR="00AE6933" w:rsidRPr="00BA3042" w:rsidRDefault="00AE6933" w:rsidP="00AE6933">
      <w:pPr>
        <w:pStyle w:val="SingleTxtG"/>
        <w:rPr>
          <w:lang w:val="fr-FR"/>
        </w:rPr>
      </w:pPr>
      <w:r w:rsidRPr="00BA3042">
        <w:rPr>
          <w:lang w:val="fr-FR"/>
        </w:rPr>
        <w:t>80.</w:t>
      </w:r>
      <w:r w:rsidRPr="00BA3042">
        <w:rPr>
          <w:lang w:val="fr-FR"/>
        </w:rPr>
        <w:tab/>
        <w:t xml:space="preserve">Dans le cadre de la lutte contre la traite des êtres humains et de la répression de ce fléau, le Gouvernement adopte des plans d’action pertinents: le premier Plan d’action et de lutte contre la traite des êtres humains et les migrations clandestines (2006-2008), le deuxième Plan (2009-2012) et le troisième (2013-2016). Un plan d’action (2009-2012) contre la traite des enfants a également été adopté. </w:t>
      </w:r>
    </w:p>
    <w:p w:rsidR="00AE6933" w:rsidRPr="00BA3042" w:rsidRDefault="00AE6933" w:rsidP="00AE6933">
      <w:pPr>
        <w:pStyle w:val="SingleTxtG"/>
        <w:rPr>
          <w:lang w:val="fr-FR"/>
        </w:rPr>
      </w:pPr>
      <w:r w:rsidRPr="00BA3042">
        <w:rPr>
          <w:lang w:val="fr-FR"/>
        </w:rPr>
        <w:t>81.</w:t>
      </w:r>
      <w:r w:rsidRPr="00BA3042">
        <w:rPr>
          <w:lang w:val="fr-FR"/>
        </w:rPr>
        <w:tab/>
        <w:t>La première partie des quatrième et cinquième rapports périodiques de la République de Macédoine relatifs à l’application de la Convention sur l’élimination de toutes les formes de discrimination à l’égard des femmes, présentés en un seul document (CEDAW/C/MKD/4-5) et le troisième rapport de la République de Macédoine relatif à l’application de la Convention contre la torture et autres peines ou traitements cruels, inhumains ou dégradants (art. 2, points 10 à 13) (CAT/C/MKD/3) contiennent plus de précisions sur la détection, la prévention et la répression des cas de violence familiale et de traite des êtres humains.</w:t>
      </w:r>
    </w:p>
    <w:p w:rsidR="00AE6933" w:rsidRPr="00BA3042" w:rsidRDefault="00AE6933" w:rsidP="00AE6933">
      <w:pPr>
        <w:pStyle w:val="H1G"/>
        <w:rPr>
          <w:lang w:val="fr-FR"/>
        </w:rPr>
      </w:pPr>
      <w:r w:rsidRPr="00BA3042">
        <w:rPr>
          <w:szCs w:val="24"/>
          <w:lang w:val="fr-FR"/>
        </w:rPr>
        <w:tab/>
      </w:r>
      <w:r w:rsidRPr="00BA3042">
        <w:rPr>
          <w:szCs w:val="24"/>
          <w:lang w:val="fr-FR"/>
        </w:rPr>
        <w:tab/>
      </w:r>
      <w:r w:rsidRPr="00BA3042">
        <w:rPr>
          <w:lang w:val="fr-FR"/>
        </w:rPr>
        <w:t>Article 11</w:t>
      </w:r>
      <w:r w:rsidRPr="00BA3042">
        <w:rPr>
          <w:lang w:val="fr-FR"/>
        </w:rPr>
        <w:br/>
        <w:t>Réponse aux recommandations n</w:t>
      </w:r>
      <w:r w:rsidRPr="00BA3042">
        <w:rPr>
          <w:vertAlign w:val="superscript"/>
          <w:lang w:val="fr-FR"/>
        </w:rPr>
        <w:t>os</w:t>
      </w:r>
      <w:r w:rsidRPr="00BA3042">
        <w:rPr>
          <w:lang w:val="fr-FR"/>
        </w:rPr>
        <w:t xml:space="preserve"> 42, 44 et 29 du Comité</w:t>
      </w:r>
    </w:p>
    <w:p w:rsidR="00AE6933" w:rsidRPr="00BA3042" w:rsidRDefault="00AE6933" w:rsidP="00AE6933">
      <w:pPr>
        <w:pStyle w:val="SingleTxtG"/>
        <w:rPr>
          <w:lang w:val="fr-FR"/>
        </w:rPr>
      </w:pPr>
      <w:r w:rsidRPr="00BA3042">
        <w:rPr>
          <w:lang w:val="fr-FR"/>
        </w:rPr>
        <w:t>82.</w:t>
      </w:r>
      <w:r w:rsidRPr="00BA3042">
        <w:rPr>
          <w:lang w:val="fr-FR"/>
        </w:rPr>
        <w:tab/>
        <w:t xml:space="preserve">Afin d’améliorer la coopération, en 2006, le Gouvernement a mis en place un mécanisme concernant l’élaboration et l’analyse des rapports trimestriels sur les actions menées à la suite des interventions du Médiateur et de ses recommandations adressées au Gouvernement et aux organes de l’administration publique. Le mécanisme de communication de l’information établi contribue à faciliter la coopération avec le Bureau du médiateur et à respecter pleinement les garanties constitutionnelles et les normes internationales en matière de droits de l’homme et de libertés fondamentales. </w:t>
      </w:r>
    </w:p>
    <w:p w:rsidR="00AE6933" w:rsidRPr="00BA3042" w:rsidRDefault="00AE6933" w:rsidP="00AE6933">
      <w:pPr>
        <w:pStyle w:val="SingleTxtG"/>
        <w:rPr>
          <w:lang w:val="fr-FR"/>
        </w:rPr>
      </w:pPr>
      <w:r w:rsidRPr="00BA3042">
        <w:rPr>
          <w:lang w:val="fr-FR"/>
        </w:rPr>
        <w:t>83.</w:t>
      </w:r>
      <w:r w:rsidRPr="00BA3042">
        <w:rPr>
          <w:lang w:val="fr-FR"/>
        </w:rPr>
        <w:tab/>
        <w:t xml:space="preserve">Après avoir examiné les requêtes, déclarations et recommandations du Médiateur figurant dans ses rapports, le Gouvernement charge les organes de l’administration publique d’agir conformément aux recommandations du Médiateur et d’informer son bureau et le secrétariat général du Gouvernement sur les actions entreprises. </w:t>
      </w:r>
    </w:p>
    <w:p w:rsidR="00AE6933" w:rsidRPr="00BA3042" w:rsidRDefault="00AE6933" w:rsidP="00AE6933">
      <w:pPr>
        <w:pStyle w:val="SingleTxtG"/>
        <w:rPr>
          <w:lang w:val="fr-FR"/>
        </w:rPr>
      </w:pPr>
      <w:r w:rsidRPr="00BA3042">
        <w:rPr>
          <w:lang w:val="fr-FR"/>
        </w:rPr>
        <w:t>84.</w:t>
      </w:r>
      <w:r w:rsidRPr="00BA3042">
        <w:rPr>
          <w:lang w:val="fr-FR"/>
        </w:rPr>
        <w:tab/>
        <w:t>Les tableaux ci-dessous ont été élaborés par le Bureau du médiateur; ils contiennent des informations sur les requêtes reçues entre 2008 et 2012, ventilées suivant l’année de réception, la catégorie de droits et le suivi donné.</w:t>
      </w:r>
    </w:p>
    <w:p w:rsidR="00AE6933" w:rsidRPr="00BA3042" w:rsidRDefault="00AE6933" w:rsidP="00AE6933">
      <w:pPr>
        <w:pStyle w:val="H23G"/>
        <w:ind w:left="0" w:firstLine="0"/>
        <w:rPr>
          <w:b w:val="0"/>
          <w:sz w:val="24"/>
          <w:szCs w:val="24"/>
          <w:lang w:val="fr-FR"/>
        </w:rPr>
      </w:pPr>
      <w:r w:rsidRPr="00BA3042">
        <w:rPr>
          <w:bCs/>
          <w:lang w:val="fr-FR"/>
        </w:rPr>
        <w:t>Requêtes reçues par le Bureau du médiateur (ci-après «BM»), traitées et en cours d’examen entre le 1</w:t>
      </w:r>
      <w:r w:rsidRPr="00BA3042">
        <w:rPr>
          <w:bCs/>
          <w:vertAlign w:val="superscript"/>
          <w:lang w:val="fr-FR"/>
        </w:rPr>
        <w:t>er</w:t>
      </w:r>
      <w:r w:rsidRPr="00BA3042">
        <w:rPr>
          <w:b w:val="0"/>
          <w:bCs/>
          <w:lang w:val="fr-FR"/>
        </w:rPr>
        <w:t xml:space="preserve"> </w:t>
      </w:r>
      <w:r w:rsidRPr="00BA3042">
        <w:rPr>
          <w:bCs/>
          <w:lang w:val="fr-FR"/>
        </w:rPr>
        <w:t>et le 31 décembre 2008, ventilées par domaine</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53"/>
        <w:gridCol w:w="484"/>
        <w:gridCol w:w="574"/>
        <w:gridCol w:w="566"/>
        <w:gridCol w:w="918"/>
        <w:gridCol w:w="392"/>
        <w:gridCol w:w="690"/>
        <w:gridCol w:w="629"/>
        <w:gridCol w:w="682"/>
        <w:gridCol w:w="910"/>
        <w:gridCol w:w="700"/>
        <w:gridCol w:w="686"/>
        <w:gridCol w:w="532"/>
        <w:gridCol w:w="423"/>
      </w:tblGrid>
      <w:tr w:rsidR="00AE6933" w:rsidRPr="00BA3042" w:rsidTr="00E40CAC">
        <w:trPr>
          <w:cantSplit/>
          <w:trHeight w:val="1822"/>
          <w:tblHeader/>
        </w:trPr>
        <w:tc>
          <w:tcPr>
            <w:tcW w:w="1453" w:type="dxa"/>
            <w:tcBorders>
              <w:left w:val="nil"/>
              <w:bottom w:val="single" w:sz="12" w:space="0" w:color="auto"/>
              <w:right w:val="nil"/>
            </w:tcBorders>
            <w:textDirection w:val="btLr"/>
          </w:tcPr>
          <w:p w:rsidR="00AE6933" w:rsidRPr="00BA3042" w:rsidRDefault="00AE6933" w:rsidP="005219DB">
            <w:pPr>
              <w:spacing w:after="80" w:line="200" w:lineRule="exact"/>
              <w:ind w:left="57" w:right="57"/>
              <w:rPr>
                <w:i/>
                <w:sz w:val="16"/>
                <w:szCs w:val="16"/>
                <w:lang w:val="fr-FR"/>
              </w:rPr>
            </w:pPr>
            <w:r w:rsidRPr="00BA3042">
              <w:rPr>
                <w:i/>
                <w:sz w:val="16"/>
                <w:szCs w:val="16"/>
                <w:lang w:val="fr-FR"/>
              </w:rPr>
              <w:t>Domaines/Requêtes</w:t>
            </w:r>
          </w:p>
        </w:tc>
        <w:tc>
          <w:tcPr>
            <w:tcW w:w="484"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Reçues en 2008</w:t>
            </w:r>
          </w:p>
        </w:tc>
        <w:tc>
          <w:tcPr>
            <w:tcW w:w="574"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Pendantes depuis l’année précédente</w:t>
            </w:r>
          </w:p>
        </w:tc>
        <w:tc>
          <w:tcPr>
            <w:tcW w:w="566"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pendantes</w:t>
            </w:r>
          </w:p>
        </w:tc>
        <w:tc>
          <w:tcPr>
            <w:tcW w:w="918"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Décision d’abandonner la procédure ou de ne pas engager de procédure</w:t>
            </w:r>
          </w:p>
        </w:tc>
        <w:tc>
          <w:tcPr>
            <w:tcW w:w="392"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Réglées autrement</w:t>
            </w:r>
          </w:p>
        </w:tc>
        <w:tc>
          <w:tcPr>
            <w:tcW w:w="690"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Délivrance d’avis, de proposition ou de recommandation</w:t>
            </w:r>
          </w:p>
        </w:tc>
        <w:tc>
          <w:tcPr>
            <w:tcW w:w="629"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Poursuites engagées à l’initiative du BM</w:t>
            </w:r>
          </w:p>
        </w:tc>
        <w:tc>
          <w:tcPr>
            <w:tcW w:w="682"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Toutes les actions prévues par la loi menées par le BM</w:t>
            </w:r>
          </w:p>
        </w:tc>
        <w:tc>
          <w:tcPr>
            <w:tcW w:w="910"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Pas de poursuites engagées malgré l’intervention du BM</w:t>
            </w:r>
          </w:p>
        </w:tc>
        <w:tc>
          <w:tcPr>
            <w:tcW w:w="700"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aux Ministres</w:t>
            </w:r>
          </w:p>
        </w:tc>
        <w:tc>
          <w:tcPr>
            <w:tcW w:w="686"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 Gouvernement</w:t>
            </w:r>
          </w:p>
        </w:tc>
        <w:tc>
          <w:tcPr>
            <w:tcW w:w="532"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des affaires traitées</w:t>
            </w:r>
          </w:p>
        </w:tc>
        <w:tc>
          <w:tcPr>
            <w:tcW w:w="423"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Affaires pendantes</w:t>
            </w:r>
          </w:p>
        </w:tc>
      </w:tr>
      <w:tr w:rsidR="00AE6933" w:rsidRPr="00BA3042" w:rsidTr="00E40CAC">
        <w:tc>
          <w:tcPr>
            <w:tcW w:w="1453" w:type="dxa"/>
            <w:tcBorders>
              <w:top w:val="single" w:sz="12" w:space="0" w:color="auto"/>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Non-discrimination et représentation équitable</w:t>
            </w:r>
          </w:p>
        </w:tc>
        <w:tc>
          <w:tcPr>
            <w:tcW w:w="484"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21</w:t>
            </w:r>
          </w:p>
        </w:tc>
        <w:tc>
          <w:tcPr>
            <w:tcW w:w="574"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566"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26</w:t>
            </w:r>
          </w:p>
        </w:tc>
        <w:tc>
          <w:tcPr>
            <w:tcW w:w="918"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392"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9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2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82"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91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0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86"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18</w:t>
            </w:r>
          </w:p>
        </w:tc>
        <w:tc>
          <w:tcPr>
            <w:tcW w:w="423"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Protection sociale</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115</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41</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156</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61</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59</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56</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126</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Relations salariales</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253</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62</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315</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193</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45</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36</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237</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78</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Logement</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34</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49</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45</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Santé</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69</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78</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39</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53</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25</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Retraites et assurance invalidité</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180</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27</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207</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104</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49</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42</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148</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59</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Éducation, science, culture et sports</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39</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47</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40</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Droits de l’enfant</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145</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164</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88</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56</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50</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150</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Urbanisme et construction</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162</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45</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207</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123</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27</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153</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54</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Protection de l’environnement</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19</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17</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Finances</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51</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37</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r>
      <w:tr w:rsidR="00AE6933" w:rsidRPr="00BA3042" w:rsidTr="00E40CAC">
        <w:tc>
          <w:tcPr>
            <w:tcW w:w="1453"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Droit de propriété</w:t>
            </w:r>
          </w:p>
        </w:tc>
        <w:tc>
          <w:tcPr>
            <w:tcW w:w="4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317</w:t>
            </w:r>
          </w:p>
        </w:tc>
        <w:tc>
          <w:tcPr>
            <w:tcW w:w="57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144</w:t>
            </w:r>
          </w:p>
        </w:tc>
        <w:tc>
          <w:tcPr>
            <w:tcW w:w="56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461</w:t>
            </w:r>
          </w:p>
        </w:tc>
        <w:tc>
          <w:tcPr>
            <w:tcW w:w="91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174</w:t>
            </w:r>
          </w:p>
        </w:tc>
        <w:tc>
          <w:tcPr>
            <w:tcW w:w="3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6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178</w:t>
            </w:r>
          </w:p>
        </w:tc>
        <w:tc>
          <w:tcPr>
            <w:tcW w:w="6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142</w:t>
            </w:r>
          </w:p>
        </w:tc>
        <w:tc>
          <w:tcPr>
            <w:tcW w:w="6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c>
          <w:tcPr>
            <w:tcW w:w="91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w:t>
            </w:r>
          </w:p>
        </w:tc>
        <w:tc>
          <w:tcPr>
            <w:tcW w:w="7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337</w:t>
            </w:r>
          </w:p>
        </w:tc>
        <w:tc>
          <w:tcPr>
            <w:tcW w:w="42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124</w:t>
            </w:r>
          </w:p>
        </w:tc>
      </w:tr>
      <w:tr w:rsidR="00AE6933" w:rsidRPr="00BA3042" w:rsidTr="00E40CAC">
        <w:tc>
          <w:tcPr>
            <w:tcW w:w="1453" w:type="dxa"/>
            <w:tcBorders>
              <w:top w:val="nil"/>
              <w:left w:val="nil"/>
              <w:bottom w:val="single" w:sz="12"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Droits du consommateur</w:t>
            </w:r>
          </w:p>
        </w:tc>
        <w:tc>
          <w:tcPr>
            <w:tcW w:w="484"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147</w:t>
            </w:r>
          </w:p>
        </w:tc>
        <w:tc>
          <w:tcPr>
            <w:tcW w:w="574"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566"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162</w:t>
            </w:r>
          </w:p>
        </w:tc>
        <w:tc>
          <w:tcPr>
            <w:tcW w:w="91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85</w:t>
            </w:r>
          </w:p>
        </w:tc>
        <w:tc>
          <w:tcPr>
            <w:tcW w:w="39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9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38</w:t>
            </w:r>
          </w:p>
        </w:tc>
        <w:tc>
          <w:tcPr>
            <w:tcW w:w="62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37</w:t>
            </w:r>
          </w:p>
        </w:tc>
        <w:tc>
          <w:tcPr>
            <w:tcW w:w="68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1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0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86"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53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125</w:t>
            </w:r>
          </w:p>
        </w:tc>
        <w:tc>
          <w:tcPr>
            <w:tcW w:w="423"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37</w:t>
            </w:r>
          </w:p>
        </w:tc>
      </w:tr>
    </w:tbl>
    <w:p w:rsidR="00AE6933" w:rsidRPr="00BA3042" w:rsidRDefault="00AE6933" w:rsidP="00AE6933">
      <w:pPr>
        <w:pStyle w:val="H23G"/>
        <w:ind w:left="0" w:firstLine="0"/>
        <w:rPr>
          <w:lang w:val="fr-FR"/>
        </w:rPr>
      </w:pPr>
      <w:r w:rsidRPr="00BA3042">
        <w:rPr>
          <w:lang w:val="fr-FR"/>
        </w:rPr>
        <w:t>Requêtes reçues par le Bureau du médiateur (ci-après «BM»), traitées et en cours d’examen entre le 1</w:t>
      </w:r>
      <w:r w:rsidRPr="00BA3042">
        <w:rPr>
          <w:vertAlign w:val="superscript"/>
          <w:lang w:val="fr-FR"/>
        </w:rPr>
        <w:t>er</w:t>
      </w:r>
      <w:r w:rsidRPr="00BA3042">
        <w:rPr>
          <w:lang w:val="fr-FR"/>
        </w:rPr>
        <w:t xml:space="preserve"> et le 31 décembre 2009, ventilées par domaine</w:t>
      </w:r>
    </w:p>
    <w:tbl>
      <w:tblPr>
        <w:tblW w:w="960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1420"/>
        <w:gridCol w:w="448"/>
        <w:gridCol w:w="558"/>
        <w:gridCol w:w="623"/>
        <w:gridCol w:w="861"/>
        <w:gridCol w:w="378"/>
        <w:gridCol w:w="700"/>
        <w:gridCol w:w="629"/>
        <w:gridCol w:w="672"/>
        <w:gridCol w:w="910"/>
        <w:gridCol w:w="700"/>
        <w:gridCol w:w="686"/>
        <w:gridCol w:w="532"/>
        <w:gridCol w:w="486"/>
      </w:tblGrid>
      <w:tr w:rsidR="00AE6933" w:rsidRPr="00BA3042" w:rsidTr="00744A0D">
        <w:trPr>
          <w:cantSplit/>
          <w:trHeight w:val="1838"/>
          <w:tblHeader/>
        </w:trPr>
        <w:tc>
          <w:tcPr>
            <w:tcW w:w="1420" w:type="dxa"/>
            <w:tcBorders>
              <w:left w:val="nil"/>
              <w:bottom w:val="single" w:sz="12" w:space="0" w:color="auto"/>
              <w:right w:val="nil"/>
            </w:tcBorders>
            <w:textDirection w:val="btLr"/>
          </w:tcPr>
          <w:p w:rsidR="00AE6933" w:rsidRPr="00BA3042" w:rsidRDefault="00AE6933" w:rsidP="007A6EFD">
            <w:pPr>
              <w:spacing w:after="80" w:line="200" w:lineRule="exact"/>
              <w:ind w:left="57" w:right="57"/>
              <w:rPr>
                <w:i/>
                <w:sz w:val="16"/>
                <w:szCs w:val="16"/>
                <w:lang w:val="fr-FR"/>
              </w:rPr>
            </w:pPr>
            <w:r w:rsidRPr="00BA3042">
              <w:rPr>
                <w:i/>
                <w:sz w:val="16"/>
                <w:szCs w:val="16"/>
                <w:lang w:val="fr-FR"/>
              </w:rPr>
              <w:t>Domaines/Requêtes</w:t>
            </w:r>
          </w:p>
        </w:tc>
        <w:tc>
          <w:tcPr>
            <w:tcW w:w="448"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Reçues en 2009</w:t>
            </w:r>
          </w:p>
        </w:tc>
        <w:tc>
          <w:tcPr>
            <w:tcW w:w="558"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Pendantes depuis l’année précédente</w:t>
            </w:r>
          </w:p>
        </w:tc>
        <w:tc>
          <w:tcPr>
            <w:tcW w:w="623"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pendantes</w:t>
            </w:r>
          </w:p>
        </w:tc>
        <w:tc>
          <w:tcPr>
            <w:tcW w:w="861"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Décision d’abandonner la procédure ou de ne pas engager de procédure</w:t>
            </w:r>
          </w:p>
        </w:tc>
        <w:tc>
          <w:tcPr>
            <w:tcW w:w="378"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Réglées autrement</w:t>
            </w:r>
          </w:p>
        </w:tc>
        <w:tc>
          <w:tcPr>
            <w:tcW w:w="700"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Délivrance d’avis, de proposition ou de recommandation</w:t>
            </w:r>
          </w:p>
        </w:tc>
        <w:tc>
          <w:tcPr>
            <w:tcW w:w="629"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Poursuites engagées à l’initiative du BM</w:t>
            </w:r>
          </w:p>
        </w:tc>
        <w:tc>
          <w:tcPr>
            <w:tcW w:w="672"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Toutes les actions prévues par la loi menées par le BM</w:t>
            </w:r>
          </w:p>
        </w:tc>
        <w:tc>
          <w:tcPr>
            <w:tcW w:w="910"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Pas de poursuites engagées malgré l’intervention du BM</w:t>
            </w:r>
          </w:p>
        </w:tc>
        <w:tc>
          <w:tcPr>
            <w:tcW w:w="700"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aux Ministres</w:t>
            </w:r>
          </w:p>
        </w:tc>
        <w:tc>
          <w:tcPr>
            <w:tcW w:w="686"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 Gouvernement</w:t>
            </w:r>
          </w:p>
        </w:tc>
        <w:tc>
          <w:tcPr>
            <w:tcW w:w="532"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des affaires traitées</w:t>
            </w:r>
          </w:p>
        </w:tc>
        <w:tc>
          <w:tcPr>
            <w:tcW w:w="486" w:type="dxa"/>
            <w:tcBorders>
              <w:left w:val="nil"/>
              <w:bottom w:val="single" w:sz="12" w:space="0" w:color="auto"/>
              <w:right w:val="nil"/>
            </w:tcBorders>
            <w:textDirection w:val="btLr"/>
            <w:vAlign w:val="bottom"/>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Affaires pendantes</w:t>
            </w:r>
          </w:p>
        </w:tc>
      </w:tr>
      <w:tr w:rsidR="00AE6933" w:rsidRPr="00BA3042" w:rsidTr="00744A0D">
        <w:tc>
          <w:tcPr>
            <w:tcW w:w="1420" w:type="dxa"/>
            <w:tcBorders>
              <w:top w:val="single" w:sz="12" w:space="0" w:color="auto"/>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Non-discrimination et représentation équitable</w:t>
            </w:r>
          </w:p>
        </w:tc>
        <w:tc>
          <w:tcPr>
            <w:tcW w:w="44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20</w:t>
            </w:r>
          </w:p>
        </w:tc>
        <w:tc>
          <w:tcPr>
            <w:tcW w:w="55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8</w:t>
            </w:r>
          </w:p>
        </w:tc>
        <w:tc>
          <w:tcPr>
            <w:tcW w:w="623"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28</w:t>
            </w:r>
          </w:p>
        </w:tc>
        <w:tc>
          <w:tcPr>
            <w:tcW w:w="861"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9</w:t>
            </w:r>
          </w:p>
        </w:tc>
        <w:tc>
          <w:tcPr>
            <w:tcW w:w="37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w:t>
            </w:r>
          </w:p>
        </w:tc>
        <w:tc>
          <w:tcPr>
            <w:tcW w:w="700"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9</w:t>
            </w:r>
          </w:p>
        </w:tc>
        <w:tc>
          <w:tcPr>
            <w:tcW w:w="629"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w:t>
            </w:r>
          </w:p>
        </w:tc>
        <w:tc>
          <w:tcPr>
            <w:tcW w:w="672"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w:t>
            </w:r>
          </w:p>
        </w:tc>
        <w:tc>
          <w:tcPr>
            <w:tcW w:w="910"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w:t>
            </w:r>
          </w:p>
        </w:tc>
        <w:tc>
          <w:tcPr>
            <w:tcW w:w="700"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w:t>
            </w:r>
          </w:p>
        </w:tc>
        <w:tc>
          <w:tcPr>
            <w:tcW w:w="686"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532"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18</w:t>
            </w:r>
          </w:p>
        </w:tc>
        <w:tc>
          <w:tcPr>
            <w:tcW w:w="486"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10</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Protection sociale</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95</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30</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125</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60</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39</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31</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7</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93</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32</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Relations salariales</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389</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78</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467</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236</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9</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140</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84</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39</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17</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23</w:t>
            </w: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w:t>
            </w: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374</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93</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Logement</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57</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61</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29</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27</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20</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53</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8</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Santé</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72</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25</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97</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36</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34</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30</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w:t>
            </w: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71</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26</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Retraites et assurance invalidité</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181</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59</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240</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131</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7</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62</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57</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29</w:t>
            </w: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196</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44</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Éducation, science, culture et sports</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49</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7</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56</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21</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29</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28</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w:t>
            </w: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51</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Droits de l’enfant</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157</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14</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171</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107</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48</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42</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10</w:t>
            </w: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w:t>
            </w: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159</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12</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Urbanisme et construction</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170</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54</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224</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119</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6</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42</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22</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10</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10</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157</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67</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Protection de l’environnement</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21</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23</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13</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6</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19</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4</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Finances</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50</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14</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64</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35</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23</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20</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55</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9</w:t>
            </w:r>
          </w:p>
        </w:tc>
      </w:tr>
      <w:tr w:rsidR="00AE6933" w:rsidRPr="00BA3042" w:rsidTr="00744A0D">
        <w:tc>
          <w:tcPr>
            <w:tcW w:w="1420"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 de propriété</w:t>
            </w:r>
          </w:p>
        </w:tc>
        <w:tc>
          <w:tcPr>
            <w:tcW w:w="44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361</w:t>
            </w:r>
          </w:p>
        </w:tc>
        <w:tc>
          <w:tcPr>
            <w:tcW w:w="5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124</w:t>
            </w:r>
          </w:p>
        </w:tc>
        <w:tc>
          <w:tcPr>
            <w:tcW w:w="623"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485</w:t>
            </w:r>
          </w:p>
        </w:tc>
        <w:tc>
          <w:tcPr>
            <w:tcW w:w="861"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217</w:t>
            </w:r>
          </w:p>
        </w:tc>
        <w:tc>
          <w:tcPr>
            <w:tcW w:w="37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8</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221</w:t>
            </w:r>
          </w:p>
        </w:tc>
        <w:tc>
          <w:tcPr>
            <w:tcW w:w="62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127</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35</w:t>
            </w:r>
          </w:p>
        </w:tc>
        <w:tc>
          <w:tcPr>
            <w:tcW w:w="91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59</w:t>
            </w:r>
          </w:p>
        </w:tc>
        <w:tc>
          <w:tcPr>
            <w:tcW w:w="70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3</w:t>
            </w:r>
          </w:p>
        </w:tc>
        <w:tc>
          <w:tcPr>
            <w:tcW w:w="6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1</w:t>
            </w:r>
          </w:p>
        </w:tc>
        <w:tc>
          <w:tcPr>
            <w:tcW w:w="53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6"/>
                <w:lang w:val="fr-FR"/>
              </w:rPr>
            </w:pPr>
            <w:r w:rsidRPr="00BA3042">
              <w:rPr>
                <w:bCs/>
                <w:sz w:val="18"/>
                <w:szCs w:val="16"/>
                <w:lang w:val="fr-FR"/>
              </w:rPr>
              <w:t>387</w:t>
            </w:r>
          </w:p>
        </w:tc>
        <w:tc>
          <w:tcPr>
            <w:tcW w:w="48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98</w:t>
            </w:r>
          </w:p>
        </w:tc>
      </w:tr>
      <w:tr w:rsidR="00AE6933" w:rsidRPr="00BA3042" w:rsidTr="00744A0D">
        <w:tc>
          <w:tcPr>
            <w:tcW w:w="1420" w:type="dxa"/>
            <w:tcBorders>
              <w:top w:val="nil"/>
              <w:left w:val="nil"/>
              <w:bottom w:val="single" w:sz="12" w:space="0" w:color="auto"/>
              <w:right w:val="nil"/>
            </w:tcBorders>
            <w:tcMar>
              <w:left w:w="0" w:type="dxa"/>
              <w:right w:w="0" w:type="dxa"/>
            </w:tcMar>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Droits du consommateur</w:t>
            </w:r>
          </w:p>
        </w:tc>
        <w:tc>
          <w:tcPr>
            <w:tcW w:w="448"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277</w:t>
            </w:r>
          </w:p>
        </w:tc>
        <w:tc>
          <w:tcPr>
            <w:tcW w:w="558"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37</w:t>
            </w:r>
          </w:p>
        </w:tc>
        <w:tc>
          <w:tcPr>
            <w:tcW w:w="623"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bCs/>
                <w:sz w:val="18"/>
                <w:szCs w:val="16"/>
                <w:lang w:val="fr-FR"/>
              </w:rPr>
            </w:pPr>
            <w:r w:rsidRPr="00BA3042">
              <w:rPr>
                <w:bCs/>
                <w:sz w:val="18"/>
                <w:szCs w:val="16"/>
                <w:lang w:val="fr-FR"/>
              </w:rPr>
              <w:t>314</w:t>
            </w:r>
          </w:p>
        </w:tc>
        <w:tc>
          <w:tcPr>
            <w:tcW w:w="861"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175</w:t>
            </w:r>
          </w:p>
        </w:tc>
        <w:tc>
          <w:tcPr>
            <w:tcW w:w="378"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3</w:t>
            </w:r>
          </w:p>
        </w:tc>
        <w:tc>
          <w:tcPr>
            <w:tcW w:w="700"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96</w:t>
            </w:r>
          </w:p>
        </w:tc>
        <w:tc>
          <w:tcPr>
            <w:tcW w:w="629"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88</w:t>
            </w:r>
          </w:p>
        </w:tc>
        <w:tc>
          <w:tcPr>
            <w:tcW w:w="672"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4</w:t>
            </w:r>
          </w:p>
        </w:tc>
        <w:tc>
          <w:tcPr>
            <w:tcW w:w="910"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4</w:t>
            </w:r>
          </w:p>
        </w:tc>
        <w:tc>
          <w:tcPr>
            <w:tcW w:w="700"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p>
        </w:tc>
        <w:tc>
          <w:tcPr>
            <w:tcW w:w="686"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1</w:t>
            </w:r>
          </w:p>
        </w:tc>
        <w:tc>
          <w:tcPr>
            <w:tcW w:w="532"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bCs/>
                <w:sz w:val="18"/>
                <w:szCs w:val="16"/>
                <w:lang w:val="fr-FR"/>
              </w:rPr>
            </w:pPr>
            <w:r w:rsidRPr="00BA3042">
              <w:rPr>
                <w:bCs/>
                <w:sz w:val="18"/>
                <w:szCs w:val="16"/>
                <w:lang w:val="fr-FR"/>
              </w:rPr>
              <w:t>270</w:t>
            </w:r>
          </w:p>
        </w:tc>
        <w:tc>
          <w:tcPr>
            <w:tcW w:w="486" w:type="dxa"/>
            <w:tcBorders>
              <w:top w:val="nil"/>
              <w:left w:val="nil"/>
              <w:bottom w:val="single" w:sz="12" w:space="0" w:color="auto"/>
              <w:right w:val="nil"/>
            </w:tcBorders>
            <w:tcMar>
              <w:left w:w="0" w:type="dxa"/>
              <w:right w:w="0" w:type="dxa"/>
            </w:tcMar>
            <w:vAlign w:val="bottom"/>
          </w:tcPr>
          <w:p w:rsidR="00AE6933" w:rsidRPr="00BA3042" w:rsidRDefault="00AE6933" w:rsidP="00E40CAC">
            <w:pPr>
              <w:keepNext/>
              <w:keepLines/>
              <w:suppressAutoHyphens w:val="0"/>
              <w:spacing w:before="40" w:after="40" w:line="220" w:lineRule="exact"/>
              <w:jc w:val="right"/>
              <w:rPr>
                <w:sz w:val="18"/>
                <w:szCs w:val="16"/>
                <w:lang w:val="fr-FR"/>
              </w:rPr>
            </w:pPr>
            <w:r w:rsidRPr="00BA3042">
              <w:rPr>
                <w:sz w:val="18"/>
                <w:szCs w:val="16"/>
                <w:lang w:val="fr-FR"/>
              </w:rPr>
              <w:t>44</w:t>
            </w:r>
          </w:p>
        </w:tc>
      </w:tr>
    </w:tbl>
    <w:p w:rsidR="00AE6933" w:rsidRPr="00BA3042" w:rsidRDefault="00AE6933" w:rsidP="00AE6933">
      <w:pPr>
        <w:pStyle w:val="H23G"/>
        <w:ind w:left="0" w:firstLine="0"/>
        <w:rPr>
          <w:lang w:val="fr-FR"/>
        </w:rPr>
      </w:pPr>
      <w:r w:rsidRPr="00BA3042">
        <w:rPr>
          <w:lang w:val="fr-FR"/>
        </w:rPr>
        <w:t>Requêtes reçues par le Bureau du médiateur (ci-après «BM»), traitées et en cours d’examen entre le 1</w:t>
      </w:r>
      <w:r w:rsidRPr="00BA3042">
        <w:rPr>
          <w:vertAlign w:val="superscript"/>
          <w:lang w:val="fr-FR"/>
        </w:rPr>
        <w:t>er</w:t>
      </w:r>
      <w:r w:rsidRPr="00BA3042">
        <w:rPr>
          <w:lang w:val="fr-FR"/>
        </w:rPr>
        <w:t xml:space="preserve"> et le 31 décembre 2010, ventilées par domaine</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2"/>
        <w:gridCol w:w="497"/>
        <w:gridCol w:w="607"/>
        <w:gridCol w:w="483"/>
        <w:gridCol w:w="910"/>
        <w:gridCol w:w="414"/>
        <w:gridCol w:w="827"/>
        <w:gridCol w:w="551"/>
        <w:gridCol w:w="648"/>
        <w:gridCol w:w="855"/>
        <w:gridCol w:w="648"/>
        <w:gridCol w:w="662"/>
        <w:gridCol w:w="469"/>
        <w:gridCol w:w="506"/>
      </w:tblGrid>
      <w:tr w:rsidR="00AE6933" w:rsidRPr="00BA3042" w:rsidTr="00744A0D">
        <w:trPr>
          <w:cantSplit/>
          <w:trHeight w:val="1854"/>
          <w:tblHeader/>
        </w:trPr>
        <w:tc>
          <w:tcPr>
            <w:tcW w:w="1587" w:type="dxa"/>
            <w:tcBorders>
              <w:left w:val="nil"/>
              <w:bottom w:val="single" w:sz="12" w:space="0" w:color="auto"/>
              <w:right w:val="nil"/>
            </w:tcBorders>
            <w:tcMar>
              <w:left w:w="0" w:type="dxa"/>
              <w:right w:w="0" w:type="dxa"/>
            </w:tcMar>
            <w:textDirection w:val="btLr"/>
          </w:tcPr>
          <w:p w:rsidR="00AE6933" w:rsidRPr="00BA3042" w:rsidRDefault="00AE6933" w:rsidP="007A6EFD">
            <w:pPr>
              <w:pBdr>
                <w:left w:val="single" w:sz="6" w:space="4" w:color="auto"/>
              </w:pBdr>
              <w:spacing w:after="80" w:line="200" w:lineRule="exact"/>
              <w:ind w:left="57" w:right="57"/>
              <w:rPr>
                <w:i/>
                <w:sz w:val="16"/>
                <w:szCs w:val="16"/>
                <w:lang w:val="fr-FR"/>
              </w:rPr>
            </w:pPr>
            <w:r w:rsidRPr="00BA3042">
              <w:rPr>
                <w:i/>
                <w:sz w:val="16"/>
                <w:szCs w:val="16"/>
                <w:lang w:val="fr-FR"/>
              </w:rPr>
              <w:t>Domaines/Requêtes</w:t>
            </w:r>
          </w:p>
        </w:tc>
        <w:tc>
          <w:tcPr>
            <w:tcW w:w="504"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Reçues en 2010</w:t>
            </w:r>
          </w:p>
        </w:tc>
        <w:tc>
          <w:tcPr>
            <w:tcW w:w="616"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Pendantes depuis l’année précédente</w:t>
            </w:r>
          </w:p>
        </w:tc>
        <w:tc>
          <w:tcPr>
            <w:tcW w:w="490"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pendantes</w:t>
            </w:r>
          </w:p>
        </w:tc>
        <w:tc>
          <w:tcPr>
            <w:tcW w:w="924"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Décision d’abandonner la procédure ou de ne pas engager de procédure</w:t>
            </w:r>
          </w:p>
        </w:tc>
        <w:tc>
          <w:tcPr>
            <w:tcW w:w="420"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Réglées autrement</w:t>
            </w:r>
          </w:p>
        </w:tc>
        <w:tc>
          <w:tcPr>
            <w:tcW w:w="840"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Délivrance d’avis, de proposition ou de recommandation</w:t>
            </w:r>
          </w:p>
        </w:tc>
        <w:tc>
          <w:tcPr>
            <w:tcW w:w="559"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Poursuites engagées à l’initiative du BM</w:t>
            </w:r>
          </w:p>
        </w:tc>
        <w:tc>
          <w:tcPr>
            <w:tcW w:w="658"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Toutes les actions prévues par la loi menées par le BM</w:t>
            </w:r>
          </w:p>
        </w:tc>
        <w:tc>
          <w:tcPr>
            <w:tcW w:w="868"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Pas de poursuites engagées malgré l’intervention du BM</w:t>
            </w:r>
          </w:p>
        </w:tc>
        <w:tc>
          <w:tcPr>
            <w:tcW w:w="658"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aux Ministres</w:t>
            </w:r>
          </w:p>
        </w:tc>
        <w:tc>
          <w:tcPr>
            <w:tcW w:w="672"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 Gouvernement</w:t>
            </w:r>
          </w:p>
        </w:tc>
        <w:tc>
          <w:tcPr>
            <w:tcW w:w="476"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des affaires traitées</w:t>
            </w:r>
          </w:p>
        </w:tc>
        <w:tc>
          <w:tcPr>
            <w:tcW w:w="514" w:type="dxa"/>
            <w:tcBorders>
              <w:left w:val="nil"/>
              <w:bottom w:val="single" w:sz="12" w:space="0" w:color="auto"/>
              <w:right w:val="nil"/>
            </w:tcBorders>
            <w:tcMar>
              <w:left w:w="0" w:type="dxa"/>
              <w:right w:w="0"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Affaires pendantes</w:t>
            </w:r>
          </w:p>
        </w:tc>
      </w:tr>
      <w:tr w:rsidR="00AE6933" w:rsidRPr="00BA3042" w:rsidTr="00E40CAC">
        <w:tc>
          <w:tcPr>
            <w:tcW w:w="1587" w:type="dxa"/>
            <w:tcBorders>
              <w:top w:val="single" w:sz="12" w:space="0" w:color="auto"/>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Non-discrimination et représentation équitable</w:t>
            </w:r>
          </w:p>
        </w:tc>
        <w:tc>
          <w:tcPr>
            <w:tcW w:w="504"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616"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w:t>
            </w:r>
          </w:p>
        </w:tc>
        <w:tc>
          <w:tcPr>
            <w:tcW w:w="490"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26</w:t>
            </w:r>
          </w:p>
        </w:tc>
        <w:tc>
          <w:tcPr>
            <w:tcW w:w="924"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c>
          <w:tcPr>
            <w:tcW w:w="420"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40"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559"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5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86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58"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72"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18</w:t>
            </w:r>
          </w:p>
        </w:tc>
        <w:tc>
          <w:tcPr>
            <w:tcW w:w="514" w:type="dxa"/>
            <w:tcBorders>
              <w:top w:val="single" w:sz="12" w:space="0" w:color="auto"/>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Protection sociale</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140</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32</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172</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91</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142</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Relations salariales</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365</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93</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458</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296</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22</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73</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391</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67</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Logement</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89</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97</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58</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81</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Santé</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93</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119</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49</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25</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78</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41</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Retraites et assurance invalidité</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159</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44</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203</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109</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49</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39</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159</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44</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Éducation, science, culture et sports</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53</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33</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48</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Droits de l’enfant</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111</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123</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74</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37</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33</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112</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Urbanisme et construction</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170</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67</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237</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124</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168</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69</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Protection de l’environnement</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20</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24</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22</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Finances</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71</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80</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44</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71</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r>
      <w:tr w:rsidR="00AE6933" w:rsidRPr="00BA3042" w:rsidTr="00E40CAC">
        <w:tc>
          <w:tcPr>
            <w:tcW w:w="1587"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 de propriété</w:t>
            </w:r>
          </w:p>
        </w:tc>
        <w:tc>
          <w:tcPr>
            <w:tcW w:w="50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401</w:t>
            </w:r>
          </w:p>
        </w:tc>
        <w:tc>
          <w:tcPr>
            <w:tcW w:w="61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98</w:t>
            </w:r>
          </w:p>
        </w:tc>
        <w:tc>
          <w:tcPr>
            <w:tcW w:w="49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499</w:t>
            </w:r>
          </w:p>
        </w:tc>
        <w:tc>
          <w:tcPr>
            <w:tcW w:w="92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237</w:t>
            </w:r>
          </w:p>
        </w:tc>
        <w:tc>
          <w:tcPr>
            <w:tcW w:w="42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w:t>
            </w:r>
          </w:p>
        </w:tc>
        <w:tc>
          <w:tcPr>
            <w:tcW w:w="840"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189</w:t>
            </w:r>
          </w:p>
        </w:tc>
        <w:tc>
          <w:tcPr>
            <w:tcW w:w="559"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130</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31</w:t>
            </w:r>
          </w:p>
        </w:tc>
        <w:tc>
          <w:tcPr>
            <w:tcW w:w="86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28</w:t>
            </w:r>
          </w:p>
        </w:tc>
        <w:tc>
          <w:tcPr>
            <w:tcW w:w="658"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72"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408</w:t>
            </w:r>
          </w:p>
        </w:tc>
        <w:tc>
          <w:tcPr>
            <w:tcW w:w="514" w:type="dxa"/>
            <w:tcBorders>
              <w:top w:val="nil"/>
              <w:left w:val="nil"/>
              <w:bottom w:val="nil"/>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91</w:t>
            </w:r>
          </w:p>
        </w:tc>
      </w:tr>
      <w:tr w:rsidR="00AE6933" w:rsidRPr="00BA3042" w:rsidTr="00E40CAC">
        <w:tc>
          <w:tcPr>
            <w:tcW w:w="1587" w:type="dxa"/>
            <w:tcBorders>
              <w:top w:val="nil"/>
              <w:left w:val="nil"/>
              <w:bottom w:val="single" w:sz="12" w:space="0" w:color="auto"/>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Droits du consommateur</w:t>
            </w:r>
          </w:p>
        </w:tc>
        <w:tc>
          <w:tcPr>
            <w:tcW w:w="504"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553</w:t>
            </w:r>
          </w:p>
        </w:tc>
        <w:tc>
          <w:tcPr>
            <w:tcW w:w="616"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44</w:t>
            </w:r>
          </w:p>
        </w:tc>
        <w:tc>
          <w:tcPr>
            <w:tcW w:w="490"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597</w:t>
            </w:r>
          </w:p>
        </w:tc>
        <w:tc>
          <w:tcPr>
            <w:tcW w:w="924"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318</w:t>
            </w:r>
          </w:p>
        </w:tc>
        <w:tc>
          <w:tcPr>
            <w:tcW w:w="420"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840"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123</w:t>
            </w:r>
          </w:p>
        </w:tc>
        <w:tc>
          <w:tcPr>
            <w:tcW w:w="559"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109</w:t>
            </w:r>
          </w:p>
        </w:tc>
        <w:tc>
          <w:tcPr>
            <w:tcW w:w="658"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868"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658"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672"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p>
        </w:tc>
        <w:tc>
          <w:tcPr>
            <w:tcW w:w="476"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439</w:t>
            </w:r>
          </w:p>
        </w:tc>
        <w:tc>
          <w:tcPr>
            <w:tcW w:w="514" w:type="dxa"/>
            <w:tcBorders>
              <w:top w:val="nil"/>
              <w:left w:val="nil"/>
              <w:bottom w:val="single" w:sz="12" w:space="0" w:color="auto"/>
              <w:right w:val="nil"/>
            </w:tcBorders>
            <w:tcMar>
              <w:left w:w="0" w:type="dxa"/>
              <w:right w:w="0" w:type="dxa"/>
            </w:tcMar>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158</w:t>
            </w:r>
          </w:p>
        </w:tc>
      </w:tr>
    </w:tbl>
    <w:p w:rsidR="00AE6933" w:rsidRPr="00BA3042" w:rsidRDefault="00AE6933" w:rsidP="00AE6933">
      <w:pPr>
        <w:pStyle w:val="H23G"/>
        <w:ind w:left="0" w:firstLine="0"/>
        <w:rPr>
          <w:lang w:val="fr-FR"/>
        </w:rPr>
      </w:pPr>
      <w:r w:rsidRPr="00BA3042">
        <w:rPr>
          <w:lang w:val="fr-FR"/>
        </w:rPr>
        <w:t>Requêtes reçues par le Bureau du médiateur (ci-après «BM»), traitées et en cours d’examen entre le 1</w:t>
      </w:r>
      <w:r w:rsidRPr="00BA3042">
        <w:rPr>
          <w:vertAlign w:val="superscript"/>
          <w:lang w:val="fr-FR"/>
        </w:rPr>
        <w:t>er</w:t>
      </w:r>
      <w:r w:rsidRPr="00BA3042">
        <w:rPr>
          <w:lang w:val="fr-FR"/>
        </w:rPr>
        <w:t xml:space="preserve"> et le 31 décembre 2011, ventilées par domaine</w:t>
      </w:r>
    </w:p>
    <w:tbl>
      <w:tblPr>
        <w:tblW w:w="964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498"/>
        <w:gridCol w:w="528"/>
        <w:gridCol w:w="598"/>
        <w:gridCol w:w="487"/>
        <w:gridCol w:w="917"/>
        <w:gridCol w:w="418"/>
        <w:gridCol w:w="14"/>
        <w:gridCol w:w="792"/>
        <w:gridCol w:w="541"/>
        <w:gridCol w:w="14"/>
        <w:gridCol w:w="640"/>
        <w:gridCol w:w="848"/>
        <w:gridCol w:w="640"/>
        <w:gridCol w:w="640"/>
        <w:gridCol w:w="501"/>
        <w:gridCol w:w="555"/>
        <w:gridCol w:w="14"/>
      </w:tblGrid>
      <w:tr w:rsidR="00AE6933" w:rsidRPr="00BA3042" w:rsidTr="006D2382">
        <w:trPr>
          <w:cantSplit/>
          <w:trHeight w:val="1896"/>
        </w:trPr>
        <w:tc>
          <w:tcPr>
            <w:tcW w:w="1498" w:type="dxa"/>
            <w:tcBorders>
              <w:left w:val="nil"/>
              <w:bottom w:val="single" w:sz="12" w:space="0" w:color="auto"/>
              <w:right w:val="nil"/>
            </w:tcBorders>
            <w:tcMar>
              <w:left w:w="57" w:type="dxa"/>
              <w:right w:w="57" w:type="dxa"/>
            </w:tcMar>
            <w:textDirection w:val="btLr"/>
          </w:tcPr>
          <w:p w:rsidR="00AE6933" w:rsidRPr="00BA3042" w:rsidRDefault="00AE6933" w:rsidP="007A6EFD">
            <w:pPr>
              <w:spacing w:after="80" w:line="200" w:lineRule="exact"/>
              <w:ind w:left="57" w:right="57"/>
              <w:rPr>
                <w:i/>
                <w:sz w:val="16"/>
                <w:szCs w:val="16"/>
                <w:lang w:val="fr-FR"/>
              </w:rPr>
            </w:pPr>
            <w:r w:rsidRPr="00BA3042">
              <w:rPr>
                <w:i/>
                <w:sz w:val="16"/>
                <w:szCs w:val="16"/>
                <w:lang w:val="fr-FR"/>
              </w:rPr>
              <w:t>Domaines/Requêtes</w:t>
            </w:r>
          </w:p>
        </w:tc>
        <w:tc>
          <w:tcPr>
            <w:tcW w:w="528"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Reçues en 2011</w:t>
            </w:r>
          </w:p>
        </w:tc>
        <w:tc>
          <w:tcPr>
            <w:tcW w:w="598"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Pendantes depuis l’année précédente</w:t>
            </w:r>
          </w:p>
        </w:tc>
        <w:tc>
          <w:tcPr>
            <w:tcW w:w="487"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pendantes</w:t>
            </w:r>
          </w:p>
        </w:tc>
        <w:tc>
          <w:tcPr>
            <w:tcW w:w="917"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Décision d’abandonner la procédure ou de ne pas engager de procédure</w:t>
            </w:r>
          </w:p>
        </w:tc>
        <w:tc>
          <w:tcPr>
            <w:tcW w:w="418"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Réglées autrement</w:t>
            </w:r>
          </w:p>
        </w:tc>
        <w:tc>
          <w:tcPr>
            <w:tcW w:w="806" w:type="dxa"/>
            <w:gridSpan w:val="2"/>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Délivrance d’avis, de proposition ou de recommandation</w:t>
            </w:r>
          </w:p>
        </w:tc>
        <w:tc>
          <w:tcPr>
            <w:tcW w:w="541"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Poursuites engagées à l’initiative du BM</w:t>
            </w:r>
          </w:p>
        </w:tc>
        <w:tc>
          <w:tcPr>
            <w:tcW w:w="654" w:type="dxa"/>
            <w:gridSpan w:val="2"/>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Toutes les actions prévues par la loi menées par le BM</w:t>
            </w:r>
          </w:p>
        </w:tc>
        <w:tc>
          <w:tcPr>
            <w:tcW w:w="848"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Pas de poursuites engagées malgré l’intervention du BM</w:t>
            </w:r>
          </w:p>
        </w:tc>
        <w:tc>
          <w:tcPr>
            <w:tcW w:w="640"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aux Ministres</w:t>
            </w:r>
          </w:p>
        </w:tc>
        <w:tc>
          <w:tcPr>
            <w:tcW w:w="640"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 Gouvernement</w:t>
            </w:r>
          </w:p>
        </w:tc>
        <w:tc>
          <w:tcPr>
            <w:tcW w:w="501" w:type="dxa"/>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des affaires traitées</w:t>
            </w:r>
          </w:p>
        </w:tc>
        <w:tc>
          <w:tcPr>
            <w:tcW w:w="569" w:type="dxa"/>
            <w:gridSpan w:val="2"/>
            <w:tcBorders>
              <w:left w:val="nil"/>
              <w:bottom w:val="single" w:sz="12" w:space="0" w:color="auto"/>
              <w:right w:val="nil"/>
            </w:tcBorders>
            <w:tcMar>
              <w:left w:w="57" w:type="dxa"/>
              <w:right w:w="57" w:type="dxa"/>
            </w:tcMar>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Affaires pendantes</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Non-discrimination et représentation équitable</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42</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50</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36</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Protection sociale</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193</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223</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87</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88</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66</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168</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55</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Relations salariales</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412</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67</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479</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299</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113</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53</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53</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424</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65</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Logement</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65</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81</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37</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38</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34</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74</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Santé</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115</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41</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156</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67</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46</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31</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104</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52</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Retraites et assurance invalidité</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237</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44</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281</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121</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106</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97</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224</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57</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Éducation, science, culture et sports</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45</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50</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43</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Droits de l’enfant</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144</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155</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92</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42</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137</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18</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Urbanisme et construction</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146</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69</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215</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142</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19</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168</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Protection de l’environnement</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28</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17</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27</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Finances</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101</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110</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60</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21</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81</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w:t>
            </w:r>
          </w:p>
        </w:tc>
      </w:tr>
      <w:tr w:rsidR="00AE6933" w:rsidRPr="00BA3042" w:rsidTr="006D2382">
        <w:trPr>
          <w:gridAfter w:val="1"/>
          <w:wAfter w:w="14" w:type="dxa"/>
        </w:trPr>
        <w:tc>
          <w:tcPr>
            <w:tcW w:w="1498" w:type="dxa"/>
            <w:tcBorders>
              <w:top w:val="nil"/>
              <w:left w:val="nil"/>
              <w:bottom w:val="nil"/>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 de propriété</w:t>
            </w:r>
          </w:p>
        </w:tc>
        <w:tc>
          <w:tcPr>
            <w:tcW w:w="52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360</w:t>
            </w:r>
          </w:p>
        </w:tc>
        <w:tc>
          <w:tcPr>
            <w:tcW w:w="59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91</w:t>
            </w:r>
          </w:p>
        </w:tc>
        <w:tc>
          <w:tcPr>
            <w:tcW w:w="48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451</w:t>
            </w:r>
          </w:p>
        </w:tc>
        <w:tc>
          <w:tcPr>
            <w:tcW w:w="917"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236</w:t>
            </w:r>
          </w:p>
        </w:tc>
        <w:tc>
          <w:tcPr>
            <w:tcW w:w="432"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79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168</w:t>
            </w:r>
          </w:p>
        </w:tc>
        <w:tc>
          <w:tcPr>
            <w:tcW w:w="555" w:type="dxa"/>
            <w:gridSpan w:val="2"/>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104</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20</w:t>
            </w:r>
          </w:p>
        </w:tc>
        <w:tc>
          <w:tcPr>
            <w:tcW w:w="84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44</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0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362</w:t>
            </w:r>
          </w:p>
        </w:tc>
        <w:tc>
          <w:tcPr>
            <w:tcW w:w="55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89</w:t>
            </w:r>
          </w:p>
        </w:tc>
      </w:tr>
      <w:tr w:rsidR="00AE6933" w:rsidRPr="00BA3042" w:rsidTr="006D2382">
        <w:trPr>
          <w:gridAfter w:val="1"/>
          <w:wAfter w:w="14" w:type="dxa"/>
        </w:trPr>
        <w:tc>
          <w:tcPr>
            <w:tcW w:w="1498" w:type="dxa"/>
            <w:tcBorders>
              <w:top w:val="nil"/>
              <w:left w:val="nil"/>
              <w:bottom w:val="single" w:sz="12" w:space="0" w:color="auto"/>
              <w:right w:val="nil"/>
            </w:tcBorders>
            <w:tcMar>
              <w:left w:w="0" w:type="dxa"/>
              <w:right w:w="0" w:type="dxa"/>
            </w:tcMar>
          </w:tcPr>
          <w:p w:rsidR="00AE6933" w:rsidRPr="00BA3042" w:rsidRDefault="00AE6933" w:rsidP="00E40CAC">
            <w:pPr>
              <w:spacing w:before="40" w:after="40" w:line="220" w:lineRule="exact"/>
              <w:rPr>
                <w:sz w:val="18"/>
                <w:szCs w:val="18"/>
                <w:lang w:val="fr-FR"/>
              </w:rPr>
            </w:pPr>
            <w:r w:rsidRPr="00BA3042">
              <w:rPr>
                <w:sz w:val="18"/>
                <w:szCs w:val="18"/>
                <w:lang w:val="fr-FR"/>
              </w:rPr>
              <w:t>Droits du consommateur</w:t>
            </w:r>
          </w:p>
        </w:tc>
        <w:tc>
          <w:tcPr>
            <w:tcW w:w="52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673</w:t>
            </w:r>
          </w:p>
        </w:tc>
        <w:tc>
          <w:tcPr>
            <w:tcW w:w="59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158</w:t>
            </w:r>
          </w:p>
        </w:tc>
        <w:tc>
          <w:tcPr>
            <w:tcW w:w="487"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831</w:t>
            </w:r>
          </w:p>
        </w:tc>
        <w:tc>
          <w:tcPr>
            <w:tcW w:w="917"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387</w:t>
            </w:r>
          </w:p>
        </w:tc>
        <w:tc>
          <w:tcPr>
            <w:tcW w:w="432" w:type="dxa"/>
            <w:gridSpan w:val="2"/>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79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301</w:t>
            </w:r>
          </w:p>
        </w:tc>
        <w:tc>
          <w:tcPr>
            <w:tcW w:w="555" w:type="dxa"/>
            <w:gridSpan w:val="2"/>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265</w:t>
            </w:r>
          </w:p>
        </w:tc>
        <w:tc>
          <w:tcPr>
            <w:tcW w:w="64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c>
          <w:tcPr>
            <w:tcW w:w="84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22</w:t>
            </w:r>
          </w:p>
        </w:tc>
        <w:tc>
          <w:tcPr>
            <w:tcW w:w="64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64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501"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678</w:t>
            </w:r>
          </w:p>
        </w:tc>
        <w:tc>
          <w:tcPr>
            <w:tcW w:w="555"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153</w:t>
            </w:r>
          </w:p>
        </w:tc>
      </w:tr>
    </w:tbl>
    <w:p w:rsidR="00AE6933" w:rsidRPr="00BA3042" w:rsidRDefault="00AE6933" w:rsidP="00AE6933">
      <w:pPr>
        <w:pStyle w:val="H23G"/>
        <w:ind w:left="0" w:firstLine="0"/>
        <w:rPr>
          <w:lang w:val="fr-FR"/>
        </w:rPr>
      </w:pPr>
      <w:r w:rsidRPr="00BA3042">
        <w:rPr>
          <w:lang w:val="fr-FR"/>
        </w:rPr>
        <w:t>Requêtes reçues par le Bureau du médiateur (ci-après «BM»), traitées et en cours d’examen entre le 1</w:t>
      </w:r>
      <w:r w:rsidRPr="00BA3042">
        <w:rPr>
          <w:vertAlign w:val="superscript"/>
          <w:lang w:val="fr-FR"/>
        </w:rPr>
        <w:t>er</w:t>
      </w:r>
      <w:r w:rsidRPr="00BA3042">
        <w:rPr>
          <w:lang w:val="fr-FR"/>
        </w:rPr>
        <w:t xml:space="preserve"> et le 31 décembre 2012, ventilées par domaine</w:t>
      </w:r>
    </w:p>
    <w:tbl>
      <w:tblPr>
        <w:tblW w:w="9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484"/>
        <w:gridCol w:w="546"/>
        <w:gridCol w:w="588"/>
        <w:gridCol w:w="490"/>
        <w:gridCol w:w="924"/>
        <w:gridCol w:w="420"/>
        <w:gridCol w:w="784"/>
        <w:gridCol w:w="559"/>
        <w:gridCol w:w="630"/>
        <w:gridCol w:w="868"/>
        <w:gridCol w:w="630"/>
        <w:gridCol w:w="616"/>
        <w:gridCol w:w="532"/>
        <w:gridCol w:w="582"/>
      </w:tblGrid>
      <w:tr w:rsidR="00AE6933" w:rsidRPr="00BA3042" w:rsidTr="00E40CAC">
        <w:trPr>
          <w:cantSplit/>
          <w:trHeight w:val="1909"/>
          <w:tblHeader/>
        </w:trPr>
        <w:tc>
          <w:tcPr>
            <w:tcW w:w="1484" w:type="dxa"/>
            <w:tcBorders>
              <w:left w:val="nil"/>
              <w:bottom w:val="single" w:sz="12" w:space="0" w:color="auto"/>
              <w:right w:val="nil"/>
            </w:tcBorders>
            <w:textDirection w:val="btLr"/>
          </w:tcPr>
          <w:p w:rsidR="00AE6933" w:rsidRPr="00BA3042" w:rsidRDefault="00AE6933" w:rsidP="007A6EFD">
            <w:pPr>
              <w:spacing w:after="80" w:line="200" w:lineRule="exact"/>
              <w:ind w:left="57" w:right="57"/>
              <w:rPr>
                <w:i/>
                <w:sz w:val="16"/>
                <w:szCs w:val="16"/>
                <w:lang w:val="fr-FR"/>
              </w:rPr>
            </w:pPr>
            <w:r w:rsidRPr="00BA3042">
              <w:rPr>
                <w:i/>
                <w:sz w:val="16"/>
                <w:szCs w:val="16"/>
                <w:lang w:val="fr-FR"/>
              </w:rPr>
              <w:t>Domaines/Requêtes</w:t>
            </w:r>
          </w:p>
        </w:tc>
        <w:tc>
          <w:tcPr>
            <w:tcW w:w="546"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Reçues en 2012</w:t>
            </w:r>
          </w:p>
        </w:tc>
        <w:tc>
          <w:tcPr>
            <w:tcW w:w="588"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Pendantes depuis l’année précédente</w:t>
            </w:r>
          </w:p>
        </w:tc>
        <w:tc>
          <w:tcPr>
            <w:tcW w:w="490"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pendantes</w:t>
            </w:r>
          </w:p>
        </w:tc>
        <w:tc>
          <w:tcPr>
            <w:tcW w:w="924"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Décision d’abandonner la procédure ou de ne pas engager de procédure</w:t>
            </w:r>
          </w:p>
        </w:tc>
        <w:tc>
          <w:tcPr>
            <w:tcW w:w="420"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Réglées autrement</w:t>
            </w:r>
          </w:p>
        </w:tc>
        <w:tc>
          <w:tcPr>
            <w:tcW w:w="784"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Délivrance d’avis, de proposition ou de recommandation</w:t>
            </w:r>
          </w:p>
        </w:tc>
        <w:tc>
          <w:tcPr>
            <w:tcW w:w="559"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Poursuites engagées à l’initiative du BM</w:t>
            </w:r>
          </w:p>
        </w:tc>
        <w:tc>
          <w:tcPr>
            <w:tcW w:w="630"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Toutes les actions prévues par la loi menées par le BM</w:t>
            </w:r>
          </w:p>
        </w:tc>
        <w:tc>
          <w:tcPr>
            <w:tcW w:w="868"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Pas de poursuites engagées malgré l’intervention du BM</w:t>
            </w:r>
          </w:p>
        </w:tc>
        <w:tc>
          <w:tcPr>
            <w:tcW w:w="630"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aux Ministres</w:t>
            </w:r>
          </w:p>
        </w:tc>
        <w:tc>
          <w:tcPr>
            <w:tcW w:w="616"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Informations présentées au Gouvernement</w:t>
            </w:r>
          </w:p>
        </w:tc>
        <w:tc>
          <w:tcPr>
            <w:tcW w:w="532"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bCs/>
                <w:i/>
                <w:sz w:val="16"/>
                <w:szCs w:val="16"/>
                <w:lang w:val="fr-FR"/>
              </w:rPr>
            </w:pPr>
            <w:r w:rsidRPr="00BA3042">
              <w:rPr>
                <w:bCs/>
                <w:i/>
                <w:sz w:val="16"/>
                <w:szCs w:val="16"/>
                <w:lang w:val="fr-FR"/>
              </w:rPr>
              <w:t>Total des affaires traitées</w:t>
            </w:r>
          </w:p>
        </w:tc>
        <w:tc>
          <w:tcPr>
            <w:tcW w:w="582" w:type="dxa"/>
            <w:tcBorders>
              <w:left w:val="nil"/>
              <w:bottom w:val="single" w:sz="12" w:space="0" w:color="auto"/>
              <w:right w:val="nil"/>
            </w:tcBorders>
            <w:textDirection w:val="btLr"/>
            <w:vAlign w:val="center"/>
          </w:tcPr>
          <w:p w:rsidR="00AE6933" w:rsidRPr="00BA3042" w:rsidRDefault="00AE6933" w:rsidP="00E40CAC">
            <w:pPr>
              <w:spacing w:before="80" w:after="80" w:line="200" w:lineRule="exact"/>
              <w:ind w:left="57" w:right="57"/>
              <w:rPr>
                <w:i/>
                <w:sz w:val="16"/>
                <w:szCs w:val="16"/>
                <w:lang w:val="fr-FR"/>
              </w:rPr>
            </w:pPr>
            <w:r w:rsidRPr="00BA3042">
              <w:rPr>
                <w:i/>
                <w:sz w:val="16"/>
                <w:szCs w:val="16"/>
                <w:lang w:val="fr-FR"/>
              </w:rPr>
              <w:t>Affaires pendantes</w:t>
            </w:r>
          </w:p>
        </w:tc>
      </w:tr>
      <w:tr w:rsidR="00AE6933" w:rsidRPr="00BA3042" w:rsidTr="00E40CAC">
        <w:tc>
          <w:tcPr>
            <w:tcW w:w="1484" w:type="dxa"/>
            <w:tcBorders>
              <w:top w:val="single" w:sz="12" w:space="0" w:color="auto"/>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Non-discrimination et représentation équitable</w:t>
            </w:r>
          </w:p>
        </w:tc>
        <w:tc>
          <w:tcPr>
            <w:tcW w:w="546"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32</w:t>
            </w:r>
          </w:p>
        </w:tc>
        <w:tc>
          <w:tcPr>
            <w:tcW w:w="588"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w:t>
            </w:r>
          </w:p>
        </w:tc>
        <w:tc>
          <w:tcPr>
            <w:tcW w:w="49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46</w:t>
            </w:r>
          </w:p>
        </w:tc>
        <w:tc>
          <w:tcPr>
            <w:tcW w:w="924"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w:t>
            </w:r>
          </w:p>
        </w:tc>
        <w:tc>
          <w:tcPr>
            <w:tcW w:w="42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784"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55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63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868"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30"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16"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34</w:t>
            </w:r>
          </w:p>
        </w:tc>
        <w:tc>
          <w:tcPr>
            <w:tcW w:w="582"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Protection sociale</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240</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55</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295</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143</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108</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98</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249</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46</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Relations salariales</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306</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65</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371</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204</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98</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54</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31</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279</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92</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Logement</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57</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63</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36</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24</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60</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Santé</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166</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52</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218</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100</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85</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66</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17</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18</w:t>
            </w: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170</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r>
      <w:tr w:rsidR="00AE6933" w:rsidRPr="00BA3042" w:rsidTr="00E40CAC">
        <w:tc>
          <w:tcPr>
            <w:tcW w:w="1484" w:type="dxa"/>
            <w:tcBorders>
              <w:top w:val="nil"/>
              <w:left w:val="nil"/>
              <w:bottom w:val="nil"/>
              <w:right w:val="nil"/>
            </w:tcBorders>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Retraites et assurance invalidité</w:t>
            </w:r>
          </w:p>
        </w:tc>
        <w:tc>
          <w:tcPr>
            <w:tcW w:w="546"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241</w:t>
            </w:r>
          </w:p>
        </w:tc>
        <w:tc>
          <w:tcPr>
            <w:tcW w:w="588"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57</w:t>
            </w:r>
          </w:p>
        </w:tc>
        <w:tc>
          <w:tcPr>
            <w:tcW w:w="49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rPr>
            </w:pPr>
            <w:r w:rsidRPr="00BA3042">
              <w:rPr>
                <w:bCs/>
                <w:sz w:val="18"/>
                <w:szCs w:val="18"/>
                <w:lang w:val="fr-FR"/>
              </w:rPr>
              <w:t>298</w:t>
            </w:r>
          </w:p>
        </w:tc>
        <w:tc>
          <w:tcPr>
            <w:tcW w:w="924"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132</w:t>
            </w:r>
          </w:p>
        </w:tc>
        <w:tc>
          <w:tcPr>
            <w:tcW w:w="42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5</w:t>
            </w:r>
          </w:p>
        </w:tc>
        <w:tc>
          <w:tcPr>
            <w:tcW w:w="784"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120</w:t>
            </w:r>
          </w:p>
        </w:tc>
        <w:tc>
          <w:tcPr>
            <w:tcW w:w="559"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93</w:t>
            </w:r>
          </w:p>
        </w:tc>
        <w:tc>
          <w:tcPr>
            <w:tcW w:w="63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6</w:t>
            </w:r>
          </w:p>
        </w:tc>
        <w:tc>
          <w:tcPr>
            <w:tcW w:w="868"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21</w:t>
            </w:r>
          </w:p>
        </w:tc>
        <w:tc>
          <w:tcPr>
            <w:tcW w:w="63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p>
        </w:tc>
        <w:tc>
          <w:tcPr>
            <w:tcW w:w="616"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rPr>
            </w:pPr>
            <w:r w:rsidRPr="00BA3042">
              <w:rPr>
                <w:bCs/>
                <w:sz w:val="18"/>
                <w:szCs w:val="18"/>
                <w:lang w:val="fr-FR"/>
              </w:rPr>
              <w:t>237</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61</w:t>
            </w:r>
          </w:p>
        </w:tc>
      </w:tr>
      <w:tr w:rsidR="00AE6933" w:rsidRPr="00BA3042" w:rsidTr="00E40CAC">
        <w:tc>
          <w:tcPr>
            <w:tcW w:w="1484" w:type="dxa"/>
            <w:tcBorders>
              <w:top w:val="nil"/>
              <w:left w:val="nil"/>
              <w:bottom w:val="nil"/>
              <w:right w:val="nil"/>
            </w:tcBorders>
          </w:tcPr>
          <w:p w:rsidR="00AE6933" w:rsidRPr="00BA3042" w:rsidRDefault="00AE6933" w:rsidP="00E40CAC">
            <w:pPr>
              <w:keepNext/>
              <w:keepLines/>
              <w:spacing w:before="40" w:after="40" w:line="220" w:lineRule="exact"/>
              <w:rPr>
                <w:sz w:val="18"/>
                <w:szCs w:val="18"/>
                <w:lang w:val="fr-FR"/>
              </w:rPr>
            </w:pPr>
            <w:r w:rsidRPr="00BA3042">
              <w:rPr>
                <w:sz w:val="18"/>
                <w:szCs w:val="18"/>
                <w:lang w:val="fr-FR"/>
              </w:rPr>
              <w:t>Éducation, science, culture et sports</w:t>
            </w:r>
          </w:p>
        </w:tc>
        <w:tc>
          <w:tcPr>
            <w:tcW w:w="546"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35</w:t>
            </w:r>
          </w:p>
        </w:tc>
        <w:tc>
          <w:tcPr>
            <w:tcW w:w="588"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7</w:t>
            </w:r>
          </w:p>
        </w:tc>
        <w:tc>
          <w:tcPr>
            <w:tcW w:w="49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rPr>
            </w:pPr>
            <w:r w:rsidRPr="00BA3042">
              <w:rPr>
                <w:bCs/>
                <w:sz w:val="18"/>
                <w:szCs w:val="18"/>
                <w:lang w:val="fr-FR"/>
              </w:rPr>
              <w:t>42</w:t>
            </w:r>
          </w:p>
        </w:tc>
        <w:tc>
          <w:tcPr>
            <w:tcW w:w="924"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26</w:t>
            </w:r>
          </w:p>
        </w:tc>
        <w:tc>
          <w:tcPr>
            <w:tcW w:w="42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p>
        </w:tc>
        <w:tc>
          <w:tcPr>
            <w:tcW w:w="784"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12</w:t>
            </w:r>
          </w:p>
        </w:tc>
        <w:tc>
          <w:tcPr>
            <w:tcW w:w="559"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8</w:t>
            </w:r>
          </w:p>
        </w:tc>
        <w:tc>
          <w:tcPr>
            <w:tcW w:w="63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p>
        </w:tc>
        <w:tc>
          <w:tcPr>
            <w:tcW w:w="868"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4</w:t>
            </w:r>
          </w:p>
        </w:tc>
        <w:tc>
          <w:tcPr>
            <w:tcW w:w="630"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r w:rsidRPr="00BA3042">
              <w:rPr>
                <w:sz w:val="18"/>
                <w:szCs w:val="18"/>
                <w:lang w:val="fr-FR"/>
              </w:rPr>
              <w:t>1</w:t>
            </w:r>
          </w:p>
        </w:tc>
        <w:tc>
          <w:tcPr>
            <w:tcW w:w="616"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keepNext/>
              <w:keepLines/>
              <w:suppressAutoHyphens w:val="0"/>
              <w:spacing w:before="40" w:after="40" w:line="220" w:lineRule="exact"/>
              <w:jc w:val="right"/>
              <w:rPr>
                <w:bCs/>
                <w:sz w:val="18"/>
                <w:szCs w:val="18"/>
                <w:lang w:val="fr-FR"/>
              </w:rPr>
            </w:pPr>
            <w:r w:rsidRPr="00BA3042">
              <w:rPr>
                <w:bCs/>
                <w:sz w:val="18"/>
                <w:szCs w:val="18"/>
                <w:lang w:val="fr-FR"/>
              </w:rPr>
              <w:t>35</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Droits de l’enfant</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161</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179</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116</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48</w:t>
            </w: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39</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168</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Urbanisme et construction</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155</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202</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129</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28</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153</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49</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Protection de l’environnement</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35</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36</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21</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29</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Finances</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130</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29</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159</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97</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47</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38</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139</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20</w:t>
            </w:r>
          </w:p>
        </w:tc>
      </w:tr>
      <w:tr w:rsidR="00AE6933" w:rsidRPr="00BA3042" w:rsidTr="00E40CAC">
        <w:tc>
          <w:tcPr>
            <w:tcW w:w="1484"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Droit de propriété</w:t>
            </w:r>
          </w:p>
        </w:tc>
        <w:tc>
          <w:tcPr>
            <w:tcW w:w="54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272</w:t>
            </w:r>
          </w:p>
        </w:tc>
        <w:tc>
          <w:tcPr>
            <w:tcW w:w="58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89</w:t>
            </w:r>
          </w:p>
        </w:tc>
        <w:tc>
          <w:tcPr>
            <w:tcW w:w="49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361</w:t>
            </w:r>
          </w:p>
        </w:tc>
        <w:tc>
          <w:tcPr>
            <w:tcW w:w="92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207</w:t>
            </w:r>
          </w:p>
        </w:tc>
        <w:tc>
          <w:tcPr>
            <w:tcW w:w="42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78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110</w:t>
            </w:r>
          </w:p>
        </w:tc>
        <w:tc>
          <w:tcPr>
            <w:tcW w:w="55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73</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w:t>
            </w:r>
          </w:p>
        </w:tc>
        <w:tc>
          <w:tcPr>
            <w:tcW w:w="868"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26</w:t>
            </w:r>
          </w:p>
        </w:tc>
        <w:tc>
          <w:tcPr>
            <w:tcW w:w="63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w:t>
            </w:r>
          </w:p>
        </w:tc>
        <w:tc>
          <w:tcPr>
            <w:tcW w:w="6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w:t>
            </w:r>
          </w:p>
        </w:tc>
        <w:tc>
          <w:tcPr>
            <w:tcW w:w="53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292</w:t>
            </w:r>
          </w:p>
        </w:tc>
        <w:tc>
          <w:tcPr>
            <w:tcW w:w="582"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69</w:t>
            </w:r>
          </w:p>
        </w:tc>
      </w:tr>
      <w:tr w:rsidR="00AE6933" w:rsidRPr="00BA3042" w:rsidTr="00E40CAC">
        <w:tc>
          <w:tcPr>
            <w:tcW w:w="1484" w:type="dxa"/>
            <w:tcBorders>
              <w:top w:val="nil"/>
              <w:left w:val="nil"/>
              <w:bottom w:val="single" w:sz="12"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Droits du consommateur</w:t>
            </w:r>
          </w:p>
        </w:tc>
        <w:tc>
          <w:tcPr>
            <w:tcW w:w="546"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948</w:t>
            </w:r>
          </w:p>
        </w:tc>
        <w:tc>
          <w:tcPr>
            <w:tcW w:w="58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153</w:t>
            </w:r>
          </w:p>
        </w:tc>
        <w:tc>
          <w:tcPr>
            <w:tcW w:w="49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1,101</w:t>
            </w:r>
          </w:p>
        </w:tc>
        <w:tc>
          <w:tcPr>
            <w:tcW w:w="924"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672</w:t>
            </w:r>
          </w:p>
        </w:tc>
        <w:tc>
          <w:tcPr>
            <w:tcW w:w="42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w:t>
            </w:r>
          </w:p>
        </w:tc>
        <w:tc>
          <w:tcPr>
            <w:tcW w:w="784"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330</w:t>
            </w:r>
          </w:p>
        </w:tc>
        <w:tc>
          <w:tcPr>
            <w:tcW w:w="55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233</w:t>
            </w:r>
          </w:p>
        </w:tc>
        <w:tc>
          <w:tcPr>
            <w:tcW w:w="63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65</w:t>
            </w:r>
          </w:p>
        </w:tc>
        <w:tc>
          <w:tcPr>
            <w:tcW w:w="868"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32</w:t>
            </w:r>
          </w:p>
        </w:tc>
        <w:tc>
          <w:tcPr>
            <w:tcW w:w="63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616"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53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bCs/>
                <w:sz w:val="18"/>
                <w:szCs w:val="18"/>
                <w:lang w:val="fr-FR"/>
              </w:rPr>
            </w:pPr>
            <w:r w:rsidRPr="00BA3042">
              <w:rPr>
                <w:bCs/>
                <w:sz w:val="18"/>
                <w:szCs w:val="18"/>
                <w:lang w:val="fr-FR"/>
              </w:rPr>
              <w:t>987</w:t>
            </w:r>
          </w:p>
        </w:tc>
        <w:tc>
          <w:tcPr>
            <w:tcW w:w="582"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114</w:t>
            </w:r>
          </w:p>
        </w:tc>
      </w:tr>
    </w:tbl>
    <w:p w:rsidR="00AE6933" w:rsidRPr="00BA3042" w:rsidRDefault="00AE6933" w:rsidP="00AE6933">
      <w:pPr>
        <w:pStyle w:val="H1G"/>
        <w:rPr>
          <w:lang w:val="fr-FR"/>
        </w:rPr>
      </w:pPr>
      <w:r w:rsidRPr="00BA3042">
        <w:rPr>
          <w:lang w:val="fr-FR"/>
        </w:rPr>
        <w:tab/>
        <w:t>A.</w:t>
      </w:r>
      <w:r w:rsidRPr="00BA3042">
        <w:rPr>
          <w:lang w:val="fr-FR"/>
        </w:rPr>
        <w:tab/>
        <w:t>Droit à une amélioration constante des conditions d’existence</w:t>
      </w:r>
    </w:p>
    <w:p w:rsidR="00AE6933" w:rsidRPr="00BA3042" w:rsidRDefault="00AE6933" w:rsidP="00AE6933">
      <w:pPr>
        <w:pStyle w:val="SingleTxtG"/>
        <w:rPr>
          <w:lang w:val="fr-FR"/>
        </w:rPr>
      </w:pPr>
      <w:r w:rsidRPr="00BA3042">
        <w:rPr>
          <w:lang w:val="fr-FR"/>
        </w:rPr>
        <w:t>85.</w:t>
      </w:r>
      <w:r w:rsidRPr="00BA3042">
        <w:rPr>
          <w:lang w:val="fr-FR"/>
        </w:rPr>
        <w:tab/>
        <w:t xml:space="preserve">En 2010, le Gouvernement a adopté une stratégie nationale (2010-2020) pour réduire la pauvreté et l’exclusion sociale. </w:t>
      </w:r>
    </w:p>
    <w:p w:rsidR="00AE6933" w:rsidRPr="00BA3042" w:rsidRDefault="00AE6933" w:rsidP="00AE6933">
      <w:pPr>
        <w:pStyle w:val="SingleTxtG"/>
        <w:rPr>
          <w:lang w:val="fr-FR"/>
        </w:rPr>
      </w:pPr>
      <w:r w:rsidRPr="00BA3042">
        <w:rPr>
          <w:lang w:val="fr-FR"/>
        </w:rPr>
        <w:t>86.</w:t>
      </w:r>
      <w:r w:rsidRPr="00BA3042">
        <w:rPr>
          <w:lang w:val="fr-FR"/>
        </w:rPr>
        <w:tab/>
        <w:t>La mise en œuvre des mesures et actions énoncées dans la stratégie a produit certains résultats, comme l’augmentation du taux d’emploi, du nombre de bénéficiaires de la protection sociale, des types de prestations sociales, de l’étendue de la couverture pour les bénéficiaires de prestations sociales, et l’amélioration de la protection de l’enfance. Des changements majeurs sont intervenus dans le domaine de l’éducation suite à l’introduction de l’enseignement secondaire obligatoire et l’extension du réseau des établissements d’enseignement supérieur. De plus, des progrès ont été accomplis en matière d’accessibilité et de disponibilité du système informatique. Enfin, des changements positifs sont observés en ce qui concerne les retraites et l’assurance invalidité et maladie.</w:t>
      </w:r>
    </w:p>
    <w:p w:rsidR="00AE6933" w:rsidRPr="00BA3042" w:rsidRDefault="00AE6933" w:rsidP="00AE6933">
      <w:pPr>
        <w:pStyle w:val="SingleTxtG"/>
        <w:rPr>
          <w:lang w:val="fr-FR"/>
        </w:rPr>
      </w:pPr>
      <w:r w:rsidRPr="00BA3042">
        <w:rPr>
          <w:lang w:val="fr-FR"/>
        </w:rPr>
        <w:t>87.</w:t>
      </w:r>
      <w:r w:rsidRPr="00BA3042">
        <w:rPr>
          <w:lang w:val="fr-FR"/>
        </w:rPr>
        <w:tab/>
        <w:t xml:space="preserve">Afin d’harmoniser la stratégie nationale susmentionnée avec la stratégie de croissance et de développement de l’Union européenne, la République de Macédoine a révisé sa stratégie en 2013 en y intégrant des aspects spécifiques des besoins et demandes de certains groupes vulnérables. </w:t>
      </w:r>
    </w:p>
    <w:p w:rsidR="00AE6933" w:rsidRPr="00BA3042" w:rsidRDefault="00AE6933" w:rsidP="00AE6933">
      <w:pPr>
        <w:pStyle w:val="SingleTxtG"/>
        <w:rPr>
          <w:lang w:val="fr-FR"/>
        </w:rPr>
      </w:pPr>
      <w:r w:rsidRPr="00BA3042">
        <w:rPr>
          <w:lang w:val="fr-FR"/>
        </w:rPr>
        <w:t>88.</w:t>
      </w:r>
      <w:r w:rsidRPr="00BA3042">
        <w:rPr>
          <w:lang w:val="fr-FR"/>
        </w:rPr>
        <w:tab/>
        <w:t xml:space="preserve">Dans le cadre de la mise en œuvre de la stratégie nationale, le Gouvernement adopte des plans nationaux d’action énonçant les mesures et activités à réaliser dans des délais prescrits, et définissant les organes chargés de l’exécution et les budgets affectés. </w:t>
      </w:r>
    </w:p>
    <w:p w:rsidR="00AE6933" w:rsidRPr="00BA3042" w:rsidRDefault="00AE6933" w:rsidP="00AE6933">
      <w:pPr>
        <w:pStyle w:val="H1G"/>
        <w:rPr>
          <w:lang w:val="fr-FR"/>
        </w:rPr>
      </w:pPr>
      <w:r w:rsidRPr="00BA3042">
        <w:rPr>
          <w:szCs w:val="24"/>
          <w:lang w:val="fr-FR"/>
        </w:rPr>
        <w:tab/>
      </w:r>
      <w:r w:rsidRPr="00BA3042">
        <w:rPr>
          <w:lang w:val="fr-FR"/>
        </w:rPr>
        <w:t>B.</w:t>
      </w:r>
      <w:r w:rsidRPr="00BA3042">
        <w:rPr>
          <w:lang w:val="fr-FR"/>
        </w:rPr>
        <w:tab/>
        <w:t>Droit à une nourriture suffisante</w:t>
      </w:r>
    </w:p>
    <w:p w:rsidR="00AE6933" w:rsidRPr="00BA3042" w:rsidRDefault="00AE6933" w:rsidP="00AE6933">
      <w:pPr>
        <w:pStyle w:val="SingleTxtG"/>
        <w:rPr>
          <w:lang w:val="fr-FR"/>
        </w:rPr>
      </w:pPr>
      <w:r w:rsidRPr="00BA3042">
        <w:rPr>
          <w:lang w:val="fr-FR"/>
        </w:rPr>
        <w:t>89.</w:t>
      </w:r>
      <w:r w:rsidRPr="00BA3042">
        <w:rPr>
          <w:lang w:val="fr-FR"/>
        </w:rPr>
        <w:tab/>
        <w:t>La République de Macédoine a adopté des plans d’action alimentaires et nutritionnels pour les périodes comprises entre 2004 et 2008, puis 2009 et 2014. Ces plans d’action définissent des actions spécifiques visant à limiter la prévalence des maladies non transmissibles causées par l’alimentation, le problème croissant de l’obésité parmi les enfants et les adolescents, la prévalence des maladies causées par des carences en oligoéléments, et l’incidence des maladies d’origine alimentaire. Les actions portées par ces plans d’action s’inscrivent dans le Programme national pour la santé publique, adopté chaque année par le Gouvernement et mis en œuvre par l’Institut de la santé publique, en coopération avec les 10 centres de santé publique.</w:t>
      </w:r>
    </w:p>
    <w:p w:rsidR="00AE6933" w:rsidRPr="00BA3042" w:rsidRDefault="00AE6933" w:rsidP="00AE6933">
      <w:pPr>
        <w:pStyle w:val="SingleTxtG"/>
        <w:rPr>
          <w:lang w:val="fr-FR"/>
        </w:rPr>
      </w:pPr>
      <w:r w:rsidRPr="00BA3042">
        <w:rPr>
          <w:lang w:val="fr-FR"/>
        </w:rPr>
        <w:t>90.</w:t>
      </w:r>
      <w:r w:rsidRPr="00BA3042">
        <w:rPr>
          <w:lang w:val="fr-FR"/>
        </w:rPr>
        <w:tab/>
        <w:t xml:space="preserve">L’Institut de la santé publique publie régulièrement des brochures pour informer le public sur les principes et l’importance d’une alimentation saine, ainsi que sur l’alimentation adaptée à différentes catégories de personnes (l’alimentation des tuberculeux; cinq principes de base pour une alimentation sûre; les boissons rafraîchissantes non alcoolisées; l’importance du petit déjeuner, manger des fruits et légumes tous les jours; les règles de l’alimentation adaptée aux nourrissons et jeunes enfants; les règles de l’alimentation des personnes âgées; les règles de l’alimentation des personnes cancéreuses, etc.). Il organise des cours magistraux destinés aux membres des professions médicales et au public sur de nombreux thèmes, et notamment sur l’alimentation saine. </w:t>
      </w:r>
    </w:p>
    <w:p w:rsidR="00AE6933" w:rsidRPr="00BA3042" w:rsidRDefault="00AE6933" w:rsidP="00AE6933">
      <w:pPr>
        <w:pStyle w:val="SingleTxtG"/>
        <w:rPr>
          <w:lang w:val="fr-FR"/>
        </w:rPr>
      </w:pPr>
      <w:r w:rsidRPr="00BA3042">
        <w:rPr>
          <w:lang w:val="fr-FR"/>
        </w:rPr>
        <w:t>91.</w:t>
      </w:r>
      <w:r w:rsidRPr="00BA3042">
        <w:rPr>
          <w:lang w:val="fr-FR"/>
        </w:rPr>
        <w:tab/>
        <w:t xml:space="preserve">En 2008, conformément au programme pour le développement de l’agriculture, le Gouvernement a investi des sommes considérables dans la bonification des prêts dans ce secteur. Le but est d’améliorer l’accès des agriculteurs et des PME dont l’activité consiste essentiellement à transformer et exporter des produits agricoles à des prêts à long et court termes, afin de garantir une croissance économique durable et la croissance de l’emploi. On trouvera plus de précisions sur la politique du crédit dans le rapport annuel sur l’agriculture, disponible à l’adresse: </w:t>
      </w:r>
      <w:hyperlink r:id="rId9" w:history="1">
        <w:r w:rsidRPr="00BA3042">
          <w:rPr>
            <w:lang w:val="fr-FR"/>
          </w:rPr>
          <w:t>www.zpis.gov.mk</w:t>
        </w:r>
      </w:hyperlink>
      <w:r w:rsidRPr="00BA3042">
        <w:rPr>
          <w:lang w:val="fr-FR"/>
        </w:rPr>
        <w:t>.</w:t>
      </w:r>
    </w:p>
    <w:p w:rsidR="00AE6933" w:rsidRPr="00BA3042" w:rsidRDefault="00AE6933" w:rsidP="00AE6933">
      <w:pPr>
        <w:pStyle w:val="SingleTxtG"/>
        <w:rPr>
          <w:lang w:val="fr-FR"/>
        </w:rPr>
      </w:pPr>
      <w:r w:rsidRPr="00BA3042">
        <w:rPr>
          <w:lang w:val="fr-FR"/>
        </w:rPr>
        <w:t>92.</w:t>
      </w:r>
      <w:r w:rsidRPr="00BA3042">
        <w:rPr>
          <w:lang w:val="fr-FR"/>
        </w:rPr>
        <w:tab/>
        <w:t>L’article 40 de la loi sur les terres agricoles régit l’octroi de terres arables publiques à certaines catégories de personnes défavorisées, et un programme d’octroi de terres agricoles publiques (Journal officiel n</w:t>
      </w:r>
      <w:r w:rsidRPr="00BA3042">
        <w:rPr>
          <w:vertAlign w:val="superscript"/>
          <w:lang w:val="fr-FR"/>
        </w:rPr>
        <w:t>o</w:t>
      </w:r>
      <w:r w:rsidRPr="00BA3042">
        <w:rPr>
          <w:lang w:val="fr-FR"/>
        </w:rPr>
        <w:t> 80/12) a été adopté. Lorsqu’ils acquièrent des terres agricoles, les bénéficiaires ont également droit à une assistance financière de base, en vertu de la loi sur l’agriculture et le développement rural (Journal officiel n</w:t>
      </w:r>
      <w:r w:rsidRPr="00BA3042">
        <w:rPr>
          <w:vertAlign w:val="superscript"/>
          <w:lang w:val="fr-FR"/>
        </w:rPr>
        <w:t>o</w:t>
      </w:r>
      <w:r w:rsidRPr="00BA3042">
        <w:rPr>
          <w:lang w:val="fr-FR"/>
        </w:rPr>
        <w:t xml:space="preserve"> 49/10), pour les aider à lancer leurs cultures. Outre cette aide, en application du Plan opérationnel modifiant le plan opérationnel de mesures et de programmes énergiques en faveur de l’emploi pour l’année 2013, le Ministère du travail et de la politique sociale accorde une allocation mensuelle aux récipiendaires des terres équivalant à la prestation pécuniaire qu’ils recevaient jusque-là, pendant les douze premiers mois de l’utilisation des terres. Ensuite, ils commencent à acquitter les cotisations de retraite, d’assurance invalidité et maladie, ainsi que les frais d’inscription au registre des agriculteurs. </w:t>
      </w:r>
    </w:p>
    <w:p w:rsidR="00AE6933" w:rsidRPr="00BA3042" w:rsidRDefault="00AE6933" w:rsidP="00AE6933">
      <w:pPr>
        <w:pStyle w:val="SingleTxtG"/>
        <w:rPr>
          <w:lang w:val="fr-FR"/>
        </w:rPr>
      </w:pPr>
      <w:r w:rsidRPr="00BA3042">
        <w:rPr>
          <w:lang w:val="fr-FR"/>
        </w:rPr>
        <w:t>93.</w:t>
      </w:r>
      <w:r w:rsidRPr="00BA3042">
        <w:rPr>
          <w:lang w:val="fr-FR"/>
        </w:rPr>
        <w:tab/>
        <w:t>Après avoir conclu un contrat de bail, les bénéficiaires sont tenus de s’inscrire auprès du Fonds de pension et d’invalidité de Macédoine en qualité d’agriculteurs. La durée du bail est de cinq ans, et toutes les personnes défavorisées bénéficiant de prestations pécuniaires ont le droit de participer aux appels d’offre publics pour obtenir un bail. À ce jour, deux appels d’offre ont été lancés et le troisième est en préparation. Quarante et une personnes ont répondu à la première offre, 34 ont conclu un bail, et au total, 100 hectares ont été attribués. Cinq personnes ont répondu au deuxième appel d’offre, trois ont conclu un bail et 10 hectares leur ont été attribués. Actuellement, le troisième appel d’offre est en cours d’adjudication, et cinq personnes y ont répondu.</w:t>
      </w:r>
    </w:p>
    <w:p w:rsidR="00AE6933" w:rsidRPr="00BA3042" w:rsidRDefault="00AE6933" w:rsidP="00AE6933">
      <w:pPr>
        <w:pStyle w:val="H1G"/>
        <w:rPr>
          <w:lang w:val="fr-FR"/>
        </w:rPr>
      </w:pPr>
      <w:r w:rsidRPr="00BA3042">
        <w:rPr>
          <w:b w:val="0"/>
          <w:szCs w:val="24"/>
          <w:lang w:val="fr-FR"/>
        </w:rPr>
        <w:tab/>
      </w:r>
      <w:r w:rsidRPr="00BA3042">
        <w:rPr>
          <w:lang w:val="fr-FR"/>
        </w:rPr>
        <w:t>C.</w:t>
      </w:r>
      <w:r w:rsidRPr="00BA3042">
        <w:rPr>
          <w:lang w:val="fr-FR"/>
        </w:rPr>
        <w:tab/>
        <w:t>Droit à l’eau</w:t>
      </w:r>
    </w:p>
    <w:p w:rsidR="00AE6933" w:rsidRPr="00BA3042" w:rsidRDefault="00AE6933" w:rsidP="00AE6933">
      <w:pPr>
        <w:pStyle w:val="SingleTxtG"/>
        <w:rPr>
          <w:lang w:val="fr-FR"/>
        </w:rPr>
      </w:pPr>
      <w:r w:rsidRPr="00BA3042">
        <w:rPr>
          <w:lang w:val="fr-FR"/>
        </w:rPr>
        <w:t>94.</w:t>
      </w:r>
      <w:r w:rsidRPr="00BA3042">
        <w:rPr>
          <w:lang w:val="fr-FR"/>
        </w:rPr>
        <w:tab/>
        <w:t xml:space="preserve">La loi sur les soins de santé définit des mesures et actions à entreprendre pour protéger la population contre les effets délétères de la pollution de l’eau sur la santé publique, préserver la santé publique, dépister, prévenir et éradiquer les maladies infectieuses, et pour garantir le maintien de normes hygiéniques et épidémiologiques minimales pour la population. </w:t>
      </w:r>
    </w:p>
    <w:p w:rsidR="00AE6933" w:rsidRPr="00BA3042" w:rsidRDefault="00AE6933" w:rsidP="00AE6933">
      <w:pPr>
        <w:pStyle w:val="H23G"/>
        <w:rPr>
          <w:lang w:val="fr-FR"/>
        </w:rPr>
      </w:pPr>
      <w:r w:rsidRPr="00BA3042">
        <w:rPr>
          <w:lang w:val="fr-FR"/>
        </w:rPr>
        <w:tab/>
      </w:r>
      <w:r w:rsidRPr="00BA3042">
        <w:rPr>
          <w:lang w:val="fr-FR"/>
        </w:rPr>
        <w:tab/>
        <w:t>Accès de la population à l’eau potable dans les villes et les campagnes</w:t>
      </w:r>
      <w:r w:rsidRPr="00BA3042">
        <w:rPr>
          <w:lang w:val="fr-FR"/>
        </w:rPr>
        <w:br/>
      </w:r>
      <w:r w:rsidRPr="00BA3042">
        <w:rPr>
          <w:b w:val="0"/>
          <w:sz w:val="16"/>
          <w:szCs w:val="16"/>
          <w:lang w:val="fr-FR"/>
        </w:rPr>
        <w:t>(En pourcentage)</w:t>
      </w:r>
    </w:p>
    <w:tbl>
      <w:tblPr>
        <w:tblW w:w="7371" w:type="dxa"/>
        <w:tblInd w:w="1134" w:type="dxa"/>
        <w:tblBorders>
          <w:top w:val="single" w:sz="4" w:space="0" w:color="auto"/>
          <w:left w:val="single" w:sz="12" w:space="0" w:color="auto"/>
          <w:bottom w:val="single" w:sz="12" w:space="0" w:color="auto"/>
          <w:insideH w:val="single" w:sz="12" w:space="0" w:color="auto"/>
        </w:tblBorders>
        <w:tblCellMar>
          <w:left w:w="0" w:type="dxa"/>
          <w:right w:w="0" w:type="dxa"/>
        </w:tblCellMar>
        <w:tblLook w:val="04A0"/>
      </w:tblPr>
      <w:tblGrid>
        <w:gridCol w:w="1219"/>
        <w:gridCol w:w="615"/>
        <w:gridCol w:w="615"/>
        <w:gridCol w:w="615"/>
        <w:gridCol w:w="615"/>
        <w:gridCol w:w="616"/>
        <w:gridCol w:w="615"/>
        <w:gridCol w:w="615"/>
        <w:gridCol w:w="615"/>
        <w:gridCol w:w="615"/>
        <w:gridCol w:w="616"/>
      </w:tblGrid>
      <w:tr w:rsidR="00AE6933" w:rsidRPr="00BA3042" w:rsidTr="00E40CAC">
        <w:tc>
          <w:tcPr>
            <w:tcW w:w="1219" w:type="dxa"/>
            <w:tcBorders>
              <w:top w:val="single" w:sz="4" w:space="0" w:color="auto"/>
              <w:left w:val="nil"/>
              <w:bottom w:val="single" w:sz="12" w:space="0" w:color="auto"/>
            </w:tcBorders>
          </w:tcPr>
          <w:p w:rsidR="00AE6933" w:rsidRPr="00BA3042" w:rsidRDefault="00AE6933" w:rsidP="00E40CAC">
            <w:pPr>
              <w:spacing w:before="80" w:after="80" w:line="200" w:lineRule="exact"/>
              <w:rPr>
                <w:i/>
                <w:sz w:val="16"/>
                <w:szCs w:val="16"/>
                <w:lang w:val="fr-FR"/>
              </w:rPr>
            </w:pPr>
            <w:r w:rsidRPr="00BA3042">
              <w:rPr>
                <w:i/>
                <w:sz w:val="16"/>
                <w:szCs w:val="16"/>
                <w:lang w:val="fr-FR"/>
              </w:rPr>
              <w:t>Eau</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1971</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1981</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1991</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1998</w:t>
            </w:r>
          </w:p>
        </w:tc>
        <w:tc>
          <w:tcPr>
            <w:tcW w:w="616"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1999</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2003</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2005</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2007</w:t>
            </w:r>
          </w:p>
        </w:tc>
        <w:tc>
          <w:tcPr>
            <w:tcW w:w="615"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2008</w:t>
            </w:r>
          </w:p>
        </w:tc>
        <w:tc>
          <w:tcPr>
            <w:tcW w:w="616" w:type="dxa"/>
            <w:tcBorders>
              <w:bottom w:val="single" w:sz="12" w:space="0" w:color="auto"/>
            </w:tcBorders>
            <w:vAlign w:val="bottom"/>
          </w:tcPr>
          <w:p w:rsidR="00AE6933" w:rsidRPr="00BA3042" w:rsidRDefault="00AE6933" w:rsidP="00E40CAC">
            <w:pPr>
              <w:suppressAutoHyphens w:val="0"/>
              <w:spacing w:before="80" w:after="80" w:line="200" w:lineRule="exact"/>
              <w:jc w:val="right"/>
              <w:rPr>
                <w:bCs/>
                <w:i/>
                <w:iCs/>
                <w:sz w:val="16"/>
                <w:szCs w:val="16"/>
                <w:lang w:val="fr-FR"/>
              </w:rPr>
            </w:pPr>
            <w:r w:rsidRPr="00BA3042">
              <w:rPr>
                <w:bCs/>
                <w:i/>
                <w:iCs/>
                <w:sz w:val="16"/>
                <w:szCs w:val="16"/>
                <w:lang w:val="fr-FR"/>
              </w:rPr>
              <w:t>2012</w:t>
            </w:r>
          </w:p>
        </w:tc>
      </w:tr>
      <w:tr w:rsidR="00AE6933" w:rsidRPr="00BA3042" w:rsidTr="00E40CAC">
        <w:tc>
          <w:tcPr>
            <w:tcW w:w="1219" w:type="dxa"/>
            <w:tcBorders>
              <w:top w:val="single" w:sz="12" w:space="0" w:color="auto"/>
              <w:left w:val="nil"/>
              <w:bottom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Potable</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64</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76</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86</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90</w:t>
            </w:r>
          </w:p>
        </w:tc>
        <w:tc>
          <w:tcPr>
            <w:tcW w:w="616"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91</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93</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93</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94</w:t>
            </w:r>
          </w:p>
        </w:tc>
        <w:tc>
          <w:tcPr>
            <w:tcW w:w="615"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94</w:t>
            </w:r>
          </w:p>
        </w:tc>
        <w:tc>
          <w:tcPr>
            <w:tcW w:w="616" w:type="dxa"/>
            <w:tcBorders>
              <w:top w:val="single" w:sz="12" w:space="0" w:color="auto"/>
              <w:bottom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97</w:t>
            </w:r>
          </w:p>
        </w:tc>
      </w:tr>
      <w:tr w:rsidR="00AE6933" w:rsidRPr="00BA3042" w:rsidTr="00E40CAC">
        <w:tc>
          <w:tcPr>
            <w:tcW w:w="1219" w:type="dxa"/>
            <w:tcBorders>
              <w:top w:val="nil"/>
              <w:lef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Non potable</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36</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24</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14</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10</w:t>
            </w:r>
          </w:p>
        </w:tc>
        <w:tc>
          <w:tcPr>
            <w:tcW w:w="616"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9</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7</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7</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6</w:t>
            </w:r>
          </w:p>
        </w:tc>
        <w:tc>
          <w:tcPr>
            <w:tcW w:w="615"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6</w:t>
            </w:r>
          </w:p>
        </w:tc>
        <w:tc>
          <w:tcPr>
            <w:tcW w:w="616" w:type="dxa"/>
            <w:tcBorders>
              <w:top w:val="nil"/>
            </w:tcBorders>
            <w:vAlign w:val="bottom"/>
          </w:tcPr>
          <w:p w:rsidR="00AE6933" w:rsidRPr="00BA3042" w:rsidRDefault="00AE6933" w:rsidP="00E40CAC">
            <w:pPr>
              <w:suppressAutoHyphens w:val="0"/>
              <w:spacing w:before="40" w:after="40" w:line="220" w:lineRule="exact"/>
              <w:jc w:val="right"/>
              <w:rPr>
                <w:bCs/>
                <w:iCs/>
                <w:sz w:val="18"/>
                <w:szCs w:val="18"/>
                <w:lang w:val="fr-FR"/>
              </w:rPr>
            </w:pPr>
            <w:r w:rsidRPr="00BA3042">
              <w:rPr>
                <w:bCs/>
                <w:iCs/>
                <w:sz w:val="18"/>
                <w:szCs w:val="18"/>
                <w:lang w:val="fr-FR"/>
              </w:rPr>
              <w:t>3</w:t>
            </w:r>
          </w:p>
        </w:tc>
      </w:tr>
    </w:tbl>
    <w:p w:rsidR="00AE6933" w:rsidRPr="00BA3042" w:rsidRDefault="00AE6933" w:rsidP="00AE6933">
      <w:pPr>
        <w:pStyle w:val="H23G"/>
        <w:rPr>
          <w:lang w:val="fr-FR"/>
        </w:rPr>
      </w:pPr>
      <w:r w:rsidRPr="00BA3042">
        <w:rPr>
          <w:sz w:val="24"/>
          <w:szCs w:val="24"/>
          <w:lang w:val="fr-FR"/>
        </w:rPr>
        <w:tab/>
      </w:r>
      <w:r w:rsidRPr="00BA3042">
        <w:rPr>
          <w:sz w:val="24"/>
          <w:szCs w:val="24"/>
          <w:lang w:val="fr-FR"/>
        </w:rPr>
        <w:tab/>
      </w:r>
      <w:r w:rsidRPr="00BA3042">
        <w:rPr>
          <w:lang w:val="fr-FR"/>
        </w:rPr>
        <w:t>Population rurale (en 2012)</w:t>
      </w:r>
      <w:r w:rsidRPr="00BA3042">
        <w:rPr>
          <w:lang w:val="fr-FR"/>
        </w:rPr>
        <w:br/>
      </w:r>
      <w:r w:rsidRPr="00BA3042">
        <w:rPr>
          <w:b w:val="0"/>
          <w:sz w:val="16"/>
          <w:szCs w:val="16"/>
          <w:lang w:val="fr-FR"/>
        </w:rPr>
        <w:t>(En pourcentage)</w:t>
      </w:r>
    </w:p>
    <w:tbl>
      <w:tblPr>
        <w:tblW w:w="7371" w:type="dxa"/>
        <w:tblInd w:w="1134" w:type="dxa"/>
        <w:tblCellMar>
          <w:left w:w="0" w:type="dxa"/>
          <w:right w:w="0" w:type="dxa"/>
        </w:tblCellMar>
        <w:tblLook w:val="04A0"/>
      </w:tblPr>
      <w:tblGrid>
        <w:gridCol w:w="6804"/>
        <w:gridCol w:w="567"/>
        <w:tblGridChange w:id="6">
          <w:tblGrid>
            <w:gridCol w:w="6804"/>
            <w:gridCol w:w="567"/>
          </w:tblGrid>
        </w:tblGridChange>
      </w:tblGrid>
      <w:tr w:rsidR="00AE6933" w:rsidRPr="00BA3042" w:rsidTr="006D2382">
        <w:tc>
          <w:tcPr>
            <w:tcW w:w="6804" w:type="dxa"/>
            <w:tcBorders>
              <w:top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Système de distribution d’eau centralisé (villages reliés au réseau urbain de distribution d’eau)</w:t>
            </w:r>
          </w:p>
        </w:tc>
        <w:tc>
          <w:tcPr>
            <w:tcW w:w="567" w:type="dxa"/>
            <w:tcBorders>
              <w:top w:val="single" w:sz="12" w:space="0" w:color="auto"/>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9,32</w:t>
            </w:r>
          </w:p>
        </w:tc>
      </w:tr>
      <w:tr w:rsidR="00AE6933" w:rsidRPr="00BA3042" w:rsidTr="006D2382">
        <w:tc>
          <w:tcPr>
            <w:tcW w:w="6804" w:type="dxa"/>
          </w:tcPr>
          <w:p w:rsidR="00AE6933" w:rsidRPr="00BA3042" w:rsidRDefault="00AE6933" w:rsidP="00E40CAC">
            <w:pPr>
              <w:spacing w:before="40" w:after="40" w:line="220" w:lineRule="exact"/>
              <w:rPr>
                <w:sz w:val="18"/>
                <w:szCs w:val="18"/>
                <w:lang w:val="fr-FR"/>
              </w:rPr>
            </w:pPr>
            <w:r w:rsidRPr="00BA3042">
              <w:rPr>
                <w:sz w:val="18"/>
                <w:szCs w:val="18"/>
                <w:lang w:val="fr-FR"/>
              </w:rPr>
              <w:t>Réseau de distribution d’eau local (systèmes de distribution villageois)</w:t>
            </w:r>
          </w:p>
        </w:tc>
        <w:tc>
          <w:tcPr>
            <w:tcW w:w="567" w:type="dxa"/>
          </w:tcPr>
          <w:p w:rsidR="00AE6933" w:rsidRPr="00BA3042" w:rsidRDefault="00AE6933" w:rsidP="00E40CAC">
            <w:pPr>
              <w:spacing w:before="40" w:after="40" w:line="220" w:lineRule="exact"/>
              <w:jc w:val="right"/>
              <w:rPr>
                <w:sz w:val="18"/>
                <w:szCs w:val="18"/>
                <w:lang w:val="fr-FR"/>
              </w:rPr>
            </w:pPr>
            <w:r w:rsidRPr="00BA3042">
              <w:rPr>
                <w:sz w:val="18"/>
                <w:szCs w:val="18"/>
                <w:lang w:val="fr-FR"/>
              </w:rPr>
              <w:t>25,24</w:t>
            </w:r>
          </w:p>
        </w:tc>
      </w:tr>
      <w:tr w:rsidR="00AE6933" w:rsidRPr="00BA3042" w:rsidTr="006D2382">
        <w:tc>
          <w:tcPr>
            <w:tcW w:w="6804" w:type="dxa"/>
            <w:tcBorders>
              <w:bottom w:val="single" w:sz="12" w:space="0" w:color="auto"/>
            </w:tcBorders>
          </w:tcPr>
          <w:p w:rsidR="00AE6933" w:rsidRPr="00BA3042" w:rsidRDefault="00AE6933" w:rsidP="00E40CAC">
            <w:pPr>
              <w:spacing w:before="40" w:after="40" w:line="220" w:lineRule="exact"/>
              <w:rPr>
                <w:sz w:val="18"/>
                <w:szCs w:val="18"/>
                <w:lang w:val="fr-FR"/>
              </w:rPr>
            </w:pPr>
            <w:r w:rsidRPr="00BA3042">
              <w:rPr>
                <w:sz w:val="18"/>
                <w:szCs w:val="18"/>
                <w:lang w:val="fr-FR"/>
              </w:rPr>
              <w:t>Sources d’eau potables locales</w:t>
            </w:r>
          </w:p>
        </w:tc>
        <w:tc>
          <w:tcPr>
            <w:tcW w:w="567" w:type="dxa"/>
            <w:tcBorders>
              <w:bottom w:val="single" w:sz="12" w:space="0" w:color="auto"/>
            </w:tcBorders>
          </w:tcPr>
          <w:p w:rsidR="00AE6933" w:rsidRPr="00BA3042" w:rsidRDefault="00AE6933" w:rsidP="00E40CAC">
            <w:pPr>
              <w:spacing w:before="40" w:after="40" w:line="220" w:lineRule="exact"/>
              <w:jc w:val="right"/>
              <w:rPr>
                <w:sz w:val="18"/>
                <w:szCs w:val="18"/>
                <w:lang w:val="fr-FR"/>
              </w:rPr>
            </w:pPr>
            <w:r w:rsidRPr="00BA3042">
              <w:rPr>
                <w:sz w:val="18"/>
                <w:szCs w:val="18"/>
                <w:lang w:val="fr-FR"/>
              </w:rPr>
              <w:t>2,74</w:t>
            </w:r>
          </w:p>
        </w:tc>
      </w:tr>
    </w:tbl>
    <w:p w:rsidR="00AE6933" w:rsidRPr="00BA3042" w:rsidRDefault="00AE6933" w:rsidP="00AE6933">
      <w:pPr>
        <w:pStyle w:val="H23G"/>
        <w:rPr>
          <w:lang w:val="fr-FR"/>
        </w:rPr>
      </w:pPr>
      <w:r w:rsidRPr="00BA3042">
        <w:rPr>
          <w:lang w:val="fr-FR"/>
        </w:rPr>
        <w:tab/>
      </w:r>
      <w:r w:rsidRPr="00BA3042">
        <w:rPr>
          <w:lang w:val="fr-FR"/>
        </w:rPr>
        <w:tab/>
        <w:t>Distribution</w:t>
      </w:r>
      <w:r w:rsidRPr="00BA3042">
        <w:rPr>
          <w:lang w:val="fr-FR"/>
        </w:rPr>
        <w:br/>
      </w:r>
      <w:r w:rsidRPr="00BA3042">
        <w:rPr>
          <w:b w:val="0"/>
          <w:sz w:val="16"/>
          <w:szCs w:val="16"/>
          <w:lang w:val="fr-FR"/>
        </w:rPr>
        <w:t>(En pourcentage)</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19"/>
        <w:gridCol w:w="769"/>
        <w:gridCol w:w="769"/>
        <w:gridCol w:w="769"/>
        <w:gridCol w:w="769"/>
        <w:gridCol w:w="769"/>
        <w:gridCol w:w="769"/>
        <w:gridCol w:w="769"/>
        <w:gridCol w:w="769"/>
      </w:tblGrid>
      <w:tr w:rsidR="00AE6933" w:rsidRPr="00BA3042" w:rsidTr="00E40CAC">
        <w:tc>
          <w:tcPr>
            <w:tcW w:w="1219" w:type="dxa"/>
            <w:tcBorders>
              <w:left w:val="nil"/>
              <w:bottom w:val="single" w:sz="12" w:space="0" w:color="auto"/>
              <w:right w:val="nil"/>
            </w:tcBorders>
          </w:tcPr>
          <w:p w:rsidR="00AE6933" w:rsidRPr="00BA3042" w:rsidRDefault="00AE6933" w:rsidP="00E40CAC">
            <w:pPr>
              <w:spacing w:before="80" w:after="80" w:line="200" w:lineRule="exact"/>
              <w:rPr>
                <w:i/>
                <w:sz w:val="16"/>
                <w:szCs w:val="16"/>
                <w:lang w:val="fr-FR"/>
              </w:rPr>
            </w:pPr>
            <w:r w:rsidRPr="00BA3042">
              <w:rPr>
                <w:i/>
                <w:sz w:val="16"/>
                <w:szCs w:val="16"/>
                <w:lang w:val="fr-FR"/>
              </w:rPr>
              <w:t>Année</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1991</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1998</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1999</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2003</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2005</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2007</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2008</w:t>
            </w:r>
          </w:p>
        </w:tc>
        <w:tc>
          <w:tcPr>
            <w:tcW w:w="769" w:type="dxa"/>
            <w:tcBorders>
              <w:left w:val="nil"/>
              <w:bottom w:val="single" w:sz="12" w:space="0" w:color="auto"/>
              <w:right w:val="nil"/>
            </w:tcBorders>
            <w:vAlign w:val="bottom"/>
          </w:tcPr>
          <w:p w:rsidR="00AE6933" w:rsidRPr="00BA3042" w:rsidRDefault="00AE6933" w:rsidP="00E40CAC">
            <w:pPr>
              <w:keepNext/>
              <w:suppressAutoHyphens w:val="0"/>
              <w:spacing w:before="80" w:after="80" w:line="200" w:lineRule="exact"/>
              <w:jc w:val="right"/>
              <w:rPr>
                <w:i/>
                <w:sz w:val="16"/>
                <w:szCs w:val="16"/>
                <w:lang w:val="fr-FR" w:eastAsia="en-GB"/>
              </w:rPr>
            </w:pPr>
            <w:r w:rsidRPr="00BA3042">
              <w:rPr>
                <w:i/>
                <w:sz w:val="16"/>
                <w:szCs w:val="16"/>
                <w:lang w:val="fr-FR" w:eastAsia="en-GB"/>
              </w:rPr>
              <w:t>2012</w:t>
            </w:r>
          </w:p>
        </w:tc>
      </w:tr>
      <w:tr w:rsidR="00AE6933" w:rsidRPr="00BA3042" w:rsidTr="00E40CAC">
        <w:tc>
          <w:tcPr>
            <w:tcW w:w="1219" w:type="dxa"/>
            <w:tcBorders>
              <w:top w:val="single" w:sz="12" w:space="0" w:color="auto"/>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Zones urbaines</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92</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95</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96</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99</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99</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99</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100</w:t>
            </w:r>
          </w:p>
        </w:tc>
        <w:tc>
          <w:tcPr>
            <w:tcW w:w="76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99</w:t>
            </w:r>
          </w:p>
        </w:tc>
      </w:tr>
      <w:tr w:rsidR="00AE6933" w:rsidRPr="00BA3042" w:rsidTr="00E40CAC">
        <w:tc>
          <w:tcPr>
            <w:tcW w:w="1219" w:type="dxa"/>
            <w:tcBorders>
              <w:top w:val="nil"/>
              <w:left w:val="nil"/>
              <w:bottom w:val="single" w:sz="12"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Zones rurales</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60</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72</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76</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78</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79</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80</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80</w:t>
            </w:r>
          </w:p>
        </w:tc>
        <w:tc>
          <w:tcPr>
            <w:tcW w:w="76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eastAsia="en-GB"/>
              </w:rPr>
            </w:pPr>
            <w:r w:rsidRPr="00BA3042">
              <w:rPr>
                <w:sz w:val="18"/>
                <w:szCs w:val="16"/>
                <w:lang w:val="fr-FR" w:eastAsia="en-GB"/>
              </w:rPr>
              <w:t>92</w:t>
            </w:r>
          </w:p>
        </w:tc>
      </w:tr>
    </w:tbl>
    <w:p w:rsidR="00AE6933" w:rsidRPr="00BA3042" w:rsidRDefault="00AE6933" w:rsidP="00AE6933">
      <w:pPr>
        <w:pStyle w:val="SingleTxtG"/>
        <w:spacing w:before="240"/>
        <w:rPr>
          <w:lang w:val="fr-FR"/>
        </w:rPr>
      </w:pPr>
      <w:r w:rsidRPr="00BA3042">
        <w:rPr>
          <w:lang w:val="fr-FR"/>
        </w:rPr>
        <w:t>95.</w:t>
      </w:r>
      <w:r w:rsidRPr="00BA3042">
        <w:rPr>
          <w:lang w:val="fr-FR"/>
        </w:rPr>
        <w:tab/>
        <w:t>Les normes applicables à la potabilité de l’eau sont fixées dans le règlement relatif à la salubrité de l’eau (Journal officiel n</w:t>
      </w:r>
      <w:r w:rsidRPr="00BA3042">
        <w:rPr>
          <w:vertAlign w:val="superscript"/>
          <w:lang w:val="fr-FR"/>
        </w:rPr>
        <w:t>o</w:t>
      </w:r>
      <w:r w:rsidRPr="00BA3042">
        <w:rPr>
          <w:lang w:val="fr-FR"/>
        </w:rPr>
        <w:t xml:space="preserve"> 46/08). </w:t>
      </w:r>
    </w:p>
    <w:p w:rsidR="00AE6933" w:rsidRPr="00BA3042" w:rsidRDefault="00AE6933" w:rsidP="00AE6933">
      <w:pPr>
        <w:pStyle w:val="SingleTxtG"/>
        <w:rPr>
          <w:lang w:val="fr-FR"/>
        </w:rPr>
      </w:pPr>
      <w:r w:rsidRPr="00BA3042">
        <w:rPr>
          <w:lang w:val="fr-FR"/>
        </w:rPr>
        <w:t>96.</w:t>
      </w:r>
      <w:r w:rsidRPr="00BA3042">
        <w:rPr>
          <w:lang w:val="fr-FR"/>
        </w:rPr>
        <w:tab/>
        <w:t>L’Institut de la santé publique de la République de Macédoine et les 10 centres de santé publique contrôlent régulièrement la qualité bactériologique et chimique de l’eau potable en milieu urbain et rural, conformément à la loi sur la sécurité de l’alimentation (Journal officiel n</w:t>
      </w:r>
      <w:r w:rsidRPr="00BA3042">
        <w:rPr>
          <w:vertAlign w:val="superscript"/>
          <w:lang w:val="fr-FR"/>
        </w:rPr>
        <w:t>o</w:t>
      </w:r>
      <w:r w:rsidRPr="00BA3042">
        <w:rPr>
          <w:lang w:val="fr-FR"/>
        </w:rPr>
        <w:t> 157/10), au Manuel de l’OMS sur la qualité de l’eau potable et au Programme national annuel pour la santé publique de la République de Macédoine.</w:t>
      </w:r>
    </w:p>
    <w:p w:rsidR="00AE6933" w:rsidRPr="00BA3042" w:rsidRDefault="00AE6933" w:rsidP="00AE6933">
      <w:pPr>
        <w:pStyle w:val="SingleTxtG"/>
        <w:rPr>
          <w:lang w:val="fr-FR"/>
        </w:rPr>
      </w:pPr>
      <w:r w:rsidRPr="00BA3042">
        <w:rPr>
          <w:lang w:val="fr-FR"/>
        </w:rPr>
        <w:t>97.</w:t>
      </w:r>
      <w:r w:rsidRPr="00BA3042">
        <w:rPr>
          <w:lang w:val="fr-FR"/>
        </w:rPr>
        <w:tab/>
        <w:t>Afin d’éduquer le public, l’Institut de la santé publique lance régulièrement des campagnes de sensibilisation dans les médias électroniques, dans la presse et sur son site officiel (www.iph.mk). Chaque année, à l’occasion de la Journée mondiale de l’eau (le 22 mars), des campagnes de sensibilisation, conférences de presse et ateliers sont organisés, des brochures, dépliants et affiches soulignant l’importance de boire de l’eau potable sont élaborés et diffusés. Le Département d’hygiène de l’Institut informe régulièrement les étudiants de la Faculté de médecine sur l’importance de l’eau potable et les maladies transmises par l’eau, et il organise des cours magistraux, des jeux de questions-réponses et des expositions artistiques sur le thème de l’eau potable, en coopération avec les écoles primaires.</w:t>
      </w:r>
    </w:p>
    <w:p w:rsidR="00AE6933" w:rsidRPr="00BA3042" w:rsidRDefault="00AE6933" w:rsidP="00AE6933">
      <w:pPr>
        <w:pStyle w:val="H1G"/>
        <w:rPr>
          <w:lang w:val="fr-FR"/>
        </w:rPr>
      </w:pPr>
      <w:r w:rsidRPr="00BA3042">
        <w:rPr>
          <w:lang w:val="fr-FR"/>
        </w:rPr>
        <w:tab/>
        <w:t>D.</w:t>
      </w:r>
      <w:r w:rsidRPr="00BA3042">
        <w:rPr>
          <w:lang w:val="fr-FR"/>
        </w:rPr>
        <w:tab/>
        <w:t>Droit à un logement convenable</w:t>
      </w:r>
    </w:p>
    <w:p w:rsidR="00AE6933" w:rsidRPr="00BA3042" w:rsidRDefault="00AE6933" w:rsidP="00AE6933">
      <w:pPr>
        <w:pStyle w:val="H23G"/>
        <w:rPr>
          <w:lang w:val="fr-FR"/>
        </w:rPr>
      </w:pPr>
      <w:r w:rsidRPr="00BA3042">
        <w:rPr>
          <w:lang w:val="fr-FR"/>
        </w:rPr>
        <w:tab/>
      </w:r>
      <w:r w:rsidRPr="00BA3042">
        <w:rPr>
          <w:lang w:val="fr-FR"/>
        </w:rPr>
        <w:tab/>
        <w:t>Stratégie du logement de la République de Macédoine</w:t>
      </w:r>
    </w:p>
    <w:p w:rsidR="00AE6933" w:rsidRPr="00BA3042" w:rsidRDefault="00AE6933" w:rsidP="00AE6933">
      <w:pPr>
        <w:pStyle w:val="SingleTxtG"/>
        <w:rPr>
          <w:lang w:val="fr-FR"/>
        </w:rPr>
      </w:pPr>
      <w:r w:rsidRPr="00BA3042">
        <w:rPr>
          <w:lang w:val="fr-FR"/>
        </w:rPr>
        <w:t>98.</w:t>
      </w:r>
      <w:r w:rsidRPr="00BA3042">
        <w:rPr>
          <w:lang w:val="fr-FR"/>
        </w:rPr>
        <w:tab/>
        <w:t xml:space="preserve">En mai 2007, le Gouvernement a adopté une stratégie du logement de la République de Macédoine (2007-2012) pour réglementer ce domaine et définir les futures orientations stratégiques nationales de la politique du logement. </w:t>
      </w:r>
    </w:p>
    <w:p w:rsidR="00AE6933" w:rsidRPr="00BA3042" w:rsidRDefault="00AE6933" w:rsidP="00AE6933">
      <w:pPr>
        <w:pStyle w:val="SingleTxtG"/>
        <w:rPr>
          <w:lang w:val="fr-FR"/>
        </w:rPr>
      </w:pPr>
      <w:r w:rsidRPr="00BA3042">
        <w:rPr>
          <w:lang w:val="fr-FR"/>
        </w:rPr>
        <w:t>99.</w:t>
      </w:r>
      <w:r w:rsidRPr="00BA3042">
        <w:rPr>
          <w:lang w:val="fr-FR"/>
        </w:rPr>
        <w:tab/>
        <w:t>Les objectifs spécifiques de la stratégie du logement sont les suivants: améliorer la législation existante, renforcer les capacités institutionnelles en matière de logement, mettre en place un système stimulant et efficace de financement du logement, encourager la construction de logements locatifs et résidentiels, légaliser les immeubles construits illégalement qui sont conformes aux conditions d’urbanisme et contrôler efficacement les constructions illégales, mais aussi rénover le parc de logement existant.</w:t>
      </w:r>
    </w:p>
    <w:p w:rsidR="00AE6933" w:rsidRPr="00BA3042" w:rsidRDefault="00AE6933" w:rsidP="00AE6933">
      <w:pPr>
        <w:pStyle w:val="SingleTxtG"/>
        <w:rPr>
          <w:lang w:val="fr-FR"/>
        </w:rPr>
      </w:pPr>
      <w:r w:rsidRPr="00BA3042">
        <w:rPr>
          <w:lang w:val="fr-FR"/>
        </w:rPr>
        <w:t>100.</w:t>
      </w:r>
      <w:r w:rsidRPr="00BA3042">
        <w:rPr>
          <w:lang w:val="fr-FR"/>
        </w:rPr>
        <w:tab/>
        <w:t xml:space="preserve">Sur proposition du Ministère des transports et des communications, et conformément à la loi sur le logement, le Gouvernement adopte un programme annuel de construction et d’entretien du parc de logements publics, afin de stimuler le secteur de la construction, de construire des logements sociaux et des appartements pour les jeunes mariés, ainsi que de réduire et d’encadrer le prix des logements à vendre. </w:t>
      </w:r>
    </w:p>
    <w:p w:rsidR="00AE6933" w:rsidRPr="00BA3042" w:rsidRDefault="00AE6933" w:rsidP="00AE6933">
      <w:pPr>
        <w:pStyle w:val="H23G"/>
        <w:ind w:left="0" w:firstLine="0"/>
        <w:rPr>
          <w:lang w:val="fr-FR"/>
        </w:rPr>
      </w:pPr>
      <w:r w:rsidRPr="00BA3042">
        <w:rPr>
          <w:lang w:val="fr-FR"/>
        </w:rPr>
        <w:t>Nombre et catégories de bénéficiaires défavorisés ayant exercé leur droit au logement social entre 2008 et 2010</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272"/>
        <w:gridCol w:w="1448"/>
        <w:gridCol w:w="1382"/>
        <w:gridCol w:w="940"/>
        <w:gridCol w:w="1579"/>
        <w:gridCol w:w="1167"/>
        <w:gridCol w:w="1086"/>
        <w:gridCol w:w="765"/>
      </w:tblGrid>
      <w:tr w:rsidR="00AE6933" w:rsidRPr="00BA3042" w:rsidTr="00E40CAC">
        <w:tc>
          <w:tcPr>
            <w:tcW w:w="1272" w:type="dxa"/>
            <w:tcBorders>
              <w:left w:val="nil"/>
              <w:bottom w:val="single" w:sz="12" w:space="0" w:color="auto"/>
              <w:right w:val="nil"/>
            </w:tcBorders>
            <w:vAlign w:val="bottom"/>
          </w:tcPr>
          <w:p w:rsidR="00AE6933" w:rsidRPr="00BA3042" w:rsidRDefault="00AE6933" w:rsidP="00E40CAC">
            <w:pPr>
              <w:spacing w:before="80" w:after="80" w:line="200" w:lineRule="exact"/>
              <w:jc w:val="center"/>
              <w:rPr>
                <w:b/>
                <w:sz w:val="16"/>
                <w:szCs w:val="16"/>
                <w:lang w:val="fr-FR"/>
              </w:rPr>
            </w:pPr>
          </w:p>
        </w:tc>
        <w:tc>
          <w:tcPr>
            <w:tcW w:w="1448"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Enfants orphelins ou privés de soins parentaux âgés de plus de 18 ans qui, à 18 ans, étaient en orphelinats ou autrement placés</w:t>
            </w:r>
          </w:p>
        </w:tc>
        <w:tc>
          <w:tcPr>
            <w:tcW w:w="1382"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Bénéficiaires de prestations sociales ou de prestations pécuniaires à titre permanent</w:t>
            </w:r>
          </w:p>
        </w:tc>
        <w:tc>
          <w:tcPr>
            <w:tcW w:w="940"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Victimes de catastrophe naturelle</w:t>
            </w:r>
          </w:p>
        </w:tc>
        <w:tc>
          <w:tcPr>
            <w:tcW w:w="1579"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Personnes handicapées, personnes non autonomes et familles dont un ou plusieurs membre</w:t>
            </w:r>
            <w:r w:rsidR="00BA3042">
              <w:rPr>
                <w:i/>
                <w:sz w:val="16"/>
                <w:szCs w:val="16"/>
                <w:lang w:val="fr-FR"/>
              </w:rPr>
              <w:t>s</w:t>
            </w:r>
            <w:r w:rsidRPr="00BA3042">
              <w:rPr>
                <w:i/>
                <w:sz w:val="16"/>
                <w:szCs w:val="16"/>
                <w:lang w:val="fr-FR"/>
              </w:rPr>
              <w:t xml:space="preserve"> sont handicapés</w:t>
            </w:r>
          </w:p>
        </w:tc>
        <w:tc>
          <w:tcPr>
            <w:tcW w:w="1167"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Personnes défavorisées appartenant à la communauté ethnique rom</w:t>
            </w:r>
          </w:p>
        </w:tc>
        <w:tc>
          <w:tcPr>
            <w:tcW w:w="1086"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Parents isolés avec des enfants mineurs</w:t>
            </w:r>
          </w:p>
        </w:tc>
        <w:tc>
          <w:tcPr>
            <w:tcW w:w="765" w:type="dxa"/>
            <w:tcBorders>
              <w:left w:val="nil"/>
              <w:bottom w:val="single" w:sz="12" w:space="0" w:color="auto"/>
              <w:right w:val="nil"/>
            </w:tcBorders>
            <w:vAlign w:val="bottom"/>
          </w:tcPr>
          <w:p w:rsidR="00AE6933" w:rsidRPr="00BA3042" w:rsidRDefault="00AE6933" w:rsidP="00E40CAC">
            <w:pPr>
              <w:spacing w:before="80" w:after="80" w:line="200" w:lineRule="exact"/>
              <w:jc w:val="right"/>
              <w:rPr>
                <w:b/>
                <w:i/>
                <w:sz w:val="16"/>
                <w:szCs w:val="16"/>
                <w:lang w:val="fr-FR"/>
              </w:rPr>
            </w:pPr>
            <w:r w:rsidRPr="00BA3042">
              <w:rPr>
                <w:b/>
                <w:i/>
                <w:sz w:val="16"/>
                <w:szCs w:val="16"/>
                <w:lang w:val="fr-FR"/>
              </w:rPr>
              <w:t>Total</w:t>
            </w:r>
          </w:p>
        </w:tc>
      </w:tr>
      <w:tr w:rsidR="00AE6933" w:rsidRPr="00BA3042" w:rsidTr="00E40CAC">
        <w:tc>
          <w:tcPr>
            <w:tcW w:w="1272" w:type="dxa"/>
            <w:tcBorders>
              <w:top w:val="single" w:sz="12" w:space="0" w:color="auto"/>
              <w:left w:val="nil"/>
              <w:bottom w:val="nil"/>
              <w:right w:val="nil"/>
            </w:tcBorders>
          </w:tcPr>
          <w:p w:rsidR="00AE6933" w:rsidRPr="00BA3042" w:rsidRDefault="00AE6933" w:rsidP="00E40CAC">
            <w:pPr>
              <w:suppressAutoHyphens w:val="0"/>
              <w:autoSpaceDE w:val="0"/>
              <w:autoSpaceDN w:val="0"/>
              <w:adjustRightInd w:val="0"/>
              <w:spacing w:before="40" w:after="40" w:line="220" w:lineRule="exact"/>
              <w:rPr>
                <w:sz w:val="18"/>
                <w:szCs w:val="16"/>
                <w:lang w:val="fr-FR"/>
              </w:rPr>
            </w:pPr>
            <w:r w:rsidRPr="00BA3042">
              <w:rPr>
                <w:sz w:val="18"/>
                <w:szCs w:val="16"/>
                <w:lang w:val="fr-FR"/>
              </w:rPr>
              <w:t>Skopje</w:t>
            </w:r>
          </w:p>
        </w:tc>
        <w:tc>
          <w:tcPr>
            <w:tcW w:w="1448"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88</w:t>
            </w:r>
          </w:p>
        </w:tc>
        <w:tc>
          <w:tcPr>
            <w:tcW w:w="1382" w:type="dxa"/>
            <w:tcBorders>
              <w:top w:val="single" w:sz="12" w:space="0" w:color="auto"/>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4</w:t>
            </w:r>
          </w:p>
        </w:tc>
        <w:tc>
          <w:tcPr>
            <w:tcW w:w="940" w:type="dxa"/>
            <w:tcBorders>
              <w:top w:val="single" w:sz="12" w:space="0" w:color="auto"/>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579" w:type="dxa"/>
            <w:tcBorders>
              <w:top w:val="single" w:sz="12" w:space="0" w:color="auto"/>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2</w:t>
            </w:r>
          </w:p>
        </w:tc>
        <w:tc>
          <w:tcPr>
            <w:tcW w:w="1167" w:type="dxa"/>
            <w:tcBorders>
              <w:top w:val="single" w:sz="12" w:space="0" w:color="auto"/>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086" w:type="dxa"/>
            <w:tcBorders>
              <w:top w:val="single" w:sz="12" w:space="0" w:color="auto"/>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8</w:t>
            </w:r>
          </w:p>
        </w:tc>
        <w:tc>
          <w:tcPr>
            <w:tcW w:w="765" w:type="dxa"/>
            <w:tcBorders>
              <w:top w:val="single" w:sz="12" w:space="0" w:color="auto"/>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b/>
                <w:sz w:val="18"/>
                <w:szCs w:val="16"/>
                <w:lang w:val="fr-FR"/>
              </w:rPr>
            </w:pPr>
            <w:r w:rsidRPr="00BA3042">
              <w:rPr>
                <w:b/>
                <w:sz w:val="18"/>
                <w:szCs w:val="16"/>
                <w:lang w:val="fr-FR"/>
              </w:rPr>
              <w:t>102</w:t>
            </w:r>
          </w:p>
        </w:tc>
      </w:tr>
      <w:tr w:rsidR="00AE6933" w:rsidRPr="00BA3042" w:rsidTr="00E40CAC">
        <w:tc>
          <w:tcPr>
            <w:tcW w:w="1272" w:type="dxa"/>
            <w:tcBorders>
              <w:top w:val="nil"/>
              <w:left w:val="nil"/>
              <w:bottom w:val="nil"/>
              <w:right w:val="nil"/>
            </w:tcBorders>
          </w:tcPr>
          <w:p w:rsidR="00AE6933" w:rsidRPr="00BA3042" w:rsidRDefault="00AE6933" w:rsidP="00E40CAC">
            <w:pPr>
              <w:suppressAutoHyphens w:val="0"/>
              <w:spacing w:before="40" w:after="40" w:line="220" w:lineRule="exact"/>
              <w:rPr>
                <w:sz w:val="18"/>
                <w:szCs w:val="16"/>
                <w:lang w:val="fr-FR"/>
              </w:rPr>
            </w:pPr>
            <w:r w:rsidRPr="00BA3042">
              <w:rPr>
                <w:sz w:val="18"/>
                <w:szCs w:val="16"/>
                <w:lang w:val="fr-FR"/>
              </w:rPr>
              <w:t>Makedonska Kamenica</w:t>
            </w:r>
          </w:p>
        </w:tc>
        <w:tc>
          <w:tcPr>
            <w:tcW w:w="1448"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w:t>
            </w:r>
          </w:p>
        </w:tc>
        <w:tc>
          <w:tcPr>
            <w:tcW w:w="1382"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13</w:t>
            </w:r>
          </w:p>
        </w:tc>
        <w:tc>
          <w:tcPr>
            <w:tcW w:w="940"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579"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10</w:t>
            </w:r>
          </w:p>
        </w:tc>
        <w:tc>
          <w:tcPr>
            <w:tcW w:w="1167"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086"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5</w:t>
            </w:r>
          </w:p>
        </w:tc>
        <w:tc>
          <w:tcPr>
            <w:tcW w:w="765"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b/>
                <w:sz w:val="18"/>
                <w:szCs w:val="16"/>
                <w:lang w:val="fr-FR"/>
              </w:rPr>
            </w:pPr>
            <w:r w:rsidRPr="00BA3042">
              <w:rPr>
                <w:b/>
                <w:sz w:val="18"/>
                <w:szCs w:val="16"/>
                <w:lang w:val="fr-FR"/>
              </w:rPr>
              <w:t>29</w:t>
            </w:r>
          </w:p>
        </w:tc>
      </w:tr>
      <w:tr w:rsidR="00AE6933" w:rsidRPr="00BA3042" w:rsidTr="00E40CAC">
        <w:tc>
          <w:tcPr>
            <w:tcW w:w="1272" w:type="dxa"/>
            <w:tcBorders>
              <w:top w:val="nil"/>
              <w:left w:val="nil"/>
              <w:bottom w:val="nil"/>
              <w:right w:val="nil"/>
            </w:tcBorders>
          </w:tcPr>
          <w:p w:rsidR="00AE6933" w:rsidRPr="00BA3042" w:rsidRDefault="00AE6933" w:rsidP="00E40CAC">
            <w:pPr>
              <w:suppressAutoHyphens w:val="0"/>
              <w:autoSpaceDE w:val="0"/>
              <w:autoSpaceDN w:val="0"/>
              <w:adjustRightInd w:val="0"/>
              <w:spacing w:before="40" w:after="40" w:line="220" w:lineRule="exact"/>
              <w:rPr>
                <w:sz w:val="18"/>
                <w:szCs w:val="16"/>
                <w:lang w:val="fr-FR"/>
              </w:rPr>
            </w:pPr>
            <w:r w:rsidRPr="00BA3042">
              <w:rPr>
                <w:sz w:val="18"/>
                <w:szCs w:val="16"/>
                <w:lang w:val="fr-FR"/>
              </w:rPr>
              <w:t>Ohrid</w:t>
            </w:r>
          </w:p>
        </w:tc>
        <w:tc>
          <w:tcPr>
            <w:tcW w:w="1448"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10</w:t>
            </w:r>
          </w:p>
        </w:tc>
        <w:tc>
          <w:tcPr>
            <w:tcW w:w="1382"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17</w:t>
            </w:r>
          </w:p>
        </w:tc>
        <w:tc>
          <w:tcPr>
            <w:tcW w:w="9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0</w:t>
            </w:r>
          </w:p>
        </w:tc>
        <w:tc>
          <w:tcPr>
            <w:tcW w:w="1579"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12</w:t>
            </w:r>
          </w:p>
        </w:tc>
        <w:tc>
          <w:tcPr>
            <w:tcW w:w="1167"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w:t>
            </w:r>
          </w:p>
        </w:tc>
        <w:tc>
          <w:tcPr>
            <w:tcW w:w="1086"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31</w:t>
            </w:r>
          </w:p>
        </w:tc>
        <w:tc>
          <w:tcPr>
            <w:tcW w:w="765"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b/>
                <w:sz w:val="18"/>
                <w:szCs w:val="16"/>
                <w:lang w:val="fr-FR"/>
              </w:rPr>
            </w:pPr>
            <w:r w:rsidRPr="00BA3042">
              <w:rPr>
                <w:b/>
                <w:sz w:val="18"/>
                <w:szCs w:val="16"/>
                <w:lang w:val="fr-FR"/>
              </w:rPr>
              <w:t>71</w:t>
            </w:r>
          </w:p>
        </w:tc>
      </w:tr>
      <w:tr w:rsidR="00AE6933" w:rsidRPr="00BA3042" w:rsidTr="00E40CAC">
        <w:tc>
          <w:tcPr>
            <w:tcW w:w="1272" w:type="dxa"/>
            <w:tcBorders>
              <w:top w:val="nil"/>
              <w:left w:val="nil"/>
              <w:bottom w:val="nil"/>
              <w:right w:val="nil"/>
            </w:tcBorders>
          </w:tcPr>
          <w:p w:rsidR="00AE6933" w:rsidRPr="00BA3042" w:rsidRDefault="00AE6933" w:rsidP="00E40CAC">
            <w:pPr>
              <w:suppressAutoHyphens w:val="0"/>
              <w:autoSpaceDE w:val="0"/>
              <w:autoSpaceDN w:val="0"/>
              <w:adjustRightInd w:val="0"/>
              <w:spacing w:before="40" w:after="40" w:line="220" w:lineRule="exact"/>
              <w:rPr>
                <w:sz w:val="18"/>
                <w:szCs w:val="16"/>
                <w:lang w:val="fr-FR"/>
              </w:rPr>
            </w:pPr>
            <w:r w:rsidRPr="00BA3042">
              <w:rPr>
                <w:sz w:val="18"/>
                <w:szCs w:val="16"/>
                <w:lang w:val="fr-FR"/>
              </w:rPr>
              <w:t>Kicevo</w:t>
            </w:r>
          </w:p>
        </w:tc>
        <w:tc>
          <w:tcPr>
            <w:tcW w:w="1448"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382"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17</w:t>
            </w:r>
          </w:p>
        </w:tc>
        <w:tc>
          <w:tcPr>
            <w:tcW w:w="9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0</w:t>
            </w:r>
          </w:p>
        </w:tc>
        <w:tc>
          <w:tcPr>
            <w:tcW w:w="1579"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3</w:t>
            </w:r>
          </w:p>
        </w:tc>
        <w:tc>
          <w:tcPr>
            <w:tcW w:w="1167"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w:t>
            </w:r>
          </w:p>
        </w:tc>
        <w:tc>
          <w:tcPr>
            <w:tcW w:w="1086"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11</w:t>
            </w:r>
          </w:p>
        </w:tc>
        <w:tc>
          <w:tcPr>
            <w:tcW w:w="765"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b/>
                <w:sz w:val="18"/>
                <w:szCs w:val="16"/>
                <w:lang w:val="fr-FR"/>
              </w:rPr>
            </w:pPr>
            <w:r w:rsidRPr="00BA3042">
              <w:rPr>
                <w:b/>
                <w:sz w:val="18"/>
                <w:szCs w:val="16"/>
                <w:lang w:val="fr-FR"/>
              </w:rPr>
              <w:t>32</w:t>
            </w:r>
          </w:p>
        </w:tc>
      </w:tr>
      <w:tr w:rsidR="00AE6933" w:rsidRPr="00BA3042" w:rsidTr="00E40CAC">
        <w:tc>
          <w:tcPr>
            <w:tcW w:w="1272" w:type="dxa"/>
            <w:tcBorders>
              <w:top w:val="nil"/>
              <w:left w:val="nil"/>
              <w:bottom w:val="nil"/>
              <w:right w:val="nil"/>
            </w:tcBorders>
          </w:tcPr>
          <w:p w:rsidR="00AE6933" w:rsidRPr="00BA3042" w:rsidRDefault="00AE6933" w:rsidP="00E40CAC">
            <w:pPr>
              <w:suppressAutoHyphens w:val="0"/>
              <w:autoSpaceDE w:val="0"/>
              <w:autoSpaceDN w:val="0"/>
              <w:adjustRightInd w:val="0"/>
              <w:spacing w:before="40" w:after="40" w:line="220" w:lineRule="exact"/>
              <w:rPr>
                <w:sz w:val="18"/>
                <w:szCs w:val="16"/>
                <w:lang w:val="fr-FR"/>
              </w:rPr>
            </w:pPr>
            <w:r w:rsidRPr="00BA3042">
              <w:rPr>
                <w:sz w:val="18"/>
                <w:szCs w:val="16"/>
                <w:lang w:val="fr-FR"/>
              </w:rPr>
              <w:t>Kocani</w:t>
            </w:r>
          </w:p>
        </w:tc>
        <w:tc>
          <w:tcPr>
            <w:tcW w:w="1448"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5</w:t>
            </w:r>
          </w:p>
        </w:tc>
        <w:tc>
          <w:tcPr>
            <w:tcW w:w="1382"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9</w:t>
            </w:r>
          </w:p>
        </w:tc>
        <w:tc>
          <w:tcPr>
            <w:tcW w:w="9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0</w:t>
            </w:r>
          </w:p>
        </w:tc>
        <w:tc>
          <w:tcPr>
            <w:tcW w:w="1579"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4</w:t>
            </w:r>
          </w:p>
        </w:tc>
        <w:tc>
          <w:tcPr>
            <w:tcW w:w="1167"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086"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11</w:t>
            </w:r>
          </w:p>
        </w:tc>
        <w:tc>
          <w:tcPr>
            <w:tcW w:w="765"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b/>
                <w:sz w:val="18"/>
                <w:szCs w:val="16"/>
                <w:lang w:val="fr-FR"/>
              </w:rPr>
            </w:pPr>
            <w:r w:rsidRPr="00BA3042">
              <w:rPr>
                <w:b/>
                <w:sz w:val="18"/>
                <w:szCs w:val="16"/>
                <w:lang w:val="fr-FR"/>
              </w:rPr>
              <w:t>29</w:t>
            </w:r>
          </w:p>
        </w:tc>
      </w:tr>
      <w:tr w:rsidR="00AE6933" w:rsidRPr="00BA3042" w:rsidTr="00E40CAC">
        <w:tc>
          <w:tcPr>
            <w:tcW w:w="1272" w:type="dxa"/>
            <w:tcBorders>
              <w:top w:val="nil"/>
              <w:left w:val="nil"/>
              <w:bottom w:val="nil"/>
              <w:right w:val="nil"/>
            </w:tcBorders>
          </w:tcPr>
          <w:p w:rsidR="00AE6933" w:rsidRPr="00BA3042" w:rsidRDefault="00AE6933" w:rsidP="00E40CAC">
            <w:pPr>
              <w:suppressAutoHyphens w:val="0"/>
              <w:spacing w:before="40" w:after="40" w:line="220" w:lineRule="exact"/>
              <w:rPr>
                <w:sz w:val="18"/>
                <w:szCs w:val="16"/>
                <w:lang w:val="fr-FR"/>
              </w:rPr>
            </w:pPr>
            <w:r w:rsidRPr="00BA3042">
              <w:rPr>
                <w:sz w:val="18"/>
                <w:szCs w:val="16"/>
                <w:lang w:val="fr-FR"/>
              </w:rPr>
              <w:t>Kavadarci</w:t>
            </w:r>
          </w:p>
        </w:tc>
        <w:tc>
          <w:tcPr>
            <w:tcW w:w="1448"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3</w:t>
            </w:r>
          </w:p>
        </w:tc>
        <w:tc>
          <w:tcPr>
            <w:tcW w:w="1382"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14</w:t>
            </w:r>
          </w:p>
        </w:tc>
        <w:tc>
          <w:tcPr>
            <w:tcW w:w="94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0</w:t>
            </w:r>
          </w:p>
        </w:tc>
        <w:tc>
          <w:tcPr>
            <w:tcW w:w="1579"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4</w:t>
            </w:r>
          </w:p>
        </w:tc>
        <w:tc>
          <w:tcPr>
            <w:tcW w:w="1167"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086"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9</w:t>
            </w:r>
          </w:p>
        </w:tc>
        <w:tc>
          <w:tcPr>
            <w:tcW w:w="765" w:type="dxa"/>
            <w:tcBorders>
              <w:top w:val="nil"/>
              <w:left w:val="nil"/>
              <w:bottom w:val="nil"/>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b/>
                <w:sz w:val="18"/>
                <w:szCs w:val="16"/>
                <w:lang w:val="fr-FR"/>
              </w:rPr>
            </w:pPr>
            <w:r w:rsidRPr="00BA3042">
              <w:rPr>
                <w:b/>
                <w:sz w:val="18"/>
                <w:szCs w:val="16"/>
                <w:lang w:val="fr-FR"/>
              </w:rPr>
              <w:t>30</w:t>
            </w:r>
          </w:p>
        </w:tc>
      </w:tr>
      <w:tr w:rsidR="00AE6933" w:rsidRPr="00BA3042" w:rsidTr="00E40CAC">
        <w:tc>
          <w:tcPr>
            <w:tcW w:w="1272" w:type="dxa"/>
            <w:tcBorders>
              <w:top w:val="nil"/>
              <w:left w:val="nil"/>
              <w:bottom w:val="single" w:sz="12" w:space="0" w:color="auto"/>
              <w:right w:val="nil"/>
            </w:tcBorders>
          </w:tcPr>
          <w:p w:rsidR="00AE6933" w:rsidRPr="00BA3042" w:rsidRDefault="00AE6933" w:rsidP="00E40CAC">
            <w:pPr>
              <w:suppressAutoHyphens w:val="0"/>
              <w:spacing w:before="40" w:after="40" w:line="220" w:lineRule="exact"/>
              <w:rPr>
                <w:sz w:val="18"/>
                <w:szCs w:val="16"/>
                <w:lang w:val="fr-FR"/>
              </w:rPr>
            </w:pPr>
            <w:r w:rsidRPr="00BA3042">
              <w:rPr>
                <w:sz w:val="18"/>
                <w:szCs w:val="16"/>
                <w:lang w:val="fr-FR"/>
              </w:rPr>
              <w:t>Kriva Palanka</w:t>
            </w:r>
          </w:p>
        </w:tc>
        <w:tc>
          <w:tcPr>
            <w:tcW w:w="1448" w:type="dxa"/>
            <w:tcBorders>
              <w:top w:val="nil"/>
              <w:left w:val="nil"/>
              <w:bottom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2</w:t>
            </w:r>
          </w:p>
        </w:tc>
        <w:tc>
          <w:tcPr>
            <w:tcW w:w="1382" w:type="dxa"/>
            <w:tcBorders>
              <w:top w:val="nil"/>
              <w:left w:val="nil"/>
              <w:bottom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17</w:t>
            </w:r>
          </w:p>
        </w:tc>
        <w:tc>
          <w:tcPr>
            <w:tcW w:w="940"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20" w:lineRule="exact"/>
              <w:jc w:val="right"/>
              <w:rPr>
                <w:sz w:val="18"/>
                <w:szCs w:val="16"/>
                <w:lang w:val="fr-FR"/>
              </w:rPr>
            </w:pPr>
            <w:r w:rsidRPr="00BA3042">
              <w:rPr>
                <w:sz w:val="18"/>
                <w:szCs w:val="16"/>
                <w:lang w:val="fr-FR"/>
              </w:rPr>
              <w:t>0</w:t>
            </w:r>
          </w:p>
        </w:tc>
        <w:tc>
          <w:tcPr>
            <w:tcW w:w="1579" w:type="dxa"/>
            <w:tcBorders>
              <w:top w:val="nil"/>
              <w:left w:val="nil"/>
              <w:bottom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12</w:t>
            </w:r>
          </w:p>
        </w:tc>
        <w:tc>
          <w:tcPr>
            <w:tcW w:w="1167" w:type="dxa"/>
            <w:tcBorders>
              <w:top w:val="nil"/>
              <w:left w:val="nil"/>
              <w:bottom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0</w:t>
            </w:r>
          </w:p>
        </w:tc>
        <w:tc>
          <w:tcPr>
            <w:tcW w:w="1086" w:type="dxa"/>
            <w:tcBorders>
              <w:top w:val="nil"/>
              <w:left w:val="nil"/>
              <w:bottom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sz w:val="18"/>
                <w:szCs w:val="16"/>
                <w:lang w:val="fr-FR"/>
              </w:rPr>
            </w:pPr>
            <w:r w:rsidRPr="00BA3042">
              <w:rPr>
                <w:sz w:val="18"/>
                <w:szCs w:val="16"/>
                <w:lang w:val="fr-FR"/>
              </w:rPr>
              <w:t>15</w:t>
            </w:r>
          </w:p>
        </w:tc>
        <w:tc>
          <w:tcPr>
            <w:tcW w:w="765" w:type="dxa"/>
            <w:tcBorders>
              <w:top w:val="nil"/>
              <w:left w:val="nil"/>
              <w:bottom w:val="single" w:sz="12" w:space="0" w:color="auto"/>
              <w:right w:val="nil"/>
            </w:tcBorders>
            <w:vAlign w:val="bottom"/>
          </w:tcPr>
          <w:p w:rsidR="00AE6933" w:rsidRPr="00BA3042" w:rsidRDefault="00AE6933" w:rsidP="00E40CAC">
            <w:pPr>
              <w:suppressAutoHyphens w:val="0"/>
              <w:autoSpaceDE w:val="0"/>
              <w:autoSpaceDN w:val="0"/>
              <w:adjustRightInd w:val="0"/>
              <w:spacing w:before="40" w:after="40" w:line="220" w:lineRule="exact"/>
              <w:jc w:val="right"/>
              <w:rPr>
                <w:b/>
                <w:sz w:val="18"/>
                <w:szCs w:val="16"/>
                <w:lang w:val="fr-FR"/>
              </w:rPr>
            </w:pPr>
            <w:r w:rsidRPr="00BA3042">
              <w:rPr>
                <w:b/>
                <w:sz w:val="18"/>
                <w:szCs w:val="16"/>
                <w:lang w:val="fr-FR"/>
              </w:rPr>
              <w:t>46</w:t>
            </w:r>
          </w:p>
        </w:tc>
      </w:tr>
    </w:tbl>
    <w:p w:rsidR="00AE6933" w:rsidRPr="00BA3042" w:rsidRDefault="00AE6933" w:rsidP="00AE6933">
      <w:pPr>
        <w:pStyle w:val="SingleTxtG"/>
        <w:spacing w:before="240" w:after="240"/>
        <w:rPr>
          <w:lang w:val="fr-FR"/>
        </w:rPr>
      </w:pPr>
      <w:r w:rsidRPr="00BA3042">
        <w:rPr>
          <w:lang w:val="fr-FR"/>
        </w:rPr>
        <w:t>101.</w:t>
      </w:r>
      <w:r w:rsidRPr="00BA3042">
        <w:rPr>
          <w:lang w:val="fr-FR"/>
        </w:rPr>
        <w:tab/>
        <w:t>Le programme de l’année 2013 énonce les mesures suivantes: achèvement des programmes de construction et d’entretien de logements publics en cours; lancement des travaux de construction de nouveaux immeubles de logements résidentiels destinés à la vente; construction d’appartements pour personnes sans abri (jeunes mariés, personnes handicapées, parents isolés, personnes seules, etc.); construction de logements pour les personnes socialement fragilisées et les autres groupes vulnérables (Projet pour le logement des groupes socialement vulnérables, F/P 1674 2009); mise en œuvre de programmes publics conçus pour fournir des logements à des catégories spéciales de citoyens; organisation et construction de centres résidentiels et commerciaux pour des investisseurs parmi lesquels se trouve la République de Macédoine.</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161"/>
        <w:gridCol w:w="873"/>
        <w:gridCol w:w="900"/>
        <w:gridCol w:w="1091"/>
        <w:gridCol w:w="1086"/>
        <w:gridCol w:w="879"/>
        <w:gridCol w:w="686"/>
        <w:gridCol w:w="829"/>
      </w:tblGrid>
      <w:tr w:rsidR="00AE6933" w:rsidRPr="00BA3042" w:rsidTr="00E40CAC">
        <w:trPr>
          <w:tblHeader/>
        </w:trPr>
        <w:tc>
          <w:tcPr>
            <w:tcW w:w="2161" w:type="dxa"/>
            <w:vMerge w:val="restart"/>
            <w:tcBorders>
              <w:left w:val="nil"/>
              <w:right w:val="nil"/>
            </w:tcBorders>
          </w:tcPr>
          <w:p w:rsidR="00AE6933" w:rsidRPr="00BA3042" w:rsidRDefault="00AE6933" w:rsidP="006D2382">
            <w:pPr>
              <w:keepNext/>
              <w:spacing w:before="80" w:after="80" w:line="200" w:lineRule="exact"/>
              <w:jc w:val="center"/>
              <w:rPr>
                <w:sz w:val="16"/>
                <w:szCs w:val="16"/>
                <w:lang w:val="fr-FR"/>
              </w:rPr>
            </w:pPr>
          </w:p>
        </w:tc>
        <w:tc>
          <w:tcPr>
            <w:tcW w:w="873" w:type="dxa"/>
            <w:vMerge w:val="restart"/>
            <w:tcBorders>
              <w:left w:val="nil"/>
              <w:right w:val="single" w:sz="24" w:space="0" w:color="FFFFFF"/>
            </w:tcBorders>
            <w:vAlign w:val="bottom"/>
          </w:tcPr>
          <w:p w:rsidR="00AE6933" w:rsidRPr="00BA3042" w:rsidRDefault="00AE6933" w:rsidP="006D2382">
            <w:pPr>
              <w:keepNext/>
              <w:spacing w:before="80" w:after="80" w:line="200" w:lineRule="exact"/>
              <w:jc w:val="center"/>
              <w:rPr>
                <w:i/>
                <w:sz w:val="16"/>
                <w:szCs w:val="16"/>
                <w:lang w:val="fr-FR"/>
              </w:rPr>
            </w:pPr>
            <w:r w:rsidRPr="00BA3042">
              <w:rPr>
                <w:i/>
                <w:sz w:val="16"/>
                <w:szCs w:val="16"/>
                <w:lang w:val="fr-FR"/>
              </w:rPr>
              <w:t>Nombre de bâtiments</w:t>
            </w:r>
          </w:p>
        </w:tc>
        <w:tc>
          <w:tcPr>
            <w:tcW w:w="1991" w:type="dxa"/>
            <w:gridSpan w:val="2"/>
            <w:tcBorders>
              <w:left w:val="single" w:sz="24" w:space="0" w:color="FFFFFF"/>
              <w:right w:val="single" w:sz="24" w:space="0" w:color="FFFFFF"/>
            </w:tcBorders>
            <w:vAlign w:val="bottom"/>
          </w:tcPr>
          <w:p w:rsidR="00AE6933" w:rsidRPr="00BA3042" w:rsidRDefault="00AE6933" w:rsidP="006D2382">
            <w:pPr>
              <w:keepNext/>
              <w:spacing w:before="80" w:after="80" w:line="200" w:lineRule="exact"/>
              <w:jc w:val="center"/>
              <w:rPr>
                <w:i/>
                <w:sz w:val="16"/>
                <w:szCs w:val="16"/>
                <w:lang w:val="fr-FR"/>
              </w:rPr>
            </w:pPr>
            <w:r w:rsidRPr="00BA3042">
              <w:rPr>
                <w:i/>
                <w:sz w:val="16"/>
                <w:szCs w:val="16"/>
                <w:lang w:val="fr-FR"/>
              </w:rPr>
              <w:t>Appartements</w:t>
            </w:r>
          </w:p>
        </w:tc>
        <w:tc>
          <w:tcPr>
            <w:tcW w:w="1086" w:type="dxa"/>
            <w:tcBorders>
              <w:left w:val="single" w:sz="24" w:space="0" w:color="FFFFFF"/>
              <w:right w:val="single" w:sz="24" w:space="0" w:color="FFFFFF"/>
            </w:tcBorders>
            <w:shd w:val="clear" w:color="auto" w:fill="FFFFFF"/>
            <w:vAlign w:val="bottom"/>
          </w:tcPr>
          <w:p w:rsidR="00AE6933" w:rsidRPr="00BA3042" w:rsidRDefault="00AE6933" w:rsidP="006D2382">
            <w:pPr>
              <w:keepNext/>
              <w:spacing w:before="80" w:after="80" w:line="200" w:lineRule="exact"/>
              <w:jc w:val="center"/>
              <w:rPr>
                <w:i/>
                <w:sz w:val="16"/>
                <w:szCs w:val="16"/>
                <w:lang w:val="fr-FR"/>
              </w:rPr>
            </w:pPr>
            <w:r w:rsidRPr="00BA3042">
              <w:rPr>
                <w:i/>
                <w:sz w:val="16"/>
                <w:szCs w:val="16"/>
                <w:lang w:val="fr-FR"/>
              </w:rPr>
              <w:t>Locaux commerciaux</w:t>
            </w:r>
          </w:p>
        </w:tc>
        <w:tc>
          <w:tcPr>
            <w:tcW w:w="879" w:type="dxa"/>
            <w:tcBorders>
              <w:left w:val="single" w:sz="24" w:space="0" w:color="FFFFFF"/>
              <w:right w:val="single" w:sz="24" w:space="0" w:color="FFFFFF"/>
            </w:tcBorders>
            <w:vAlign w:val="bottom"/>
          </w:tcPr>
          <w:p w:rsidR="00AE6933" w:rsidRPr="00BA3042" w:rsidRDefault="00AE6933" w:rsidP="006D2382">
            <w:pPr>
              <w:keepNext/>
              <w:spacing w:before="80" w:after="80" w:line="200" w:lineRule="exact"/>
              <w:jc w:val="center"/>
              <w:rPr>
                <w:i/>
                <w:sz w:val="16"/>
                <w:szCs w:val="16"/>
                <w:lang w:val="fr-FR"/>
              </w:rPr>
            </w:pPr>
            <w:r w:rsidRPr="00BA3042">
              <w:rPr>
                <w:i/>
                <w:sz w:val="16"/>
                <w:szCs w:val="16"/>
                <w:lang w:val="fr-FR"/>
              </w:rPr>
              <w:t>Garages</w:t>
            </w:r>
          </w:p>
        </w:tc>
        <w:tc>
          <w:tcPr>
            <w:tcW w:w="1515" w:type="dxa"/>
            <w:gridSpan w:val="2"/>
            <w:tcBorders>
              <w:left w:val="single" w:sz="24" w:space="0" w:color="FFFFFF"/>
              <w:right w:val="nil"/>
            </w:tcBorders>
            <w:vAlign w:val="bottom"/>
          </w:tcPr>
          <w:p w:rsidR="00AE6933" w:rsidRPr="00BA3042" w:rsidRDefault="00AE6933" w:rsidP="006D2382">
            <w:pPr>
              <w:keepNext/>
              <w:spacing w:before="80" w:after="80" w:line="200" w:lineRule="exact"/>
              <w:jc w:val="center"/>
              <w:rPr>
                <w:i/>
                <w:sz w:val="16"/>
                <w:szCs w:val="16"/>
                <w:lang w:val="fr-FR"/>
              </w:rPr>
            </w:pPr>
            <w:r w:rsidRPr="00BA3042">
              <w:rPr>
                <w:i/>
                <w:sz w:val="16"/>
                <w:szCs w:val="16"/>
                <w:lang w:val="fr-FR"/>
              </w:rPr>
              <w:t>Caves</w:t>
            </w:r>
          </w:p>
        </w:tc>
      </w:tr>
      <w:tr w:rsidR="00AE6933" w:rsidRPr="00BA3042" w:rsidTr="00E40CAC">
        <w:trPr>
          <w:tblHeader/>
        </w:trPr>
        <w:tc>
          <w:tcPr>
            <w:tcW w:w="2161" w:type="dxa"/>
            <w:vMerge/>
            <w:tcBorders>
              <w:left w:val="nil"/>
              <w:bottom w:val="single" w:sz="12" w:space="0" w:color="auto"/>
              <w:right w:val="nil"/>
            </w:tcBorders>
          </w:tcPr>
          <w:p w:rsidR="00AE6933" w:rsidRPr="00BA3042" w:rsidRDefault="00AE6933" w:rsidP="006D2382">
            <w:pPr>
              <w:keepNext/>
              <w:spacing w:before="80" w:after="80" w:line="200" w:lineRule="exact"/>
              <w:jc w:val="center"/>
              <w:rPr>
                <w:sz w:val="16"/>
                <w:szCs w:val="16"/>
                <w:lang w:val="fr-FR"/>
              </w:rPr>
            </w:pPr>
          </w:p>
        </w:tc>
        <w:tc>
          <w:tcPr>
            <w:tcW w:w="873" w:type="dxa"/>
            <w:vMerge/>
            <w:tcBorders>
              <w:left w:val="nil"/>
              <w:bottom w:val="single" w:sz="12" w:space="0" w:color="auto"/>
              <w:right w:val="single" w:sz="24" w:space="0" w:color="FFFFFF"/>
            </w:tcBorders>
          </w:tcPr>
          <w:p w:rsidR="00AE6933" w:rsidRPr="00BA3042" w:rsidRDefault="00AE6933" w:rsidP="006D2382">
            <w:pPr>
              <w:keepNext/>
              <w:spacing w:before="80" w:after="80" w:line="200" w:lineRule="exact"/>
              <w:jc w:val="center"/>
              <w:rPr>
                <w:i/>
                <w:sz w:val="16"/>
                <w:szCs w:val="16"/>
                <w:lang w:val="fr-FR"/>
              </w:rPr>
            </w:pPr>
          </w:p>
        </w:tc>
        <w:tc>
          <w:tcPr>
            <w:tcW w:w="900" w:type="dxa"/>
            <w:tcBorders>
              <w:left w:val="single" w:sz="24" w:space="0" w:color="FFFFFF"/>
              <w:bottom w:val="single" w:sz="12" w:space="0" w:color="auto"/>
              <w:right w:val="nil"/>
            </w:tcBorders>
            <w:vAlign w:val="bottom"/>
          </w:tcPr>
          <w:p w:rsidR="00AE6933" w:rsidRPr="00BA3042" w:rsidRDefault="00AE6933" w:rsidP="006D2382">
            <w:pPr>
              <w:keepNext/>
              <w:spacing w:before="80" w:after="80" w:line="200" w:lineRule="exact"/>
              <w:jc w:val="right"/>
              <w:rPr>
                <w:i/>
                <w:sz w:val="16"/>
                <w:szCs w:val="16"/>
                <w:lang w:val="fr-FR"/>
              </w:rPr>
            </w:pPr>
            <w:r w:rsidRPr="00BA3042">
              <w:rPr>
                <w:i/>
                <w:sz w:val="16"/>
                <w:szCs w:val="16"/>
                <w:lang w:val="fr-FR"/>
              </w:rPr>
              <w:t>Nombre</w:t>
            </w:r>
          </w:p>
        </w:tc>
        <w:tc>
          <w:tcPr>
            <w:tcW w:w="1091" w:type="dxa"/>
            <w:tcBorders>
              <w:left w:val="nil"/>
              <w:bottom w:val="single" w:sz="12" w:space="0" w:color="auto"/>
              <w:right w:val="single" w:sz="24" w:space="0" w:color="FFFFFF"/>
            </w:tcBorders>
            <w:vAlign w:val="bottom"/>
          </w:tcPr>
          <w:p w:rsidR="00AE6933" w:rsidRPr="00BA3042" w:rsidRDefault="00AE6933" w:rsidP="006D2382">
            <w:pPr>
              <w:keepNext/>
              <w:spacing w:before="80" w:after="80" w:line="200" w:lineRule="exact"/>
              <w:jc w:val="right"/>
              <w:rPr>
                <w:i/>
                <w:sz w:val="16"/>
                <w:szCs w:val="16"/>
                <w:lang w:val="fr-FR"/>
              </w:rPr>
            </w:pPr>
            <w:r w:rsidRPr="00BA3042">
              <w:rPr>
                <w:i/>
                <w:sz w:val="16"/>
                <w:szCs w:val="16"/>
                <w:lang w:val="fr-FR"/>
              </w:rPr>
              <w:t>Superficie</w:t>
            </w:r>
          </w:p>
        </w:tc>
        <w:tc>
          <w:tcPr>
            <w:tcW w:w="1086" w:type="dxa"/>
            <w:tcBorders>
              <w:left w:val="single" w:sz="24" w:space="0" w:color="FFFFFF"/>
              <w:bottom w:val="single" w:sz="12" w:space="0" w:color="auto"/>
              <w:right w:val="single" w:sz="24" w:space="0" w:color="FFFFFF"/>
            </w:tcBorders>
            <w:shd w:val="clear" w:color="auto" w:fill="FFFFFF"/>
            <w:vAlign w:val="bottom"/>
          </w:tcPr>
          <w:p w:rsidR="00AE6933" w:rsidRPr="00BA3042" w:rsidRDefault="00AE6933" w:rsidP="006D2382">
            <w:pPr>
              <w:keepNext/>
              <w:spacing w:before="80" w:after="80" w:line="200" w:lineRule="exact"/>
              <w:jc w:val="right"/>
              <w:rPr>
                <w:i/>
                <w:sz w:val="16"/>
                <w:szCs w:val="16"/>
                <w:lang w:val="fr-FR"/>
              </w:rPr>
            </w:pPr>
            <w:r w:rsidRPr="00BA3042">
              <w:rPr>
                <w:i/>
                <w:sz w:val="16"/>
                <w:szCs w:val="16"/>
                <w:lang w:val="fr-FR"/>
              </w:rPr>
              <w:t>Superficie</w:t>
            </w:r>
          </w:p>
        </w:tc>
        <w:tc>
          <w:tcPr>
            <w:tcW w:w="879" w:type="dxa"/>
            <w:tcBorders>
              <w:left w:val="single" w:sz="24" w:space="0" w:color="FFFFFF"/>
              <w:bottom w:val="single" w:sz="12" w:space="0" w:color="auto"/>
              <w:right w:val="single" w:sz="24" w:space="0" w:color="FFFFFF"/>
            </w:tcBorders>
            <w:vAlign w:val="bottom"/>
          </w:tcPr>
          <w:p w:rsidR="00AE6933" w:rsidRPr="00BA3042" w:rsidRDefault="00AE6933" w:rsidP="006D2382">
            <w:pPr>
              <w:keepNext/>
              <w:spacing w:before="80" w:after="80" w:line="200" w:lineRule="exact"/>
              <w:jc w:val="right"/>
              <w:rPr>
                <w:i/>
                <w:sz w:val="16"/>
                <w:szCs w:val="16"/>
                <w:lang w:val="fr-FR"/>
              </w:rPr>
            </w:pPr>
            <w:r w:rsidRPr="00BA3042">
              <w:rPr>
                <w:i/>
                <w:sz w:val="16"/>
                <w:szCs w:val="16"/>
                <w:lang w:val="fr-FR"/>
              </w:rPr>
              <w:t>Superficie</w:t>
            </w:r>
          </w:p>
        </w:tc>
        <w:tc>
          <w:tcPr>
            <w:tcW w:w="686" w:type="dxa"/>
            <w:tcBorders>
              <w:left w:val="single" w:sz="24" w:space="0" w:color="FFFFFF"/>
              <w:bottom w:val="single" w:sz="12" w:space="0" w:color="auto"/>
              <w:right w:val="nil"/>
            </w:tcBorders>
            <w:vAlign w:val="bottom"/>
          </w:tcPr>
          <w:p w:rsidR="00AE6933" w:rsidRPr="00BA3042" w:rsidRDefault="00AE6933" w:rsidP="006D2382">
            <w:pPr>
              <w:keepNext/>
              <w:spacing w:before="80" w:after="80" w:line="200" w:lineRule="exact"/>
              <w:jc w:val="right"/>
              <w:rPr>
                <w:i/>
                <w:sz w:val="16"/>
                <w:szCs w:val="16"/>
                <w:lang w:val="fr-FR"/>
              </w:rPr>
            </w:pPr>
            <w:r w:rsidRPr="00BA3042">
              <w:rPr>
                <w:i/>
                <w:sz w:val="16"/>
                <w:szCs w:val="16"/>
                <w:lang w:val="fr-FR"/>
              </w:rPr>
              <w:t>Nombre</w:t>
            </w:r>
          </w:p>
        </w:tc>
        <w:tc>
          <w:tcPr>
            <w:tcW w:w="829" w:type="dxa"/>
            <w:tcBorders>
              <w:left w:val="nil"/>
              <w:bottom w:val="single" w:sz="12" w:space="0" w:color="auto"/>
              <w:right w:val="nil"/>
            </w:tcBorders>
            <w:vAlign w:val="bottom"/>
          </w:tcPr>
          <w:p w:rsidR="00AE6933" w:rsidRPr="00BA3042" w:rsidRDefault="00AE6933" w:rsidP="006D2382">
            <w:pPr>
              <w:keepNext/>
              <w:spacing w:before="80" w:after="80" w:line="200" w:lineRule="exact"/>
              <w:jc w:val="right"/>
              <w:rPr>
                <w:i/>
                <w:sz w:val="16"/>
                <w:szCs w:val="16"/>
                <w:lang w:val="fr-FR"/>
              </w:rPr>
            </w:pPr>
            <w:r w:rsidRPr="00BA3042">
              <w:rPr>
                <w:i/>
                <w:sz w:val="16"/>
                <w:szCs w:val="16"/>
                <w:lang w:val="fr-FR"/>
              </w:rPr>
              <w:t>Superficie</w:t>
            </w:r>
          </w:p>
        </w:tc>
      </w:tr>
      <w:tr w:rsidR="00AE6933" w:rsidRPr="00BA3042" w:rsidTr="00E40CAC">
        <w:tc>
          <w:tcPr>
            <w:tcW w:w="2161" w:type="dxa"/>
            <w:tcBorders>
              <w:top w:val="single" w:sz="12" w:space="0" w:color="auto"/>
              <w:left w:val="nil"/>
              <w:bottom w:val="nil"/>
              <w:right w:val="nil"/>
            </w:tcBorders>
          </w:tcPr>
          <w:p w:rsidR="00AE6933" w:rsidRPr="00BA3042" w:rsidRDefault="00AE6933" w:rsidP="006D2382">
            <w:pPr>
              <w:keepNext/>
              <w:spacing w:before="40" w:after="40" w:line="220" w:lineRule="exact"/>
              <w:rPr>
                <w:sz w:val="18"/>
                <w:szCs w:val="18"/>
                <w:lang w:val="fr-FR"/>
              </w:rPr>
            </w:pPr>
            <w:r w:rsidRPr="00BA3042">
              <w:rPr>
                <w:sz w:val="18"/>
                <w:szCs w:val="18"/>
                <w:lang w:val="fr-FR"/>
              </w:rPr>
              <w:t xml:space="preserve">1.1  Achèvement des précédents programmes de construction d’appartements à vendre </w:t>
            </w:r>
          </w:p>
        </w:tc>
        <w:tc>
          <w:tcPr>
            <w:tcW w:w="873" w:type="dxa"/>
            <w:tcBorders>
              <w:top w:val="single" w:sz="12" w:space="0" w:color="auto"/>
              <w:left w:val="nil"/>
              <w:bottom w:val="nil"/>
              <w:right w:val="nil"/>
            </w:tcBorders>
            <w:vAlign w:val="bottom"/>
          </w:tcPr>
          <w:p w:rsidR="00AE6933" w:rsidRPr="00BA3042" w:rsidRDefault="00AE6933" w:rsidP="006D2382">
            <w:pPr>
              <w:keepNext/>
              <w:suppressAutoHyphens w:val="0"/>
              <w:spacing w:before="40" w:after="40" w:line="220" w:lineRule="exact"/>
              <w:jc w:val="right"/>
              <w:rPr>
                <w:sz w:val="18"/>
                <w:szCs w:val="18"/>
                <w:lang w:val="fr-FR"/>
              </w:rPr>
            </w:pPr>
            <w:r w:rsidRPr="00BA3042">
              <w:rPr>
                <w:sz w:val="18"/>
                <w:szCs w:val="18"/>
                <w:lang w:val="fr-FR"/>
              </w:rPr>
              <w:t>10</w:t>
            </w:r>
          </w:p>
        </w:tc>
        <w:tc>
          <w:tcPr>
            <w:tcW w:w="900" w:type="dxa"/>
            <w:tcBorders>
              <w:top w:val="single" w:sz="12" w:space="0" w:color="auto"/>
              <w:left w:val="nil"/>
              <w:bottom w:val="nil"/>
              <w:right w:val="nil"/>
            </w:tcBorders>
            <w:vAlign w:val="bottom"/>
          </w:tcPr>
          <w:p w:rsidR="00AE6933" w:rsidRPr="00BA3042" w:rsidRDefault="00AE6933" w:rsidP="006D2382">
            <w:pPr>
              <w:keepNext/>
              <w:suppressAutoHyphens w:val="0"/>
              <w:spacing w:before="40" w:after="40" w:line="220" w:lineRule="exact"/>
              <w:jc w:val="right"/>
              <w:rPr>
                <w:sz w:val="18"/>
                <w:szCs w:val="18"/>
                <w:lang w:val="fr-FR"/>
              </w:rPr>
            </w:pPr>
            <w:r w:rsidRPr="00BA3042">
              <w:rPr>
                <w:sz w:val="18"/>
                <w:szCs w:val="18"/>
                <w:lang w:val="fr-FR"/>
              </w:rPr>
              <w:t>527</w:t>
            </w:r>
          </w:p>
        </w:tc>
        <w:tc>
          <w:tcPr>
            <w:tcW w:w="1091" w:type="dxa"/>
            <w:tcBorders>
              <w:top w:val="single" w:sz="12" w:space="0" w:color="auto"/>
              <w:left w:val="nil"/>
              <w:bottom w:val="nil"/>
              <w:right w:val="nil"/>
            </w:tcBorders>
            <w:vAlign w:val="bottom"/>
          </w:tcPr>
          <w:p w:rsidR="00AE6933" w:rsidRPr="00BA3042" w:rsidRDefault="00AE6933" w:rsidP="006D2382">
            <w:pPr>
              <w:keepNext/>
              <w:suppressAutoHyphens w:val="0"/>
              <w:spacing w:before="40" w:after="40" w:line="220" w:lineRule="exact"/>
              <w:jc w:val="right"/>
              <w:rPr>
                <w:sz w:val="18"/>
                <w:szCs w:val="18"/>
                <w:lang w:val="fr-FR"/>
              </w:rPr>
            </w:pPr>
            <w:r w:rsidRPr="00BA3042">
              <w:rPr>
                <w:sz w:val="18"/>
                <w:szCs w:val="18"/>
                <w:lang w:val="fr-FR"/>
              </w:rPr>
              <w:t>33 969,95</w:t>
            </w:r>
          </w:p>
        </w:tc>
        <w:tc>
          <w:tcPr>
            <w:tcW w:w="1086" w:type="dxa"/>
            <w:tcBorders>
              <w:top w:val="single" w:sz="12" w:space="0" w:color="auto"/>
              <w:left w:val="nil"/>
              <w:bottom w:val="nil"/>
              <w:right w:val="nil"/>
            </w:tcBorders>
            <w:vAlign w:val="bottom"/>
          </w:tcPr>
          <w:p w:rsidR="00AE6933" w:rsidRPr="00BA3042" w:rsidRDefault="00AE6933" w:rsidP="006D2382">
            <w:pPr>
              <w:keepNext/>
              <w:suppressAutoHyphens w:val="0"/>
              <w:spacing w:before="40" w:after="40" w:line="220" w:lineRule="exact"/>
              <w:jc w:val="right"/>
              <w:rPr>
                <w:sz w:val="18"/>
                <w:szCs w:val="18"/>
                <w:lang w:val="fr-FR"/>
              </w:rPr>
            </w:pPr>
            <w:r w:rsidRPr="00BA3042">
              <w:rPr>
                <w:sz w:val="18"/>
                <w:szCs w:val="18"/>
                <w:lang w:val="fr-FR"/>
              </w:rPr>
              <w:t>1 966,66</w:t>
            </w:r>
          </w:p>
        </w:tc>
        <w:tc>
          <w:tcPr>
            <w:tcW w:w="879" w:type="dxa"/>
            <w:tcBorders>
              <w:top w:val="single" w:sz="12" w:space="0" w:color="auto"/>
              <w:left w:val="nil"/>
              <w:bottom w:val="nil"/>
              <w:right w:val="nil"/>
            </w:tcBorders>
            <w:vAlign w:val="bottom"/>
          </w:tcPr>
          <w:p w:rsidR="00AE6933" w:rsidRPr="00BA3042" w:rsidRDefault="00AE6933" w:rsidP="006D2382">
            <w:pPr>
              <w:keepNext/>
              <w:suppressAutoHyphens w:val="0"/>
              <w:spacing w:before="40" w:after="40" w:line="220" w:lineRule="exact"/>
              <w:jc w:val="right"/>
              <w:rPr>
                <w:sz w:val="18"/>
                <w:szCs w:val="18"/>
                <w:lang w:val="fr-FR"/>
              </w:rPr>
            </w:pPr>
            <w:r w:rsidRPr="00BA3042">
              <w:rPr>
                <w:sz w:val="18"/>
                <w:szCs w:val="18"/>
                <w:lang w:val="fr-FR"/>
              </w:rPr>
              <w:t>6 744,79</w:t>
            </w:r>
          </w:p>
        </w:tc>
        <w:tc>
          <w:tcPr>
            <w:tcW w:w="686" w:type="dxa"/>
            <w:tcBorders>
              <w:top w:val="single" w:sz="12" w:space="0" w:color="auto"/>
              <w:left w:val="nil"/>
              <w:bottom w:val="nil"/>
              <w:right w:val="nil"/>
            </w:tcBorders>
            <w:vAlign w:val="bottom"/>
          </w:tcPr>
          <w:p w:rsidR="00AE6933" w:rsidRPr="00BA3042" w:rsidRDefault="00AE6933" w:rsidP="006D2382">
            <w:pPr>
              <w:keepNext/>
              <w:suppressAutoHyphens w:val="0"/>
              <w:spacing w:before="40" w:after="40" w:line="220" w:lineRule="exact"/>
              <w:jc w:val="right"/>
              <w:rPr>
                <w:sz w:val="18"/>
                <w:szCs w:val="18"/>
                <w:lang w:val="fr-FR"/>
              </w:rPr>
            </w:pPr>
            <w:r w:rsidRPr="00BA3042">
              <w:rPr>
                <w:sz w:val="18"/>
                <w:szCs w:val="18"/>
                <w:lang w:val="fr-FR"/>
              </w:rPr>
              <w:t>325</w:t>
            </w:r>
          </w:p>
        </w:tc>
        <w:tc>
          <w:tcPr>
            <w:tcW w:w="829" w:type="dxa"/>
            <w:tcBorders>
              <w:top w:val="single" w:sz="12" w:space="0" w:color="auto"/>
              <w:left w:val="nil"/>
              <w:bottom w:val="nil"/>
              <w:right w:val="nil"/>
            </w:tcBorders>
            <w:vAlign w:val="bottom"/>
          </w:tcPr>
          <w:p w:rsidR="00AE6933" w:rsidRPr="00BA3042" w:rsidRDefault="00AE6933" w:rsidP="006D2382">
            <w:pPr>
              <w:keepNext/>
              <w:suppressAutoHyphens w:val="0"/>
              <w:spacing w:before="40" w:after="40" w:line="220" w:lineRule="exact"/>
              <w:jc w:val="right"/>
              <w:rPr>
                <w:sz w:val="18"/>
                <w:szCs w:val="18"/>
                <w:lang w:val="fr-FR"/>
              </w:rPr>
            </w:pPr>
            <w:r w:rsidRPr="00BA3042">
              <w:rPr>
                <w:sz w:val="18"/>
                <w:szCs w:val="18"/>
                <w:lang w:val="fr-FR"/>
              </w:rPr>
              <w:t>2 113,59</w:t>
            </w:r>
          </w:p>
        </w:tc>
      </w:tr>
      <w:tr w:rsidR="00AE6933" w:rsidRPr="00BA3042" w:rsidTr="00E40CAC">
        <w:tc>
          <w:tcPr>
            <w:tcW w:w="2161"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1.2  Construction d’immeubles de logements résidentiels à vendre</w:t>
            </w:r>
          </w:p>
        </w:tc>
        <w:tc>
          <w:tcPr>
            <w:tcW w:w="87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40</w:t>
            </w:r>
          </w:p>
        </w:tc>
        <w:tc>
          <w:tcPr>
            <w:tcW w:w="9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2 176</w:t>
            </w:r>
          </w:p>
        </w:tc>
        <w:tc>
          <w:tcPr>
            <w:tcW w:w="10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135 102,16</w:t>
            </w:r>
          </w:p>
        </w:tc>
        <w:tc>
          <w:tcPr>
            <w:tcW w:w="10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11 501,73</w:t>
            </w:r>
          </w:p>
        </w:tc>
        <w:tc>
          <w:tcPr>
            <w:tcW w:w="87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31 844,90</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730</w:t>
            </w:r>
          </w:p>
        </w:tc>
        <w:tc>
          <w:tcPr>
            <w:tcW w:w="8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5 600,59</w:t>
            </w:r>
          </w:p>
        </w:tc>
      </w:tr>
      <w:tr w:rsidR="00AE6933" w:rsidRPr="00BA3042" w:rsidTr="00E40CAC">
        <w:tc>
          <w:tcPr>
            <w:tcW w:w="2161"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1.3  Appartements pour personnes sans abri (jeunes mariés, handicapés, parents isolés, personnes seules et autres sans abri)</w:t>
            </w:r>
          </w:p>
        </w:tc>
        <w:tc>
          <w:tcPr>
            <w:tcW w:w="87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w:t>
            </w:r>
          </w:p>
        </w:tc>
        <w:tc>
          <w:tcPr>
            <w:tcW w:w="9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119</w:t>
            </w:r>
          </w:p>
        </w:tc>
        <w:tc>
          <w:tcPr>
            <w:tcW w:w="10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6 569,15</w:t>
            </w:r>
          </w:p>
        </w:tc>
        <w:tc>
          <w:tcPr>
            <w:tcW w:w="10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527,19</w:t>
            </w:r>
          </w:p>
        </w:tc>
        <w:tc>
          <w:tcPr>
            <w:tcW w:w="87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735,28</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77</w:t>
            </w:r>
          </w:p>
        </w:tc>
        <w:tc>
          <w:tcPr>
            <w:tcW w:w="8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528</w:t>
            </w:r>
          </w:p>
        </w:tc>
      </w:tr>
      <w:tr w:rsidR="00AE6933" w:rsidRPr="00BA3042" w:rsidTr="00E40CAC">
        <w:tc>
          <w:tcPr>
            <w:tcW w:w="2161" w:type="dxa"/>
            <w:tcBorders>
              <w:top w:val="nil"/>
              <w:left w:val="nil"/>
              <w:bottom w:val="nil"/>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1.4  Construction d’appartements pour personnes socialement fragilisées et autres groupes vulnérables</w:t>
            </w:r>
          </w:p>
        </w:tc>
        <w:tc>
          <w:tcPr>
            <w:tcW w:w="873"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32</w:t>
            </w:r>
          </w:p>
        </w:tc>
        <w:tc>
          <w:tcPr>
            <w:tcW w:w="900"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1 764</w:t>
            </w:r>
          </w:p>
        </w:tc>
        <w:tc>
          <w:tcPr>
            <w:tcW w:w="1091" w:type="dxa"/>
            <w:tcBorders>
              <w:top w:val="nil"/>
              <w:left w:val="nil"/>
              <w:bottom w:val="nil"/>
              <w:right w:val="nil"/>
            </w:tcBorders>
            <w:vAlign w:val="bottom"/>
          </w:tcPr>
          <w:p w:rsidR="00AE6933" w:rsidRPr="00BA3042" w:rsidRDefault="00AE6933" w:rsidP="006D2382">
            <w:pPr>
              <w:suppressAutoHyphens w:val="0"/>
              <w:spacing w:before="40" w:after="40" w:line="220" w:lineRule="exact"/>
              <w:jc w:val="right"/>
              <w:rPr>
                <w:sz w:val="18"/>
                <w:szCs w:val="18"/>
                <w:lang w:val="fr-FR"/>
              </w:rPr>
            </w:pPr>
            <w:r w:rsidRPr="00BA3042">
              <w:rPr>
                <w:sz w:val="18"/>
                <w:szCs w:val="18"/>
                <w:lang w:val="fr-FR"/>
              </w:rPr>
              <w:t>72 64</w:t>
            </w:r>
            <w:r w:rsidR="006D2382" w:rsidRPr="00BA3042">
              <w:rPr>
                <w:sz w:val="18"/>
                <w:szCs w:val="18"/>
                <w:lang w:val="fr-FR"/>
              </w:rPr>
              <w:t>3</w:t>
            </w:r>
            <w:r w:rsidRPr="00BA3042">
              <w:rPr>
                <w:sz w:val="18"/>
                <w:szCs w:val="18"/>
                <w:lang w:val="fr-FR"/>
              </w:rPr>
              <w:t>,70</w:t>
            </w:r>
          </w:p>
        </w:tc>
        <w:tc>
          <w:tcPr>
            <w:tcW w:w="10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2 160,94</w:t>
            </w:r>
          </w:p>
        </w:tc>
        <w:tc>
          <w:tcPr>
            <w:tcW w:w="87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353,97</w:t>
            </w:r>
          </w:p>
        </w:tc>
        <w:tc>
          <w:tcPr>
            <w:tcW w:w="68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1 710</w:t>
            </w:r>
          </w:p>
        </w:tc>
        <w:tc>
          <w:tcPr>
            <w:tcW w:w="82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10 520,04</w:t>
            </w:r>
          </w:p>
        </w:tc>
      </w:tr>
      <w:tr w:rsidR="00AE6933" w:rsidRPr="00BA3042" w:rsidTr="00E40CAC">
        <w:tc>
          <w:tcPr>
            <w:tcW w:w="2161" w:type="dxa"/>
            <w:tcBorders>
              <w:top w:val="nil"/>
              <w:left w:val="nil"/>
              <w:bottom w:val="single" w:sz="4" w:space="0" w:color="auto"/>
              <w:right w:val="nil"/>
            </w:tcBorders>
          </w:tcPr>
          <w:p w:rsidR="00AE6933" w:rsidRPr="00BA3042" w:rsidRDefault="00AE6933" w:rsidP="00E40CAC">
            <w:pPr>
              <w:spacing w:before="40" w:after="40" w:line="220" w:lineRule="exact"/>
              <w:rPr>
                <w:sz w:val="18"/>
                <w:szCs w:val="18"/>
                <w:lang w:val="fr-FR"/>
              </w:rPr>
            </w:pPr>
            <w:r w:rsidRPr="00BA3042">
              <w:rPr>
                <w:sz w:val="18"/>
                <w:szCs w:val="18"/>
                <w:lang w:val="fr-FR"/>
              </w:rPr>
              <w:t xml:space="preserve">1.5  Acquisition d’appartements construits dans le cadre de l’application de la loi sur la privatisation et de la loi sur les droits spéciaux des membres des forces de sécurité et de leur famille et acquisition de logements sur décision du Gouvernement </w:t>
            </w:r>
          </w:p>
        </w:tc>
        <w:tc>
          <w:tcPr>
            <w:tcW w:w="873" w:type="dxa"/>
            <w:tcBorders>
              <w:top w:val="nil"/>
              <w:left w:val="nil"/>
              <w:bottom w:val="single" w:sz="4"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900" w:type="dxa"/>
            <w:tcBorders>
              <w:top w:val="nil"/>
              <w:left w:val="nil"/>
              <w:bottom w:val="single" w:sz="4"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235</w:t>
            </w:r>
          </w:p>
        </w:tc>
        <w:tc>
          <w:tcPr>
            <w:tcW w:w="1091" w:type="dxa"/>
            <w:tcBorders>
              <w:top w:val="nil"/>
              <w:left w:val="nil"/>
              <w:bottom w:val="single" w:sz="4"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13 838,25</w:t>
            </w:r>
          </w:p>
        </w:tc>
        <w:tc>
          <w:tcPr>
            <w:tcW w:w="1086" w:type="dxa"/>
            <w:tcBorders>
              <w:top w:val="nil"/>
              <w:left w:val="nil"/>
              <w:bottom w:val="single" w:sz="4"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879" w:type="dxa"/>
            <w:tcBorders>
              <w:top w:val="nil"/>
              <w:left w:val="nil"/>
              <w:bottom w:val="single" w:sz="4"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686" w:type="dxa"/>
            <w:tcBorders>
              <w:top w:val="nil"/>
              <w:left w:val="nil"/>
              <w:bottom w:val="single" w:sz="4"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c>
          <w:tcPr>
            <w:tcW w:w="829" w:type="dxa"/>
            <w:tcBorders>
              <w:top w:val="nil"/>
              <w:left w:val="nil"/>
              <w:bottom w:val="single" w:sz="4" w:space="0" w:color="auto"/>
              <w:right w:val="nil"/>
            </w:tcBorders>
            <w:vAlign w:val="bottom"/>
          </w:tcPr>
          <w:p w:rsidR="00AE6933" w:rsidRPr="00BA3042" w:rsidRDefault="00AE6933" w:rsidP="00E40CAC">
            <w:pPr>
              <w:suppressAutoHyphens w:val="0"/>
              <w:spacing w:before="40" w:after="40" w:line="220" w:lineRule="exact"/>
              <w:jc w:val="right"/>
              <w:rPr>
                <w:sz w:val="18"/>
                <w:szCs w:val="18"/>
                <w:lang w:val="fr-FR"/>
              </w:rPr>
            </w:pPr>
          </w:p>
        </w:tc>
      </w:tr>
      <w:tr w:rsidR="00AE6933" w:rsidRPr="00BA3042" w:rsidTr="00E40CAC">
        <w:tc>
          <w:tcPr>
            <w:tcW w:w="2161" w:type="dxa"/>
            <w:tcBorders>
              <w:left w:val="nil"/>
              <w:bottom w:val="single" w:sz="12" w:space="0" w:color="auto"/>
              <w:right w:val="nil"/>
            </w:tcBorders>
          </w:tcPr>
          <w:p w:rsidR="00AE6933" w:rsidRPr="00BA3042" w:rsidRDefault="00AE6933" w:rsidP="00E40CAC">
            <w:pPr>
              <w:spacing w:before="80" w:after="80" w:line="220" w:lineRule="exact"/>
              <w:ind w:firstLine="284"/>
              <w:rPr>
                <w:b/>
                <w:sz w:val="18"/>
                <w:szCs w:val="18"/>
                <w:lang w:val="fr-FR"/>
              </w:rPr>
            </w:pPr>
            <w:r w:rsidRPr="00BA3042">
              <w:rPr>
                <w:b/>
                <w:sz w:val="18"/>
                <w:szCs w:val="18"/>
                <w:lang w:val="fr-FR"/>
              </w:rPr>
              <w:t>Total</w:t>
            </w:r>
          </w:p>
        </w:tc>
        <w:tc>
          <w:tcPr>
            <w:tcW w:w="873" w:type="dxa"/>
            <w:tcBorders>
              <w:left w:val="nil"/>
              <w:bottom w:val="single" w:sz="12" w:space="0" w:color="auto"/>
              <w:right w:val="nil"/>
            </w:tcBorders>
            <w:vAlign w:val="bottom"/>
          </w:tcPr>
          <w:p w:rsidR="00AE6933" w:rsidRPr="00BA3042" w:rsidRDefault="00AE6933" w:rsidP="00E40CAC">
            <w:pPr>
              <w:suppressAutoHyphens w:val="0"/>
              <w:spacing w:before="80" w:after="80" w:line="220" w:lineRule="exact"/>
              <w:jc w:val="right"/>
              <w:rPr>
                <w:b/>
                <w:sz w:val="18"/>
                <w:szCs w:val="18"/>
                <w:lang w:val="fr-FR"/>
              </w:rPr>
            </w:pPr>
            <w:r w:rsidRPr="00BA3042">
              <w:rPr>
                <w:b/>
                <w:sz w:val="18"/>
                <w:szCs w:val="18"/>
                <w:lang w:val="fr-FR"/>
              </w:rPr>
              <w:t>85</w:t>
            </w:r>
          </w:p>
        </w:tc>
        <w:tc>
          <w:tcPr>
            <w:tcW w:w="900" w:type="dxa"/>
            <w:tcBorders>
              <w:left w:val="nil"/>
              <w:bottom w:val="single" w:sz="12" w:space="0" w:color="auto"/>
              <w:right w:val="nil"/>
            </w:tcBorders>
            <w:vAlign w:val="bottom"/>
          </w:tcPr>
          <w:p w:rsidR="00AE6933" w:rsidRPr="00BA3042" w:rsidRDefault="00AE6933" w:rsidP="00E40CAC">
            <w:pPr>
              <w:suppressAutoHyphens w:val="0"/>
              <w:spacing w:before="80" w:after="80" w:line="220" w:lineRule="exact"/>
              <w:jc w:val="right"/>
              <w:rPr>
                <w:b/>
                <w:sz w:val="18"/>
                <w:szCs w:val="18"/>
                <w:lang w:val="fr-FR"/>
              </w:rPr>
            </w:pPr>
            <w:r w:rsidRPr="00BA3042">
              <w:rPr>
                <w:b/>
                <w:sz w:val="18"/>
                <w:szCs w:val="18"/>
                <w:lang w:val="fr-FR"/>
              </w:rPr>
              <w:t>4 811</w:t>
            </w:r>
          </w:p>
        </w:tc>
        <w:tc>
          <w:tcPr>
            <w:tcW w:w="1091" w:type="dxa"/>
            <w:tcBorders>
              <w:left w:val="nil"/>
              <w:bottom w:val="single" w:sz="12" w:space="0" w:color="auto"/>
              <w:right w:val="nil"/>
            </w:tcBorders>
            <w:vAlign w:val="bottom"/>
          </w:tcPr>
          <w:p w:rsidR="00AE6933" w:rsidRPr="00BA3042" w:rsidRDefault="00AE6933" w:rsidP="00E40CAC">
            <w:pPr>
              <w:suppressAutoHyphens w:val="0"/>
              <w:spacing w:before="80" w:after="80" w:line="220" w:lineRule="exact"/>
              <w:jc w:val="right"/>
              <w:rPr>
                <w:b/>
                <w:sz w:val="18"/>
                <w:szCs w:val="18"/>
                <w:lang w:val="fr-FR"/>
              </w:rPr>
            </w:pPr>
            <w:r w:rsidRPr="00BA3042">
              <w:rPr>
                <w:b/>
                <w:sz w:val="18"/>
                <w:szCs w:val="18"/>
                <w:lang w:val="fr-FR"/>
              </w:rPr>
              <w:t>262 123,21</w:t>
            </w:r>
          </w:p>
        </w:tc>
        <w:tc>
          <w:tcPr>
            <w:tcW w:w="1086" w:type="dxa"/>
            <w:tcBorders>
              <w:left w:val="nil"/>
              <w:bottom w:val="single" w:sz="12" w:space="0" w:color="auto"/>
              <w:right w:val="nil"/>
            </w:tcBorders>
            <w:vAlign w:val="bottom"/>
          </w:tcPr>
          <w:p w:rsidR="00AE6933" w:rsidRPr="00BA3042" w:rsidRDefault="00AE6933" w:rsidP="00E40CAC">
            <w:pPr>
              <w:suppressAutoHyphens w:val="0"/>
              <w:spacing w:before="80" w:after="80" w:line="220" w:lineRule="exact"/>
              <w:jc w:val="right"/>
              <w:rPr>
                <w:b/>
                <w:sz w:val="18"/>
                <w:szCs w:val="18"/>
                <w:lang w:val="fr-FR"/>
              </w:rPr>
            </w:pPr>
            <w:r w:rsidRPr="00BA3042">
              <w:rPr>
                <w:b/>
                <w:sz w:val="18"/>
                <w:szCs w:val="18"/>
                <w:lang w:val="fr-FR"/>
              </w:rPr>
              <w:t>16 156,52</w:t>
            </w:r>
          </w:p>
        </w:tc>
        <w:tc>
          <w:tcPr>
            <w:tcW w:w="879" w:type="dxa"/>
            <w:tcBorders>
              <w:left w:val="nil"/>
              <w:bottom w:val="single" w:sz="12" w:space="0" w:color="auto"/>
              <w:right w:val="nil"/>
            </w:tcBorders>
            <w:vAlign w:val="bottom"/>
          </w:tcPr>
          <w:p w:rsidR="00AE6933" w:rsidRPr="00BA3042" w:rsidRDefault="00AE6933" w:rsidP="00E40CAC">
            <w:pPr>
              <w:suppressAutoHyphens w:val="0"/>
              <w:spacing w:before="80" w:after="80" w:line="220" w:lineRule="exact"/>
              <w:jc w:val="right"/>
              <w:rPr>
                <w:b/>
                <w:sz w:val="18"/>
                <w:szCs w:val="18"/>
                <w:lang w:val="fr-FR"/>
              </w:rPr>
            </w:pPr>
            <w:r w:rsidRPr="00BA3042">
              <w:rPr>
                <w:b/>
                <w:sz w:val="18"/>
                <w:szCs w:val="18"/>
                <w:lang w:val="fr-FR"/>
              </w:rPr>
              <w:t>39 678,94</w:t>
            </w:r>
          </w:p>
        </w:tc>
        <w:tc>
          <w:tcPr>
            <w:tcW w:w="686" w:type="dxa"/>
            <w:tcBorders>
              <w:left w:val="nil"/>
              <w:bottom w:val="single" w:sz="12" w:space="0" w:color="auto"/>
              <w:right w:val="nil"/>
            </w:tcBorders>
            <w:vAlign w:val="bottom"/>
          </w:tcPr>
          <w:p w:rsidR="00AE6933" w:rsidRPr="00BA3042" w:rsidRDefault="00AE6933" w:rsidP="00E40CAC">
            <w:pPr>
              <w:suppressAutoHyphens w:val="0"/>
              <w:spacing w:before="80" w:after="80" w:line="220" w:lineRule="exact"/>
              <w:jc w:val="right"/>
              <w:rPr>
                <w:b/>
                <w:sz w:val="18"/>
                <w:szCs w:val="18"/>
                <w:lang w:val="fr-FR"/>
              </w:rPr>
            </w:pPr>
            <w:r w:rsidRPr="00BA3042">
              <w:rPr>
                <w:b/>
                <w:sz w:val="18"/>
                <w:szCs w:val="18"/>
                <w:lang w:val="fr-FR"/>
              </w:rPr>
              <w:t>2 842</w:t>
            </w:r>
          </w:p>
        </w:tc>
        <w:tc>
          <w:tcPr>
            <w:tcW w:w="829" w:type="dxa"/>
            <w:tcBorders>
              <w:left w:val="nil"/>
              <w:bottom w:val="single" w:sz="12" w:space="0" w:color="auto"/>
              <w:right w:val="nil"/>
            </w:tcBorders>
            <w:vAlign w:val="bottom"/>
          </w:tcPr>
          <w:p w:rsidR="00AE6933" w:rsidRPr="00BA3042" w:rsidRDefault="00AE6933" w:rsidP="00E40CAC">
            <w:pPr>
              <w:suppressAutoHyphens w:val="0"/>
              <w:spacing w:before="80" w:after="80" w:line="220" w:lineRule="exact"/>
              <w:jc w:val="right"/>
              <w:rPr>
                <w:b/>
                <w:sz w:val="18"/>
                <w:szCs w:val="18"/>
                <w:lang w:val="fr-FR"/>
              </w:rPr>
            </w:pPr>
            <w:r w:rsidRPr="00BA3042">
              <w:rPr>
                <w:b/>
                <w:sz w:val="18"/>
                <w:szCs w:val="18"/>
                <w:lang w:val="fr-FR"/>
              </w:rPr>
              <w:t>18 762,22</w:t>
            </w:r>
          </w:p>
        </w:tc>
      </w:tr>
    </w:tbl>
    <w:p w:rsidR="00AE6933" w:rsidRPr="00BA3042" w:rsidRDefault="00AE6933" w:rsidP="00AE6933">
      <w:pPr>
        <w:pStyle w:val="SingleTxtG"/>
        <w:spacing w:before="240"/>
        <w:rPr>
          <w:lang w:val="fr-FR"/>
        </w:rPr>
      </w:pPr>
      <w:r w:rsidRPr="00BA3042">
        <w:rPr>
          <w:lang w:val="fr-FR"/>
        </w:rPr>
        <w:t>102.</w:t>
      </w:r>
      <w:r w:rsidRPr="00BA3042">
        <w:rPr>
          <w:lang w:val="fr-FR"/>
        </w:rPr>
        <w:tab/>
        <w:t>Dans le cadre du Programme de logements pour les groupes socialement vulnérables (F/P 1674 2009), il est prévu de construire un total de 1 754 logements dans 33 immeubles résidentiels entre 2007 et 2015. Ces appartements sont alloués conformément à la décision relative à l’allocation des logements sociaux et au Programme pour la construction et l’entretien du parc de logement public (2009), qui fixe les règles concernant l’ordre d’inscription sur les listes d’attente d’un logement social (Journal officiel n</w:t>
      </w:r>
      <w:r w:rsidRPr="00BA3042">
        <w:rPr>
          <w:vertAlign w:val="superscript"/>
          <w:lang w:val="fr-FR"/>
        </w:rPr>
        <w:t>os</w:t>
      </w:r>
      <w:r w:rsidRPr="00BA3042">
        <w:rPr>
          <w:lang w:val="fr-FR"/>
        </w:rPr>
        <w:t xml:space="preserve"> 96/09 et 122/10). En vertu de ces documents, les bénéficiaires des logements sociaux sont des ressortissants nationaux entrant dans l’une des catégories suivantes et n’ayant pas de logement: les enfants orphelins ou privés de soins parentaux âgés de plus de 18 ans qui, à l’âge de 18 ans, étaient placés en orphelinat ou autrement placés, bénéficiaires de prestations sociales ou de prestations pécuniaires à titre permanent; victimes de catastrophe naturelle, quel que soit leur titre d’occupation dans leur logement principal permanent; personnes handicapées, personnes non autonomes et familles dont un ou plusieurs membres est handicapé; personnes défavorisées appartenant à la communauté ethnique rom (en application de la Stratégie en faveur des Roms); parents isolés ayant des enfants mineurs; et personnes aveugles bénéficiaires de prestations sociales ou d’une assistance financière permanente. </w:t>
      </w:r>
    </w:p>
    <w:p w:rsidR="00AE6933" w:rsidRPr="00BA3042" w:rsidRDefault="00AE6933" w:rsidP="00AE6933">
      <w:pPr>
        <w:pStyle w:val="SingleTxtG"/>
        <w:rPr>
          <w:lang w:val="fr-FR"/>
        </w:rPr>
      </w:pPr>
      <w:r w:rsidRPr="00BA3042">
        <w:rPr>
          <w:lang w:val="fr-FR"/>
        </w:rPr>
        <w:t>103.</w:t>
      </w:r>
      <w:r w:rsidRPr="00BA3042">
        <w:rPr>
          <w:lang w:val="fr-FR"/>
        </w:rPr>
        <w:tab/>
        <w:t>Sur un total de 1 754 logements planifiés, 559 ont été construits, 539 ont été alloués et la construction 6 bâtiments de 544 logements a commencé en 2013.</w:t>
      </w:r>
    </w:p>
    <w:p w:rsidR="00AE6933" w:rsidRPr="00BA3042" w:rsidRDefault="00AE6933" w:rsidP="00AE6933">
      <w:pPr>
        <w:pStyle w:val="SingleTxtG"/>
        <w:rPr>
          <w:lang w:val="fr-FR"/>
        </w:rPr>
      </w:pPr>
      <w:r w:rsidRPr="00BA3042">
        <w:rPr>
          <w:lang w:val="fr-FR"/>
        </w:rPr>
        <w:t>104.</w:t>
      </w:r>
      <w:r w:rsidRPr="00BA3042">
        <w:rPr>
          <w:lang w:val="fr-FR"/>
        </w:rPr>
        <w:tab/>
        <w:t>Depuis qu’une analyse de la situation et des problèmes de logement social en République de Macédoine a été réalisée, la Stratégie en faveur des Roms est mise en œuvre par le biais du Plan national d’action pour le logement. (On trouvera plus de détails dans la troisième partie du document de base commun sur les instruments des Nations Unies relatifs aux droits de l’homme (HRI/CORE/MKD/2013).)</w:t>
      </w:r>
    </w:p>
    <w:p w:rsidR="00AE6933" w:rsidRPr="00BA3042" w:rsidRDefault="00AE6933" w:rsidP="00AE6933">
      <w:pPr>
        <w:pStyle w:val="SingleTxtG"/>
        <w:rPr>
          <w:lang w:val="fr-FR"/>
        </w:rPr>
      </w:pPr>
      <w:r w:rsidRPr="00BA3042">
        <w:rPr>
          <w:lang w:val="fr-FR"/>
        </w:rPr>
        <w:t>105.</w:t>
      </w:r>
      <w:r w:rsidRPr="00BA3042">
        <w:rPr>
          <w:lang w:val="fr-FR"/>
        </w:rPr>
        <w:tab/>
        <w:t xml:space="preserve">Sous l’angle environnemental, l’emplacement des logements sociaux planifiés et construits pour les personnes à faible revenu sont des sites sélectionnés conformément aux plans généraux et détaillés d’urbanisme pour les zones résidentielles; leur sélection nécessite l’établissement d’une évaluation d’impact sur l’environnement, dans les termes prévus par la loi sur la planification physique et l’urbanisme. </w:t>
      </w:r>
    </w:p>
    <w:p w:rsidR="00AE6933" w:rsidRPr="00BA3042" w:rsidRDefault="00AE6933" w:rsidP="00AE6933">
      <w:pPr>
        <w:pStyle w:val="SingleTxtG"/>
        <w:rPr>
          <w:lang w:val="fr-FR"/>
        </w:rPr>
      </w:pPr>
      <w:r w:rsidRPr="00BA3042">
        <w:rPr>
          <w:lang w:val="fr-FR"/>
        </w:rPr>
        <w:t>106.</w:t>
      </w:r>
      <w:r w:rsidRPr="00BA3042">
        <w:rPr>
          <w:lang w:val="fr-FR"/>
        </w:rPr>
        <w:tab/>
        <w:t xml:space="preserve">En vertu de la Constitution, tous les citoyens sont égaux en droits et en libertés, sans distinction de sexe, de race, de couleur de peau, d’origine nationale et sociale, d’opinions politiques et de foi, de fortune et de statut social, ce qui exclut toute discrimination à l’égard des personnes et des groupes vulnérables et marginalisés (comme les ethnies minoritaires), qui sont particulièrement exposés au risque d’expulsion forcée. Des mesures ont été prises pour garantir une approche exempte de discrimination en cas d’expulsion forcée. Le droit à l’inviolabilité du domicile ne peut être restreint que sur décision de justice, afin de détecter ou prévenir un crime, ou pour protéger la santé publique. </w:t>
      </w:r>
    </w:p>
    <w:p w:rsidR="00AE6933" w:rsidRPr="00BA3042" w:rsidRDefault="00AE6933" w:rsidP="00AE6933">
      <w:pPr>
        <w:pStyle w:val="SingleTxtG"/>
        <w:rPr>
          <w:lang w:val="fr-FR"/>
        </w:rPr>
      </w:pPr>
      <w:r w:rsidRPr="00BA3042">
        <w:rPr>
          <w:lang w:val="fr-FR"/>
        </w:rPr>
        <w:t>107.</w:t>
      </w:r>
      <w:r w:rsidRPr="00BA3042">
        <w:rPr>
          <w:lang w:val="fr-FR"/>
        </w:rPr>
        <w:tab/>
        <w:t>En vertu de la décision du Gouvernement datée du 9 décembre 2001, le Ministère du travail et de la politique sociale est l’autorité chargée du dossier des personnes déplacées à l’intérieur des frontières et du maintien à jour des bases de données concernant ces personnes. Conformément aux dispositions de la Convention européenne des droits de l’homme (protocole 4, Strasbourg, 16 septembre 1963) et des principes directeurs relatifs aux déplacements de personnes à l’intérieur de leur propre pays, le Gouvernement continue d’agir en faveur de ces personnes. En vertu de la décision du Gouvernement n</w:t>
      </w:r>
      <w:r w:rsidRPr="00BA3042">
        <w:rPr>
          <w:vertAlign w:val="superscript"/>
          <w:lang w:val="fr-FR"/>
        </w:rPr>
        <w:t>o</w:t>
      </w:r>
      <w:r w:rsidRPr="00BA3042">
        <w:rPr>
          <w:lang w:val="fr-FR"/>
        </w:rPr>
        <w:t xml:space="preserve"> 19-5787/1 du 28 novembre 2006, les familles qui ne sont pas satisfaites des conditions de logement dans les centres collectifs se voient accorder la possibilité de quitter les centres collectifs pour aménager dans un logement privé et le Ministère prend en charge leur loyer mensuel et leur fournit une assistance pécuniaire mensuelle dont le montant varie en fonction du nombre de membres de la famille. </w:t>
      </w:r>
    </w:p>
    <w:p w:rsidR="00AE6933" w:rsidRPr="00BA3042" w:rsidRDefault="00AE6933" w:rsidP="00AE6933">
      <w:pPr>
        <w:pStyle w:val="SingleTxtG"/>
        <w:rPr>
          <w:lang w:val="fr-FR"/>
        </w:rPr>
      </w:pPr>
      <w:r w:rsidRPr="00BA3042">
        <w:rPr>
          <w:lang w:val="fr-FR"/>
        </w:rPr>
        <w:t>108.</w:t>
      </w:r>
      <w:r w:rsidRPr="00BA3042">
        <w:rPr>
          <w:lang w:val="fr-FR"/>
        </w:rPr>
        <w:tab/>
        <w:t>Les personnes déplacées à l’intérieur des frontières qui ne peuvent pas ou ne souhaitent pas retourner à leur ancien domicile et qui n’ont pas été indemnisées par l’État pour les dégâts matériels causés par la crise de 2001 conservent leur statut de personnes déplacées et le Gouvernement leur accorde une aide adéquate.</w:t>
      </w:r>
    </w:p>
    <w:p w:rsidR="00AE6933" w:rsidRPr="00BA3042" w:rsidRDefault="00AE6933" w:rsidP="00AE6933">
      <w:pPr>
        <w:pStyle w:val="SingleTxtG"/>
        <w:rPr>
          <w:lang w:val="fr-FR"/>
        </w:rPr>
      </w:pPr>
      <w:r w:rsidRPr="00BA3042">
        <w:rPr>
          <w:lang w:val="fr-FR"/>
        </w:rPr>
        <w:t>109.</w:t>
      </w:r>
      <w:r w:rsidRPr="00BA3042">
        <w:rPr>
          <w:lang w:val="fr-FR"/>
        </w:rPr>
        <w:tab/>
        <w:t xml:space="preserve">Le nombre de ces personnes a considérablement diminué, car la plupart d’entre elles ont reçu des dommages-intérêts de l’État à l’issue d’une procédure judiciaire. </w:t>
      </w:r>
    </w:p>
    <w:p w:rsidR="00AE6933" w:rsidRPr="00BA3042" w:rsidRDefault="00AE6933" w:rsidP="00AE6933">
      <w:pPr>
        <w:pStyle w:val="H1G"/>
        <w:rPr>
          <w:lang w:val="fr-FR"/>
        </w:rPr>
      </w:pPr>
      <w:r w:rsidRPr="00BA3042">
        <w:rPr>
          <w:lang w:val="fr-FR"/>
        </w:rPr>
        <w:tab/>
      </w:r>
      <w:r w:rsidRPr="00BA3042">
        <w:rPr>
          <w:lang w:val="fr-FR"/>
        </w:rPr>
        <w:tab/>
        <w:t>Article 12</w:t>
      </w:r>
      <w:r w:rsidRPr="00BA3042">
        <w:rPr>
          <w:lang w:val="fr-FR"/>
        </w:rPr>
        <w:br/>
        <w:t>Réponse aux recommandations n</w:t>
      </w:r>
      <w:r w:rsidRPr="00BA3042">
        <w:rPr>
          <w:vertAlign w:val="superscript"/>
          <w:lang w:val="fr-FR"/>
        </w:rPr>
        <w:t>os</w:t>
      </w:r>
      <w:r w:rsidRPr="00BA3042">
        <w:rPr>
          <w:lang w:val="fr-FR"/>
        </w:rPr>
        <w:t xml:space="preserve"> 45 et 46 du Comité</w:t>
      </w:r>
    </w:p>
    <w:p w:rsidR="00AE6933" w:rsidRPr="00BA3042" w:rsidRDefault="00AE6933" w:rsidP="00AE6933">
      <w:pPr>
        <w:pStyle w:val="SingleTxtG"/>
        <w:rPr>
          <w:lang w:val="fr-FR"/>
        </w:rPr>
      </w:pPr>
      <w:r w:rsidRPr="00BA3042">
        <w:rPr>
          <w:lang w:val="fr-FR"/>
        </w:rPr>
        <w:t>110.</w:t>
      </w:r>
      <w:r w:rsidRPr="00BA3042">
        <w:rPr>
          <w:lang w:val="fr-FR"/>
        </w:rPr>
        <w:tab/>
        <w:t>Le Ministère de la santé est en train de modifier en profondeur ce secteur afin d’améliorer le système et les soins de santé pour répondre aux besoins de la population. Ces modifications sont conformes aux stratégies, politiques et lois de l’Union européenne.</w:t>
      </w:r>
    </w:p>
    <w:p w:rsidR="00AE6933" w:rsidRPr="00BA3042" w:rsidRDefault="00AE6933" w:rsidP="00AE6933">
      <w:pPr>
        <w:pStyle w:val="SingleTxtG"/>
        <w:rPr>
          <w:lang w:val="fr-FR"/>
        </w:rPr>
      </w:pPr>
      <w:r w:rsidRPr="00BA3042">
        <w:rPr>
          <w:lang w:val="fr-FR"/>
        </w:rPr>
        <w:t>111.</w:t>
      </w:r>
      <w:r w:rsidRPr="00BA3042">
        <w:rPr>
          <w:lang w:val="fr-FR"/>
        </w:rPr>
        <w:tab/>
        <w:t>À la base du système de santé de la République de Macédoine se trouvent les soins de santé primaire, orientés vers l’individu, la famille et la collectivité, mettant l’accent sur la prévention et la prise en charge de la plupart des besoins de santé de la population. Les soins préventifs sont assurés par différentes organisations publiques et privées, allant du cabinet du généraliste aux établissements médicaux, offrant des services de prévention, de promotion et de soins curatifs.</w:t>
      </w:r>
    </w:p>
    <w:p w:rsidR="00AE6933" w:rsidRPr="00BA3042" w:rsidRDefault="00AE6933" w:rsidP="00AE6933">
      <w:pPr>
        <w:pStyle w:val="SingleTxtG"/>
        <w:rPr>
          <w:lang w:val="fr-FR"/>
        </w:rPr>
      </w:pPr>
      <w:r w:rsidRPr="00BA3042">
        <w:rPr>
          <w:lang w:val="fr-FR"/>
        </w:rPr>
        <w:t>112.</w:t>
      </w:r>
      <w:r w:rsidRPr="00BA3042">
        <w:rPr>
          <w:lang w:val="fr-FR"/>
        </w:rPr>
        <w:tab/>
        <w:t>L’un des principes fondamentaux sous-tendant le système de soins de santé est celui de l’accessibilité.</w:t>
      </w:r>
    </w:p>
    <w:p w:rsidR="00AE6933" w:rsidRPr="00BA3042" w:rsidRDefault="00AE6933" w:rsidP="00AE6933">
      <w:pPr>
        <w:pStyle w:val="SingleTxtG"/>
        <w:rPr>
          <w:lang w:val="fr-FR"/>
        </w:rPr>
      </w:pPr>
      <w:r w:rsidRPr="00BA3042">
        <w:rPr>
          <w:lang w:val="fr-FR"/>
        </w:rPr>
        <w:t>113.</w:t>
      </w:r>
      <w:r w:rsidRPr="00BA3042">
        <w:rPr>
          <w:lang w:val="fr-FR"/>
        </w:rPr>
        <w:tab/>
        <w:t xml:space="preserve">Le Ministère de la santé élabore des mécanismes dynamiques pour garantir l’accessibilité des soins de santé primaire, en créant un réseau d’établissements de santé: il a créé 16 cliniques et établi 25 pharmacies dans les zones rurales privées d’infrastructures. Dans les régions difficiles d’accès (zones rurales et montagneuses), le Fonds d’assurance maladie propose des conditions particulièrement favorables aux médecins généralistes en appliquant un système de paiement subventionné à taux fixe plutôt qu’un système de rémunération en fonction du nombre de patients. </w:t>
      </w:r>
    </w:p>
    <w:p w:rsidR="00AE6933" w:rsidRPr="00BA3042" w:rsidRDefault="00AE6933" w:rsidP="00AE6933">
      <w:pPr>
        <w:pStyle w:val="SingleTxtG"/>
        <w:rPr>
          <w:lang w:val="fr-FR"/>
        </w:rPr>
      </w:pPr>
      <w:r w:rsidRPr="00BA3042">
        <w:rPr>
          <w:lang w:val="fr-FR"/>
        </w:rPr>
        <w:t>114.</w:t>
      </w:r>
      <w:r w:rsidRPr="00BA3042">
        <w:rPr>
          <w:lang w:val="fr-FR"/>
        </w:rPr>
        <w:tab/>
        <w:t>Tous les établissements de santé sont équipés de rampes d’accès pour fauteuil roulant afin de faciliter l’accès des personnes handicapées.</w:t>
      </w:r>
    </w:p>
    <w:p w:rsidR="00AE6933" w:rsidRPr="00BA3042" w:rsidRDefault="00AE6933" w:rsidP="00AE6933">
      <w:pPr>
        <w:pStyle w:val="SingleTxtG"/>
        <w:rPr>
          <w:lang w:val="fr-FR"/>
        </w:rPr>
      </w:pPr>
      <w:r w:rsidRPr="00BA3042">
        <w:rPr>
          <w:lang w:val="fr-FR"/>
        </w:rPr>
        <w:t>115.</w:t>
      </w:r>
      <w:r w:rsidRPr="00BA3042">
        <w:rPr>
          <w:lang w:val="fr-FR"/>
        </w:rPr>
        <w:tab/>
        <w:t xml:space="preserve">La loi sur les soins de santé dispose que tous les ressortissants nationaux sont couverts par l’assurance maladie, y compris ceux qui n’ont droit à l’assurance maladie à aucun titre. Le Ministère de la santé prend en charge l’assurance maladie des citoyens qui ne sont pas couverts par le régime de l’assurance obligatoire. </w:t>
      </w:r>
    </w:p>
    <w:p w:rsidR="00AE6933" w:rsidRPr="00BA3042" w:rsidRDefault="00AE6933" w:rsidP="00AE6933">
      <w:pPr>
        <w:pStyle w:val="SingleTxtG"/>
        <w:rPr>
          <w:lang w:val="fr-FR"/>
        </w:rPr>
      </w:pPr>
      <w:r w:rsidRPr="00BA3042">
        <w:rPr>
          <w:lang w:val="fr-FR"/>
        </w:rPr>
        <w:t>116.</w:t>
      </w:r>
      <w:r w:rsidRPr="00BA3042">
        <w:rPr>
          <w:lang w:val="fr-FR"/>
        </w:rPr>
        <w:tab/>
        <w:t xml:space="preserve">Afin de protéger les citoyens de certaines maladies et de préserver, suivre et améliorer la santé des femmes enceintes et des nouveau-nés, un programme spécial permet d’allouer des fonds budgétaires pour couvrir la part des frais incombant aux personnes qui utilisent les services de soins de santé. </w:t>
      </w:r>
    </w:p>
    <w:p w:rsidR="00AE6933" w:rsidRPr="00BA3042" w:rsidRDefault="00AE6933" w:rsidP="00AE6933">
      <w:pPr>
        <w:pStyle w:val="SingleTxtG"/>
        <w:rPr>
          <w:lang w:val="fr-FR"/>
        </w:rPr>
      </w:pPr>
      <w:r w:rsidRPr="00BA3042">
        <w:rPr>
          <w:lang w:val="fr-FR"/>
        </w:rPr>
        <w:t>117.</w:t>
      </w:r>
      <w:r w:rsidRPr="00BA3042">
        <w:rPr>
          <w:lang w:val="fr-FR"/>
        </w:rPr>
        <w:tab/>
        <w:t xml:space="preserve">Le Gouvernement prend en charge les frais d’hospitalisation des retraités dont la pension est inférieure au niveau moyen des retraites en République de Macédoine. </w:t>
      </w:r>
    </w:p>
    <w:p w:rsidR="00AE6933" w:rsidRPr="00BA3042" w:rsidRDefault="00AE6933" w:rsidP="00AE6933">
      <w:pPr>
        <w:pStyle w:val="SingleTxtG"/>
        <w:rPr>
          <w:lang w:val="fr-FR"/>
        </w:rPr>
      </w:pPr>
      <w:r w:rsidRPr="00BA3042">
        <w:rPr>
          <w:lang w:val="fr-FR"/>
        </w:rPr>
        <w:t>118.</w:t>
      </w:r>
      <w:r w:rsidRPr="00BA3042">
        <w:rPr>
          <w:lang w:val="fr-FR"/>
        </w:rPr>
        <w:tab/>
        <w:t>Le coût des traitements des patients sous dialyse, des médicaments pour les personnes greffées, des médicaments cytostatiques, de l’insuline et des hormones de croissance, du traitement de l’hémophilie et de certaines autres maladies rares est couvert par des programmes financés par le budget de l’État, conformément à la loi sur les soins de santé.</w:t>
      </w:r>
    </w:p>
    <w:p w:rsidR="00AE6933" w:rsidRPr="00BA3042" w:rsidRDefault="00AE6933" w:rsidP="00AE6933">
      <w:pPr>
        <w:pStyle w:val="SingleTxtG"/>
        <w:rPr>
          <w:lang w:val="fr-FR"/>
        </w:rPr>
      </w:pPr>
      <w:r w:rsidRPr="00BA3042">
        <w:rPr>
          <w:lang w:val="fr-FR"/>
        </w:rPr>
        <w:t>119.</w:t>
      </w:r>
      <w:r w:rsidRPr="00BA3042">
        <w:rPr>
          <w:lang w:val="fr-FR"/>
        </w:rPr>
        <w:tab/>
        <w:t>La loi sur les médicaments et les équipements médicaux (Journal officiel n</w:t>
      </w:r>
      <w:r w:rsidRPr="00BA3042">
        <w:rPr>
          <w:vertAlign w:val="superscript"/>
          <w:lang w:val="fr-FR"/>
        </w:rPr>
        <w:t>o</w:t>
      </w:r>
      <w:r w:rsidRPr="00BA3042">
        <w:rPr>
          <w:lang w:val="fr-FR"/>
        </w:rPr>
        <w:t xml:space="preserve"> 106/07) définit les conditions et modalités permettant de garantir la qualité des médicaments et des équipements médicaux, leur sécurité et efficacité, ainsi que les méthodes et procédures de production, d’expérimentation, de commercialisation, de fixation des prix, les contrôles de qualité, la publicité et les modalités d’inspection les concernant. </w:t>
      </w:r>
    </w:p>
    <w:p w:rsidR="00AE6933" w:rsidRPr="00BA3042" w:rsidRDefault="00AE6933" w:rsidP="00AE6933">
      <w:pPr>
        <w:pStyle w:val="SingleTxtG"/>
        <w:rPr>
          <w:lang w:val="fr-FR"/>
        </w:rPr>
      </w:pPr>
      <w:r w:rsidRPr="00BA3042">
        <w:rPr>
          <w:lang w:val="fr-FR"/>
        </w:rPr>
        <w:t>120.</w:t>
      </w:r>
      <w:r w:rsidRPr="00BA3042">
        <w:rPr>
          <w:lang w:val="fr-FR"/>
        </w:rPr>
        <w:tab/>
        <w:t xml:space="preserve">En janvier 2013, un programme spécial d’éducation des médecins et du personnel médical, conçu pour les membres des professions médicales du réseau des établissements de santé de niveaux II et III, a été adopté afin de renforcer leurs connaissances professionnelles et améliorer la qualité des services de soins de santé. </w:t>
      </w:r>
    </w:p>
    <w:p w:rsidR="00AE6933" w:rsidRPr="00BA3042" w:rsidRDefault="00AE6933" w:rsidP="00AE6933">
      <w:pPr>
        <w:pStyle w:val="SingleTxtG"/>
        <w:rPr>
          <w:lang w:val="fr-FR"/>
        </w:rPr>
      </w:pPr>
      <w:r w:rsidRPr="00BA3042">
        <w:rPr>
          <w:lang w:val="fr-FR"/>
        </w:rPr>
        <w:t>121.</w:t>
      </w:r>
      <w:r w:rsidRPr="00BA3042">
        <w:rPr>
          <w:lang w:val="fr-FR"/>
        </w:rPr>
        <w:tab/>
        <w:t>Un Centre de médicine familiale, chargé d’organiser des ateliers sur divers thèmes axés sur la santé, a été créé. (En 2012, plus de 4 000 personnes ont participé à 130 ateliers consacrés à la médecine fondée sur les preuves).</w:t>
      </w:r>
    </w:p>
    <w:p w:rsidR="00AE6933" w:rsidRPr="00BA3042" w:rsidRDefault="00AE6933" w:rsidP="00AE6933">
      <w:pPr>
        <w:pStyle w:val="SingleTxtG"/>
        <w:rPr>
          <w:lang w:val="fr-FR"/>
        </w:rPr>
      </w:pPr>
      <w:r w:rsidRPr="00BA3042">
        <w:rPr>
          <w:lang w:val="fr-FR"/>
        </w:rPr>
        <w:t>122.</w:t>
      </w:r>
      <w:r w:rsidRPr="00BA3042">
        <w:rPr>
          <w:lang w:val="fr-FR"/>
        </w:rPr>
        <w:tab/>
        <w:t>La loi sur la protection des droits des patients (Journal officiel n</w:t>
      </w:r>
      <w:r w:rsidRPr="00BA3042">
        <w:rPr>
          <w:vertAlign w:val="superscript"/>
          <w:lang w:val="fr-FR"/>
        </w:rPr>
        <w:t>o</w:t>
      </w:r>
      <w:r w:rsidRPr="00BA3042">
        <w:rPr>
          <w:lang w:val="fr-FR"/>
        </w:rPr>
        <w:t> 82/08) régit et définit les droits et les obligations des patients, des membres des professions médicales et des établissements de santé dans le pays. La supervision de l’application de cette loi est assurée par les inspecteurs de l’Inspection de la santé publique; les membres des professions médicales et les conseillers pour la protection des droits des patients ont reçu une formation spécifique.</w:t>
      </w:r>
    </w:p>
    <w:p w:rsidR="00AE6933" w:rsidRPr="00BA3042" w:rsidRDefault="00AE6933" w:rsidP="00AE6933">
      <w:pPr>
        <w:pStyle w:val="SingleTxtG"/>
        <w:rPr>
          <w:lang w:val="fr-FR"/>
        </w:rPr>
      </w:pPr>
      <w:r w:rsidRPr="00BA3042">
        <w:rPr>
          <w:lang w:val="fr-FR"/>
        </w:rPr>
        <w:t>123.</w:t>
      </w:r>
      <w:r w:rsidRPr="00BA3042">
        <w:rPr>
          <w:lang w:val="fr-FR"/>
        </w:rPr>
        <w:tab/>
        <w:t xml:space="preserve">Pour ce qui est des mesures prises en faveur de la santé maternelle et infantile, signalons l’adoption d’une stratégie pour la maternité sans risque en 2010. Cette stratégie repose sur l’introduction d’un livret de la mère, qui sert à informer les femmes enceintes de tous les aspects de la maternité sans risques. Il s’agit d’un document médical permettant de garantir la continuité du suivi médical de la mère et du nouveau-né à tous les niveaux (des soins primaires aux soins spécialisés), mis gratuitement à la disposition de toutes les femmes enceintes. </w:t>
      </w:r>
    </w:p>
    <w:p w:rsidR="00AE6933" w:rsidRPr="00BA3042" w:rsidRDefault="00AE6933" w:rsidP="00AE6933">
      <w:pPr>
        <w:pStyle w:val="SingleTxtG"/>
        <w:rPr>
          <w:sz w:val="24"/>
          <w:szCs w:val="24"/>
          <w:lang w:val="fr-FR"/>
        </w:rPr>
      </w:pPr>
      <w:r w:rsidRPr="00BA3042">
        <w:rPr>
          <w:lang w:val="fr-FR"/>
        </w:rPr>
        <w:t>124.</w:t>
      </w:r>
      <w:r w:rsidRPr="00BA3042">
        <w:rPr>
          <w:lang w:val="fr-FR"/>
        </w:rPr>
        <w:tab/>
        <w:t>En 2012, un plan d’action a été élaboré pour infléchir le taux de mortalité infantile entre 2013 et 2014. Ce plan définit des mesures et des actions concernant les soins avant la conception, et pendant la période anténatale, l’accouchement et la période postnatale. Actuellement, ce plan est révisé pour accorder la priorité à l’amélioration de l’information et la couverture des soins postnataux parmi les groupes marginalisés, et pour renforcer l’action sur le terrain des services de santé afin d’améliorer la prise en charge et l’information de la population quant à l’importance des soins anténataux pour améliorer la santé des mères et des nouveau-nés.</w:t>
      </w:r>
    </w:p>
    <w:p w:rsidR="00AE6933" w:rsidRPr="00BA3042" w:rsidRDefault="00AE6933" w:rsidP="00AE6933">
      <w:pPr>
        <w:pStyle w:val="H23G"/>
        <w:rPr>
          <w:lang w:val="fr-FR"/>
        </w:rPr>
      </w:pPr>
      <w:r w:rsidRPr="00BA3042">
        <w:rPr>
          <w:lang w:val="fr-FR"/>
        </w:rPr>
        <w:tab/>
      </w:r>
      <w:r w:rsidRPr="00BA3042">
        <w:rPr>
          <w:lang w:val="fr-FR"/>
        </w:rPr>
        <w:tab/>
        <w:t>Principaux indicateurs de santé maternelle et infantile en République de Macédoine (2006-2011)</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60"/>
        <w:gridCol w:w="1745"/>
        <w:gridCol w:w="1991"/>
        <w:gridCol w:w="916"/>
        <w:gridCol w:w="1804"/>
        <w:gridCol w:w="1489"/>
      </w:tblGrid>
      <w:tr w:rsidR="00AE6933" w:rsidRPr="00BA3042" w:rsidTr="00E40CAC">
        <w:tc>
          <w:tcPr>
            <w:tcW w:w="560" w:type="dxa"/>
            <w:tcBorders>
              <w:left w:val="nil"/>
              <w:bottom w:val="single" w:sz="12" w:space="0" w:color="auto"/>
              <w:right w:val="nil"/>
            </w:tcBorders>
            <w:vAlign w:val="bottom"/>
          </w:tcPr>
          <w:p w:rsidR="00AE6933" w:rsidRPr="00BA3042" w:rsidRDefault="00AE6933" w:rsidP="00E40CAC">
            <w:pPr>
              <w:spacing w:before="80" w:after="80" w:line="200" w:lineRule="exact"/>
              <w:rPr>
                <w:i/>
                <w:sz w:val="16"/>
                <w:szCs w:val="16"/>
                <w:lang w:val="fr-FR"/>
              </w:rPr>
            </w:pPr>
            <w:r w:rsidRPr="00BA3042">
              <w:rPr>
                <w:i/>
                <w:sz w:val="16"/>
                <w:szCs w:val="16"/>
                <w:lang w:val="fr-FR"/>
              </w:rPr>
              <w:t>Année</w:t>
            </w:r>
          </w:p>
        </w:tc>
        <w:tc>
          <w:tcPr>
            <w:tcW w:w="1745"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Mortalité infantile (sur 1 000 naissances vivantes)</w:t>
            </w:r>
          </w:p>
        </w:tc>
        <w:tc>
          <w:tcPr>
            <w:tcW w:w="1991"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Taux de mortalité néonatale (de 0 à 6 jours) sur</w:t>
            </w:r>
            <w:r w:rsidRPr="00BA3042">
              <w:rPr>
                <w:i/>
                <w:sz w:val="16"/>
                <w:szCs w:val="16"/>
                <w:lang w:val="fr-FR"/>
              </w:rPr>
              <w:br/>
              <w:t>1 000 naissances vivantes</w:t>
            </w:r>
          </w:p>
        </w:tc>
        <w:tc>
          <w:tcPr>
            <w:tcW w:w="916"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Taux de mortalité périnatale</w:t>
            </w:r>
          </w:p>
        </w:tc>
        <w:tc>
          <w:tcPr>
            <w:tcW w:w="1804"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Mortalité des enfants de moins de 5 ans (sur</w:t>
            </w:r>
            <w:r w:rsidRPr="00BA3042">
              <w:rPr>
                <w:i/>
                <w:sz w:val="16"/>
                <w:szCs w:val="16"/>
                <w:lang w:val="fr-FR"/>
              </w:rPr>
              <w:br/>
              <w:t>1 000 naissances vivantes)</w:t>
            </w:r>
          </w:p>
        </w:tc>
        <w:tc>
          <w:tcPr>
            <w:tcW w:w="1489" w:type="dxa"/>
            <w:tcBorders>
              <w:left w:val="nil"/>
              <w:bottom w:val="single" w:sz="12" w:space="0" w:color="auto"/>
              <w:right w:val="nil"/>
            </w:tcBorders>
            <w:vAlign w:val="bottom"/>
          </w:tcPr>
          <w:p w:rsidR="00AE6933" w:rsidRPr="00BA3042" w:rsidRDefault="00AE6933" w:rsidP="00E40CAC">
            <w:pPr>
              <w:spacing w:before="80" w:after="80" w:line="200" w:lineRule="exact"/>
              <w:jc w:val="right"/>
              <w:rPr>
                <w:i/>
                <w:sz w:val="16"/>
                <w:szCs w:val="16"/>
                <w:lang w:val="fr-FR"/>
              </w:rPr>
            </w:pPr>
            <w:r w:rsidRPr="00BA3042">
              <w:rPr>
                <w:i/>
                <w:sz w:val="16"/>
                <w:szCs w:val="16"/>
                <w:lang w:val="fr-FR"/>
              </w:rPr>
              <w:t>Taux de mortalité maternelle (sur un million de naissances vivantes)</w:t>
            </w:r>
          </w:p>
        </w:tc>
      </w:tr>
      <w:tr w:rsidR="00AE6933" w:rsidRPr="00BA3042" w:rsidTr="00E40CAC">
        <w:tc>
          <w:tcPr>
            <w:tcW w:w="560" w:type="dxa"/>
            <w:tcBorders>
              <w:top w:val="single" w:sz="12" w:space="0" w:color="auto"/>
              <w:left w:val="nil"/>
              <w:bottom w:val="nil"/>
              <w:right w:val="nil"/>
            </w:tcBorders>
          </w:tcPr>
          <w:p w:rsidR="00AE6933" w:rsidRPr="00BA3042" w:rsidRDefault="00AE6933" w:rsidP="00E40CAC">
            <w:pPr>
              <w:suppressAutoHyphens w:val="0"/>
              <w:spacing w:before="40" w:after="40" w:line="220" w:lineRule="exact"/>
              <w:rPr>
                <w:bCs/>
                <w:sz w:val="18"/>
                <w:szCs w:val="18"/>
                <w:lang w:val="fr-FR"/>
              </w:rPr>
            </w:pPr>
            <w:r w:rsidRPr="00BA3042">
              <w:rPr>
                <w:bCs/>
                <w:sz w:val="18"/>
                <w:szCs w:val="18"/>
                <w:lang w:val="fr-FR"/>
              </w:rPr>
              <w:t>2006</w:t>
            </w:r>
          </w:p>
        </w:tc>
        <w:tc>
          <w:tcPr>
            <w:tcW w:w="1745"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11,5</w:t>
            </w:r>
          </w:p>
        </w:tc>
        <w:tc>
          <w:tcPr>
            <w:tcW w:w="1991"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6,4</w:t>
            </w:r>
          </w:p>
        </w:tc>
        <w:tc>
          <w:tcPr>
            <w:tcW w:w="916"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15,3</w:t>
            </w:r>
          </w:p>
        </w:tc>
        <w:tc>
          <w:tcPr>
            <w:tcW w:w="1804"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12,9</w:t>
            </w:r>
          </w:p>
        </w:tc>
        <w:tc>
          <w:tcPr>
            <w:tcW w:w="1489" w:type="dxa"/>
            <w:tcBorders>
              <w:top w:val="single" w:sz="12" w:space="0" w:color="auto"/>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4,4</w:t>
            </w:r>
          </w:p>
        </w:tc>
      </w:tr>
      <w:tr w:rsidR="00AE6933" w:rsidRPr="00BA3042" w:rsidTr="00E40CAC">
        <w:tc>
          <w:tcPr>
            <w:tcW w:w="560" w:type="dxa"/>
            <w:tcBorders>
              <w:top w:val="nil"/>
              <w:left w:val="nil"/>
              <w:bottom w:val="nil"/>
              <w:right w:val="nil"/>
            </w:tcBorders>
          </w:tcPr>
          <w:p w:rsidR="00AE6933" w:rsidRPr="00BA3042" w:rsidRDefault="00AE6933" w:rsidP="00E40CAC">
            <w:pPr>
              <w:suppressAutoHyphens w:val="0"/>
              <w:spacing w:before="40" w:after="40" w:line="220" w:lineRule="exact"/>
              <w:rPr>
                <w:bCs/>
                <w:sz w:val="18"/>
                <w:szCs w:val="18"/>
                <w:lang w:val="fr-FR"/>
              </w:rPr>
            </w:pPr>
            <w:r w:rsidRPr="00BA3042">
              <w:rPr>
                <w:bCs/>
                <w:sz w:val="18"/>
                <w:szCs w:val="18"/>
                <w:lang w:val="fr-FR"/>
              </w:rPr>
              <w:t>2007</w:t>
            </w:r>
          </w:p>
        </w:tc>
        <w:tc>
          <w:tcPr>
            <w:tcW w:w="174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10,3</w:t>
            </w:r>
          </w:p>
        </w:tc>
        <w:tc>
          <w:tcPr>
            <w:tcW w:w="19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6,0</w:t>
            </w:r>
          </w:p>
        </w:tc>
        <w:tc>
          <w:tcPr>
            <w:tcW w:w="9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15,3</w:t>
            </w:r>
          </w:p>
        </w:tc>
        <w:tc>
          <w:tcPr>
            <w:tcW w:w="180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11,6</w:t>
            </w:r>
          </w:p>
        </w:tc>
        <w:tc>
          <w:tcPr>
            <w:tcW w:w="148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r>
      <w:tr w:rsidR="00AE6933" w:rsidRPr="00BA3042" w:rsidTr="00E40CAC">
        <w:tc>
          <w:tcPr>
            <w:tcW w:w="560" w:type="dxa"/>
            <w:tcBorders>
              <w:top w:val="nil"/>
              <w:left w:val="nil"/>
              <w:bottom w:val="nil"/>
              <w:right w:val="nil"/>
            </w:tcBorders>
          </w:tcPr>
          <w:p w:rsidR="00AE6933" w:rsidRPr="00BA3042" w:rsidRDefault="00AE6933" w:rsidP="00E40CAC">
            <w:pPr>
              <w:suppressAutoHyphens w:val="0"/>
              <w:spacing w:before="40" w:after="40" w:line="220" w:lineRule="exact"/>
              <w:rPr>
                <w:bCs/>
                <w:sz w:val="18"/>
                <w:szCs w:val="18"/>
                <w:lang w:val="fr-FR"/>
              </w:rPr>
            </w:pPr>
            <w:r w:rsidRPr="00BA3042">
              <w:rPr>
                <w:bCs/>
                <w:sz w:val="18"/>
                <w:szCs w:val="18"/>
                <w:lang w:val="fr-FR"/>
              </w:rPr>
              <w:t>2008</w:t>
            </w:r>
          </w:p>
        </w:tc>
        <w:tc>
          <w:tcPr>
            <w:tcW w:w="174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9,7</w:t>
            </w:r>
          </w:p>
        </w:tc>
        <w:tc>
          <w:tcPr>
            <w:tcW w:w="19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5,0</w:t>
            </w:r>
          </w:p>
        </w:tc>
        <w:tc>
          <w:tcPr>
            <w:tcW w:w="9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14,6</w:t>
            </w:r>
          </w:p>
        </w:tc>
        <w:tc>
          <w:tcPr>
            <w:tcW w:w="180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10,9</w:t>
            </w:r>
          </w:p>
        </w:tc>
        <w:tc>
          <w:tcPr>
            <w:tcW w:w="148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w:t>
            </w:r>
          </w:p>
        </w:tc>
      </w:tr>
      <w:tr w:rsidR="00AE6933" w:rsidRPr="00BA3042" w:rsidTr="00E40CAC">
        <w:tc>
          <w:tcPr>
            <w:tcW w:w="560" w:type="dxa"/>
            <w:tcBorders>
              <w:top w:val="nil"/>
              <w:left w:val="nil"/>
              <w:bottom w:val="nil"/>
              <w:right w:val="nil"/>
            </w:tcBorders>
          </w:tcPr>
          <w:p w:rsidR="00AE6933" w:rsidRPr="00BA3042" w:rsidRDefault="00AE6933" w:rsidP="00E40CAC">
            <w:pPr>
              <w:suppressAutoHyphens w:val="0"/>
              <w:spacing w:before="40" w:after="40" w:line="220" w:lineRule="exact"/>
              <w:rPr>
                <w:bCs/>
                <w:sz w:val="18"/>
                <w:szCs w:val="18"/>
                <w:lang w:val="fr-FR"/>
              </w:rPr>
            </w:pPr>
            <w:r w:rsidRPr="00BA3042">
              <w:rPr>
                <w:bCs/>
                <w:sz w:val="18"/>
                <w:szCs w:val="18"/>
                <w:lang w:val="fr-FR"/>
              </w:rPr>
              <w:t>2009</w:t>
            </w:r>
          </w:p>
        </w:tc>
        <w:tc>
          <w:tcPr>
            <w:tcW w:w="174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11,7</w:t>
            </w:r>
          </w:p>
        </w:tc>
        <w:tc>
          <w:tcPr>
            <w:tcW w:w="19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7,0</w:t>
            </w:r>
          </w:p>
        </w:tc>
        <w:tc>
          <w:tcPr>
            <w:tcW w:w="9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16,4</w:t>
            </w:r>
          </w:p>
        </w:tc>
        <w:tc>
          <w:tcPr>
            <w:tcW w:w="180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13,3</w:t>
            </w:r>
          </w:p>
        </w:tc>
        <w:tc>
          <w:tcPr>
            <w:tcW w:w="148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4,2</w:t>
            </w:r>
          </w:p>
        </w:tc>
      </w:tr>
      <w:tr w:rsidR="00AE6933" w:rsidRPr="00BA3042" w:rsidTr="00E40CAC">
        <w:tc>
          <w:tcPr>
            <w:tcW w:w="560" w:type="dxa"/>
            <w:tcBorders>
              <w:top w:val="nil"/>
              <w:left w:val="nil"/>
              <w:bottom w:val="nil"/>
              <w:right w:val="nil"/>
            </w:tcBorders>
          </w:tcPr>
          <w:p w:rsidR="00AE6933" w:rsidRPr="00BA3042" w:rsidRDefault="00AE6933" w:rsidP="00E40CAC">
            <w:pPr>
              <w:suppressAutoHyphens w:val="0"/>
              <w:spacing w:before="40" w:after="40" w:line="220" w:lineRule="exact"/>
              <w:rPr>
                <w:bCs/>
                <w:sz w:val="18"/>
                <w:szCs w:val="18"/>
                <w:lang w:val="fr-FR"/>
              </w:rPr>
            </w:pPr>
            <w:r w:rsidRPr="00BA3042">
              <w:rPr>
                <w:bCs/>
                <w:sz w:val="18"/>
                <w:szCs w:val="18"/>
                <w:lang w:val="fr-FR"/>
              </w:rPr>
              <w:t>2010</w:t>
            </w:r>
          </w:p>
        </w:tc>
        <w:tc>
          <w:tcPr>
            <w:tcW w:w="1745"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7,6</w:t>
            </w:r>
          </w:p>
        </w:tc>
        <w:tc>
          <w:tcPr>
            <w:tcW w:w="1991"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4,0</w:t>
            </w:r>
          </w:p>
        </w:tc>
        <w:tc>
          <w:tcPr>
            <w:tcW w:w="916"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12,6</w:t>
            </w:r>
          </w:p>
        </w:tc>
        <w:tc>
          <w:tcPr>
            <w:tcW w:w="1804"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8,3</w:t>
            </w:r>
          </w:p>
        </w:tc>
        <w:tc>
          <w:tcPr>
            <w:tcW w:w="1489" w:type="dxa"/>
            <w:tcBorders>
              <w:top w:val="nil"/>
              <w:left w:val="nil"/>
              <w:bottom w:val="nil"/>
              <w:right w:val="nil"/>
            </w:tcBorders>
            <w:vAlign w:val="bottom"/>
          </w:tcPr>
          <w:p w:rsidR="00AE6933" w:rsidRPr="00BA3042" w:rsidRDefault="00AE6933" w:rsidP="00E40CAC">
            <w:pPr>
              <w:suppressAutoHyphens w:val="0"/>
              <w:spacing w:before="40" w:after="40" w:line="220" w:lineRule="exact"/>
              <w:jc w:val="right"/>
              <w:rPr>
                <w:sz w:val="18"/>
                <w:szCs w:val="18"/>
                <w:lang w:val="fr-FR"/>
              </w:rPr>
            </w:pPr>
            <w:r w:rsidRPr="00BA3042">
              <w:rPr>
                <w:sz w:val="18"/>
                <w:szCs w:val="18"/>
                <w:lang w:val="fr-FR"/>
              </w:rPr>
              <w:t>8,2</w:t>
            </w:r>
          </w:p>
        </w:tc>
      </w:tr>
      <w:tr w:rsidR="00AE6933" w:rsidRPr="00BA3042" w:rsidTr="00E40CAC">
        <w:tc>
          <w:tcPr>
            <w:tcW w:w="560" w:type="dxa"/>
            <w:tcBorders>
              <w:top w:val="nil"/>
              <w:left w:val="nil"/>
              <w:bottom w:val="single" w:sz="12" w:space="0" w:color="auto"/>
              <w:right w:val="nil"/>
            </w:tcBorders>
          </w:tcPr>
          <w:p w:rsidR="00AE6933" w:rsidRPr="00BA3042" w:rsidRDefault="00AE6933" w:rsidP="00E40CAC">
            <w:pPr>
              <w:suppressAutoHyphens w:val="0"/>
              <w:spacing w:before="40" w:after="40" w:line="276" w:lineRule="auto"/>
              <w:rPr>
                <w:bCs/>
                <w:sz w:val="18"/>
                <w:szCs w:val="18"/>
                <w:lang w:val="fr-FR"/>
              </w:rPr>
            </w:pPr>
            <w:r w:rsidRPr="00BA3042">
              <w:rPr>
                <w:bCs/>
                <w:sz w:val="18"/>
                <w:szCs w:val="18"/>
                <w:lang w:val="fr-FR"/>
              </w:rPr>
              <w:t>2011</w:t>
            </w:r>
          </w:p>
        </w:tc>
        <w:tc>
          <w:tcPr>
            <w:tcW w:w="1745"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76" w:lineRule="auto"/>
              <w:jc w:val="right"/>
              <w:rPr>
                <w:sz w:val="18"/>
                <w:szCs w:val="18"/>
                <w:lang w:val="fr-FR"/>
              </w:rPr>
            </w:pPr>
            <w:r w:rsidRPr="00BA3042">
              <w:rPr>
                <w:sz w:val="18"/>
                <w:szCs w:val="18"/>
                <w:lang w:val="fr-FR"/>
              </w:rPr>
              <w:t>7,5</w:t>
            </w:r>
          </w:p>
        </w:tc>
        <w:tc>
          <w:tcPr>
            <w:tcW w:w="1991"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76" w:lineRule="auto"/>
              <w:jc w:val="right"/>
              <w:rPr>
                <w:sz w:val="18"/>
                <w:szCs w:val="18"/>
                <w:lang w:val="fr-FR"/>
              </w:rPr>
            </w:pPr>
            <w:r w:rsidRPr="00BA3042">
              <w:rPr>
                <w:sz w:val="18"/>
                <w:szCs w:val="18"/>
                <w:lang w:val="fr-FR"/>
              </w:rPr>
              <w:t>3,5</w:t>
            </w:r>
          </w:p>
        </w:tc>
        <w:tc>
          <w:tcPr>
            <w:tcW w:w="916"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76" w:lineRule="auto"/>
              <w:jc w:val="right"/>
              <w:rPr>
                <w:sz w:val="18"/>
                <w:szCs w:val="18"/>
                <w:lang w:val="fr-FR"/>
              </w:rPr>
            </w:pPr>
            <w:r w:rsidRPr="00BA3042">
              <w:rPr>
                <w:sz w:val="18"/>
                <w:szCs w:val="18"/>
                <w:lang w:val="fr-FR"/>
              </w:rPr>
              <w:t>12,3</w:t>
            </w:r>
          </w:p>
        </w:tc>
        <w:tc>
          <w:tcPr>
            <w:tcW w:w="1804"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76" w:lineRule="auto"/>
              <w:jc w:val="right"/>
              <w:rPr>
                <w:sz w:val="18"/>
                <w:szCs w:val="18"/>
                <w:lang w:val="fr-FR"/>
              </w:rPr>
            </w:pPr>
            <w:r w:rsidRPr="00BA3042">
              <w:rPr>
                <w:sz w:val="18"/>
                <w:szCs w:val="18"/>
                <w:lang w:val="fr-FR"/>
              </w:rPr>
              <w:t>8,6</w:t>
            </w:r>
          </w:p>
        </w:tc>
        <w:tc>
          <w:tcPr>
            <w:tcW w:w="1489" w:type="dxa"/>
            <w:tcBorders>
              <w:top w:val="nil"/>
              <w:left w:val="nil"/>
              <w:bottom w:val="single" w:sz="12" w:space="0" w:color="auto"/>
              <w:right w:val="nil"/>
            </w:tcBorders>
            <w:vAlign w:val="bottom"/>
          </w:tcPr>
          <w:p w:rsidR="00AE6933" w:rsidRPr="00BA3042" w:rsidRDefault="00AE6933" w:rsidP="00E40CAC">
            <w:pPr>
              <w:suppressAutoHyphens w:val="0"/>
              <w:spacing w:before="40" w:after="40" w:line="276" w:lineRule="auto"/>
              <w:jc w:val="right"/>
              <w:rPr>
                <w:sz w:val="18"/>
                <w:szCs w:val="18"/>
                <w:lang w:val="fr-FR"/>
              </w:rPr>
            </w:pPr>
            <w:r w:rsidRPr="00BA3042">
              <w:rPr>
                <w:sz w:val="18"/>
                <w:szCs w:val="18"/>
                <w:lang w:val="fr-FR"/>
              </w:rPr>
              <w:t>4,4</w:t>
            </w:r>
          </w:p>
        </w:tc>
      </w:tr>
    </w:tbl>
    <w:p w:rsidR="00AE6933" w:rsidRPr="00BA3042" w:rsidRDefault="00AE6933" w:rsidP="00AE6933">
      <w:pPr>
        <w:pStyle w:val="SingleTxtG"/>
        <w:spacing w:before="120" w:after="240"/>
        <w:ind w:firstLine="170"/>
        <w:rPr>
          <w:sz w:val="18"/>
          <w:szCs w:val="18"/>
          <w:lang w:val="fr-FR"/>
        </w:rPr>
      </w:pPr>
      <w:r w:rsidRPr="00BA3042">
        <w:rPr>
          <w:i/>
          <w:sz w:val="18"/>
          <w:szCs w:val="18"/>
          <w:lang w:val="fr-FR"/>
        </w:rPr>
        <w:t>Source</w:t>
      </w:r>
      <w:r w:rsidRPr="00BA3042">
        <w:rPr>
          <w:sz w:val="18"/>
          <w:szCs w:val="18"/>
          <w:lang w:val="fr-FR"/>
        </w:rPr>
        <w:t>: Office national des statistiques.</w:t>
      </w:r>
    </w:p>
    <w:p w:rsidR="00AE6933" w:rsidRPr="00BA3042" w:rsidRDefault="00AE6933" w:rsidP="00AE6933">
      <w:pPr>
        <w:pStyle w:val="SingleTxtG"/>
        <w:rPr>
          <w:lang w:val="fr-FR"/>
        </w:rPr>
      </w:pPr>
      <w:r w:rsidRPr="00BA3042">
        <w:rPr>
          <w:lang w:val="fr-FR"/>
        </w:rPr>
        <w:t>125.</w:t>
      </w:r>
      <w:r w:rsidRPr="00BA3042">
        <w:rPr>
          <w:lang w:val="fr-FR"/>
        </w:rPr>
        <w:tab/>
        <w:t>Le volume de travail des services infirmiers à domicile dans le cadre des soins de santé primaire est défini dans le Programme de soins de santé maternelle et infantile financés par le budget de l’État, qui fixe la quantité annuelle de services de santé préventive destinés aux mères et aux enfants. Il est ainsi disposé que les femmes enceintes reçoivent deux visites, les parturientes et les nouveau-nés reçoivent chacun trois visites et chaque nourrisson a droit à cinq visites. En 2011, les services infirmiers à domicile ont assuré, en moyenne, 1,7 visite à chaque femme enceinte, 2,7 visites aux parturientes et 4,5 visites à chaque nouveau-né, ce qui est proche du volume de travail planifié.</w:t>
      </w:r>
    </w:p>
    <w:p w:rsidR="00AE6933" w:rsidRPr="00BA3042" w:rsidRDefault="00AE6933" w:rsidP="00AE6933">
      <w:pPr>
        <w:pStyle w:val="SingleTxtG"/>
        <w:rPr>
          <w:b/>
          <w:lang w:val="fr-FR"/>
        </w:rPr>
      </w:pPr>
      <w:r w:rsidRPr="00BA3042">
        <w:rPr>
          <w:b/>
          <w:lang w:val="fr-FR"/>
        </w:rPr>
        <w:t>Visites effectuées par les services infirmiers à domicile</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95"/>
        <w:gridCol w:w="922"/>
        <w:gridCol w:w="923"/>
        <w:gridCol w:w="974"/>
        <w:gridCol w:w="975"/>
        <w:gridCol w:w="920"/>
        <w:gridCol w:w="920"/>
        <w:gridCol w:w="988"/>
        <w:gridCol w:w="988"/>
      </w:tblGrid>
      <w:tr w:rsidR="00AE6933" w:rsidRPr="00BA3042" w:rsidTr="00E40CAC">
        <w:tc>
          <w:tcPr>
            <w:tcW w:w="895" w:type="dxa"/>
            <w:vMerge w:val="restart"/>
            <w:tcBorders>
              <w:left w:val="nil"/>
              <w:right w:val="nil"/>
            </w:tcBorders>
            <w:shd w:val="clear" w:color="auto" w:fill="auto"/>
          </w:tcPr>
          <w:p w:rsidR="00AE6933" w:rsidRPr="00BA3042" w:rsidRDefault="00AE6933" w:rsidP="00E40CAC">
            <w:pPr>
              <w:spacing w:before="80" w:after="80" w:line="200" w:lineRule="exact"/>
              <w:ind w:right="-108"/>
              <w:jc w:val="center"/>
              <w:rPr>
                <w:sz w:val="16"/>
                <w:szCs w:val="16"/>
                <w:lang w:val="fr-FR"/>
              </w:rPr>
            </w:pPr>
          </w:p>
        </w:tc>
        <w:tc>
          <w:tcPr>
            <w:tcW w:w="1845" w:type="dxa"/>
            <w:gridSpan w:val="2"/>
            <w:tcBorders>
              <w:left w:val="nil"/>
              <w:bottom w:val="single" w:sz="4" w:space="0" w:color="auto"/>
              <w:right w:val="single" w:sz="24" w:space="0" w:color="FFFFFF"/>
            </w:tcBorders>
            <w:shd w:val="clear" w:color="auto" w:fill="auto"/>
          </w:tcPr>
          <w:p w:rsidR="00AE6933" w:rsidRPr="00BA3042" w:rsidRDefault="00AE6933" w:rsidP="00E40CAC">
            <w:pPr>
              <w:spacing w:before="80" w:after="80" w:line="200" w:lineRule="exact"/>
              <w:ind w:right="-108"/>
              <w:jc w:val="center"/>
              <w:rPr>
                <w:i/>
                <w:sz w:val="16"/>
                <w:szCs w:val="16"/>
                <w:lang w:val="fr-FR"/>
              </w:rPr>
            </w:pPr>
            <w:r w:rsidRPr="00BA3042">
              <w:rPr>
                <w:i/>
                <w:sz w:val="16"/>
                <w:szCs w:val="16"/>
                <w:lang w:val="fr-FR"/>
              </w:rPr>
              <w:t>Nouveau-nés</w:t>
            </w:r>
          </w:p>
        </w:tc>
        <w:tc>
          <w:tcPr>
            <w:tcW w:w="1949" w:type="dxa"/>
            <w:gridSpan w:val="2"/>
            <w:tcBorders>
              <w:left w:val="single" w:sz="24" w:space="0" w:color="FFFFFF"/>
              <w:bottom w:val="single" w:sz="4" w:space="0" w:color="auto"/>
              <w:right w:val="single" w:sz="24" w:space="0" w:color="FFFFFF"/>
            </w:tcBorders>
            <w:shd w:val="clear" w:color="auto" w:fill="auto"/>
          </w:tcPr>
          <w:p w:rsidR="00AE6933" w:rsidRPr="00BA3042" w:rsidRDefault="00AE6933" w:rsidP="00E40CAC">
            <w:pPr>
              <w:spacing w:before="80" w:after="80" w:line="200" w:lineRule="exact"/>
              <w:ind w:right="-108"/>
              <w:jc w:val="center"/>
              <w:rPr>
                <w:i/>
                <w:sz w:val="16"/>
                <w:szCs w:val="16"/>
                <w:lang w:val="fr-FR"/>
              </w:rPr>
            </w:pPr>
            <w:r w:rsidRPr="00BA3042">
              <w:rPr>
                <w:i/>
                <w:sz w:val="16"/>
                <w:szCs w:val="16"/>
                <w:lang w:val="fr-FR"/>
              </w:rPr>
              <w:t>Nourrissons</w:t>
            </w:r>
          </w:p>
        </w:tc>
        <w:tc>
          <w:tcPr>
            <w:tcW w:w="1840" w:type="dxa"/>
            <w:gridSpan w:val="2"/>
            <w:tcBorders>
              <w:left w:val="single" w:sz="24" w:space="0" w:color="FFFFFF"/>
              <w:bottom w:val="single" w:sz="4" w:space="0" w:color="auto"/>
              <w:right w:val="single" w:sz="24" w:space="0" w:color="FFFFFF"/>
            </w:tcBorders>
            <w:shd w:val="clear" w:color="auto" w:fill="auto"/>
          </w:tcPr>
          <w:p w:rsidR="00AE6933" w:rsidRPr="00BA3042" w:rsidRDefault="00AE6933" w:rsidP="00E40CAC">
            <w:pPr>
              <w:spacing w:before="80" w:after="80" w:line="200" w:lineRule="exact"/>
              <w:ind w:right="-108"/>
              <w:jc w:val="center"/>
              <w:rPr>
                <w:i/>
                <w:sz w:val="16"/>
                <w:szCs w:val="16"/>
                <w:lang w:val="fr-FR"/>
              </w:rPr>
            </w:pPr>
            <w:r w:rsidRPr="00BA3042">
              <w:rPr>
                <w:i/>
                <w:sz w:val="16"/>
                <w:szCs w:val="16"/>
                <w:lang w:val="fr-FR"/>
              </w:rPr>
              <w:t>Femmes enceintes</w:t>
            </w:r>
          </w:p>
        </w:tc>
        <w:tc>
          <w:tcPr>
            <w:tcW w:w="1976" w:type="dxa"/>
            <w:gridSpan w:val="2"/>
            <w:tcBorders>
              <w:left w:val="single" w:sz="24" w:space="0" w:color="FFFFFF"/>
              <w:bottom w:val="single" w:sz="4" w:space="0" w:color="auto"/>
              <w:right w:val="nil"/>
            </w:tcBorders>
            <w:shd w:val="clear" w:color="auto" w:fill="auto"/>
          </w:tcPr>
          <w:p w:rsidR="00AE6933" w:rsidRPr="00BA3042" w:rsidRDefault="00AE6933" w:rsidP="00E40CAC">
            <w:pPr>
              <w:spacing w:before="80" w:after="80" w:line="200" w:lineRule="exact"/>
              <w:ind w:right="-108"/>
              <w:jc w:val="center"/>
              <w:rPr>
                <w:i/>
                <w:sz w:val="16"/>
                <w:szCs w:val="16"/>
                <w:lang w:val="fr-FR"/>
              </w:rPr>
            </w:pPr>
            <w:r w:rsidRPr="00BA3042">
              <w:rPr>
                <w:i/>
                <w:sz w:val="16"/>
                <w:szCs w:val="16"/>
                <w:lang w:val="fr-FR"/>
              </w:rPr>
              <w:t>Parturientes</w:t>
            </w:r>
          </w:p>
        </w:tc>
      </w:tr>
      <w:tr w:rsidR="00AE6933" w:rsidRPr="00BA3042" w:rsidTr="00E40CAC">
        <w:tc>
          <w:tcPr>
            <w:tcW w:w="895" w:type="dxa"/>
            <w:vMerge/>
            <w:tcBorders>
              <w:left w:val="nil"/>
              <w:bottom w:val="single" w:sz="12" w:space="0" w:color="auto"/>
              <w:right w:val="nil"/>
            </w:tcBorders>
            <w:shd w:val="clear" w:color="auto" w:fill="auto"/>
            <w:vAlign w:val="bottom"/>
          </w:tcPr>
          <w:p w:rsidR="00AE6933" w:rsidRPr="00BA3042" w:rsidRDefault="00AE6933" w:rsidP="00E40CAC">
            <w:pPr>
              <w:spacing w:before="40" w:after="40" w:line="220" w:lineRule="exact"/>
              <w:ind w:right="-108"/>
              <w:jc w:val="right"/>
              <w:rPr>
                <w:sz w:val="16"/>
                <w:szCs w:val="16"/>
                <w:lang w:val="fr-FR"/>
              </w:rPr>
            </w:pPr>
          </w:p>
        </w:tc>
        <w:tc>
          <w:tcPr>
            <w:tcW w:w="922"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2010</w:t>
            </w:r>
          </w:p>
        </w:tc>
        <w:tc>
          <w:tcPr>
            <w:tcW w:w="923" w:type="dxa"/>
            <w:tcBorders>
              <w:left w:val="nil"/>
              <w:bottom w:val="single" w:sz="12" w:space="0" w:color="auto"/>
              <w:right w:val="single" w:sz="24" w:space="0" w:color="FFFFFF"/>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2011</w:t>
            </w:r>
          </w:p>
        </w:tc>
        <w:tc>
          <w:tcPr>
            <w:tcW w:w="974" w:type="dxa"/>
            <w:tcBorders>
              <w:left w:val="single" w:sz="24" w:space="0" w:color="FFFFFF"/>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2010</w:t>
            </w:r>
          </w:p>
        </w:tc>
        <w:tc>
          <w:tcPr>
            <w:tcW w:w="975" w:type="dxa"/>
            <w:tcBorders>
              <w:left w:val="nil"/>
              <w:bottom w:val="single" w:sz="12" w:space="0" w:color="auto"/>
              <w:right w:val="single" w:sz="24" w:space="0" w:color="FFFFFF"/>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2011</w:t>
            </w:r>
          </w:p>
        </w:tc>
        <w:tc>
          <w:tcPr>
            <w:tcW w:w="920" w:type="dxa"/>
            <w:tcBorders>
              <w:left w:val="single" w:sz="24" w:space="0" w:color="FFFFFF"/>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2010</w:t>
            </w:r>
          </w:p>
        </w:tc>
        <w:tc>
          <w:tcPr>
            <w:tcW w:w="920" w:type="dxa"/>
            <w:tcBorders>
              <w:left w:val="nil"/>
              <w:bottom w:val="single" w:sz="12" w:space="0" w:color="auto"/>
              <w:right w:val="single" w:sz="24" w:space="0" w:color="FFFFFF"/>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2011</w:t>
            </w:r>
          </w:p>
        </w:tc>
        <w:tc>
          <w:tcPr>
            <w:tcW w:w="988" w:type="dxa"/>
            <w:tcBorders>
              <w:left w:val="single" w:sz="24" w:space="0" w:color="FFFFFF"/>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2010</w:t>
            </w:r>
          </w:p>
        </w:tc>
        <w:tc>
          <w:tcPr>
            <w:tcW w:w="988"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i/>
                <w:iCs/>
                <w:sz w:val="16"/>
                <w:szCs w:val="16"/>
                <w:lang w:val="fr-FR" w:eastAsia="en-GB"/>
              </w:rPr>
            </w:pPr>
            <w:r w:rsidRPr="00BA3042">
              <w:rPr>
                <w:i/>
                <w:iCs/>
                <w:sz w:val="16"/>
                <w:szCs w:val="16"/>
                <w:lang w:val="fr-FR" w:eastAsia="en-GB"/>
              </w:rPr>
              <w:t>2011</w:t>
            </w:r>
          </w:p>
        </w:tc>
      </w:tr>
      <w:tr w:rsidR="00AE6933" w:rsidRPr="00BA3042" w:rsidTr="00E40CAC">
        <w:tc>
          <w:tcPr>
            <w:tcW w:w="895" w:type="dxa"/>
            <w:tcBorders>
              <w:top w:val="single" w:sz="12" w:space="0" w:color="auto"/>
              <w:left w:val="nil"/>
              <w:bottom w:val="single" w:sz="4" w:space="0" w:color="auto"/>
              <w:right w:val="nil"/>
            </w:tcBorders>
            <w:shd w:val="clear" w:color="auto" w:fill="auto"/>
          </w:tcPr>
          <w:p w:rsidR="00AE6933" w:rsidRPr="00BA3042" w:rsidRDefault="00AE6933" w:rsidP="00E40CAC">
            <w:pPr>
              <w:spacing w:before="80" w:after="80" w:line="220" w:lineRule="exact"/>
              <w:ind w:firstLine="284"/>
              <w:rPr>
                <w:b/>
                <w:sz w:val="18"/>
                <w:szCs w:val="18"/>
                <w:lang w:val="fr-FR"/>
              </w:rPr>
            </w:pPr>
            <w:r w:rsidRPr="00BA3042">
              <w:rPr>
                <w:b/>
                <w:sz w:val="18"/>
                <w:szCs w:val="18"/>
                <w:lang w:val="fr-FR"/>
              </w:rPr>
              <w:t>Total</w:t>
            </w:r>
          </w:p>
        </w:tc>
        <w:tc>
          <w:tcPr>
            <w:tcW w:w="922"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50 464</w:t>
            </w:r>
          </w:p>
        </w:tc>
        <w:tc>
          <w:tcPr>
            <w:tcW w:w="923"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47 314</w:t>
            </w:r>
          </w:p>
        </w:tc>
        <w:tc>
          <w:tcPr>
            <w:tcW w:w="974"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65 131</w:t>
            </w:r>
          </w:p>
        </w:tc>
        <w:tc>
          <w:tcPr>
            <w:tcW w:w="975"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64 169</w:t>
            </w:r>
          </w:p>
        </w:tc>
        <w:tc>
          <w:tcPr>
            <w:tcW w:w="920"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23 330</w:t>
            </w:r>
          </w:p>
        </w:tc>
        <w:tc>
          <w:tcPr>
            <w:tcW w:w="920"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21 181</w:t>
            </w:r>
          </w:p>
        </w:tc>
        <w:tc>
          <w:tcPr>
            <w:tcW w:w="988"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21 242</w:t>
            </w:r>
          </w:p>
        </w:tc>
        <w:tc>
          <w:tcPr>
            <w:tcW w:w="988" w:type="dxa"/>
            <w:tcBorders>
              <w:top w:val="single" w:sz="12" w:space="0" w:color="auto"/>
              <w:left w:val="nil"/>
              <w:bottom w:val="single" w:sz="4" w:space="0" w:color="auto"/>
              <w:right w:val="nil"/>
            </w:tcBorders>
            <w:shd w:val="clear" w:color="auto" w:fill="auto"/>
            <w:vAlign w:val="bottom"/>
          </w:tcPr>
          <w:p w:rsidR="00AE6933" w:rsidRPr="00BA3042" w:rsidRDefault="00AE6933" w:rsidP="00E40CAC">
            <w:pPr>
              <w:suppressAutoHyphens w:val="0"/>
              <w:spacing w:before="80" w:after="80" w:line="220" w:lineRule="exact"/>
              <w:ind w:firstLine="284"/>
              <w:jc w:val="right"/>
              <w:rPr>
                <w:b/>
                <w:bCs/>
                <w:sz w:val="18"/>
                <w:szCs w:val="18"/>
                <w:lang w:val="fr-FR" w:eastAsia="en-GB"/>
              </w:rPr>
            </w:pPr>
            <w:r w:rsidRPr="00BA3042">
              <w:rPr>
                <w:b/>
                <w:bCs/>
                <w:sz w:val="18"/>
                <w:szCs w:val="18"/>
                <w:lang w:val="fr-FR" w:eastAsia="en-GB"/>
              </w:rPr>
              <w:t>20 395</w:t>
            </w:r>
          </w:p>
        </w:tc>
      </w:tr>
      <w:tr w:rsidR="00AE6933" w:rsidRPr="00BA3042" w:rsidTr="00E40CAC">
        <w:tc>
          <w:tcPr>
            <w:tcW w:w="895" w:type="dxa"/>
            <w:tcBorders>
              <w:left w:val="nil"/>
              <w:bottom w:val="single" w:sz="12" w:space="0" w:color="auto"/>
              <w:right w:val="nil"/>
            </w:tcBorders>
            <w:shd w:val="clear" w:color="auto" w:fill="auto"/>
          </w:tcPr>
          <w:p w:rsidR="00AE6933" w:rsidRPr="00BA3042" w:rsidRDefault="00AE6933" w:rsidP="00E40CAC">
            <w:pPr>
              <w:spacing w:before="40" w:after="40" w:line="220" w:lineRule="exact"/>
              <w:ind w:right="-108"/>
              <w:rPr>
                <w:sz w:val="18"/>
                <w:szCs w:val="18"/>
                <w:lang w:val="fr-FR"/>
              </w:rPr>
            </w:pPr>
            <w:r w:rsidRPr="00BA3042">
              <w:rPr>
                <w:sz w:val="18"/>
                <w:szCs w:val="18"/>
                <w:lang w:val="fr-FR"/>
              </w:rPr>
              <w:t>Moyenne</w:t>
            </w:r>
          </w:p>
        </w:tc>
        <w:tc>
          <w:tcPr>
            <w:tcW w:w="922"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2,6</w:t>
            </w:r>
          </w:p>
        </w:tc>
        <w:tc>
          <w:tcPr>
            <w:tcW w:w="923"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2,5</w:t>
            </w:r>
          </w:p>
        </w:tc>
        <w:tc>
          <w:tcPr>
            <w:tcW w:w="974"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4,8</w:t>
            </w:r>
          </w:p>
        </w:tc>
        <w:tc>
          <w:tcPr>
            <w:tcW w:w="975"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4,5</w:t>
            </w:r>
          </w:p>
        </w:tc>
        <w:tc>
          <w:tcPr>
            <w:tcW w:w="920"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1,7</w:t>
            </w:r>
          </w:p>
        </w:tc>
        <w:tc>
          <w:tcPr>
            <w:tcW w:w="920"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1,7</w:t>
            </w:r>
          </w:p>
        </w:tc>
        <w:tc>
          <w:tcPr>
            <w:tcW w:w="988"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2,8</w:t>
            </w:r>
          </w:p>
        </w:tc>
        <w:tc>
          <w:tcPr>
            <w:tcW w:w="988" w:type="dxa"/>
            <w:tcBorders>
              <w:left w:val="nil"/>
              <w:bottom w:val="single" w:sz="12" w:space="0" w:color="auto"/>
              <w:right w:val="nil"/>
            </w:tcBorders>
            <w:shd w:val="clear" w:color="auto" w:fill="auto"/>
            <w:vAlign w:val="bottom"/>
          </w:tcPr>
          <w:p w:rsidR="00AE6933" w:rsidRPr="00BA3042" w:rsidRDefault="00AE6933" w:rsidP="00E40CAC">
            <w:pPr>
              <w:suppressAutoHyphens w:val="0"/>
              <w:spacing w:before="40" w:after="40" w:line="220" w:lineRule="exact"/>
              <w:jc w:val="right"/>
              <w:rPr>
                <w:sz w:val="18"/>
                <w:szCs w:val="18"/>
                <w:lang w:val="fr-FR" w:eastAsia="en-GB"/>
              </w:rPr>
            </w:pPr>
            <w:r w:rsidRPr="00BA3042">
              <w:rPr>
                <w:sz w:val="18"/>
                <w:szCs w:val="18"/>
                <w:lang w:val="fr-FR" w:eastAsia="en-GB"/>
              </w:rPr>
              <w:t>2,7</w:t>
            </w:r>
          </w:p>
        </w:tc>
      </w:tr>
    </w:tbl>
    <w:p w:rsidR="00AE6933" w:rsidRPr="00BA3042" w:rsidRDefault="00AE6933" w:rsidP="00AE6933">
      <w:pPr>
        <w:pStyle w:val="SingleTxtG"/>
        <w:spacing w:before="120" w:after="240"/>
        <w:ind w:firstLine="170"/>
        <w:rPr>
          <w:sz w:val="18"/>
          <w:szCs w:val="18"/>
          <w:lang w:val="fr-FR"/>
        </w:rPr>
      </w:pPr>
      <w:r w:rsidRPr="00BA3042">
        <w:rPr>
          <w:i/>
          <w:sz w:val="18"/>
          <w:szCs w:val="18"/>
          <w:lang w:val="fr-FR"/>
        </w:rPr>
        <w:t>Source</w:t>
      </w:r>
      <w:r w:rsidRPr="00BA3042">
        <w:rPr>
          <w:sz w:val="18"/>
          <w:szCs w:val="18"/>
          <w:lang w:val="fr-FR"/>
        </w:rPr>
        <w:t>: Institut de soins maternels et infantiles.</w:t>
      </w:r>
    </w:p>
    <w:p w:rsidR="00AE6933" w:rsidRPr="00BA3042" w:rsidRDefault="00AE6933" w:rsidP="00AE6933">
      <w:pPr>
        <w:pStyle w:val="SingleTxtG"/>
        <w:rPr>
          <w:lang w:val="fr-FR"/>
        </w:rPr>
      </w:pPr>
      <w:r w:rsidRPr="00BA3042">
        <w:rPr>
          <w:lang w:val="fr-FR"/>
        </w:rPr>
        <w:t>126.</w:t>
      </w:r>
      <w:r w:rsidRPr="00BA3042">
        <w:rPr>
          <w:lang w:val="fr-FR"/>
        </w:rPr>
        <w:tab/>
        <w:t>Plus de précisions sur les mesures prises dans le domaine des soins maternels et infantiles se trouvent dans la troisième partie (art. 12) des quatrième et cinquième rapports périodiques de la République de Macédoine sur l’application de la Convention sur l’élimination de toutes les formes de discrimination à l’égard des femmes (CEDAW/C/</w:t>
      </w:r>
      <w:r w:rsidRPr="00BA3042">
        <w:rPr>
          <w:lang w:val="fr-FR"/>
        </w:rPr>
        <w:br/>
        <w:t>MKD/4-5).</w:t>
      </w:r>
    </w:p>
    <w:p w:rsidR="00AE6933" w:rsidRPr="00BA3042" w:rsidRDefault="00AE6933" w:rsidP="00AE6933">
      <w:pPr>
        <w:pStyle w:val="SingleTxtG"/>
        <w:rPr>
          <w:lang w:val="fr-FR"/>
        </w:rPr>
      </w:pPr>
      <w:r w:rsidRPr="00BA3042">
        <w:rPr>
          <w:lang w:val="fr-FR"/>
        </w:rPr>
        <w:t>127.</w:t>
      </w:r>
      <w:r w:rsidRPr="00BA3042">
        <w:rPr>
          <w:lang w:val="fr-FR"/>
        </w:rPr>
        <w:tab/>
        <w:t>Conformément au Programme national annuel de santé publique, l’Institut de la santé publique et les 10 centres de santé publique contrôlent régulièrement la qualité bactériologique et chimique de l’eau potable dans les zones urbaines et rurales. La qualité de l’eau potable est évaluée, et la morbidité liée aux maladies gastro-intestinales contagieuses chez l’enfant et l’adulte est également surveillée. La chloration de l’eau potable est obligatoire en vertu de la législation nationale et des contrôles réguliers sont également effectués dans les bassins à usage récréatif.</w:t>
      </w:r>
    </w:p>
    <w:p w:rsidR="00AE6933" w:rsidRPr="00BA3042" w:rsidRDefault="00AE6933" w:rsidP="00AE6933">
      <w:pPr>
        <w:pStyle w:val="SingleTxtG"/>
        <w:rPr>
          <w:lang w:val="fr-FR"/>
        </w:rPr>
      </w:pPr>
      <w:r w:rsidRPr="00BA3042">
        <w:rPr>
          <w:lang w:val="fr-FR"/>
        </w:rPr>
        <w:t>128.</w:t>
      </w:r>
      <w:r w:rsidRPr="00BA3042">
        <w:rPr>
          <w:lang w:val="fr-FR"/>
        </w:rPr>
        <w:tab/>
        <w:t>En 2012, le rapport annuel d’évaluation des risques de santé publique concernant l’eau potable et les eaux souterraines a révélé les progrès considérables réalisés en termes d’accès de la population à l’eau potable par rapport à l’année 2011.</w:t>
      </w:r>
    </w:p>
    <w:p w:rsidR="00AE6933" w:rsidRPr="00BA3042" w:rsidRDefault="00AE6933" w:rsidP="00AE6933">
      <w:pPr>
        <w:pStyle w:val="SingleTxtG"/>
        <w:rPr>
          <w:lang w:val="fr-FR"/>
        </w:rPr>
      </w:pPr>
      <w:r w:rsidRPr="00BA3042">
        <w:rPr>
          <w:lang w:val="fr-FR"/>
        </w:rPr>
        <w:t>129.</w:t>
      </w:r>
      <w:r w:rsidRPr="00BA3042">
        <w:rPr>
          <w:lang w:val="fr-FR"/>
        </w:rPr>
        <w:tab/>
        <w:t xml:space="preserve">En République de Macédoine, la vaccination est gratuite et obligatoire pour tous les enfants âgés de 0 à 18 ans. La loi sur la protection de la population contre les maladies infectieuses et le Programme annuel de vaccination obligatoire de la population disposent que la population de la République de Macédoine doit obligatoirement être vaccinée contre certaines maladies infectieuses. </w:t>
      </w:r>
    </w:p>
    <w:p w:rsidR="00AE6933" w:rsidRPr="00BA3042" w:rsidRDefault="00AE6933" w:rsidP="00AE6933">
      <w:pPr>
        <w:pStyle w:val="SingleTxtG"/>
        <w:rPr>
          <w:lang w:val="fr-FR"/>
        </w:rPr>
      </w:pPr>
      <w:r w:rsidRPr="00BA3042">
        <w:rPr>
          <w:lang w:val="fr-FR"/>
        </w:rPr>
        <w:t>130.</w:t>
      </w:r>
      <w:r w:rsidRPr="00BA3042">
        <w:rPr>
          <w:lang w:val="fr-FR"/>
        </w:rPr>
        <w:tab/>
        <w:t>Le Gouvernement adopte des programmes de soins de santé annuels: le Programme national de santé publique, le Programme vaccinal, le Programme de prévention de la brucellose, et le Programme de prévention du VIH/sida. La Stratégie vaccinale nationale (2012-2020), qui définit les mesures générales et les orientations de l’État dans ce domaine à l’horizon 2020, a été adoptée en 2012.</w:t>
      </w:r>
    </w:p>
    <w:p w:rsidR="00AE6933" w:rsidRPr="00BA3042" w:rsidRDefault="00AE6933" w:rsidP="00AE6933">
      <w:pPr>
        <w:pStyle w:val="SingleTxtG"/>
        <w:rPr>
          <w:lang w:val="fr-FR"/>
        </w:rPr>
      </w:pPr>
      <w:r w:rsidRPr="00BA3042">
        <w:rPr>
          <w:lang w:val="fr-FR"/>
        </w:rPr>
        <w:t>131.</w:t>
      </w:r>
      <w:r w:rsidRPr="00BA3042">
        <w:rPr>
          <w:lang w:val="fr-FR"/>
        </w:rPr>
        <w:tab/>
        <w:t>En matière d’épidémies, un plan opérationnel a été conçu, définissant les mesures à prendre avant et pendant une épidémie de grippe. Ce plan définit également les rôles et responsabilités des institutions et des ministères, et il peut également servir de modèle en cas d’épidémie causée par d’autres maladies infectieuses.</w:t>
      </w:r>
    </w:p>
    <w:p w:rsidR="00AE6933" w:rsidRPr="00BA3042" w:rsidRDefault="00AE6933" w:rsidP="00AE6933">
      <w:pPr>
        <w:pStyle w:val="SingleTxtG"/>
        <w:rPr>
          <w:lang w:val="fr-FR"/>
        </w:rPr>
      </w:pPr>
      <w:r w:rsidRPr="00BA3042">
        <w:rPr>
          <w:lang w:val="fr-FR"/>
        </w:rPr>
        <w:t>132.</w:t>
      </w:r>
      <w:r w:rsidRPr="00BA3042">
        <w:rPr>
          <w:lang w:val="fr-FR"/>
        </w:rPr>
        <w:tab/>
        <w:t xml:space="preserve">Les stratégies nationales de 2003 à 2006, 2007 à 2011 et 2012 à 2015, mises en œuvre par le biais du programme annuel concernant le VIH/sida financé par le budget de l’État et du programme relatif au VIH/sida financé par le Fonds mondial de lutte contre le sida, la tuberculose et le paludisme, prévoient un ensemble coordonné de mesures et d’actions visant à maintenir à son bas niveau le taux de prévalence du VIH/sida dans le pays. </w:t>
      </w:r>
    </w:p>
    <w:p w:rsidR="00AE6933" w:rsidRPr="00BA3042" w:rsidRDefault="00AE6933" w:rsidP="00AE6933">
      <w:pPr>
        <w:pStyle w:val="SingleTxtG"/>
        <w:rPr>
          <w:lang w:val="fr-FR"/>
        </w:rPr>
      </w:pPr>
      <w:r w:rsidRPr="00BA3042">
        <w:rPr>
          <w:lang w:val="fr-FR"/>
        </w:rPr>
        <w:t>133.</w:t>
      </w:r>
      <w:r w:rsidRPr="00BA3042">
        <w:rPr>
          <w:lang w:val="fr-FR"/>
        </w:rPr>
        <w:tab/>
        <w:t xml:space="preserve">Conformément aux stratégies nationales concernant le VIH/sida, la prévention inclut l’éducation, la création de centres de dépistage et de conseil anonymes, la distribution de préservatifs masculins, la mise en place d’un système de surveillance épidémiologique et comportementale, et l’amélioration des soins et du soutien fournis aux personnes vivant avec le VIH/sida (thérapie antirétrovirale, etc.). Ces stratégies portent également sur des activités de dépistage précoce des MST chez les femmes en âge de procréer (15 à 64 ans), consistant à assurer des examens gynécologiques et des tests de dépistage du VIH/sida et des MST gratuits, à distribuer des préservatifs masculins et des outils d’information sur la protection. Une campagne médiatique sur la prévention a été organisée. Elle s’adressait aux jeunes et consistait en publicités télévisées, courts messages radiophoniques, annonces sur Internet, dans la presse quotidienne et sur les panneaux d’affichage, et elle a été complétée par une campagne de lutte contre la stigmatisation dans six villes du pays. Des conseils et un dépistage sont proposés sur une base volontaire aux membres de la population risquant d’être contaminés par le VIH/sida dans 14 centres de santé publique. </w:t>
      </w:r>
    </w:p>
    <w:p w:rsidR="00AE6933" w:rsidRPr="00BA3042" w:rsidRDefault="00AE6933" w:rsidP="00AE6933">
      <w:pPr>
        <w:pStyle w:val="SingleTxtG"/>
        <w:rPr>
          <w:lang w:val="fr-FR"/>
        </w:rPr>
      </w:pPr>
      <w:r w:rsidRPr="00BA3042">
        <w:rPr>
          <w:lang w:val="fr-FR"/>
        </w:rPr>
        <w:t>134.</w:t>
      </w:r>
      <w:r w:rsidRPr="00BA3042">
        <w:rPr>
          <w:lang w:val="fr-FR"/>
        </w:rPr>
        <w:tab/>
        <w:t xml:space="preserve">La clinique universitaire spécialisée dans les maladies infectieuses et les états fiévreux offre en continu une thérapie antirétrovirale pour les personnes séropositives et des conseils psychosociaux pour les patients dans le centre de conseils spéciaux de la clinique; là, les patients et les membres de leur famille accèdent gratuitement à tous les services proposés exclusivement en ces lieux. </w:t>
      </w:r>
    </w:p>
    <w:p w:rsidR="00AE6933" w:rsidRPr="00BA3042" w:rsidRDefault="00AE6933" w:rsidP="00AE6933">
      <w:pPr>
        <w:pStyle w:val="SingleTxtG"/>
        <w:rPr>
          <w:lang w:val="fr-FR"/>
        </w:rPr>
      </w:pPr>
      <w:r w:rsidRPr="00BA3042">
        <w:rPr>
          <w:lang w:val="fr-FR"/>
        </w:rPr>
        <w:t>135.</w:t>
      </w:r>
      <w:r w:rsidRPr="00BA3042">
        <w:rPr>
          <w:lang w:val="fr-FR"/>
        </w:rPr>
        <w:tab/>
        <w:t xml:space="preserve">Le programme relatif au VIH/sida porte également sur des actions et des interventions en faveur des usagers de drogues injectables qui suivent une thérapie de substitution, des travailleurs sexuels et des membres de leur famille, des personnes déplacées à l’intérieur des frontières qui sont réadaptées et réinsérées au moyen d’une thérapie par le travail et des personnes séropositives, qui reçoivent soutien et assistance; des cours de formation sont organisés pour ces catégories de personnes, afin de faciliter le processus de leur réinsertion sociale. </w:t>
      </w:r>
    </w:p>
    <w:p w:rsidR="00AE6933" w:rsidRPr="00BA3042" w:rsidRDefault="00AE6933" w:rsidP="00AE6933">
      <w:pPr>
        <w:pStyle w:val="SingleTxtG"/>
        <w:rPr>
          <w:lang w:val="fr-FR"/>
        </w:rPr>
      </w:pPr>
      <w:r w:rsidRPr="00BA3042">
        <w:rPr>
          <w:lang w:val="fr-FR"/>
        </w:rPr>
        <w:t>136.</w:t>
      </w:r>
      <w:r w:rsidRPr="00BA3042">
        <w:rPr>
          <w:lang w:val="fr-FR"/>
        </w:rPr>
        <w:tab/>
        <w:t xml:space="preserve">En République de Macédoine, il existe une liste des médicaments essentiels disponibles, incluant ceux qui sont pris en charge par la caisse d’assurance maladie; les antirétroviraux et les médicaments destinés au traitement des affections chroniques figurent sur cette liste (de même qu’environ 400 médicaments génériques). </w:t>
      </w:r>
    </w:p>
    <w:p w:rsidR="00AE6933" w:rsidRPr="00BA3042" w:rsidRDefault="00AE6933" w:rsidP="00AE6933">
      <w:pPr>
        <w:pStyle w:val="SingleTxtG"/>
        <w:rPr>
          <w:lang w:val="fr-FR"/>
        </w:rPr>
      </w:pPr>
      <w:r w:rsidRPr="00BA3042">
        <w:rPr>
          <w:lang w:val="fr-FR"/>
        </w:rPr>
        <w:t>137.</w:t>
      </w:r>
      <w:r w:rsidRPr="00BA3042">
        <w:rPr>
          <w:lang w:val="fr-FR"/>
        </w:rPr>
        <w:tab/>
        <w:t xml:space="preserve">La thérapie antirétrovirale pour traiter le VIH/sida est fournie dans le cadre du programme annuel concernant le VIH/sida financé par le budget de l’État. Le coût du traitement des personnes dialysées et greffées, des médicaments cytostatiques, de l’insuline et des hormones de croissance, du traitement de l’hémophilie et de certaines maladies rares est pris en charge par des programmes financés par le budget de l’État. </w:t>
      </w:r>
    </w:p>
    <w:p w:rsidR="00AE6933" w:rsidRPr="00BA3042" w:rsidRDefault="00AE6933" w:rsidP="00AE6933">
      <w:pPr>
        <w:pStyle w:val="SingleTxtG"/>
        <w:rPr>
          <w:lang w:val="fr-FR"/>
        </w:rPr>
      </w:pPr>
      <w:r w:rsidRPr="00BA3042">
        <w:rPr>
          <w:lang w:val="fr-FR"/>
        </w:rPr>
        <w:t>138.</w:t>
      </w:r>
      <w:r w:rsidRPr="00BA3042">
        <w:rPr>
          <w:lang w:val="fr-FR"/>
        </w:rPr>
        <w:tab/>
        <w:t xml:space="preserve">En matière de prévention, les ministères concernés (Ministères de l’éducation et des sciences, de la santé et du travail et de la politique sociale), prennent des mesures, conformément à leurs obligations légales et à leurs programmes annuels de travail, pour informer et éduquer la jeunesse et l’ensemble de la population nationale au sujet des stupéfiants. Ils agissent en faveur de la détection précoce, du traitement et de la rééducation des consommateurs de drogues et pour la prévention de la transmission de l’hépatite et du sida. </w:t>
      </w:r>
    </w:p>
    <w:p w:rsidR="00AE6933" w:rsidRPr="00BA3042" w:rsidRDefault="00AE6933" w:rsidP="00AE6933">
      <w:pPr>
        <w:pStyle w:val="SingleTxtG"/>
        <w:rPr>
          <w:lang w:val="fr-FR"/>
        </w:rPr>
      </w:pPr>
      <w:r w:rsidRPr="00BA3042">
        <w:rPr>
          <w:lang w:val="fr-FR"/>
        </w:rPr>
        <w:t>139.</w:t>
      </w:r>
      <w:r w:rsidRPr="00BA3042">
        <w:rPr>
          <w:lang w:val="fr-FR"/>
        </w:rPr>
        <w:tab/>
        <w:t>Une stratégie nationale relative aux stupéfiants a été adoptée. Elle prévoit notamment de mener une vaste gamme d’actions visant à réduire la demande par la prévention, traiter les toxicomanes, réduire les risques associés et apporter une assistance sociale. Les programmes de réduction des risques associés et le programme de thérapie de substitution sont également intégrés à la stratégie nationale concernant le VIH/sida.</w:t>
      </w:r>
    </w:p>
    <w:p w:rsidR="00AE6933" w:rsidRPr="00BA3042" w:rsidRDefault="00AE6933" w:rsidP="00AE6933">
      <w:pPr>
        <w:pStyle w:val="SingleTxtG"/>
        <w:rPr>
          <w:lang w:val="fr-FR"/>
        </w:rPr>
      </w:pPr>
      <w:r w:rsidRPr="00BA3042">
        <w:rPr>
          <w:lang w:val="fr-FR"/>
        </w:rPr>
        <w:t>140.</w:t>
      </w:r>
      <w:r w:rsidRPr="00BA3042">
        <w:rPr>
          <w:lang w:val="fr-FR"/>
        </w:rPr>
        <w:tab/>
        <w:t xml:space="preserve">Le traitement de la toxicomanie est disponible dans les 10 centres de prévention et de services de traitement de la toxicomanie, répartis dans l’ensemble du pays. Le protocole de traitement repose sur une prise en charge ambulatoire et hospitalière, la désintoxication et la thérapie de substitution. Le traitement ambulatoire est le plus commun et inclut la thérapie de substitution, des interventions psychosociales, des conseils individualisés ou en groupe, et la psychothérapie sociale. La prise en charge hospitalière de la toxicomanie consiste à traiter les symptômes de manque. Conformément au programme annuel concernant le VIH/sida, le coût de la thérapie de substitution (méthadone et buprénorphine) est imputé au budget, ce qui permet de traiter environ 1 400 toxicomanes. Sur le territoire de la République de Macédoine, 13 programmes de réduction des risques sont mis en œuvre pour les usagers de drogues injectables en délivrant des seringues stériles. </w:t>
      </w:r>
    </w:p>
    <w:p w:rsidR="00AE6933" w:rsidRPr="00BA3042" w:rsidRDefault="00AE6933" w:rsidP="00AE6933">
      <w:pPr>
        <w:pStyle w:val="SingleTxtG"/>
        <w:rPr>
          <w:lang w:val="fr-FR"/>
        </w:rPr>
      </w:pPr>
      <w:r w:rsidRPr="00BA3042">
        <w:rPr>
          <w:lang w:val="fr-FR"/>
        </w:rPr>
        <w:t>141.</w:t>
      </w:r>
      <w:r w:rsidRPr="00BA3042">
        <w:rPr>
          <w:lang w:val="fr-FR"/>
        </w:rPr>
        <w:tab/>
        <w:t>Le Ministère de l’éducation a introduit dans les programmes d’enseignement des cycles primaire et secondaire des actions visant à informer les jeunes des dangers et des conséquences de l’usage de stupéfiants.</w:t>
      </w:r>
    </w:p>
    <w:p w:rsidR="00AE6933" w:rsidRPr="00BA3042" w:rsidRDefault="00AE6933" w:rsidP="00AE6933">
      <w:pPr>
        <w:pStyle w:val="SingleTxtG"/>
        <w:rPr>
          <w:lang w:val="fr-FR"/>
        </w:rPr>
      </w:pPr>
      <w:r w:rsidRPr="00BA3042">
        <w:rPr>
          <w:lang w:val="fr-FR"/>
        </w:rPr>
        <w:t>142.</w:t>
      </w:r>
      <w:r w:rsidRPr="00BA3042">
        <w:rPr>
          <w:lang w:val="fr-FR"/>
        </w:rPr>
        <w:tab/>
        <w:t xml:space="preserve">La protection contre les conséquences du tabagisme sur la santé est régie par la loi sur les soins de santé, la loi sur la protection contre la tabagie et la législation subsidiaire pertinente. La réglementation antitabac vise à protéger l’environnement; elle interdit de fumer dans certains lieux publics et interdit également la publicité pour les cigarettes et pour les marques commerciales de cigarettes et de tabac. </w:t>
      </w:r>
    </w:p>
    <w:p w:rsidR="00AE6933" w:rsidRPr="00BA3042" w:rsidRDefault="00AE6933" w:rsidP="00AE6933">
      <w:pPr>
        <w:pStyle w:val="SingleTxtG"/>
        <w:rPr>
          <w:lang w:val="fr-FR"/>
        </w:rPr>
      </w:pPr>
      <w:r w:rsidRPr="00BA3042">
        <w:rPr>
          <w:lang w:val="fr-FR"/>
        </w:rPr>
        <w:t>143.</w:t>
      </w:r>
      <w:r w:rsidRPr="00BA3042">
        <w:rPr>
          <w:lang w:val="fr-FR"/>
        </w:rPr>
        <w:tab/>
        <w:t>La Convention-cadre pour la lutte antitabac a été ratifiée en 2006. Dans le cadre de la Stratégie antitabac, visant à garantir et améliorer la protection de la santé de la population de la République de Macédoine, une série de mesures a été mise en œuvre pour réduire la prévalence du tabagisme et protéger les générations actuelles et futures contre les effets du tabagisme actif et passif.</w:t>
      </w:r>
    </w:p>
    <w:p w:rsidR="00AE6933" w:rsidRPr="00BA3042" w:rsidRDefault="00AE6933" w:rsidP="00AE6933">
      <w:pPr>
        <w:pStyle w:val="SingleTxtG"/>
        <w:rPr>
          <w:lang w:val="fr-FR"/>
        </w:rPr>
      </w:pPr>
      <w:r w:rsidRPr="00BA3042">
        <w:rPr>
          <w:lang w:val="fr-FR"/>
        </w:rPr>
        <w:t>144.</w:t>
      </w:r>
      <w:r w:rsidRPr="00BA3042">
        <w:rPr>
          <w:lang w:val="fr-FR"/>
        </w:rPr>
        <w:tab/>
        <w:t xml:space="preserve">Le programme «Santé pour tous» et le programme de bilans médicaux réguliers des élèves et étudiants comporte, outre des examens médicaux préventifs, la distribution de supports pédagogiques et informatifs sur la santé exposant les effets délétères du tabagisme et encourageant un mode de vie sain. </w:t>
      </w:r>
    </w:p>
    <w:p w:rsidR="00AE6933" w:rsidRPr="00BA3042" w:rsidRDefault="00AE6933" w:rsidP="00AE6933">
      <w:pPr>
        <w:pStyle w:val="SingleTxtG"/>
        <w:rPr>
          <w:lang w:val="fr-FR"/>
        </w:rPr>
      </w:pPr>
      <w:r w:rsidRPr="00BA3042">
        <w:rPr>
          <w:lang w:val="fr-FR"/>
        </w:rPr>
        <w:t>145.</w:t>
      </w:r>
      <w:r w:rsidRPr="00BA3042">
        <w:rPr>
          <w:lang w:val="fr-FR"/>
        </w:rPr>
        <w:tab/>
        <w:t>En 2008, le Gouvernement a adopté une stratégie visant à limiter les effets de l’alcool sur la santé de la population (2008-2012), définissant un cadre stratégique pour mettre en œuvre des mesures nationales conformes à la stratégie européenne (COM(2006)625 final).</w:t>
      </w:r>
    </w:p>
    <w:p w:rsidR="00AE6933" w:rsidRPr="00BA3042" w:rsidRDefault="00AE6933" w:rsidP="00AE6933">
      <w:pPr>
        <w:pStyle w:val="SingleTxtG"/>
        <w:rPr>
          <w:lang w:val="fr-FR"/>
        </w:rPr>
      </w:pPr>
      <w:r w:rsidRPr="00BA3042">
        <w:rPr>
          <w:lang w:val="fr-FR"/>
        </w:rPr>
        <w:t>146.</w:t>
      </w:r>
      <w:r w:rsidRPr="00BA3042">
        <w:rPr>
          <w:lang w:val="fr-FR"/>
        </w:rPr>
        <w:tab/>
        <w:t>La loi sur le commerce interdit la vente de boissons alcoolisées aux mineurs, ainsi que la vente de tout alcool entre 19 heures et 6 heures. Elle instaure un registre des débits de boissons alcoolisées, la vente de licences et d’autres mesures. L’analyse des données statistiques concernant les effets des mesures juridiques d’interdiction de la vente d’alcool en soirée montrent une tendance progressive à la diminution de la consommation d’alcool et du nombre de cas d’empoisonnement à l’alcool parmi tous les groupes d’âge (de 450 à 550 cas en 2009, 358 cas en 2010 et 259 en 2011).</w:t>
      </w:r>
    </w:p>
    <w:p w:rsidR="00AE6933" w:rsidRPr="00BA3042" w:rsidRDefault="00AE6933" w:rsidP="00AE6933">
      <w:pPr>
        <w:pStyle w:val="H23G"/>
        <w:rPr>
          <w:lang w:val="fr-FR"/>
        </w:rPr>
      </w:pPr>
      <w:r w:rsidRPr="00BA3042">
        <w:rPr>
          <w:lang w:val="fr-FR"/>
        </w:rPr>
        <w:tab/>
      </w:r>
      <w:r w:rsidRPr="00BA3042">
        <w:rPr>
          <w:lang w:val="fr-FR"/>
        </w:rPr>
        <w:tab/>
        <w:t>Consommation d’alcool par habitant</w:t>
      </w:r>
    </w:p>
    <w:tbl>
      <w:tblPr>
        <w:tblW w:w="7371" w:type="dxa"/>
        <w:tblInd w:w="1134" w:type="dxa"/>
        <w:tblCellMar>
          <w:left w:w="0" w:type="dxa"/>
          <w:right w:w="0" w:type="dxa"/>
        </w:tblCellMar>
        <w:tblLook w:val="04A0"/>
      </w:tblPr>
      <w:tblGrid>
        <w:gridCol w:w="1848"/>
        <w:gridCol w:w="1841"/>
        <w:gridCol w:w="1841"/>
        <w:gridCol w:w="1841"/>
      </w:tblGrid>
      <w:tr w:rsidR="00AE6933" w:rsidRPr="00BA3042" w:rsidTr="00E40CAC">
        <w:tc>
          <w:tcPr>
            <w:tcW w:w="2379" w:type="dxa"/>
            <w:tcBorders>
              <w:top w:val="single" w:sz="2" w:space="0" w:color="auto"/>
              <w:bottom w:val="single" w:sz="12" w:space="0" w:color="auto"/>
            </w:tcBorders>
          </w:tcPr>
          <w:p w:rsidR="00AE6933" w:rsidRPr="00BA3042" w:rsidRDefault="00AE6933" w:rsidP="00E40CAC">
            <w:pPr>
              <w:spacing w:before="80" w:after="80" w:line="200" w:lineRule="exact"/>
              <w:ind w:right="-108"/>
              <w:rPr>
                <w:i/>
                <w:sz w:val="16"/>
                <w:szCs w:val="16"/>
                <w:lang w:val="fr-FR"/>
              </w:rPr>
            </w:pPr>
            <w:r w:rsidRPr="00BA3042">
              <w:rPr>
                <w:i/>
                <w:sz w:val="16"/>
                <w:szCs w:val="16"/>
                <w:lang w:val="fr-FR"/>
              </w:rPr>
              <w:t>Litres</w:t>
            </w:r>
          </w:p>
        </w:tc>
        <w:tc>
          <w:tcPr>
            <w:tcW w:w="2379" w:type="dxa"/>
            <w:tcBorders>
              <w:top w:val="single" w:sz="2" w:space="0" w:color="auto"/>
              <w:bottom w:val="single" w:sz="12" w:space="0" w:color="auto"/>
            </w:tcBorders>
            <w:vAlign w:val="bottom"/>
          </w:tcPr>
          <w:p w:rsidR="00AE6933" w:rsidRPr="00BA3042" w:rsidRDefault="00AE6933" w:rsidP="00E40CAC">
            <w:pPr>
              <w:suppressAutoHyphens w:val="0"/>
              <w:spacing w:before="80" w:after="80" w:line="200" w:lineRule="exact"/>
              <w:ind w:left="113"/>
              <w:jc w:val="right"/>
              <w:rPr>
                <w:i/>
                <w:sz w:val="16"/>
                <w:szCs w:val="16"/>
                <w:lang w:val="fr-FR"/>
              </w:rPr>
            </w:pPr>
            <w:r w:rsidRPr="00BA3042">
              <w:rPr>
                <w:i/>
                <w:sz w:val="16"/>
                <w:szCs w:val="16"/>
                <w:lang w:val="fr-FR"/>
              </w:rPr>
              <w:t>2009</w:t>
            </w:r>
          </w:p>
        </w:tc>
        <w:tc>
          <w:tcPr>
            <w:tcW w:w="2379" w:type="dxa"/>
            <w:tcBorders>
              <w:top w:val="single" w:sz="2" w:space="0" w:color="auto"/>
              <w:bottom w:val="single" w:sz="12" w:space="0" w:color="auto"/>
            </w:tcBorders>
            <w:vAlign w:val="bottom"/>
          </w:tcPr>
          <w:p w:rsidR="00AE6933" w:rsidRPr="00BA3042" w:rsidRDefault="00AE6933" w:rsidP="00E40CAC">
            <w:pPr>
              <w:suppressAutoHyphens w:val="0"/>
              <w:spacing w:before="80" w:after="80" w:line="200" w:lineRule="exact"/>
              <w:ind w:left="113"/>
              <w:jc w:val="right"/>
              <w:rPr>
                <w:i/>
                <w:sz w:val="16"/>
                <w:szCs w:val="16"/>
                <w:lang w:val="fr-FR"/>
              </w:rPr>
            </w:pPr>
            <w:r w:rsidRPr="00BA3042">
              <w:rPr>
                <w:i/>
                <w:sz w:val="16"/>
                <w:szCs w:val="16"/>
                <w:lang w:val="fr-FR"/>
              </w:rPr>
              <w:t>2010</w:t>
            </w:r>
          </w:p>
        </w:tc>
        <w:tc>
          <w:tcPr>
            <w:tcW w:w="2379" w:type="dxa"/>
            <w:tcBorders>
              <w:top w:val="single" w:sz="2" w:space="0" w:color="auto"/>
              <w:bottom w:val="single" w:sz="12" w:space="0" w:color="auto"/>
            </w:tcBorders>
            <w:vAlign w:val="bottom"/>
          </w:tcPr>
          <w:p w:rsidR="00AE6933" w:rsidRPr="00BA3042" w:rsidRDefault="00AE6933" w:rsidP="00E40CAC">
            <w:pPr>
              <w:suppressAutoHyphens w:val="0"/>
              <w:spacing w:before="80" w:after="80" w:line="200" w:lineRule="exact"/>
              <w:ind w:left="113"/>
              <w:jc w:val="right"/>
              <w:rPr>
                <w:i/>
                <w:sz w:val="16"/>
                <w:szCs w:val="16"/>
                <w:lang w:val="fr-FR"/>
              </w:rPr>
            </w:pPr>
            <w:r w:rsidRPr="00BA3042">
              <w:rPr>
                <w:i/>
                <w:sz w:val="16"/>
                <w:szCs w:val="16"/>
                <w:lang w:val="fr-FR"/>
              </w:rPr>
              <w:t>2011</w:t>
            </w:r>
          </w:p>
        </w:tc>
      </w:tr>
      <w:tr w:rsidR="00AE6933" w:rsidRPr="00BA3042" w:rsidTr="00E40CAC">
        <w:tc>
          <w:tcPr>
            <w:tcW w:w="2379" w:type="dxa"/>
            <w:tcBorders>
              <w:top w:val="single" w:sz="12" w:space="0" w:color="auto"/>
            </w:tcBorders>
          </w:tcPr>
          <w:p w:rsidR="00AE6933" w:rsidRPr="00BA3042" w:rsidRDefault="00AE6933" w:rsidP="00E40CAC">
            <w:pPr>
              <w:spacing w:before="40" w:after="40" w:line="220" w:lineRule="exact"/>
              <w:ind w:right="-108"/>
              <w:rPr>
                <w:sz w:val="18"/>
                <w:szCs w:val="18"/>
                <w:lang w:val="fr-FR"/>
              </w:rPr>
            </w:pPr>
            <w:r w:rsidRPr="00BA3042">
              <w:rPr>
                <w:sz w:val="18"/>
                <w:szCs w:val="18"/>
                <w:lang w:val="fr-FR"/>
              </w:rPr>
              <w:t>Vin</w:t>
            </w:r>
          </w:p>
        </w:tc>
        <w:tc>
          <w:tcPr>
            <w:tcW w:w="2379" w:type="dxa"/>
            <w:tcBorders>
              <w:top w:val="single" w:sz="12" w:space="0" w:color="auto"/>
            </w:tcBorders>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2,4</w:t>
            </w:r>
          </w:p>
        </w:tc>
        <w:tc>
          <w:tcPr>
            <w:tcW w:w="2379" w:type="dxa"/>
            <w:tcBorders>
              <w:top w:val="single" w:sz="12" w:space="0" w:color="auto"/>
            </w:tcBorders>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2,3</w:t>
            </w:r>
          </w:p>
        </w:tc>
        <w:tc>
          <w:tcPr>
            <w:tcW w:w="2379" w:type="dxa"/>
            <w:tcBorders>
              <w:top w:val="single" w:sz="12" w:space="0" w:color="auto"/>
            </w:tcBorders>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1,6</w:t>
            </w:r>
          </w:p>
        </w:tc>
      </w:tr>
      <w:tr w:rsidR="00AE6933" w:rsidRPr="00BA3042" w:rsidTr="00E40CAC">
        <w:tc>
          <w:tcPr>
            <w:tcW w:w="2379" w:type="dxa"/>
          </w:tcPr>
          <w:p w:rsidR="00AE6933" w:rsidRPr="00BA3042" w:rsidRDefault="00AE6933" w:rsidP="00E40CAC">
            <w:pPr>
              <w:spacing w:before="40" w:after="40" w:line="220" w:lineRule="exact"/>
              <w:ind w:right="-108"/>
              <w:rPr>
                <w:sz w:val="18"/>
                <w:szCs w:val="18"/>
                <w:lang w:val="fr-FR"/>
              </w:rPr>
            </w:pPr>
            <w:r w:rsidRPr="00BA3042">
              <w:rPr>
                <w:sz w:val="18"/>
                <w:szCs w:val="18"/>
                <w:lang w:val="fr-FR"/>
              </w:rPr>
              <w:t>Bières</w:t>
            </w:r>
          </w:p>
        </w:tc>
        <w:tc>
          <w:tcPr>
            <w:tcW w:w="2379" w:type="dxa"/>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13,8</w:t>
            </w:r>
          </w:p>
        </w:tc>
        <w:tc>
          <w:tcPr>
            <w:tcW w:w="2379" w:type="dxa"/>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12,4</w:t>
            </w:r>
          </w:p>
        </w:tc>
        <w:tc>
          <w:tcPr>
            <w:tcW w:w="2379" w:type="dxa"/>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9,8</w:t>
            </w:r>
          </w:p>
        </w:tc>
      </w:tr>
      <w:tr w:rsidR="00AE6933" w:rsidRPr="00BA3042" w:rsidTr="00E40CAC">
        <w:tc>
          <w:tcPr>
            <w:tcW w:w="2379" w:type="dxa"/>
            <w:tcBorders>
              <w:bottom w:val="single" w:sz="12" w:space="0" w:color="auto"/>
            </w:tcBorders>
          </w:tcPr>
          <w:p w:rsidR="00AE6933" w:rsidRPr="00BA3042" w:rsidRDefault="00AE6933" w:rsidP="00E40CAC">
            <w:pPr>
              <w:spacing w:before="40" w:after="40" w:line="220" w:lineRule="exact"/>
              <w:ind w:right="-108"/>
              <w:rPr>
                <w:sz w:val="18"/>
                <w:szCs w:val="18"/>
                <w:lang w:val="fr-FR"/>
              </w:rPr>
            </w:pPr>
            <w:r w:rsidRPr="00BA3042">
              <w:rPr>
                <w:sz w:val="18"/>
                <w:szCs w:val="18"/>
                <w:lang w:val="fr-FR"/>
              </w:rPr>
              <w:t>Alcools forts</w:t>
            </w:r>
          </w:p>
        </w:tc>
        <w:tc>
          <w:tcPr>
            <w:tcW w:w="2379" w:type="dxa"/>
            <w:tcBorders>
              <w:bottom w:val="single" w:sz="12" w:space="0" w:color="auto"/>
            </w:tcBorders>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1,2</w:t>
            </w:r>
          </w:p>
        </w:tc>
        <w:tc>
          <w:tcPr>
            <w:tcW w:w="2379" w:type="dxa"/>
            <w:tcBorders>
              <w:bottom w:val="single" w:sz="12" w:space="0" w:color="auto"/>
            </w:tcBorders>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0,8</w:t>
            </w:r>
          </w:p>
        </w:tc>
        <w:tc>
          <w:tcPr>
            <w:tcW w:w="2379" w:type="dxa"/>
            <w:tcBorders>
              <w:bottom w:val="single" w:sz="12" w:space="0" w:color="auto"/>
            </w:tcBorders>
            <w:vAlign w:val="bottom"/>
          </w:tcPr>
          <w:p w:rsidR="00AE6933" w:rsidRPr="00BA3042" w:rsidRDefault="00AE6933" w:rsidP="00E40CAC">
            <w:pPr>
              <w:suppressAutoHyphens w:val="0"/>
              <w:spacing w:before="40" w:after="40" w:line="220" w:lineRule="exact"/>
              <w:ind w:left="113"/>
              <w:jc w:val="right"/>
              <w:rPr>
                <w:sz w:val="18"/>
                <w:szCs w:val="18"/>
                <w:lang w:val="fr-FR"/>
              </w:rPr>
            </w:pPr>
            <w:r w:rsidRPr="00BA3042">
              <w:rPr>
                <w:sz w:val="18"/>
                <w:szCs w:val="18"/>
                <w:lang w:val="fr-FR"/>
              </w:rPr>
              <w:t>0,7</w:t>
            </w:r>
          </w:p>
        </w:tc>
      </w:tr>
    </w:tbl>
    <w:p w:rsidR="00AE6933" w:rsidRPr="00BA3042" w:rsidRDefault="00AE6933" w:rsidP="00AE6933">
      <w:pPr>
        <w:pStyle w:val="SingleTxtG"/>
        <w:spacing w:before="240"/>
        <w:rPr>
          <w:lang w:val="fr-FR"/>
        </w:rPr>
      </w:pPr>
      <w:r w:rsidRPr="00BA3042">
        <w:rPr>
          <w:lang w:val="fr-FR"/>
        </w:rPr>
        <w:t>147.</w:t>
      </w:r>
      <w:r w:rsidRPr="00BA3042">
        <w:rPr>
          <w:lang w:val="fr-FR"/>
        </w:rPr>
        <w:tab/>
        <w:t>L’application de la Stratégie nationale pour l’amélioration de la santé mentale (2005-2012) est achevée. Une nouvelle stratégie pour la santé mentale est en cours de préparation afin de garantir la poursuite du développement du système de santé mentale en République de Macédoine.</w:t>
      </w:r>
    </w:p>
    <w:p w:rsidR="00AE6933" w:rsidRPr="00BA3042" w:rsidRDefault="00AE6933" w:rsidP="00AE6933">
      <w:pPr>
        <w:pStyle w:val="SingleTxtG"/>
        <w:rPr>
          <w:lang w:val="fr-FR"/>
        </w:rPr>
      </w:pPr>
      <w:r w:rsidRPr="00BA3042">
        <w:rPr>
          <w:lang w:val="fr-FR"/>
        </w:rPr>
        <w:t>148.</w:t>
      </w:r>
      <w:r w:rsidRPr="00BA3042">
        <w:rPr>
          <w:lang w:val="fr-FR"/>
        </w:rPr>
        <w:tab/>
        <w:t xml:space="preserve">La loi sur les soins de santé régit la création de centres de santé mentale chargés de traiter les personnes atteintes de troubles mentaux, de promouvoir la santé mentale, prévenir les maladies mentales, fournir des soins psychosociaux, réadapter et réinsérer ces patients. </w:t>
      </w:r>
    </w:p>
    <w:p w:rsidR="00AE6933" w:rsidRPr="00BA3042" w:rsidRDefault="00AE6933" w:rsidP="00AE6933">
      <w:pPr>
        <w:pStyle w:val="SingleTxtG"/>
        <w:rPr>
          <w:lang w:val="fr-FR"/>
        </w:rPr>
      </w:pPr>
      <w:r w:rsidRPr="00BA3042">
        <w:rPr>
          <w:lang w:val="fr-FR"/>
        </w:rPr>
        <w:t>149.</w:t>
      </w:r>
      <w:r w:rsidRPr="00BA3042">
        <w:rPr>
          <w:lang w:val="fr-FR"/>
        </w:rPr>
        <w:tab/>
        <w:t>Actuellement, huit centres de santé mentale sont en fonction, et la tendance est de créer des nouveaux centres séparés des hôpitaux psychiatriques et des services psychiatriques des hôpitaux généraux.</w:t>
      </w:r>
    </w:p>
    <w:p w:rsidR="00AE6933" w:rsidRPr="00BA3042" w:rsidRDefault="00AE6933" w:rsidP="00AE6933">
      <w:pPr>
        <w:pStyle w:val="SingleTxtG"/>
        <w:rPr>
          <w:lang w:val="fr-FR"/>
        </w:rPr>
      </w:pPr>
      <w:r w:rsidRPr="00BA3042">
        <w:rPr>
          <w:lang w:val="fr-FR"/>
        </w:rPr>
        <w:t>150.</w:t>
      </w:r>
      <w:r w:rsidRPr="00BA3042">
        <w:rPr>
          <w:lang w:val="fr-FR"/>
        </w:rPr>
        <w:tab/>
        <w:t>Les institutions en question appliquent un système de traitement et des plans individualisés pour chaque usager, conçus avec les patients, qui énoncent des objectifs clairement définis et des délais pour y parvenir. Cette méthode de travail, qui a été acceptée et approuvée par l’Association de psychiatrie de Macédoine, est constamment réexaminée par les services et institutions concernés.</w:t>
      </w:r>
    </w:p>
    <w:p w:rsidR="00AE6933" w:rsidRPr="00BA3042" w:rsidRDefault="00AE6933" w:rsidP="00AE6933">
      <w:pPr>
        <w:pStyle w:val="SingleTxtG"/>
        <w:rPr>
          <w:lang w:val="fr-FR"/>
        </w:rPr>
      </w:pPr>
      <w:r w:rsidRPr="00BA3042">
        <w:rPr>
          <w:lang w:val="fr-FR"/>
        </w:rPr>
        <w:t>151.</w:t>
      </w:r>
      <w:r w:rsidRPr="00BA3042">
        <w:rPr>
          <w:lang w:val="fr-FR"/>
        </w:rPr>
        <w:tab/>
        <w:t>La loi sur la santé mentale (Journal officiel n</w:t>
      </w:r>
      <w:r w:rsidRPr="00BA3042">
        <w:rPr>
          <w:vertAlign w:val="superscript"/>
          <w:lang w:val="fr-FR"/>
        </w:rPr>
        <w:t>o</w:t>
      </w:r>
      <w:r w:rsidRPr="00BA3042">
        <w:rPr>
          <w:lang w:val="fr-FR"/>
        </w:rPr>
        <w:t> 71/06) définit les droits généraux des personnes atteintes de troubles mentaux, leurs obligations et droits particuliers pendant leur séjour en centre de soins, ainsi que l’obligation des professionnels de santé et des établissements de protéger les droits de ces personnes en leur fournissant des conseils et une assistance juridiques.</w:t>
      </w:r>
    </w:p>
    <w:p w:rsidR="00AE6933" w:rsidRPr="00BA3042" w:rsidRDefault="00AE6933" w:rsidP="00AE6933">
      <w:pPr>
        <w:pStyle w:val="SingleTxtG"/>
        <w:rPr>
          <w:lang w:val="fr-FR"/>
        </w:rPr>
      </w:pPr>
      <w:r w:rsidRPr="00BA3042">
        <w:rPr>
          <w:lang w:val="fr-FR"/>
        </w:rPr>
        <w:t>152.</w:t>
      </w:r>
      <w:r w:rsidRPr="00BA3042">
        <w:rPr>
          <w:lang w:val="fr-FR"/>
        </w:rPr>
        <w:tab/>
        <w:t xml:space="preserve">L’Institut de la santé publique a élaboré une communication sur l’état de santé et la protection de la santé des Roms en République de Macédoine, présentant une analyse de tout ce qui a été réalisé depuis le début de la décennie jusqu’à ce jour dans le domaine de la santé. </w:t>
      </w:r>
    </w:p>
    <w:p w:rsidR="00AE6933" w:rsidRPr="00BA3042" w:rsidRDefault="00AE6933" w:rsidP="00AE6933">
      <w:pPr>
        <w:pStyle w:val="SingleTxtG"/>
        <w:rPr>
          <w:lang w:val="fr-FR"/>
        </w:rPr>
      </w:pPr>
      <w:r w:rsidRPr="00BA3042">
        <w:rPr>
          <w:lang w:val="fr-FR"/>
        </w:rPr>
        <w:t>153.</w:t>
      </w:r>
      <w:r w:rsidRPr="00BA3042">
        <w:rPr>
          <w:lang w:val="fr-FR"/>
        </w:rPr>
        <w:tab/>
        <w:t>Afin de promouvoir les modes de vie sains et les soins de santé, chaque année, le Ministère de la santé publie, en coopération avec l’Institut de la santé publique, des brochures en romani contenant des conseils sur les modes de vie sains. Celles-ci sont distribuées aux municipalités habitées par une importante communauté rom par le biais des centres de santé publique.</w:t>
      </w:r>
    </w:p>
    <w:p w:rsidR="00AE6933" w:rsidRPr="00BA3042" w:rsidRDefault="00AE6933" w:rsidP="00AE6933">
      <w:pPr>
        <w:pStyle w:val="SingleTxtG"/>
        <w:rPr>
          <w:lang w:val="fr-FR"/>
        </w:rPr>
      </w:pPr>
      <w:r w:rsidRPr="00BA3042">
        <w:rPr>
          <w:lang w:val="fr-FR"/>
        </w:rPr>
        <w:t>154.</w:t>
      </w:r>
      <w:r w:rsidRPr="00BA3042">
        <w:rPr>
          <w:lang w:val="fr-FR"/>
        </w:rPr>
        <w:tab/>
        <w:t>Le programme (2012) de dépistage précoce du cancer en République de Macédoine, portant notamment sur le dépistage du cancer du col de l’utérus pour toutes, est appliqué en permanence.</w:t>
      </w:r>
    </w:p>
    <w:p w:rsidR="00AE6933" w:rsidRPr="00BA3042" w:rsidRDefault="00AE6933" w:rsidP="00AE6933">
      <w:pPr>
        <w:pStyle w:val="SingleTxtG"/>
        <w:rPr>
          <w:lang w:val="fr-FR"/>
        </w:rPr>
      </w:pPr>
      <w:r w:rsidRPr="00BA3042">
        <w:rPr>
          <w:lang w:val="fr-FR"/>
        </w:rPr>
        <w:t>155.</w:t>
      </w:r>
      <w:r w:rsidRPr="00BA3042">
        <w:rPr>
          <w:lang w:val="fr-FR"/>
        </w:rPr>
        <w:tab/>
        <w:t>Dans le cadre du programme «La santé pour tous», les employés de l’Institut de santé publique et de l’institut des soins de santé établissent des stands pour proposer des examens préventifs à l’ensemble de la population. Sont ainsi mesurés la tension artérielle, la glycémie et le taux de cholestérol.</w:t>
      </w:r>
    </w:p>
    <w:p w:rsidR="00AE6933" w:rsidRPr="00BA3042" w:rsidRDefault="00AE6933" w:rsidP="00AE6933">
      <w:pPr>
        <w:pStyle w:val="H1G"/>
        <w:rPr>
          <w:lang w:val="fr-FR"/>
        </w:rPr>
      </w:pPr>
      <w:r w:rsidRPr="00BA3042">
        <w:rPr>
          <w:lang w:val="fr-FR"/>
        </w:rPr>
        <w:tab/>
      </w:r>
      <w:r w:rsidRPr="00BA3042">
        <w:rPr>
          <w:lang w:val="fr-FR"/>
        </w:rPr>
        <w:tab/>
        <w:t>Article 13</w:t>
      </w:r>
      <w:r w:rsidRPr="00BA3042">
        <w:rPr>
          <w:lang w:val="fr-FR"/>
        </w:rPr>
        <w:br/>
        <w:t>Réponse aux recommandations n</w:t>
      </w:r>
      <w:r w:rsidRPr="00BA3042">
        <w:rPr>
          <w:vertAlign w:val="superscript"/>
          <w:lang w:val="fr-FR"/>
        </w:rPr>
        <w:t>os</w:t>
      </w:r>
      <w:r w:rsidRPr="00BA3042">
        <w:rPr>
          <w:lang w:val="fr-FR"/>
        </w:rPr>
        <w:t xml:space="preserve"> 47 et 48 du Comité</w:t>
      </w:r>
    </w:p>
    <w:p w:rsidR="00AE6933" w:rsidRPr="00BA3042" w:rsidRDefault="00AE6933" w:rsidP="00AE6933">
      <w:pPr>
        <w:pStyle w:val="SingleTxtG"/>
        <w:rPr>
          <w:lang w:val="fr-FR"/>
        </w:rPr>
      </w:pPr>
      <w:r w:rsidRPr="00BA3042">
        <w:rPr>
          <w:lang w:val="fr-FR"/>
        </w:rPr>
        <w:t>156.</w:t>
      </w:r>
      <w:r w:rsidRPr="00BA3042">
        <w:rPr>
          <w:lang w:val="fr-FR"/>
        </w:rPr>
        <w:tab/>
        <w:t>En République de Macédoine, l’enseignement primaire et secondaire est obligatoire et gratuit. Les enfants qui étudient loin de chez eux se voient fournir des manuels, des transports scolaires et un hébergement gratuits, et les enfants issus de familles défavorisées dont les parents sont bénéficiaires de prestations sociales reçoivent également, en plus de ce qui précède, une allocation pécuniaire conditionnelle (liée à l’assiduité scolaire en cycle secondaire).</w:t>
      </w:r>
    </w:p>
    <w:p w:rsidR="00AE6933" w:rsidRPr="00BA3042" w:rsidRDefault="00AE6933" w:rsidP="00AE6933">
      <w:pPr>
        <w:pStyle w:val="SingleTxtG"/>
        <w:rPr>
          <w:lang w:val="fr-FR"/>
        </w:rPr>
      </w:pPr>
      <w:r w:rsidRPr="00BA3042">
        <w:rPr>
          <w:lang w:val="fr-FR"/>
        </w:rPr>
        <w:t>157.</w:t>
      </w:r>
      <w:r w:rsidRPr="00BA3042">
        <w:rPr>
          <w:lang w:val="fr-FR"/>
        </w:rPr>
        <w:tab/>
        <w:t>La loi sur l’enseignement professionnel secondaire reconnaît le droit à l’enseignement secondaire gratuit (transports et manuels gratuits pour les élèves et dispense des frais de scolarité). L’enseignement gratuit pour les élèves étudiant à temps partiel a été introduit cette année.</w:t>
      </w:r>
    </w:p>
    <w:p w:rsidR="00AE6933" w:rsidRPr="00BA3042" w:rsidRDefault="00AE6933" w:rsidP="00AE6933">
      <w:pPr>
        <w:pStyle w:val="SingleTxtG"/>
        <w:rPr>
          <w:lang w:val="fr-FR"/>
        </w:rPr>
      </w:pPr>
      <w:r w:rsidRPr="00BA3042">
        <w:rPr>
          <w:lang w:val="fr-FR"/>
        </w:rPr>
        <w:t>158.</w:t>
      </w:r>
      <w:r w:rsidRPr="00BA3042">
        <w:rPr>
          <w:lang w:val="fr-FR"/>
        </w:rPr>
        <w:tab/>
        <w:t xml:space="preserve">L’enseignement technique et professionnel de niveau secondaire est accessible à tous les élèves, y compris à ceux présentant des handicaps comportementaux (en fonction de leur profil éducatif). La réforme de cet enseignement, qui dure trois ans, a augmenté le nombre de classes de pratique, de matières et étoffé les contenus afin d’améliorer les compétences professionnelles. </w:t>
      </w:r>
    </w:p>
    <w:p w:rsidR="00AE6933" w:rsidRPr="00BA3042" w:rsidRDefault="00AE6933" w:rsidP="00AE6933">
      <w:pPr>
        <w:pStyle w:val="SingleTxtG"/>
        <w:rPr>
          <w:lang w:val="fr-FR"/>
        </w:rPr>
      </w:pPr>
      <w:r w:rsidRPr="00BA3042">
        <w:rPr>
          <w:lang w:val="fr-FR"/>
        </w:rPr>
        <w:t>159.</w:t>
      </w:r>
      <w:r w:rsidRPr="00BA3042">
        <w:rPr>
          <w:lang w:val="fr-FR"/>
        </w:rPr>
        <w:tab/>
        <w:t>La loi sur l’enseignement primaire et la loi sur l’enseignement secondaire prévoient des peines d’amendes pour les parents ou tueurs qui n’inscrivent pas à l’école leurs enfants ou les enfants dont ils ont la garde.</w:t>
      </w:r>
    </w:p>
    <w:p w:rsidR="00AE6933" w:rsidRPr="00BA3042" w:rsidRDefault="00AE6933" w:rsidP="00AE6933">
      <w:pPr>
        <w:pStyle w:val="SingleTxtG"/>
        <w:rPr>
          <w:lang w:val="fr-FR"/>
        </w:rPr>
      </w:pPr>
      <w:r w:rsidRPr="00BA3042">
        <w:rPr>
          <w:lang w:val="fr-FR"/>
        </w:rPr>
        <w:t>160.</w:t>
      </w:r>
      <w:r w:rsidRPr="00BA3042">
        <w:rPr>
          <w:lang w:val="fr-FR"/>
        </w:rPr>
        <w:tab/>
        <w:t xml:space="preserve">L’article 172 de la loi sur l’enseignement primaire se lit: </w:t>
      </w:r>
    </w:p>
    <w:p w:rsidR="00AE6933" w:rsidRPr="00BA3042" w:rsidRDefault="00AE6933" w:rsidP="00AE6933">
      <w:pPr>
        <w:pStyle w:val="SingleTxtG"/>
        <w:ind w:left="1701" w:firstLine="567"/>
        <w:rPr>
          <w:lang w:val="fr-FR"/>
        </w:rPr>
      </w:pPr>
      <w:r w:rsidRPr="00BA3042">
        <w:rPr>
          <w:lang w:val="fr-FR"/>
        </w:rPr>
        <w:t>«4)</w:t>
      </w:r>
      <w:r w:rsidRPr="00BA3042">
        <w:rPr>
          <w:lang w:val="fr-FR"/>
        </w:rPr>
        <w:tab/>
        <w:t>Tout parent ou tuteur qui n’inscrit pas un élève dans les délais visés à l’article 47.1 de la présente loi s’expose à une amende équivalente à 200 euros (payable en denar);</w:t>
      </w:r>
    </w:p>
    <w:p w:rsidR="00AE6933" w:rsidRPr="00BA3042" w:rsidRDefault="00AE6933" w:rsidP="00AE6933">
      <w:pPr>
        <w:pStyle w:val="SingleTxtG"/>
        <w:ind w:left="1701" w:firstLine="567"/>
        <w:rPr>
          <w:lang w:val="fr-FR"/>
        </w:rPr>
      </w:pPr>
      <w:r w:rsidRPr="00BA3042">
        <w:rPr>
          <w:lang w:val="fr-FR"/>
        </w:rPr>
        <w:t>5)</w:t>
      </w:r>
      <w:r w:rsidRPr="00BA3042">
        <w:rPr>
          <w:lang w:val="fr-FR"/>
        </w:rPr>
        <w:tab/>
        <w:t>Tout parent ou tuteur qui ne permet pas à son enfant ou à l’enfant dont il a la garde de s’acquitter de l’obligation de recevoir l’enseignement et l’instruction primaire et secondaire obligatoire (en vertu de l’article 5) s’expose à une amende équivalente à 1 000 euros (payable en denar).».</w:t>
      </w:r>
    </w:p>
    <w:p w:rsidR="00AE6933" w:rsidRPr="00BA3042" w:rsidRDefault="00AE6933" w:rsidP="00AE6933">
      <w:pPr>
        <w:pStyle w:val="SingleTxtG"/>
        <w:rPr>
          <w:lang w:val="fr-FR"/>
        </w:rPr>
      </w:pPr>
      <w:r w:rsidRPr="00BA3042">
        <w:rPr>
          <w:lang w:val="fr-FR"/>
        </w:rPr>
        <w:t>161.</w:t>
      </w:r>
      <w:r w:rsidRPr="00BA3042">
        <w:rPr>
          <w:lang w:val="fr-FR"/>
        </w:rPr>
        <w:tab/>
        <w:t xml:space="preserve">L’article 109 de la loi sur l’enseignement secondaire dispose: </w:t>
      </w:r>
    </w:p>
    <w:p w:rsidR="00AE6933" w:rsidRPr="00BA3042" w:rsidRDefault="00AE6933" w:rsidP="00AE6933">
      <w:pPr>
        <w:pStyle w:val="SingleTxtG"/>
        <w:ind w:left="1701" w:firstLine="567"/>
        <w:rPr>
          <w:lang w:val="fr-FR"/>
        </w:rPr>
      </w:pPr>
      <w:r w:rsidRPr="00BA3042">
        <w:rPr>
          <w:lang w:val="fr-FR"/>
        </w:rPr>
        <w:t>1)</w:t>
      </w:r>
      <w:r w:rsidRPr="00BA3042">
        <w:rPr>
          <w:lang w:val="fr-FR"/>
        </w:rPr>
        <w:tab/>
        <w:t>Tout parent ou tuteur qui n’inscrit pas un élève mineur dans un établissement d’enseignement secondaire ou qui ne lui permet pas d’être scolarisé régulièrement (en vertu de l’article 3.1) s’expose à une amende équivalente à 2 000 euros (payable en denar).</w:t>
      </w:r>
    </w:p>
    <w:p w:rsidR="00AE6933" w:rsidRPr="00BA3042" w:rsidRDefault="00AE6933" w:rsidP="00AE6933">
      <w:pPr>
        <w:pStyle w:val="SingleTxtG"/>
        <w:rPr>
          <w:lang w:val="fr-FR"/>
        </w:rPr>
      </w:pPr>
      <w:r w:rsidRPr="00BA3042">
        <w:rPr>
          <w:lang w:val="fr-FR"/>
        </w:rPr>
        <w:t>162.</w:t>
      </w:r>
      <w:r w:rsidRPr="00BA3042">
        <w:rPr>
          <w:lang w:val="fr-FR"/>
        </w:rPr>
        <w:tab/>
        <w:t xml:space="preserve">La loi sur l’enseignement supérieur dispose qu’en République de Macédoine, l’enseignement supérieur est à la disposition de tous les citoyens du pays ayant achevé le cycle de quatre ans de l’enseignement secondaire, sans distinction d’âge, de sexe, d’origine ethnique, de religion, d’orientation sexuelle, etc. </w:t>
      </w:r>
    </w:p>
    <w:p w:rsidR="00AE6933" w:rsidRPr="00BA3042" w:rsidRDefault="00AE6933" w:rsidP="00AE6933">
      <w:pPr>
        <w:pStyle w:val="SingleTxtG"/>
        <w:rPr>
          <w:lang w:val="fr-FR"/>
        </w:rPr>
      </w:pPr>
      <w:r w:rsidRPr="00BA3042">
        <w:rPr>
          <w:lang w:val="fr-FR"/>
        </w:rPr>
        <w:t>163.</w:t>
      </w:r>
      <w:r w:rsidRPr="00BA3042">
        <w:rPr>
          <w:lang w:val="fr-FR"/>
        </w:rPr>
        <w:tab/>
        <w:t>En ce qui concerne les bourses d’études, le Ministère de l’éducation accorde des privilèges aux étudiants ayant d’excellents résultats, à ceux issus de familles modestes, aux étudiants en technologie et sciences naturelles, à ceux issus de familles bénéficiaires de prestations sociales, etc.</w:t>
      </w:r>
    </w:p>
    <w:p w:rsidR="00AE6933" w:rsidRPr="00BA3042" w:rsidRDefault="00AE6933" w:rsidP="00AE6933">
      <w:pPr>
        <w:pStyle w:val="SingleTxtG"/>
        <w:rPr>
          <w:lang w:val="fr-FR"/>
        </w:rPr>
      </w:pPr>
      <w:r w:rsidRPr="00BA3042">
        <w:rPr>
          <w:lang w:val="fr-FR"/>
        </w:rPr>
        <w:t>164.</w:t>
      </w:r>
      <w:r w:rsidRPr="00BA3042">
        <w:rPr>
          <w:lang w:val="fr-FR"/>
        </w:rPr>
        <w:tab/>
        <w:t xml:space="preserve">En vertu d’une décision du Gouvernement, les étudiants qui s’inscrivent dans les limites des quotas publics paient 200 euros par an de frais d’inscription, ceux qui bénéficient d’un cofinancement et ceux qui étudient à temps partiel paient 400 euros par an. </w:t>
      </w:r>
    </w:p>
    <w:p w:rsidR="00AE6933" w:rsidRPr="00BA3042" w:rsidRDefault="00AE6933" w:rsidP="00AE6933">
      <w:pPr>
        <w:pStyle w:val="SingleTxtG"/>
        <w:rPr>
          <w:lang w:val="fr-FR"/>
        </w:rPr>
      </w:pPr>
      <w:r w:rsidRPr="00BA3042">
        <w:rPr>
          <w:lang w:val="fr-FR"/>
        </w:rPr>
        <w:t>165.</w:t>
      </w:r>
      <w:r w:rsidRPr="00BA3042">
        <w:rPr>
          <w:lang w:val="fr-FR"/>
        </w:rPr>
        <w:tab/>
        <w:t>L’article 87 de la loi sur l’enseignement supérieur dispose que les établissements d’enseignement supérieur dispensent les étudiants orphelins de frais d’inscription, de même que les personnes handicapées au premier et au second degrés, les invalides de guerre et les personnes ayant grandi en orphelinat.</w:t>
      </w:r>
    </w:p>
    <w:p w:rsidR="00AE6933" w:rsidRPr="00BA3042" w:rsidRDefault="00AE6933" w:rsidP="00AE6933">
      <w:pPr>
        <w:pStyle w:val="SingleTxtG"/>
        <w:rPr>
          <w:lang w:val="fr-FR"/>
        </w:rPr>
      </w:pPr>
      <w:r w:rsidRPr="00BA3042">
        <w:rPr>
          <w:lang w:val="fr-FR"/>
        </w:rPr>
        <w:t>166.</w:t>
      </w:r>
      <w:r w:rsidRPr="00BA3042">
        <w:rPr>
          <w:lang w:val="fr-FR"/>
        </w:rPr>
        <w:tab/>
        <w:t xml:space="preserve">Conformément à l’article 13 de la loi sur les droits spéciaux des membres des forces de sécurité de République de Macédoine et des membres de leur famille, les membres des forces de sécurité, les enfants des membres des forces armées tués en action ou décédés et les enfants de personnes invalides de guerre (handicapées du premier au septième degré) jouissent de privilèges lorsqu’ils s’inscrivent dans un établissement d’enseignement supérieur et ils sont dispensés de frais d’inscription à condition qu’ils obtiennent le nombre de points minimal requis pour être admis aux examens d’entrée. </w:t>
      </w:r>
    </w:p>
    <w:p w:rsidR="00AE6933" w:rsidRPr="00BA3042" w:rsidRDefault="00AE6933" w:rsidP="00AE6933">
      <w:pPr>
        <w:pStyle w:val="SingleTxtG"/>
        <w:rPr>
          <w:lang w:val="fr-FR"/>
        </w:rPr>
      </w:pPr>
      <w:r w:rsidRPr="00BA3042">
        <w:rPr>
          <w:lang w:val="fr-FR"/>
        </w:rPr>
        <w:t>167.</w:t>
      </w:r>
      <w:r w:rsidRPr="00BA3042">
        <w:rPr>
          <w:lang w:val="fr-FR"/>
        </w:rPr>
        <w:tab/>
        <w:t xml:space="preserve">La loi sur l’éducation des adultes régit l’organisation, la structure et la gestion du système éducatif destiné aux adultes. L’éducation des adultes se compose de l’éducation formelle et informelle. Depuis sa création (en novembre 2008), le Centre public d’éducation des adultes travaille activement au développement de ces deux systèmes. En janvier 2012, au lendemain de l’harmonisation de la législation, le Centre a commencé à examiner des programmes d’acquisition de qualifications complètes ou partielles. Dans le cadre du projet d’aide de préadhésion «Appui au renforcement des capacités du Centre d’éducation des adultes et à l’élaboration de programmes éducatifs pour adultes, de programmes d’alphabétisation et de programmes de rattrapage du niveau primaire destinés aux personnes exclues» (octobre 2011-juillet 2013), six programmes ont été élaborés et appliqués en vue d’alphabétiser les personnes exclues dans six municipalités du pays. De plus, six programmes qualifiants d’éducation informelle ont également été élaborés et mis en œuvre. </w:t>
      </w:r>
    </w:p>
    <w:p w:rsidR="00AE6933" w:rsidRPr="00BA3042" w:rsidRDefault="00AE6933" w:rsidP="00AE6933">
      <w:pPr>
        <w:pStyle w:val="SingleTxtG"/>
        <w:rPr>
          <w:lang w:val="fr-FR"/>
        </w:rPr>
      </w:pPr>
      <w:r w:rsidRPr="00BA3042">
        <w:rPr>
          <w:lang w:val="fr-FR"/>
        </w:rPr>
        <w:t>168.</w:t>
      </w:r>
      <w:r w:rsidRPr="00BA3042">
        <w:rPr>
          <w:lang w:val="fr-FR"/>
        </w:rPr>
        <w:tab/>
        <w:t xml:space="preserve">En République de Macédoine, le droit des personnes appartenant à des communautés ethniques de recevoir l’éducation dans leur langue maternelle est garanti par la Constitution et les lois. Les communautés albanaise, turque et serbe reçoivent l’instruction dans leur langue maternelle du cycle primaire jusqu’au niveau de l’enseignement supérieur. Les enfants des autres communautés (rom, valaque et bosniaque) étudient leur langue maternelle et leur culture du troisième au neuvième niveau dans le cadre de matières optionnelles spécifiques. </w:t>
      </w:r>
    </w:p>
    <w:p w:rsidR="00AE6933" w:rsidRPr="00BA3042" w:rsidRDefault="00AE6933" w:rsidP="00AE6933">
      <w:pPr>
        <w:pStyle w:val="SingleTxtG"/>
        <w:rPr>
          <w:lang w:val="fr-FR"/>
        </w:rPr>
      </w:pPr>
      <w:r w:rsidRPr="00BA3042">
        <w:rPr>
          <w:lang w:val="fr-FR"/>
        </w:rPr>
        <w:t>169.</w:t>
      </w:r>
      <w:r w:rsidRPr="00BA3042">
        <w:rPr>
          <w:lang w:val="fr-FR"/>
        </w:rPr>
        <w:tab/>
        <w:t xml:space="preserve">La Direction pour le développement et l’amélioration de l’éducation dans les langues communautaires, rattachée au Ministère de l’éducation et des sciences, a adopté en 2010 un manuel pour la prévention et la protection contre la discrimination dans le système éducatif de République de Macédoine. L’objet de ce manuel est d’améliorer et renforcer la coordination entre toutes les institutions concernées et les personnes participant au système éducatif, afin de garantir des conditions et des chances égales d’accéder à une éducation de qualité, sans distinction fondée notamment sur la religion et/ou la nationalité. </w:t>
      </w:r>
    </w:p>
    <w:p w:rsidR="00AE6933" w:rsidRPr="00BA3042" w:rsidRDefault="00AE6933" w:rsidP="00AE6933">
      <w:pPr>
        <w:pStyle w:val="SingleTxtG"/>
        <w:rPr>
          <w:lang w:val="fr-FR"/>
        </w:rPr>
      </w:pPr>
      <w:r w:rsidRPr="00BA3042">
        <w:rPr>
          <w:lang w:val="fr-FR"/>
        </w:rPr>
        <w:t>170.</w:t>
      </w:r>
      <w:r w:rsidRPr="00BA3042">
        <w:rPr>
          <w:lang w:val="fr-FR"/>
        </w:rPr>
        <w:tab/>
        <w:t xml:space="preserve">Les mesures juridiques suivantes garantissent l’égalité des critères d’accès des filles et des garçons à tous les niveaux de l’éducation: égalité des droits à l’enseignement primaire et secondaire, mise en œuvre d’une autoévaluation et d’une évaluation intégrale dans les établissements scolaires, conseils dispensés aux parents, formation du personnel enseignant et administratif, formation des inspecteurs nationaux et municipaux de l’éducation, mise en œuvre de projets d’établissement avec la participation active des élèves, des enseignants, des parents et des représentants des organes des collectivités locales, formation des directeurs d’établissement, des conseils d’établissement et des conseils parents/professeurs, campagnes soulignant l’importance de l’éducation, aide complémentaire et soutien financier attribués à des élèves en cycle primaire et secondaire. </w:t>
      </w:r>
    </w:p>
    <w:p w:rsidR="00AE6933" w:rsidRPr="00BA3042" w:rsidRDefault="00AE6933" w:rsidP="00AE6933">
      <w:pPr>
        <w:pStyle w:val="SingleTxtG"/>
        <w:rPr>
          <w:lang w:val="fr-FR"/>
        </w:rPr>
      </w:pPr>
      <w:r w:rsidRPr="00BA3042">
        <w:rPr>
          <w:lang w:val="fr-FR"/>
        </w:rPr>
        <w:t>171.</w:t>
      </w:r>
      <w:r w:rsidRPr="00BA3042">
        <w:rPr>
          <w:lang w:val="fr-FR"/>
        </w:rPr>
        <w:tab/>
        <w:t xml:space="preserve">Le Ministère de l’éducation et des sciences, la Direction du développement et de l’amélioration de l’enseignement dans les langues communautaires et le Centre national des Roms ont conduit une campagne intitulée «la clef est entre vos mains», destinée aux parents et enfants roms dans 86 écoles primaires scolarisant 3 000 élèves roms âgés de 6 à 8 ans, avec l’appui de 23 médiateurs. Ce projet avait pour objet d’encourager la scolarisation des enfants roms en cycle primaire et de minimiser le taux d’abandon scolaire. Celui-ci a diminué de 13,5 %. </w:t>
      </w:r>
    </w:p>
    <w:p w:rsidR="00AE6933" w:rsidRPr="00BA3042" w:rsidRDefault="00AE6933" w:rsidP="00AE6933">
      <w:pPr>
        <w:pStyle w:val="SingleTxtG"/>
        <w:rPr>
          <w:lang w:val="fr-FR"/>
        </w:rPr>
      </w:pPr>
      <w:r w:rsidRPr="00BA3042">
        <w:rPr>
          <w:lang w:val="fr-FR"/>
        </w:rPr>
        <w:t>172.</w:t>
      </w:r>
      <w:r w:rsidRPr="00BA3042">
        <w:rPr>
          <w:lang w:val="fr-FR"/>
        </w:rPr>
        <w:tab/>
        <w:t xml:space="preserve">Selon des recherches menées par l’UNESCO, entre 2006 et 2011, les taux de scolarisation et d’achèvement dans l’enseignement primaire et secondaire ont augmenté au niveau national, y compris parmi les enfants des groupes les plus pauvres. Le taux net de fréquentation du cycle primaire a augmenté, passant de 95 à 98 % au niveau national, de 86 à 96,5 % parmi les enfants roms, et de 86 à 96,5 % parmi la population la plus pauvre. Le taux d’achèvement du cycle primaire est passé de 83 à 97 % au niveau national, de 45 à 97 % parmi les enfants roms et de 62 à 85 % parmi la population la plus pauvre. Les taux de scolarisation en cycle secondaire sont passés respectivement de 95 à 98 %, de 27 à 98 % et de 92 à 96 %. </w:t>
      </w:r>
    </w:p>
    <w:p w:rsidR="00AE6933" w:rsidRPr="00BA3042" w:rsidRDefault="00AE6933" w:rsidP="00AE6933">
      <w:pPr>
        <w:pStyle w:val="SingleTxtG"/>
        <w:rPr>
          <w:lang w:val="fr-FR"/>
        </w:rPr>
      </w:pPr>
      <w:r w:rsidRPr="00BA3042">
        <w:rPr>
          <w:lang w:val="fr-FR"/>
        </w:rPr>
        <w:t>173.</w:t>
      </w:r>
      <w:r w:rsidRPr="00BA3042">
        <w:rPr>
          <w:lang w:val="fr-FR"/>
        </w:rPr>
        <w:tab/>
        <w:t>L’article 8 de la loi sur l’enseignement primaire accorde aux enfants de nationalité étrangère et apatrides résidant en République de Macédoine le droit à l’enseignement primaire, dans des conditions d’égalité par rapport aux enfants qui sont des ressortissants nationaux.</w:t>
      </w:r>
    </w:p>
    <w:p w:rsidR="00AE6933" w:rsidRPr="00BA3042" w:rsidRDefault="00AE6933" w:rsidP="00AE6933">
      <w:pPr>
        <w:pStyle w:val="SingleTxtG"/>
        <w:rPr>
          <w:lang w:val="fr-FR"/>
        </w:rPr>
      </w:pPr>
      <w:r w:rsidRPr="00BA3042">
        <w:rPr>
          <w:lang w:val="fr-FR"/>
        </w:rPr>
        <w:t>174.</w:t>
      </w:r>
      <w:r w:rsidRPr="00BA3042">
        <w:rPr>
          <w:lang w:val="fr-FR"/>
        </w:rPr>
        <w:tab/>
        <w:t xml:space="preserve">L’article 5 de la loi sur l’enseignement secondaire accorde aux ressortissants étrangers et aux apatrides le droit à l’enseignement secondaire, selon les modalités et sous les conditions prescrites par la loi. </w:t>
      </w:r>
    </w:p>
    <w:p w:rsidR="00AE6933" w:rsidRPr="00BA3042" w:rsidRDefault="00AE6933" w:rsidP="00AE6933">
      <w:pPr>
        <w:pStyle w:val="H1G"/>
        <w:rPr>
          <w:lang w:val="fr-FR"/>
        </w:rPr>
      </w:pPr>
      <w:r w:rsidRPr="00BA3042">
        <w:rPr>
          <w:lang w:val="fr-FR"/>
        </w:rPr>
        <w:tab/>
      </w:r>
      <w:r w:rsidRPr="00BA3042">
        <w:rPr>
          <w:lang w:val="fr-FR"/>
        </w:rPr>
        <w:tab/>
        <w:t>Article 14</w:t>
      </w:r>
    </w:p>
    <w:p w:rsidR="00AE6933" w:rsidRPr="00BA3042" w:rsidRDefault="00AE6933" w:rsidP="00AE6933">
      <w:pPr>
        <w:pStyle w:val="SingleTxtG"/>
        <w:rPr>
          <w:lang w:val="fr-FR"/>
        </w:rPr>
      </w:pPr>
      <w:r w:rsidRPr="00BA3042">
        <w:rPr>
          <w:lang w:val="fr-FR"/>
        </w:rPr>
        <w:t>175.</w:t>
      </w:r>
      <w:r w:rsidRPr="00BA3042">
        <w:rPr>
          <w:lang w:val="fr-FR"/>
        </w:rPr>
        <w:tab/>
        <w:t xml:space="preserve">En République de Macédoine, l’enseignement primaire et secondaire est gratuit. </w:t>
      </w:r>
    </w:p>
    <w:p w:rsidR="00AE6933" w:rsidRPr="00BA3042" w:rsidRDefault="00AE6933" w:rsidP="00AE6933">
      <w:pPr>
        <w:pStyle w:val="H1G"/>
        <w:rPr>
          <w:lang w:val="fr-FR"/>
        </w:rPr>
      </w:pPr>
      <w:r w:rsidRPr="00BA3042">
        <w:rPr>
          <w:lang w:val="fr-FR"/>
        </w:rPr>
        <w:tab/>
      </w:r>
      <w:r w:rsidRPr="00BA3042">
        <w:rPr>
          <w:lang w:val="fr-FR"/>
        </w:rPr>
        <w:tab/>
        <w:t>Article 15</w:t>
      </w:r>
    </w:p>
    <w:p w:rsidR="00AE6933" w:rsidRPr="00BA3042" w:rsidRDefault="00AE6933" w:rsidP="00AE6933">
      <w:pPr>
        <w:pStyle w:val="SingleTxtG"/>
        <w:rPr>
          <w:lang w:val="fr-FR"/>
        </w:rPr>
      </w:pPr>
      <w:r w:rsidRPr="00BA3042">
        <w:rPr>
          <w:lang w:val="fr-FR"/>
        </w:rPr>
        <w:t>176.</w:t>
      </w:r>
      <w:r w:rsidRPr="00BA3042">
        <w:rPr>
          <w:lang w:val="fr-FR"/>
        </w:rPr>
        <w:tab/>
        <w:t xml:space="preserve">La culture de la République de Macédoine se caractérise essentiellement par la diversité, qui s’exprime en encourageant la richesse de la diversité des identités culturelles présentes dans le pays. </w:t>
      </w:r>
    </w:p>
    <w:p w:rsidR="00AE6933" w:rsidRPr="00BA3042" w:rsidRDefault="00AE6933" w:rsidP="00AE6933">
      <w:pPr>
        <w:pStyle w:val="SingleTxtG"/>
        <w:rPr>
          <w:lang w:val="fr-FR"/>
        </w:rPr>
      </w:pPr>
      <w:r w:rsidRPr="00BA3042">
        <w:rPr>
          <w:lang w:val="fr-FR"/>
        </w:rPr>
        <w:t>177.</w:t>
      </w:r>
      <w:r w:rsidRPr="00BA3042">
        <w:rPr>
          <w:lang w:val="fr-FR"/>
        </w:rPr>
        <w:tab/>
        <w:t>La loi sur la culture (Journal officiel n</w:t>
      </w:r>
      <w:r w:rsidRPr="00BA3042">
        <w:rPr>
          <w:vertAlign w:val="superscript"/>
          <w:lang w:val="fr-FR"/>
        </w:rPr>
        <w:t>os</w:t>
      </w:r>
      <w:r w:rsidRPr="00BA3042">
        <w:rPr>
          <w:lang w:val="fr-FR"/>
        </w:rPr>
        <w:t> 66/03, 82/05, 24/97 et 15/08) garantit le droit de chacun de promouvoir sa culture en toute égalité.</w:t>
      </w:r>
    </w:p>
    <w:p w:rsidR="00AE6933" w:rsidRPr="00BA3042" w:rsidRDefault="00AE6933" w:rsidP="00AE6933">
      <w:pPr>
        <w:pStyle w:val="SingleTxtG"/>
        <w:rPr>
          <w:lang w:val="fr-FR"/>
        </w:rPr>
      </w:pPr>
      <w:r w:rsidRPr="00BA3042">
        <w:rPr>
          <w:lang w:val="fr-FR"/>
        </w:rPr>
        <w:t>178.</w:t>
      </w:r>
      <w:r w:rsidRPr="00BA3042">
        <w:rPr>
          <w:lang w:val="fr-FR"/>
        </w:rPr>
        <w:tab/>
        <w:t xml:space="preserve">Une direction de la promotion et du développement des cultures communautaires de la République de Macédoine a été créée au sein du Ministère de la culture. Cette direction s’acquitte de fonctions professionnelles et administratives consistant notamment à: suivre la promotion des identités culturelles des membres des communautés; suivre le développement et la promotion des cultures desdits membres; et encourager et promouvoir la coopération internationale et l’assistance technique avec les pays voisins et européens. </w:t>
      </w:r>
    </w:p>
    <w:p w:rsidR="00AE6933" w:rsidRPr="00BA3042" w:rsidRDefault="00AE6933" w:rsidP="00AE6933">
      <w:pPr>
        <w:pStyle w:val="SingleTxtG"/>
        <w:rPr>
          <w:lang w:val="fr-FR"/>
        </w:rPr>
      </w:pPr>
      <w:r w:rsidRPr="00BA3042">
        <w:rPr>
          <w:lang w:val="fr-FR"/>
        </w:rPr>
        <w:t>179.</w:t>
      </w:r>
      <w:r w:rsidRPr="00BA3042">
        <w:rPr>
          <w:lang w:val="fr-FR"/>
        </w:rPr>
        <w:tab/>
        <w:t xml:space="preserve">Au niveau institutionnel, le pays compte 61 établissements culturels nationaux, dont 5 bibliothèques, 9 instituts, 14 musées, 16 centres culturels, 8 théâtres, une cinémathèque, un opéra/ballet, un orchestre philharmonique, 3 institutions chargées des manifestations internationales («les étés de Ohrid», «les soirées poétiques de Struga», et les «Dix journées de la République de Krusevo»), 2 galeries d’art et un établissement chargé de présenter et encourager les folklores. </w:t>
      </w:r>
    </w:p>
    <w:p w:rsidR="00AE6933" w:rsidRPr="00BA3042" w:rsidRDefault="00AE6933" w:rsidP="00AE6933">
      <w:pPr>
        <w:pStyle w:val="SingleTxtG"/>
        <w:rPr>
          <w:lang w:val="fr-FR"/>
        </w:rPr>
      </w:pPr>
      <w:r w:rsidRPr="00BA3042">
        <w:rPr>
          <w:lang w:val="fr-FR"/>
        </w:rPr>
        <w:t>180.</w:t>
      </w:r>
      <w:r w:rsidRPr="00BA3042">
        <w:rPr>
          <w:lang w:val="fr-FR"/>
        </w:rPr>
        <w:tab/>
        <w:t>La loi relative au financement de la production cinématographique en République de Macédoine (Journal officiel n</w:t>
      </w:r>
      <w:r w:rsidRPr="00BA3042">
        <w:rPr>
          <w:vertAlign w:val="superscript"/>
          <w:lang w:val="fr-FR"/>
        </w:rPr>
        <w:t>o</w:t>
      </w:r>
      <w:r w:rsidRPr="00BA3042">
        <w:rPr>
          <w:lang w:val="fr-FR"/>
        </w:rPr>
        <w:t xml:space="preserve"> 70/2006) a été adoptée en 2006 et le fonds afférent est entré en fonction en septembre 2006. </w:t>
      </w:r>
    </w:p>
    <w:p w:rsidR="00AE6933" w:rsidRPr="00BA3042" w:rsidRDefault="00AE6933" w:rsidP="00AE6933">
      <w:pPr>
        <w:pStyle w:val="SingleTxtG"/>
        <w:rPr>
          <w:lang w:val="fr-FR"/>
        </w:rPr>
      </w:pPr>
      <w:r w:rsidRPr="00BA3042">
        <w:rPr>
          <w:lang w:val="fr-FR"/>
        </w:rPr>
        <w:t>181.</w:t>
      </w:r>
      <w:r w:rsidRPr="00BA3042">
        <w:rPr>
          <w:lang w:val="fr-FR"/>
        </w:rPr>
        <w:tab/>
        <w:t>La loi sur le cinéma (Journal officiel n</w:t>
      </w:r>
      <w:r w:rsidRPr="00BA3042">
        <w:rPr>
          <w:vertAlign w:val="superscript"/>
          <w:lang w:val="fr-FR"/>
        </w:rPr>
        <w:t>o</w:t>
      </w:r>
      <w:r w:rsidRPr="00BA3042">
        <w:rPr>
          <w:lang w:val="fr-FR"/>
        </w:rPr>
        <w:t> 82/13) crée l’Agence cinématographique de République de Macédoine, chargée de soutenir, promouvoir et développer la production cinématographique, de financer les projets de films d’intérêt national et de soutenir, présenter et encourager les films produits en République de Macédoine. Cette agence entrera en fonction le 1</w:t>
      </w:r>
      <w:r w:rsidRPr="00BA3042">
        <w:rPr>
          <w:vertAlign w:val="superscript"/>
          <w:lang w:val="fr-FR"/>
        </w:rPr>
        <w:t>er</w:t>
      </w:r>
      <w:r w:rsidRPr="00BA3042">
        <w:rPr>
          <w:lang w:val="fr-FR"/>
        </w:rPr>
        <w:t xml:space="preserve"> janvier 2014. Dans le cadre de la décentralisation de 2004, quelque 28 maisons de la culture sont nées dans le pays (dont trois universités des travailleurs, centres culturels et centres des enfants), 13 bibliothèques, six musées et deux zoos. La plupart de ces établissements sont situés dans la capitale Skopje ou des grandes villes comme Bitola, Prilep et Kumanovo. </w:t>
      </w:r>
    </w:p>
    <w:p w:rsidR="00AE6933" w:rsidRPr="00BA3042" w:rsidRDefault="00AE6933" w:rsidP="00AE6933">
      <w:pPr>
        <w:pStyle w:val="SingleTxtG"/>
        <w:rPr>
          <w:lang w:val="fr-FR"/>
        </w:rPr>
      </w:pPr>
      <w:r w:rsidRPr="00BA3042">
        <w:rPr>
          <w:lang w:val="fr-FR"/>
        </w:rPr>
        <w:t>182.</w:t>
      </w:r>
      <w:r w:rsidRPr="00BA3042">
        <w:rPr>
          <w:lang w:val="fr-FR"/>
        </w:rPr>
        <w:tab/>
        <w:t xml:space="preserve">La République de Macédoine possède un patrimoine mobilier et immobilier d’une grande diversité de genre, d’époques, d’influences culturelles et de styles d’une valeur culturelle, historique et artistique inestimable. </w:t>
      </w:r>
    </w:p>
    <w:p w:rsidR="00AE6933" w:rsidRPr="00BA3042" w:rsidRDefault="00AE6933" w:rsidP="00AE6933">
      <w:pPr>
        <w:pStyle w:val="SingleTxtG"/>
        <w:rPr>
          <w:lang w:val="fr-FR"/>
        </w:rPr>
      </w:pPr>
      <w:r w:rsidRPr="00BA3042">
        <w:rPr>
          <w:lang w:val="fr-FR"/>
        </w:rPr>
        <w:t>183.</w:t>
      </w:r>
      <w:r w:rsidRPr="00BA3042">
        <w:rPr>
          <w:lang w:val="fr-FR"/>
        </w:rPr>
        <w:tab/>
        <w:t>La loi sur la protection du patrimoine historique (Journal officiel n</w:t>
      </w:r>
      <w:r w:rsidRPr="00BA3042">
        <w:rPr>
          <w:vertAlign w:val="superscript"/>
          <w:lang w:val="fr-FR"/>
        </w:rPr>
        <w:t>os</w:t>
      </w:r>
      <w:r w:rsidRPr="00BA3042">
        <w:rPr>
          <w:lang w:val="fr-FR"/>
        </w:rPr>
        <w:t xml:space="preserve"> 24/07 et 115/07) définit le patrimoine historique comme une valeur fondamentale de la République de Macédoine, dont la préservation, conforme à l’intérêt public, est obligatoire sur l’ensemble du territoire national. </w:t>
      </w:r>
    </w:p>
    <w:p w:rsidR="00AE6933" w:rsidRPr="00BA3042" w:rsidRDefault="00AE6933" w:rsidP="00AE6933">
      <w:pPr>
        <w:pStyle w:val="SingleTxtG"/>
        <w:rPr>
          <w:lang w:val="fr-FR"/>
        </w:rPr>
      </w:pPr>
      <w:r w:rsidRPr="00BA3042">
        <w:rPr>
          <w:lang w:val="fr-FR"/>
        </w:rPr>
        <w:t>184.</w:t>
      </w:r>
      <w:r w:rsidRPr="00BA3042">
        <w:rPr>
          <w:lang w:val="fr-FR"/>
        </w:rPr>
        <w:tab/>
        <w:t xml:space="preserve">La loi introduit une nouvelle catégorie de biens du patrimoine culturel: l’héritage culturel spirituel, qui inclut notamment des éléments du folklore tels que les us et coutumes, rituels, connaissances transmises oralement, chansons folkloriques, contes, légendes, proverbes, devinettes, danses, jeux et chansons, les métiers artisanaux rares et anciens, les professions traditionnelles et les autres expressions de la créativité immatérielle. </w:t>
      </w:r>
    </w:p>
    <w:p w:rsidR="00AE6933" w:rsidRPr="00BA3042" w:rsidRDefault="00AE6933" w:rsidP="00AE6933">
      <w:pPr>
        <w:pStyle w:val="SingleTxtG"/>
        <w:rPr>
          <w:lang w:val="fr-FR"/>
        </w:rPr>
      </w:pPr>
      <w:r w:rsidRPr="00BA3042">
        <w:rPr>
          <w:lang w:val="fr-FR"/>
        </w:rPr>
        <w:t>185.</w:t>
      </w:r>
      <w:r w:rsidRPr="00BA3042">
        <w:rPr>
          <w:lang w:val="fr-FR"/>
        </w:rPr>
        <w:tab/>
        <w:t xml:space="preserve">La loi de 2008 sur les biens audiovisuels définit les conditions et les modalités du travail d’archivage des films, l’établissement et les types d’archives cinématographiques, ainsi que les droits et obligations liés aux biens audiovisuels. </w:t>
      </w:r>
    </w:p>
    <w:p w:rsidR="00AE6933" w:rsidRPr="00BA3042" w:rsidRDefault="00AE6933" w:rsidP="00AE6933">
      <w:pPr>
        <w:pStyle w:val="SingleTxtG"/>
        <w:rPr>
          <w:lang w:val="fr-FR"/>
        </w:rPr>
      </w:pPr>
      <w:r w:rsidRPr="00BA3042">
        <w:rPr>
          <w:lang w:val="fr-FR"/>
        </w:rPr>
        <w:t>186.</w:t>
      </w:r>
      <w:r w:rsidRPr="00BA3042">
        <w:rPr>
          <w:lang w:val="fr-FR"/>
        </w:rPr>
        <w:tab/>
        <w:t>Afin d’intégrer les personnes handicapées dans la société, des programmes culturels spéciaux sont mis en œuvre à l’intention de cette catégorie de personnes. À ce propos, une bibliothèque pour personnes malvoyantes a été créée en 2011. Elle imprime, publie et prête des manuels, livres et d’autres textes littéraires dans des formats spéciaux, en braille ou en gros caractères, des manuels enregistrés sur cassettes audio ou sur CD, etc. Parallèlement, les personnes handicapées disposent d’un accès spécial dans toutes les institutions culturelles.</w:t>
      </w:r>
    </w:p>
    <w:p w:rsidR="00AE6933" w:rsidRPr="00BA3042" w:rsidRDefault="00AE6933" w:rsidP="00AE6933">
      <w:pPr>
        <w:pStyle w:val="SingleTxtG"/>
        <w:rPr>
          <w:lang w:val="fr-FR"/>
        </w:rPr>
      </w:pPr>
      <w:r w:rsidRPr="00BA3042">
        <w:rPr>
          <w:lang w:val="fr-FR"/>
        </w:rPr>
        <w:t>187.</w:t>
      </w:r>
      <w:r w:rsidRPr="00BA3042">
        <w:rPr>
          <w:lang w:val="fr-FR"/>
        </w:rPr>
        <w:tab/>
        <w:t xml:space="preserve">Le caractère multiethnique et multiculturel de la République de Macédoine impose d’élaborer des programmes en faveur du pluralisme culturel. </w:t>
      </w:r>
    </w:p>
    <w:p w:rsidR="00AE6933" w:rsidRPr="00BA3042" w:rsidRDefault="00AE6933" w:rsidP="00AE6933">
      <w:pPr>
        <w:pStyle w:val="SingleTxtG"/>
        <w:rPr>
          <w:lang w:val="fr-FR"/>
        </w:rPr>
      </w:pPr>
      <w:r w:rsidRPr="00BA3042">
        <w:rPr>
          <w:lang w:val="fr-FR"/>
        </w:rPr>
        <w:t>188.</w:t>
      </w:r>
      <w:r w:rsidRPr="00BA3042">
        <w:rPr>
          <w:lang w:val="fr-FR"/>
        </w:rPr>
        <w:tab/>
        <w:t>La loi sur la science et la recherche (Journal officiel n</w:t>
      </w:r>
      <w:r w:rsidRPr="00BA3042">
        <w:rPr>
          <w:vertAlign w:val="superscript"/>
          <w:lang w:val="fr-FR"/>
        </w:rPr>
        <w:t>os</w:t>
      </w:r>
      <w:r w:rsidRPr="00BA3042">
        <w:rPr>
          <w:lang w:val="fr-FR"/>
        </w:rPr>
        <w:t> 46/2008 et 103/2008) confie au Ministère de l’éducation et des sciences le soin d’organiser et gérer la recherche scientifique, de créer des conditions favorables et de veiller à la formation professionnelle des chercheurs.</w:t>
      </w:r>
    </w:p>
    <w:p w:rsidR="00AE6933" w:rsidRPr="00BA3042" w:rsidRDefault="00AE6933" w:rsidP="00AE6933">
      <w:pPr>
        <w:pStyle w:val="SingleTxtG"/>
        <w:rPr>
          <w:lang w:val="fr-FR"/>
        </w:rPr>
      </w:pPr>
      <w:r w:rsidRPr="00BA3042">
        <w:rPr>
          <w:lang w:val="fr-FR"/>
        </w:rPr>
        <w:t>189.</w:t>
      </w:r>
      <w:r w:rsidRPr="00BA3042">
        <w:rPr>
          <w:lang w:val="fr-FR"/>
        </w:rPr>
        <w:tab/>
        <w:t xml:space="preserve">Afin de stimuler la recherche scientifique, en 2009, le Ministère de l’éducation et de la science a accordé des bourses d’étude à de jeunes étudiants en sciences en deuxième cycle universitaire ayant des résultats excellents, et des allocations forfaitaires uniques sont également attribuées pour aider les étudiants en science à rédiger et défendre une thèse de master ou de doctorat. </w:t>
      </w:r>
    </w:p>
    <w:p w:rsidR="00AE6933" w:rsidRPr="00BA3042" w:rsidRDefault="00AE6933" w:rsidP="00AE6933">
      <w:pPr>
        <w:pStyle w:val="SingleTxtG"/>
        <w:rPr>
          <w:lang w:val="fr-FR"/>
        </w:rPr>
      </w:pPr>
      <w:r w:rsidRPr="00BA3042">
        <w:rPr>
          <w:lang w:val="fr-FR"/>
        </w:rPr>
        <w:t>190.</w:t>
      </w:r>
      <w:r w:rsidRPr="00BA3042">
        <w:rPr>
          <w:lang w:val="fr-FR"/>
        </w:rPr>
        <w:tab/>
        <w:t>Le Programme de recherche scientifique de sept instituts scientifiques publics alloue des fonds à des actions programmées: projets de recherche scientifique, publication, organisation d’événements scientifiques, participation à des rencontres scientifiques à l’étranger, visites d’étude à l’étranger, visites de chercheurs étrangers en République de Macédoine, fourniture d’équipements pour la recherche scientifique, fourniture de littérature scientifique étrangère, adaptation et rénovation de locaux, etc.</w:t>
      </w:r>
    </w:p>
    <w:p w:rsidR="00AE6933" w:rsidRPr="00BA3042" w:rsidRDefault="00AE6933" w:rsidP="00AE6933">
      <w:pPr>
        <w:spacing w:before="240"/>
        <w:ind w:left="1134" w:right="1134"/>
        <w:jc w:val="center"/>
        <w:rPr>
          <w:lang w:val="fr-FR"/>
        </w:rPr>
      </w:pPr>
      <w:r w:rsidRPr="00BA3042">
        <w:rPr>
          <w:u w:val="single"/>
          <w:lang w:val="fr-FR"/>
        </w:rPr>
        <w:tab/>
      </w:r>
      <w:r w:rsidRPr="00BA3042">
        <w:rPr>
          <w:u w:val="single"/>
          <w:lang w:val="fr-FR"/>
        </w:rPr>
        <w:tab/>
      </w:r>
      <w:r w:rsidRPr="00BA3042">
        <w:rPr>
          <w:u w:val="single"/>
          <w:lang w:val="fr-FR"/>
        </w:rPr>
        <w:tab/>
      </w:r>
    </w:p>
    <w:p w:rsidR="00AE6933" w:rsidRPr="00BA3042" w:rsidRDefault="00AE6933" w:rsidP="00AE6933">
      <w:pPr>
        <w:pStyle w:val="SingleTxtG"/>
        <w:jc w:val="right"/>
        <w:rPr>
          <w:lang w:val="fr-FR"/>
        </w:rPr>
      </w:pPr>
    </w:p>
    <w:sectPr w:rsidR="00AE6933" w:rsidRPr="00BA3042" w:rsidSect="003A25B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CAC" w:rsidRDefault="00E40CAC"/>
  </w:endnote>
  <w:endnote w:type="continuationSeparator" w:id="0">
    <w:p w:rsidR="00E40CAC" w:rsidRDefault="00E40CAC">
      <w:pPr>
        <w:pStyle w:val="Footer"/>
      </w:pPr>
    </w:p>
  </w:endnote>
  <w:endnote w:type="continuationNotice" w:id="1">
    <w:p w:rsidR="00E40CAC" w:rsidRPr="00C451B9" w:rsidRDefault="00E40CAC" w:rsidP="00C451B9">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95" w:rsidRPr="00AE6933" w:rsidRDefault="002B2695" w:rsidP="00AE6933">
    <w:pPr>
      <w:pStyle w:val="Footer"/>
      <w:tabs>
        <w:tab w:val="right" w:pos="9638"/>
      </w:tabs>
      <w:rPr>
        <w:szCs w:val="16"/>
        <w:lang w:val="en-US"/>
      </w:rPr>
    </w:pPr>
    <w:r w:rsidRPr="003A25B0">
      <w:rPr>
        <w:b/>
        <w:sz w:val="18"/>
      </w:rPr>
      <w:fldChar w:fldCharType="begin"/>
    </w:r>
    <w:r w:rsidRPr="003A25B0">
      <w:rPr>
        <w:b/>
        <w:sz w:val="18"/>
      </w:rPr>
      <w:instrText xml:space="preserve"> PAGE  \* MERGEFORMAT </w:instrText>
    </w:r>
    <w:r w:rsidRPr="003A25B0">
      <w:rPr>
        <w:b/>
        <w:sz w:val="18"/>
      </w:rPr>
      <w:fldChar w:fldCharType="separate"/>
    </w:r>
    <w:r w:rsidR="007A6EFD">
      <w:rPr>
        <w:b/>
        <w:noProof/>
        <w:sz w:val="18"/>
      </w:rPr>
      <w:t>22</w:t>
    </w:r>
    <w:r w:rsidRPr="003A25B0">
      <w:rPr>
        <w:b/>
        <w:sz w:val="18"/>
      </w:rPr>
      <w:fldChar w:fldCharType="end"/>
    </w:r>
    <w:r>
      <w:rPr>
        <w:b/>
        <w:sz w:val="18"/>
      </w:rPr>
      <w:tab/>
    </w:r>
    <w:r w:rsidRPr="00AE6933">
      <w:rPr>
        <w:szCs w:val="16"/>
      </w:rPr>
      <w:t>GE.</w:t>
    </w:r>
    <w:r w:rsidR="00AE6933" w:rsidRPr="00AE6933">
      <w:rPr>
        <w:szCs w:val="16"/>
      </w:rPr>
      <w:t>14-1756</w:t>
    </w:r>
    <w:r w:rsidR="00AE6933" w:rsidRPr="00AE6933">
      <w:rPr>
        <w:szCs w:val="16"/>
        <w:lang w:val="en-US"/>
      </w:rPr>
      <w:t xml:space="preserve">1  </w:t>
    </w:r>
    <w:r w:rsidR="00AE6933">
      <w:rPr>
        <w:szCs w:val="16"/>
        <w:lang w:val="en-US"/>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95" w:rsidRPr="003A25B0" w:rsidRDefault="00AE6933" w:rsidP="003A25B0">
    <w:pPr>
      <w:pStyle w:val="Footer"/>
      <w:tabs>
        <w:tab w:val="right" w:pos="9638"/>
      </w:tabs>
      <w:rPr>
        <w:b/>
        <w:sz w:val="18"/>
      </w:rPr>
    </w:pPr>
    <w:r w:rsidRPr="00AE6933">
      <w:rPr>
        <w:szCs w:val="16"/>
      </w:rPr>
      <w:t>GE.14-1756</w:t>
    </w:r>
    <w:r w:rsidRPr="00AE6933">
      <w:rPr>
        <w:szCs w:val="16"/>
        <w:lang w:val="en-US"/>
      </w:rPr>
      <w:t xml:space="preserve">1  </w:t>
    </w:r>
    <w:r>
      <w:rPr>
        <w:szCs w:val="16"/>
        <w:lang w:val="en-US"/>
      </w:rPr>
      <w:t>(EXT)</w:t>
    </w:r>
    <w:r w:rsidR="002B2695">
      <w:tab/>
    </w:r>
    <w:r w:rsidR="002B2695" w:rsidRPr="003A25B0">
      <w:rPr>
        <w:b/>
        <w:sz w:val="18"/>
      </w:rPr>
      <w:fldChar w:fldCharType="begin"/>
    </w:r>
    <w:r w:rsidR="002B2695" w:rsidRPr="003A25B0">
      <w:rPr>
        <w:b/>
        <w:sz w:val="18"/>
      </w:rPr>
      <w:instrText xml:space="preserve"> PAGE  \* MERGEFORMAT </w:instrText>
    </w:r>
    <w:r w:rsidR="002B2695" w:rsidRPr="003A25B0">
      <w:rPr>
        <w:b/>
        <w:sz w:val="18"/>
      </w:rPr>
      <w:fldChar w:fldCharType="separate"/>
    </w:r>
    <w:r w:rsidR="007A6EFD">
      <w:rPr>
        <w:b/>
        <w:noProof/>
        <w:sz w:val="18"/>
      </w:rPr>
      <w:t>23</w:t>
    </w:r>
    <w:r w:rsidR="002B2695" w:rsidRPr="003A25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95" w:rsidRDefault="002B2695" w:rsidP="00DC2BA7">
    <w:pPr>
      <w:pStyle w:val="Footer"/>
      <w:spacing w:before="240"/>
      <w:rPr>
        <w:sz w:val="20"/>
        <w:lang w:val="en-US"/>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00AE6933">
      <w:rPr>
        <w:sz w:val="20"/>
      </w:rPr>
      <w:t>GE.14-1756</w:t>
    </w:r>
    <w:r w:rsidR="00AE6933">
      <w:rPr>
        <w:sz w:val="20"/>
        <w:lang w:val="en-US"/>
      </w:rPr>
      <w:t>1  (EXT)</w:t>
    </w:r>
  </w:p>
  <w:p w:rsidR="00DC2BA7" w:rsidRPr="00DC2BA7" w:rsidRDefault="00DC2BA7" w:rsidP="00DC2BA7">
    <w:pPr>
      <w:rPr>
        <w:rFonts w:ascii="C39T30Lfz" w:hAnsi="C39T30Lfz"/>
        <w:sz w:val="56"/>
        <w:lang w:val="en-US"/>
      </w:rPr>
    </w:pP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sz w:val="56"/>
        <w:lang w:val="en-US"/>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CAC" w:rsidRPr="00D27D5E" w:rsidRDefault="00E40CAC" w:rsidP="00D27D5E">
      <w:pPr>
        <w:tabs>
          <w:tab w:val="right" w:pos="2155"/>
        </w:tabs>
        <w:spacing w:after="80"/>
        <w:ind w:left="680"/>
        <w:rPr>
          <w:u w:val="single"/>
        </w:rPr>
      </w:pPr>
      <w:r>
        <w:rPr>
          <w:u w:val="single"/>
        </w:rPr>
        <w:tab/>
      </w:r>
    </w:p>
  </w:footnote>
  <w:footnote w:type="continuationSeparator" w:id="0">
    <w:p w:rsidR="00E40CAC" w:rsidRPr="00D171D4" w:rsidRDefault="00E40CAC" w:rsidP="00D171D4">
      <w:pPr>
        <w:tabs>
          <w:tab w:val="right" w:pos="2155"/>
        </w:tabs>
        <w:spacing w:after="80"/>
        <w:ind w:left="680"/>
        <w:rPr>
          <w:u w:val="single"/>
        </w:rPr>
      </w:pPr>
      <w:r w:rsidRPr="00D171D4">
        <w:rPr>
          <w:u w:val="single"/>
        </w:rPr>
        <w:tab/>
      </w:r>
    </w:p>
  </w:footnote>
  <w:footnote w:type="continuationNotice" w:id="1">
    <w:p w:rsidR="00E40CAC" w:rsidRPr="00C451B9" w:rsidRDefault="00E40CAC" w:rsidP="00C451B9">
      <w:pPr>
        <w:spacing w:line="240" w:lineRule="auto"/>
        <w:rPr>
          <w:sz w:val="2"/>
          <w:szCs w:val="2"/>
        </w:rPr>
      </w:pPr>
    </w:p>
  </w:footnote>
  <w:footnote w:id="2">
    <w:p w:rsidR="00AE6933" w:rsidRPr="00871C1C" w:rsidRDefault="00AE6933" w:rsidP="00AE6933">
      <w:pPr>
        <w:pStyle w:val="FootnoteText"/>
        <w:rPr>
          <w:rFonts w:eastAsia="Calibri"/>
        </w:rPr>
      </w:pPr>
      <w:r w:rsidRPr="00871C1C">
        <w:rPr>
          <w:rFonts w:eastAsia="Calibri"/>
        </w:rPr>
        <w:tab/>
        <w:t>*</w:t>
      </w:r>
      <w:r w:rsidRPr="00871C1C">
        <w:rPr>
          <w:rFonts w:eastAsia="Calibri"/>
        </w:rPr>
        <w:tab/>
        <w:t>Le présent document n</w:t>
      </w:r>
      <w:r w:rsidRPr="00CF053F">
        <w:rPr>
          <w:rFonts w:eastAsia="Calibri"/>
        </w:rPr>
        <w:t>’</w:t>
      </w:r>
      <w:r w:rsidRPr="00871C1C">
        <w:rPr>
          <w:rFonts w:eastAsia="Calibri"/>
        </w:rPr>
        <w:t>a pas fait l</w:t>
      </w:r>
      <w:r>
        <w:rPr>
          <w:rFonts w:eastAsia="Calibri"/>
        </w:rPr>
        <w:t>’</w:t>
      </w:r>
      <w:r w:rsidRPr="00871C1C">
        <w:rPr>
          <w:rFonts w:eastAsia="Calibri"/>
        </w:rPr>
        <w:t>objet d</w:t>
      </w:r>
      <w:r w:rsidRPr="00CF053F">
        <w:rPr>
          <w:rFonts w:eastAsia="Calibri"/>
        </w:rPr>
        <w:t>’</w:t>
      </w:r>
      <w:r w:rsidRPr="00871C1C">
        <w:rPr>
          <w:rFonts w:eastAsia="Calibri"/>
        </w:rPr>
        <w:t>une relecture sur le fond par les services d</w:t>
      </w:r>
      <w:r w:rsidRPr="00CF053F">
        <w:rPr>
          <w:rFonts w:eastAsia="Calibri"/>
        </w:rPr>
        <w:t>’</w:t>
      </w:r>
      <w:r w:rsidRPr="00871C1C">
        <w:rPr>
          <w:rFonts w:eastAsia="Calibri"/>
        </w:rPr>
        <w:t>édition.</w:t>
      </w:r>
    </w:p>
  </w:footnote>
  <w:footnote w:id="3">
    <w:p w:rsidR="00AE6933" w:rsidRPr="00FB40E0" w:rsidRDefault="00AE6933" w:rsidP="00AE6933">
      <w:pPr>
        <w:pStyle w:val="FootnoteText"/>
        <w:widowControl w:val="0"/>
        <w:tabs>
          <w:tab w:val="clear" w:pos="1021"/>
          <w:tab w:val="right" w:pos="1020"/>
        </w:tabs>
        <w:rPr>
          <w:lang w:val="fr-FR"/>
        </w:rPr>
      </w:pPr>
      <w:r>
        <w:tab/>
      </w:r>
      <w:r>
        <w:rPr>
          <w:rStyle w:val="FootnoteReference"/>
        </w:rPr>
        <w:footnoteRef/>
      </w:r>
      <w:r>
        <w:tab/>
      </w:r>
      <w:r>
        <w:rPr>
          <w:lang w:val="fr-FR"/>
        </w:rPr>
        <w:t>Conformément aux recommandations d’EUROSTAT, il s’agit de la proportion de personnes occupant un emploi dans l’ensemble de la population apte au travail âgée de 15 à 64 ans.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95" w:rsidRPr="00AE6933" w:rsidRDefault="00AE6933" w:rsidP="00AE6933">
    <w:pPr>
      <w:pStyle w:val="Header"/>
    </w:pPr>
    <w:r>
      <w:t>E/C.12/MKD/2-4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695" w:rsidRPr="00AE6933" w:rsidRDefault="00AE6933" w:rsidP="00AE6933">
    <w:pPr>
      <w:pStyle w:val="Header"/>
      <w:jc w:val="right"/>
    </w:pPr>
    <w:r>
      <w:t>E/C.12/MKD/2-4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18"/>
  </w:num>
  <w:num w:numId="3">
    <w:abstractNumId w:val="40"/>
  </w:num>
  <w:num w:numId="4">
    <w:abstractNumId w:val="18"/>
  </w:num>
  <w:num w:numId="5">
    <w:abstractNumId w:val="11"/>
  </w:num>
  <w:num w:numId="6">
    <w:abstractNumId w:val="20"/>
  </w:num>
  <w:num w:numId="7">
    <w:abstractNumId w:val="25"/>
  </w:num>
  <w:num w:numId="8">
    <w:abstractNumId w:val="38"/>
  </w:num>
  <w:num w:numId="9">
    <w:abstractNumId w:val="31"/>
  </w:num>
  <w:num w:numId="10">
    <w:abstractNumId w:val="41"/>
  </w:num>
  <w:num w:numId="11">
    <w:abstractNumId w:val="25"/>
  </w:num>
  <w:num w:numId="12">
    <w:abstractNumId w:val="29"/>
  </w:num>
  <w:num w:numId="13">
    <w:abstractNumId w:val="29"/>
  </w:num>
  <w:num w:numId="14">
    <w:abstractNumId w:val="35"/>
  </w:num>
  <w:num w:numId="15">
    <w:abstractNumId w:val="23"/>
  </w:num>
  <w:num w:numId="16">
    <w:abstractNumId w:val="23"/>
  </w:num>
  <w:num w:numId="17">
    <w:abstractNumId w:val="40"/>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6"/>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9"/>
  </w:num>
  <w:num w:numId="37">
    <w:abstractNumId w:val="36"/>
  </w:num>
  <w:num w:numId="38">
    <w:abstractNumId w:val="22"/>
  </w:num>
  <w:num w:numId="39">
    <w:abstractNumId w:val="28"/>
  </w:num>
  <w:num w:numId="40">
    <w:abstractNumId w:val="37"/>
  </w:num>
  <w:num w:numId="41">
    <w:abstractNumId w:val="16"/>
  </w:num>
  <w:num w:numId="42">
    <w:abstractNumId w:val="24"/>
  </w:num>
  <w:num w:numId="43">
    <w:abstractNumId w:val="32"/>
  </w:num>
  <w:num w:numId="44">
    <w:abstractNumId w:val="21"/>
  </w:num>
  <w:num w:numId="45">
    <w:abstractNumId w:val="34"/>
  </w:num>
  <w:num w:numId="46">
    <w:abstractNumId w:val="30"/>
  </w:num>
  <w:num w:numId="47">
    <w:abstractNumId w:val="27"/>
  </w:num>
  <w:num w:numId="48">
    <w:abstractNumId w:val="17"/>
  </w:num>
  <w:num w:numId="4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2F6F"/>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41CE"/>
    <w:rsid w:val="00067310"/>
    <w:rsid w:val="00077E35"/>
    <w:rsid w:val="0008669E"/>
    <w:rsid w:val="00090599"/>
    <w:rsid w:val="000A1501"/>
    <w:rsid w:val="000A2494"/>
    <w:rsid w:val="000A3E70"/>
    <w:rsid w:val="000A6B7E"/>
    <w:rsid w:val="000C6CDB"/>
    <w:rsid w:val="000D5C25"/>
    <w:rsid w:val="000E4F06"/>
    <w:rsid w:val="000E5601"/>
    <w:rsid w:val="000F41F2"/>
    <w:rsid w:val="0010373B"/>
    <w:rsid w:val="00125446"/>
    <w:rsid w:val="00131283"/>
    <w:rsid w:val="001358D9"/>
    <w:rsid w:val="0013697D"/>
    <w:rsid w:val="00141E26"/>
    <w:rsid w:val="00143EB9"/>
    <w:rsid w:val="0015389C"/>
    <w:rsid w:val="0015665B"/>
    <w:rsid w:val="00160540"/>
    <w:rsid w:val="00166C68"/>
    <w:rsid w:val="00174814"/>
    <w:rsid w:val="00181A90"/>
    <w:rsid w:val="00190D5D"/>
    <w:rsid w:val="00192EEB"/>
    <w:rsid w:val="00194484"/>
    <w:rsid w:val="001A2040"/>
    <w:rsid w:val="001A20FB"/>
    <w:rsid w:val="001A376F"/>
    <w:rsid w:val="001B09BB"/>
    <w:rsid w:val="001C201E"/>
    <w:rsid w:val="001C3D8D"/>
    <w:rsid w:val="001C5397"/>
    <w:rsid w:val="001C6497"/>
    <w:rsid w:val="001C6BD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31A7F"/>
    <w:rsid w:val="00242BBD"/>
    <w:rsid w:val="0024586F"/>
    <w:rsid w:val="00246BC8"/>
    <w:rsid w:val="00251F95"/>
    <w:rsid w:val="00252317"/>
    <w:rsid w:val="002659F1"/>
    <w:rsid w:val="00271E41"/>
    <w:rsid w:val="00284C19"/>
    <w:rsid w:val="00286E23"/>
    <w:rsid w:val="002876A1"/>
    <w:rsid w:val="00287CA6"/>
    <w:rsid w:val="00287E79"/>
    <w:rsid w:val="002928F9"/>
    <w:rsid w:val="00294D5B"/>
    <w:rsid w:val="002A2A2C"/>
    <w:rsid w:val="002A5D07"/>
    <w:rsid w:val="002B2695"/>
    <w:rsid w:val="002C0E10"/>
    <w:rsid w:val="002D25CA"/>
    <w:rsid w:val="002D3DA4"/>
    <w:rsid w:val="002D781B"/>
    <w:rsid w:val="002E2F5C"/>
    <w:rsid w:val="002F0C48"/>
    <w:rsid w:val="003016B7"/>
    <w:rsid w:val="0030754C"/>
    <w:rsid w:val="00317E54"/>
    <w:rsid w:val="00322DF1"/>
    <w:rsid w:val="00324EBF"/>
    <w:rsid w:val="0032556C"/>
    <w:rsid w:val="00330508"/>
    <w:rsid w:val="0033286A"/>
    <w:rsid w:val="00333130"/>
    <w:rsid w:val="00346E32"/>
    <w:rsid w:val="003515AA"/>
    <w:rsid w:val="00364F13"/>
    <w:rsid w:val="0036776C"/>
    <w:rsid w:val="00372A7A"/>
    <w:rsid w:val="00372D1D"/>
    <w:rsid w:val="00372FB1"/>
    <w:rsid w:val="00374106"/>
    <w:rsid w:val="0037679A"/>
    <w:rsid w:val="0038047C"/>
    <w:rsid w:val="00390EEF"/>
    <w:rsid w:val="00394410"/>
    <w:rsid w:val="003976D5"/>
    <w:rsid w:val="003A25B0"/>
    <w:rsid w:val="003B011B"/>
    <w:rsid w:val="003B53B6"/>
    <w:rsid w:val="003D0DBE"/>
    <w:rsid w:val="003D6C68"/>
    <w:rsid w:val="003E01D0"/>
    <w:rsid w:val="003E49B9"/>
    <w:rsid w:val="003E5F12"/>
    <w:rsid w:val="003E786C"/>
    <w:rsid w:val="003F2A89"/>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1152"/>
    <w:rsid w:val="00476265"/>
    <w:rsid w:val="00490F56"/>
    <w:rsid w:val="00491F39"/>
    <w:rsid w:val="004A49A5"/>
    <w:rsid w:val="004A66A2"/>
    <w:rsid w:val="004B0C0E"/>
    <w:rsid w:val="004B51CD"/>
    <w:rsid w:val="004C54C0"/>
    <w:rsid w:val="004C56B2"/>
    <w:rsid w:val="004C72C1"/>
    <w:rsid w:val="004D00B2"/>
    <w:rsid w:val="004E4963"/>
    <w:rsid w:val="004E5145"/>
    <w:rsid w:val="004E6809"/>
    <w:rsid w:val="004E7F24"/>
    <w:rsid w:val="005111B1"/>
    <w:rsid w:val="0051457E"/>
    <w:rsid w:val="0051714B"/>
    <w:rsid w:val="00520F80"/>
    <w:rsid w:val="005219DB"/>
    <w:rsid w:val="005239FF"/>
    <w:rsid w:val="00523DB8"/>
    <w:rsid w:val="00527338"/>
    <w:rsid w:val="00533150"/>
    <w:rsid w:val="00543B57"/>
    <w:rsid w:val="00543C47"/>
    <w:rsid w:val="00543D5E"/>
    <w:rsid w:val="00552260"/>
    <w:rsid w:val="00552777"/>
    <w:rsid w:val="00555494"/>
    <w:rsid w:val="00555CBA"/>
    <w:rsid w:val="00565B29"/>
    <w:rsid w:val="00571BC1"/>
    <w:rsid w:val="00571F41"/>
    <w:rsid w:val="00573957"/>
    <w:rsid w:val="00575476"/>
    <w:rsid w:val="005804B4"/>
    <w:rsid w:val="00584373"/>
    <w:rsid w:val="00591DB3"/>
    <w:rsid w:val="005939ED"/>
    <w:rsid w:val="005947BC"/>
    <w:rsid w:val="00595E8A"/>
    <w:rsid w:val="005A0268"/>
    <w:rsid w:val="005A6014"/>
    <w:rsid w:val="005B473C"/>
    <w:rsid w:val="005C549A"/>
    <w:rsid w:val="005D7719"/>
    <w:rsid w:val="005E1B9B"/>
    <w:rsid w:val="005E32D1"/>
    <w:rsid w:val="005E5D1F"/>
    <w:rsid w:val="0060704E"/>
    <w:rsid w:val="0061113B"/>
    <w:rsid w:val="00611D43"/>
    <w:rsid w:val="00612D48"/>
    <w:rsid w:val="00613A5E"/>
    <w:rsid w:val="00616B45"/>
    <w:rsid w:val="006241C6"/>
    <w:rsid w:val="00630D9B"/>
    <w:rsid w:val="00631953"/>
    <w:rsid w:val="0063208D"/>
    <w:rsid w:val="00643814"/>
    <w:rsid w:val="006439EC"/>
    <w:rsid w:val="00645090"/>
    <w:rsid w:val="00647059"/>
    <w:rsid w:val="00647162"/>
    <w:rsid w:val="0065029A"/>
    <w:rsid w:val="00661E96"/>
    <w:rsid w:val="00665786"/>
    <w:rsid w:val="00671C93"/>
    <w:rsid w:val="00671F00"/>
    <w:rsid w:val="006729C8"/>
    <w:rsid w:val="00675501"/>
    <w:rsid w:val="0068562A"/>
    <w:rsid w:val="006A6B31"/>
    <w:rsid w:val="006A6C95"/>
    <w:rsid w:val="006A7B29"/>
    <w:rsid w:val="006B0EB2"/>
    <w:rsid w:val="006B0FF8"/>
    <w:rsid w:val="006B4590"/>
    <w:rsid w:val="006C340C"/>
    <w:rsid w:val="006D2382"/>
    <w:rsid w:val="006F1D0B"/>
    <w:rsid w:val="006F27A8"/>
    <w:rsid w:val="006F3493"/>
    <w:rsid w:val="006F3544"/>
    <w:rsid w:val="0070347C"/>
    <w:rsid w:val="007102D2"/>
    <w:rsid w:val="00714A66"/>
    <w:rsid w:val="007176C1"/>
    <w:rsid w:val="00720BC0"/>
    <w:rsid w:val="0072116B"/>
    <w:rsid w:val="00725063"/>
    <w:rsid w:val="00732E72"/>
    <w:rsid w:val="00741D90"/>
    <w:rsid w:val="00744A0D"/>
    <w:rsid w:val="007607B1"/>
    <w:rsid w:val="00765296"/>
    <w:rsid w:val="00766D28"/>
    <w:rsid w:val="007723C2"/>
    <w:rsid w:val="007815B9"/>
    <w:rsid w:val="00782F6F"/>
    <w:rsid w:val="00785F1F"/>
    <w:rsid w:val="00790B9D"/>
    <w:rsid w:val="007930C4"/>
    <w:rsid w:val="00796316"/>
    <w:rsid w:val="007A1C58"/>
    <w:rsid w:val="007A20D2"/>
    <w:rsid w:val="007A6EFD"/>
    <w:rsid w:val="007A7445"/>
    <w:rsid w:val="007A79CD"/>
    <w:rsid w:val="007D2668"/>
    <w:rsid w:val="007D3119"/>
    <w:rsid w:val="007D3783"/>
    <w:rsid w:val="007F1867"/>
    <w:rsid w:val="007F1EC4"/>
    <w:rsid w:val="007F55CB"/>
    <w:rsid w:val="007F768E"/>
    <w:rsid w:val="008021D4"/>
    <w:rsid w:val="008149F9"/>
    <w:rsid w:val="008245B7"/>
    <w:rsid w:val="0082755E"/>
    <w:rsid w:val="00831A18"/>
    <w:rsid w:val="00837345"/>
    <w:rsid w:val="00844750"/>
    <w:rsid w:val="00851A74"/>
    <w:rsid w:val="00853AB8"/>
    <w:rsid w:val="00854C34"/>
    <w:rsid w:val="0085586A"/>
    <w:rsid w:val="008715A7"/>
    <w:rsid w:val="00874B1D"/>
    <w:rsid w:val="00895DE5"/>
    <w:rsid w:val="008A0FA8"/>
    <w:rsid w:val="008A1EC0"/>
    <w:rsid w:val="008B44C4"/>
    <w:rsid w:val="008C322B"/>
    <w:rsid w:val="008C4B74"/>
    <w:rsid w:val="008D1156"/>
    <w:rsid w:val="008D59DB"/>
    <w:rsid w:val="008E0319"/>
    <w:rsid w:val="008E4DE2"/>
    <w:rsid w:val="008E7CE2"/>
    <w:rsid w:val="008E7FAE"/>
    <w:rsid w:val="008F5718"/>
    <w:rsid w:val="00911BF7"/>
    <w:rsid w:val="0091594A"/>
    <w:rsid w:val="009230F1"/>
    <w:rsid w:val="00935490"/>
    <w:rsid w:val="0093631E"/>
    <w:rsid w:val="009418DE"/>
    <w:rsid w:val="0094748E"/>
    <w:rsid w:val="009516B7"/>
    <w:rsid w:val="00957CE5"/>
    <w:rsid w:val="009624E2"/>
    <w:rsid w:val="00977EC8"/>
    <w:rsid w:val="00995BB4"/>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2682"/>
    <w:rsid w:val="00A56945"/>
    <w:rsid w:val="00A57027"/>
    <w:rsid w:val="00A5750C"/>
    <w:rsid w:val="00A72C35"/>
    <w:rsid w:val="00A752BB"/>
    <w:rsid w:val="00A81F93"/>
    <w:rsid w:val="00A85114"/>
    <w:rsid w:val="00A86DCF"/>
    <w:rsid w:val="00A9247E"/>
    <w:rsid w:val="00AA7796"/>
    <w:rsid w:val="00AC67A1"/>
    <w:rsid w:val="00AC7977"/>
    <w:rsid w:val="00AC7E56"/>
    <w:rsid w:val="00AE2617"/>
    <w:rsid w:val="00AE352C"/>
    <w:rsid w:val="00AE6933"/>
    <w:rsid w:val="00AE79AC"/>
    <w:rsid w:val="00B01AAD"/>
    <w:rsid w:val="00B101DB"/>
    <w:rsid w:val="00B13AB7"/>
    <w:rsid w:val="00B21751"/>
    <w:rsid w:val="00B256F0"/>
    <w:rsid w:val="00B31D7D"/>
    <w:rsid w:val="00B32E2D"/>
    <w:rsid w:val="00B43741"/>
    <w:rsid w:val="00B45642"/>
    <w:rsid w:val="00B52F29"/>
    <w:rsid w:val="00B5388D"/>
    <w:rsid w:val="00B61990"/>
    <w:rsid w:val="00B6249B"/>
    <w:rsid w:val="00B70CCD"/>
    <w:rsid w:val="00B75E66"/>
    <w:rsid w:val="00B773BF"/>
    <w:rsid w:val="00B84783"/>
    <w:rsid w:val="00BA3042"/>
    <w:rsid w:val="00BC3F20"/>
    <w:rsid w:val="00BD28B2"/>
    <w:rsid w:val="00BD5A8D"/>
    <w:rsid w:val="00BD6F02"/>
    <w:rsid w:val="00BD7343"/>
    <w:rsid w:val="00BF0556"/>
    <w:rsid w:val="00BF37EE"/>
    <w:rsid w:val="00C024A1"/>
    <w:rsid w:val="00C02C42"/>
    <w:rsid w:val="00C10FB1"/>
    <w:rsid w:val="00C11282"/>
    <w:rsid w:val="00C14108"/>
    <w:rsid w:val="00C261F8"/>
    <w:rsid w:val="00C27662"/>
    <w:rsid w:val="00C33100"/>
    <w:rsid w:val="00C451B9"/>
    <w:rsid w:val="00C51D9C"/>
    <w:rsid w:val="00C54DA4"/>
    <w:rsid w:val="00C55118"/>
    <w:rsid w:val="00C577D1"/>
    <w:rsid w:val="00C57A2D"/>
    <w:rsid w:val="00C6018C"/>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4F42"/>
    <w:rsid w:val="00D16D00"/>
    <w:rsid w:val="00D171D4"/>
    <w:rsid w:val="00D27D5E"/>
    <w:rsid w:val="00D32B08"/>
    <w:rsid w:val="00D407D1"/>
    <w:rsid w:val="00D43E5F"/>
    <w:rsid w:val="00D51CE6"/>
    <w:rsid w:val="00D639BD"/>
    <w:rsid w:val="00D65777"/>
    <w:rsid w:val="00D66378"/>
    <w:rsid w:val="00D66E0D"/>
    <w:rsid w:val="00D7425A"/>
    <w:rsid w:val="00D74F7E"/>
    <w:rsid w:val="00D7695F"/>
    <w:rsid w:val="00D9039B"/>
    <w:rsid w:val="00D90EF2"/>
    <w:rsid w:val="00D93582"/>
    <w:rsid w:val="00DA41A2"/>
    <w:rsid w:val="00DA43A1"/>
    <w:rsid w:val="00DA5E1D"/>
    <w:rsid w:val="00DC2BA7"/>
    <w:rsid w:val="00DC4F43"/>
    <w:rsid w:val="00DE6D90"/>
    <w:rsid w:val="00DF002F"/>
    <w:rsid w:val="00DF7CC2"/>
    <w:rsid w:val="00E0244D"/>
    <w:rsid w:val="00E026DF"/>
    <w:rsid w:val="00E02F48"/>
    <w:rsid w:val="00E03712"/>
    <w:rsid w:val="00E06B3F"/>
    <w:rsid w:val="00E10A73"/>
    <w:rsid w:val="00E11FFC"/>
    <w:rsid w:val="00E14F27"/>
    <w:rsid w:val="00E171D2"/>
    <w:rsid w:val="00E25534"/>
    <w:rsid w:val="00E319B6"/>
    <w:rsid w:val="00E32145"/>
    <w:rsid w:val="00E32F5A"/>
    <w:rsid w:val="00E40CAC"/>
    <w:rsid w:val="00E510F3"/>
    <w:rsid w:val="00E60012"/>
    <w:rsid w:val="00E62CFF"/>
    <w:rsid w:val="00E665EE"/>
    <w:rsid w:val="00E679AE"/>
    <w:rsid w:val="00E71570"/>
    <w:rsid w:val="00E73B13"/>
    <w:rsid w:val="00E75C58"/>
    <w:rsid w:val="00E76819"/>
    <w:rsid w:val="00E77793"/>
    <w:rsid w:val="00E81E94"/>
    <w:rsid w:val="00E82607"/>
    <w:rsid w:val="00E84A82"/>
    <w:rsid w:val="00E85025"/>
    <w:rsid w:val="00E9483E"/>
    <w:rsid w:val="00E96710"/>
    <w:rsid w:val="00EA3B1D"/>
    <w:rsid w:val="00EB77B9"/>
    <w:rsid w:val="00EB7D07"/>
    <w:rsid w:val="00ED3A26"/>
    <w:rsid w:val="00ED6AAB"/>
    <w:rsid w:val="00EF70BB"/>
    <w:rsid w:val="00F02FA9"/>
    <w:rsid w:val="00F06660"/>
    <w:rsid w:val="00F116EB"/>
    <w:rsid w:val="00F1794E"/>
    <w:rsid w:val="00F211AF"/>
    <w:rsid w:val="00F25EC3"/>
    <w:rsid w:val="00F32ADB"/>
    <w:rsid w:val="00F32C98"/>
    <w:rsid w:val="00F37E12"/>
    <w:rsid w:val="00F424BD"/>
    <w:rsid w:val="00F515AD"/>
    <w:rsid w:val="00F57DD7"/>
    <w:rsid w:val="00F636AD"/>
    <w:rsid w:val="00F72B88"/>
    <w:rsid w:val="00F734D9"/>
    <w:rsid w:val="00F73F83"/>
    <w:rsid w:val="00F74902"/>
    <w:rsid w:val="00F85A4E"/>
    <w:rsid w:val="00F9353A"/>
    <w:rsid w:val="00F965C2"/>
    <w:rsid w:val="00FA27D4"/>
    <w:rsid w:val="00FA5A79"/>
    <w:rsid w:val="00FB0BFE"/>
    <w:rsid w:val="00FB4300"/>
    <w:rsid w:val="00FB4C51"/>
    <w:rsid w:val="00FB734D"/>
    <w:rsid w:val="00FD02A2"/>
    <w:rsid w:val="00FD5E64"/>
    <w:rsid w:val="00FD7985"/>
    <w:rsid w:val="00FE6526"/>
    <w:rsid w:val="00FF1DBD"/>
    <w:rsid w:val="00FF1E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Car Car"/>
    <w:basedOn w:val="Normal"/>
    <w:link w:val="FootnoteTextChar"/>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37"/>
      </w:numPr>
      <w:spacing w:after="120"/>
      <w:ind w:right="1134"/>
      <w:jc w:val="both"/>
    </w:pPr>
  </w:style>
  <w:style w:type="paragraph" w:customStyle="1" w:styleId="Bullet2G">
    <w:name w:val="_Bullet 2_G"/>
    <w:basedOn w:val="Normal"/>
    <w:rsid w:val="00D016B5"/>
    <w:pPr>
      <w:numPr>
        <w:numId w:val="38"/>
      </w:numPr>
      <w:spacing w:after="120"/>
      <w:ind w:right="1134"/>
      <w:jc w:val="both"/>
    </w:pPr>
  </w:style>
  <w:style w:type="table" w:styleId="TableGrid">
    <w:name w:val="Table Grid"/>
    <w:basedOn w:val="TableNormal"/>
    <w:uiPriority w:val="59"/>
    <w:rsid w:val="00372D1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2D781B"/>
    <w:pPr>
      <w:numPr>
        <w:numId w:val="49"/>
      </w:numPr>
    </w:pPr>
  </w:style>
  <w:style w:type="character" w:styleId="Hyperlink">
    <w:name w:val="Hyperlink"/>
    <w:uiPriority w:val="99"/>
    <w:rsid w:val="00491F39"/>
    <w:rPr>
      <w:color w:val="auto"/>
      <w:u w:val="none"/>
    </w:rPr>
  </w:style>
  <w:style w:type="character" w:styleId="FollowedHyperlink">
    <w:name w:val="FollowedHyperlink"/>
    <w:semiHidden/>
    <w:rsid w:val="00491F39"/>
    <w:rPr>
      <w:color w:val="auto"/>
      <w:u w:val="none"/>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link w:val="FootnoteText"/>
    <w:rsid w:val="00AE6933"/>
    <w:rPr>
      <w:sz w:val="18"/>
      <w:lang w:val="fr-CH" w:eastAsia="en-US"/>
    </w:rPr>
  </w:style>
  <w:style w:type="character" w:customStyle="1" w:styleId="HeaderChar">
    <w:name w:val="Header Char"/>
    <w:aliases w:val="6_G Char"/>
    <w:link w:val="Header"/>
    <w:rsid w:val="00AE6933"/>
    <w:rPr>
      <w:b/>
      <w:sz w:val="18"/>
      <w:lang w:val="fr-CH" w:eastAsia="en-US"/>
    </w:rPr>
  </w:style>
  <w:style w:type="character" w:customStyle="1" w:styleId="FooterChar">
    <w:name w:val="Footer Char"/>
    <w:aliases w:val="3_G Char"/>
    <w:link w:val="Footer"/>
    <w:rsid w:val="00AE6933"/>
    <w:rPr>
      <w:sz w:val="16"/>
      <w:lang w:val="fr-CH" w:eastAsia="en-US"/>
    </w:rPr>
  </w:style>
  <w:style w:type="paragraph" w:styleId="BalloonText">
    <w:name w:val="Balloon Text"/>
    <w:basedOn w:val="Normal"/>
    <w:link w:val="BalloonTextChar"/>
    <w:uiPriority w:val="99"/>
    <w:unhideWhenUsed/>
    <w:rsid w:val="00AE6933"/>
    <w:pPr>
      <w:spacing w:line="240" w:lineRule="auto"/>
    </w:pPr>
    <w:rPr>
      <w:rFonts w:ascii="Tahoma" w:hAnsi="Tahoma"/>
      <w:sz w:val="16"/>
      <w:szCs w:val="16"/>
    </w:rPr>
  </w:style>
  <w:style w:type="character" w:customStyle="1" w:styleId="BalloonTextChar">
    <w:name w:val="Balloon Text Char"/>
    <w:link w:val="BalloonText"/>
    <w:uiPriority w:val="99"/>
    <w:rsid w:val="00AE6933"/>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op-pedofilija.org.m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zpis.gov.mk"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80</TotalTime>
  <Pages>37</Pages>
  <Words>15950</Words>
  <Characters>90917</Characters>
  <Application>Microsoft Office Outlook</Application>
  <DocSecurity>4</DocSecurity>
  <Lines>757</Lines>
  <Paragraphs>213</Paragraphs>
  <ScaleCrop>false</ScaleCrop>
  <HeadingPairs>
    <vt:vector size="2" baseType="variant">
      <vt:variant>
        <vt:lpstr>Title</vt:lpstr>
      </vt:variant>
      <vt:variant>
        <vt:i4>1</vt:i4>
      </vt:variant>
    </vt:vector>
  </HeadingPairs>
  <TitlesOfParts>
    <vt:vector size="1" baseType="lpstr">
      <vt:lpstr>M/CONF/2013/62</vt:lpstr>
    </vt:vector>
  </TitlesOfParts>
  <Company>CSD</Company>
  <LinksUpToDate>false</LinksUpToDate>
  <CharactersWithSpaces>106654</CharactersWithSpaces>
  <SharedDoc>false</SharedDoc>
  <HLinks>
    <vt:vector size="12" baseType="variant">
      <vt:variant>
        <vt:i4>3932207</vt:i4>
      </vt:variant>
      <vt:variant>
        <vt:i4>3</vt:i4>
      </vt:variant>
      <vt:variant>
        <vt:i4>0</vt:i4>
      </vt:variant>
      <vt:variant>
        <vt:i4>5</vt:i4>
      </vt:variant>
      <vt:variant>
        <vt:lpwstr>http://www.zpis.gov.mk/</vt:lpwstr>
      </vt:variant>
      <vt:variant>
        <vt:lpwstr/>
      </vt:variant>
      <vt:variant>
        <vt:i4>3866681</vt:i4>
      </vt:variant>
      <vt:variant>
        <vt:i4>0</vt:i4>
      </vt:variant>
      <vt:variant>
        <vt:i4>0</vt:i4>
      </vt:variant>
      <vt:variant>
        <vt:i4>5</vt:i4>
      </vt:variant>
      <vt:variant>
        <vt:lpwstr>http://www.stop-pedofilija.org.mk/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M/CONF/2013/62</dc:title>
  <dc:subject>FINAL</dc:subject>
  <dc:creator>LAMY</dc:creator>
  <cp:keywords/>
  <cp:lastModifiedBy>AdayMartin</cp:lastModifiedBy>
  <cp:revision>18</cp:revision>
  <cp:lastPrinted>2015-03-30T14:53:00Z</cp:lastPrinted>
  <dcterms:created xsi:type="dcterms:W3CDTF">2015-03-30T13:22:00Z</dcterms:created>
  <dcterms:modified xsi:type="dcterms:W3CDTF">2015-03-30T14:55:00Z</dcterms:modified>
</cp:coreProperties>
</file>