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000" w:rsidRDefault="00FD6000" w:rsidP="00FD6000">
      <w:pPr>
        <w:spacing w:line="60" w:lineRule="exact"/>
        <w:rPr>
          <w:sz w:val="6"/>
        </w:rPr>
        <w:sectPr w:rsidR="00FD6000" w:rsidSect="00FD6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D6000" w:rsidRDefault="00FD6000" w:rsidP="00FD6000">
      <w:pPr>
        <w:spacing w:line="60" w:lineRule="exact"/>
        <w:rPr>
          <w:sz w:val="6"/>
        </w:rPr>
      </w:pPr>
    </w:p>
    <w:p w:rsidR="002D3A4F" w:rsidRDefault="002D3A4F" w:rsidP="002D3A4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2D3A4F" w:rsidRDefault="002D3A4F" w:rsidP="002D3A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第四十五届会议</w:t>
      </w:r>
    </w:p>
    <w:p w:rsidR="002D3A4F" w:rsidRDefault="002D3A4F" w:rsidP="002D3A4F">
      <w:pPr>
        <w:pStyle w:val="SingleTxt"/>
        <w:spacing w:after="60"/>
        <w:ind w:left="0"/>
        <w:rPr>
          <w:rFonts w:hint="eastAsia"/>
        </w:rPr>
      </w:pPr>
      <w:r>
        <w:rPr>
          <w:rFonts w:hint="eastAsia"/>
        </w:rPr>
        <w:t>2010年1月18日至2月5日</w:t>
      </w:r>
    </w:p>
    <w:p w:rsidR="002D3A4F" w:rsidRPr="00DB123B" w:rsidRDefault="002D3A4F" w:rsidP="002D3A4F">
      <w:pPr>
        <w:pStyle w:val="SingleTxt"/>
        <w:spacing w:after="0" w:line="120" w:lineRule="exact"/>
        <w:ind w:right="0"/>
        <w:rPr>
          <w:rFonts w:hint="eastAsia"/>
          <w:sz w:val="10"/>
        </w:rPr>
      </w:pPr>
    </w:p>
    <w:p w:rsidR="002D3A4F" w:rsidRPr="00DB123B" w:rsidRDefault="002D3A4F" w:rsidP="002D3A4F">
      <w:pPr>
        <w:pStyle w:val="SingleTxt"/>
        <w:spacing w:after="0" w:line="120" w:lineRule="exact"/>
        <w:ind w:right="0"/>
        <w:rPr>
          <w:sz w:val="10"/>
        </w:rPr>
      </w:pPr>
    </w:p>
    <w:p w:rsidR="002D3A4F" w:rsidRDefault="002D3A4F" w:rsidP="002D3A4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Pr>
          <w:rFonts w:hint="eastAsia"/>
        </w:rPr>
        <w:t>消除对妇女歧视委员会的结论意见</w:t>
      </w:r>
    </w:p>
    <w:p w:rsidR="002D3A4F" w:rsidRPr="00DB123B" w:rsidRDefault="002D3A4F" w:rsidP="002D3A4F">
      <w:pPr>
        <w:pStyle w:val="SingleTxt"/>
        <w:spacing w:after="0" w:line="120" w:lineRule="exact"/>
        <w:ind w:right="0"/>
        <w:rPr>
          <w:rFonts w:hint="eastAsia"/>
          <w:sz w:val="10"/>
        </w:rPr>
      </w:pPr>
    </w:p>
    <w:p w:rsidR="002D3A4F" w:rsidRPr="00DB123B" w:rsidRDefault="002D3A4F" w:rsidP="002D3A4F">
      <w:pPr>
        <w:pStyle w:val="SingleTxt"/>
        <w:spacing w:after="0" w:line="120" w:lineRule="exact"/>
        <w:ind w:right="0"/>
        <w:rPr>
          <w:rFonts w:hint="eastAsia"/>
          <w:sz w:val="10"/>
        </w:rPr>
      </w:pPr>
    </w:p>
    <w:p w:rsidR="002D3A4F" w:rsidRDefault="002D3A4F" w:rsidP="002D3A4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Pr>
          <w:rFonts w:hint="eastAsia"/>
        </w:rPr>
        <w:t>埃及</w:t>
      </w:r>
    </w:p>
    <w:p w:rsidR="002D3A4F" w:rsidRPr="00DB123B" w:rsidRDefault="002D3A4F" w:rsidP="002D3A4F">
      <w:pPr>
        <w:pStyle w:val="SingleTxt"/>
        <w:spacing w:after="0" w:line="120" w:lineRule="exact"/>
        <w:ind w:right="0"/>
        <w:rPr>
          <w:rFonts w:hint="eastAsia"/>
          <w:sz w:val="10"/>
        </w:rPr>
      </w:pPr>
    </w:p>
    <w:p w:rsidR="002D3A4F" w:rsidRPr="00DB123B" w:rsidRDefault="002D3A4F" w:rsidP="002D3A4F">
      <w:pPr>
        <w:pStyle w:val="SingleTxt"/>
        <w:spacing w:after="0" w:line="120" w:lineRule="exact"/>
        <w:ind w:right="0"/>
        <w:rPr>
          <w:rFonts w:hint="eastAsia"/>
          <w:sz w:val="10"/>
        </w:rPr>
      </w:pPr>
    </w:p>
    <w:p w:rsidR="002D3A4F" w:rsidRDefault="002D3A4F" w:rsidP="009137D6">
      <w:pPr>
        <w:pStyle w:val="SingleTxt"/>
        <w:spacing w:line="300" w:lineRule="exact"/>
      </w:pPr>
      <w:r>
        <w:rPr>
          <w:rFonts w:hint="eastAsia"/>
        </w:rPr>
        <w:t>1.</w:t>
      </w:r>
      <w:r>
        <w:rPr>
          <w:rFonts w:hint="eastAsia"/>
        </w:rPr>
        <w:tab/>
        <w:t>委员会在2010年1月28日第918和919次会议上审议了埃及的第六和第七次合并报告(CEDAW/C/EGY/7)(见CEDAW/C/SR.918和919)。委员会的议题和问题清单载于CEDAW/C/EGY/Q/7，埃及的答复载于CEDAW/C/EGY/Q/7/Add.1。</w:t>
      </w:r>
    </w:p>
    <w:p w:rsidR="002D3A4F" w:rsidRPr="00326F2C" w:rsidRDefault="002D3A4F" w:rsidP="009137D6">
      <w:pPr>
        <w:pStyle w:val="SingleTxt"/>
        <w:spacing w:line="300" w:lineRule="exact"/>
        <w:rPr>
          <w:rFonts w:ascii="SimHei" w:eastAsia="SimHei"/>
        </w:rPr>
      </w:pPr>
      <w:r w:rsidRPr="00326F2C">
        <w:rPr>
          <w:rFonts w:ascii="SimHei" w:eastAsia="SimHei" w:hint="eastAsia"/>
        </w:rPr>
        <w:t>导言</w:t>
      </w:r>
    </w:p>
    <w:p w:rsidR="002D3A4F" w:rsidRDefault="002D3A4F" w:rsidP="009137D6">
      <w:pPr>
        <w:pStyle w:val="SingleTxt"/>
        <w:spacing w:line="300" w:lineRule="exact"/>
      </w:pPr>
      <w:r>
        <w:rPr>
          <w:rFonts w:hint="eastAsia"/>
        </w:rPr>
        <w:t>2.</w:t>
      </w:r>
      <w:r>
        <w:rPr>
          <w:rFonts w:hint="eastAsia"/>
        </w:rPr>
        <w:tab/>
        <w:t>委员会赞赏缔约国提交第六和第七次合并定期报告。尽管报告逾期</w:t>
      </w:r>
      <w:r>
        <w:t>,</w:t>
      </w:r>
      <w:r>
        <w:rPr>
          <w:rFonts w:hint="eastAsia"/>
        </w:rPr>
        <w:t xml:space="preserve">没有提及委员会的一般性建议，缺少一些具体分列的数据，但结构合理，大体遵循了委员会的报告编写导则。委员会感谢缔约国提供口头介绍，对委员会会前工作组提出的议题和问题清单进行书面答复，并对委员会口头提出的问题作进一步说明。 </w:t>
      </w:r>
    </w:p>
    <w:p w:rsidR="002D3A4F" w:rsidRDefault="002D3A4F" w:rsidP="009137D6">
      <w:pPr>
        <w:pStyle w:val="SingleTxt"/>
        <w:spacing w:line="300" w:lineRule="exact"/>
      </w:pPr>
      <w:r>
        <w:rPr>
          <w:rFonts w:hint="eastAsia"/>
        </w:rPr>
        <w:t>3.</w:t>
      </w:r>
      <w:r>
        <w:rPr>
          <w:rFonts w:hint="eastAsia"/>
        </w:rPr>
        <w:tab/>
        <w:t>委员会赞赏缔约国派遣全国妇女理事会秘书长率领高级别的大型多部门代表团出席会议，成员包括负责在《消除对妇女一切歧视公约》所涉范围内采取措施的许多部委和其他政府机构的男女代表。委员会赞赏代表团和委员会成员之间进行了建设性对话。</w:t>
      </w:r>
    </w:p>
    <w:p w:rsidR="002D3A4F" w:rsidRDefault="002D3A4F" w:rsidP="009137D6">
      <w:pPr>
        <w:pStyle w:val="SingleTxt"/>
        <w:spacing w:line="300" w:lineRule="exact"/>
      </w:pPr>
      <w:r>
        <w:rPr>
          <w:rFonts w:hint="eastAsia"/>
        </w:rPr>
        <w:t>4.</w:t>
      </w:r>
      <w:r>
        <w:rPr>
          <w:rFonts w:hint="eastAsia"/>
        </w:rPr>
        <w:tab/>
        <w:t>委员会赞赏地注意到，报告是在各政府机构、非政府组织、工会和全国妇女理事会的参与下编写的。</w:t>
      </w:r>
    </w:p>
    <w:p w:rsidR="002D3A4F" w:rsidRPr="009137D6" w:rsidRDefault="002D3A4F" w:rsidP="009137D6">
      <w:pPr>
        <w:pStyle w:val="SingleTxt"/>
        <w:spacing w:line="300" w:lineRule="exact"/>
        <w:rPr>
          <w:rFonts w:ascii="SimHei" w:eastAsia="SimHei"/>
        </w:rPr>
      </w:pPr>
      <w:r w:rsidRPr="009137D6">
        <w:rPr>
          <w:rFonts w:ascii="SimHei" w:eastAsia="SimHei" w:hint="eastAsia"/>
        </w:rPr>
        <w:t>积极方面</w:t>
      </w:r>
    </w:p>
    <w:p w:rsidR="002D3A4F" w:rsidRDefault="002D3A4F" w:rsidP="009137D6">
      <w:pPr>
        <w:pStyle w:val="SingleTxt"/>
        <w:spacing w:line="300" w:lineRule="exact"/>
        <w:rPr>
          <w:rFonts w:hint="eastAsia"/>
        </w:rPr>
      </w:pPr>
      <w:r>
        <w:rPr>
          <w:rFonts w:hint="eastAsia"/>
        </w:rPr>
        <w:t>5.</w:t>
      </w:r>
      <w:r>
        <w:rPr>
          <w:rFonts w:hint="eastAsia"/>
        </w:rPr>
        <w:tab/>
        <w:t>委员会赞扬缔约国撤回对《公约》第9条第2款的保留，并注意到缔约国表示打算在短期内撤回对第2条的保留。</w:t>
      </w:r>
    </w:p>
    <w:p w:rsidR="002D3A4F" w:rsidRDefault="002D3A4F" w:rsidP="002D3A4F">
      <w:pPr>
        <w:pStyle w:val="SingleTxt"/>
      </w:pPr>
      <w:r>
        <w:rPr>
          <w:rFonts w:hint="eastAsia"/>
        </w:rPr>
        <w:t>6.</w:t>
      </w:r>
      <w:r>
        <w:rPr>
          <w:rFonts w:hint="eastAsia"/>
        </w:rPr>
        <w:tab/>
        <w:t>委员会还赞扬缔约国制订一个国家规划方法，这有助于将性别问题纳入国家的社会</w:t>
      </w:r>
      <w:r>
        <w:t>-</w:t>
      </w:r>
      <w:r>
        <w:rPr>
          <w:rFonts w:hint="eastAsia"/>
        </w:rPr>
        <w:t>经济五年计划(2002-2007年和2007-2012年)的主流中。</w:t>
      </w:r>
    </w:p>
    <w:p w:rsidR="002D3A4F" w:rsidRDefault="002D3A4F" w:rsidP="009137D6">
      <w:pPr>
        <w:pStyle w:val="SingleTxt"/>
        <w:spacing w:after="120" w:line="300" w:lineRule="exact"/>
      </w:pPr>
      <w:r>
        <w:rPr>
          <w:rFonts w:hint="eastAsia"/>
        </w:rPr>
        <w:t>7.</w:t>
      </w:r>
      <w:r>
        <w:rPr>
          <w:rFonts w:hint="eastAsia"/>
        </w:rPr>
        <w:tab/>
        <w:t>委员会欢迎作为提高妇女地位国家机制的全国妇女理事会继续协调和开展其他活动，也欢迎其制订战略框架，以便到2015年实现关于两性平等的第三个千年发展目标。委员会还赞赏地注意到，大部分部委都设立了平等机会股，全国妇女理事会的组织结构中设立的消除对妇女歧视公约股现已成常设机构，处理有关《公约》问题。</w:t>
      </w:r>
    </w:p>
    <w:p w:rsidR="002D3A4F" w:rsidRDefault="002D3A4F" w:rsidP="009137D6">
      <w:pPr>
        <w:pStyle w:val="SingleTxt"/>
        <w:spacing w:after="120" w:line="300" w:lineRule="exact"/>
        <w:rPr>
          <w:rFonts w:hint="eastAsia"/>
        </w:rPr>
      </w:pPr>
      <w:r>
        <w:rPr>
          <w:rFonts w:hint="eastAsia"/>
        </w:rPr>
        <w:t>8.</w:t>
      </w:r>
      <w:r>
        <w:rPr>
          <w:rFonts w:hint="eastAsia"/>
        </w:rPr>
        <w:tab/>
        <w:t>委员会还欢迎通过新的《儿童法》(2008年第126号法)，将男性和女性的结婚年龄从16岁提高至18岁，并对切割女性生殖器官以刑事罪论处。</w:t>
      </w:r>
    </w:p>
    <w:p w:rsidR="002D3A4F" w:rsidRDefault="002D3A4F" w:rsidP="009137D6">
      <w:pPr>
        <w:pStyle w:val="SingleTxt"/>
        <w:spacing w:after="120" w:line="300" w:lineRule="exact"/>
        <w:rPr>
          <w:rFonts w:hint="eastAsia"/>
        </w:rPr>
      </w:pPr>
      <w:r>
        <w:rPr>
          <w:rFonts w:hint="eastAsia"/>
        </w:rPr>
        <w:t>9.</w:t>
      </w:r>
      <w:r>
        <w:rPr>
          <w:rFonts w:hint="eastAsia"/>
        </w:rPr>
        <w:tab/>
        <w:t>委员会还欢迎缔约国2001年8月2日接受《公约》第20条第1款关于委员会会议时间的修正案。</w:t>
      </w:r>
    </w:p>
    <w:p w:rsidR="002D3A4F" w:rsidRDefault="002D3A4F" w:rsidP="009137D6">
      <w:pPr>
        <w:pStyle w:val="SingleTxt"/>
        <w:spacing w:after="120" w:line="300" w:lineRule="exact"/>
        <w:rPr>
          <w:rFonts w:hint="eastAsia"/>
        </w:rPr>
      </w:pPr>
      <w:r>
        <w:rPr>
          <w:rFonts w:hint="eastAsia"/>
        </w:rPr>
        <w:t>10.</w:t>
      </w:r>
      <w:r>
        <w:rPr>
          <w:rFonts w:hint="eastAsia"/>
        </w:rPr>
        <w:tab/>
        <w:t>委员会满意地注意到，自审议上一次报告以来，缔约国已批准或加入下列国际文书：</w:t>
      </w:r>
    </w:p>
    <w:p w:rsidR="002D3A4F" w:rsidRDefault="002D3A4F" w:rsidP="009137D6">
      <w:pPr>
        <w:pStyle w:val="SingleTxt"/>
        <w:spacing w:after="120" w:line="300" w:lineRule="exact"/>
        <w:rPr>
          <w:rFonts w:hint="eastAsia"/>
        </w:rPr>
      </w:pPr>
      <w:r>
        <w:rPr>
          <w:rFonts w:hint="eastAsia"/>
        </w:rPr>
        <w:tab/>
        <w:t>(a)</w:t>
      </w:r>
      <w:r>
        <w:rPr>
          <w:rFonts w:hint="eastAsia"/>
        </w:rPr>
        <w:tab/>
        <w:t>残疾人权利公约，2008年4月14日；</w:t>
      </w:r>
    </w:p>
    <w:p w:rsidR="002D3A4F" w:rsidRDefault="002D3A4F" w:rsidP="009137D6">
      <w:pPr>
        <w:pStyle w:val="SingleTxt"/>
        <w:spacing w:after="120" w:line="300" w:lineRule="exact"/>
        <w:ind w:left="2115" w:hanging="851"/>
        <w:rPr>
          <w:rFonts w:hint="eastAsia"/>
        </w:rPr>
      </w:pPr>
      <w:r>
        <w:rPr>
          <w:rFonts w:hint="eastAsia"/>
        </w:rPr>
        <w:tab/>
        <w:t>(b)</w:t>
      </w:r>
      <w:r>
        <w:rPr>
          <w:rFonts w:hint="eastAsia"/>
        </w:rPr>
        <w:tab/>
      </w:r>
      <w:r w:rsidRPr="00FC392D">
        <w:rPr>
          <w:rFonts w:hint="eastAsia"/>
          <w:spacing w:val="-4"/>
        </w:rPr>
        <w:t>儿童权利公约关于儿童卷入武装冲突问题的任择议定书，2007年2月6日；</w:t>
      </w:r>
    </w:p>
    <w:p w:rsidR="002D3A4F" w:rsidRDefault="002D3A4F" w:rsidP="009137D6">
      <w:pPr>
        <w:pStyle w:val="SingleTxt"/>
        <w:spacing w:after="120" w:line="300" w:lineRule="exact"/>
        <w:ind w:left="2115" w:hanging="851"/>
        <w:rPr>
          <w:rFonts w:hint="eastAsia"/>
        </w:rPr>
      </w:pPr>
      <w:r>
        <w:rPr>
          <w:rFonts w:hint="eastAsia"/>
        </w:rPr>
        <w:tab/>
        <w:t>(c)</w:t>
      </w:r>
      <w:r>
        <w:rPr>
          <w:rFonts w:hint="eastAsia"/>
        </w:rPr>
        <w:tab/>
        <w:t>儿童权利公约关于买卖儿童、儿童卖淫和儿童色情制品问题的任择议定书，2002年7月12日；</w:t>
      </w:r>
    </w:p>
    <w:p w:rsidR="002D3A4F" w:rsidRDefault="002D3A4F" w:rsidP="009137D6">
      <w:pPr>
        <w:pStyle w:val="SingleTxt"/>
        <w:spacing w:after="120" w:line="300" w:lineRule="exact"/>
        <w:ind w:left="2115" w:hanging="851"/>
        <w:rPr>
          <w:rFonts w:hint="eastAsia"/>
        </w:rPr>
      </w:pPr>
      <w:r>
        <w:rPr>
          <w:rFonts w:hint="eastAsia"/>
        </w:rPr>
        <w:tab/>
        <w:t>(d)</w:t>
      </w:r>
      <w:r>
        <w:rPr>
          <w:rFonts w:hint="eastAsia"/>
        </w:rPr>
        <w:tab/>
        <w:t>联合国打击跨国有组织犯罪公约关于预防、禁止和惩治贩运人口特别是妇女和儿童行为的补充议定书，2004年3月5日；</w:t>
      </w:r>
    </w:p>
    <w:p w:rsidR="002D3A4F" w:rsidRDefault="002D3A4F" w:rsidP="009137D6">
      <w:pPr>
        <w:pStyle w:val="SingleTxt"/>
        <w:spacing w:after="120" w:line="300" w:lineRule="exact"/>
        <w:ind w:left="2115" w:hanging="851"/>
        <w:rPr>
          <w:rFonts w:hint="eastAsia"/>
        </w:rPr>
      </w:pPr>
      <w:r>
        <w:rPr>
          <w:rFonts w:hint="eastAsia"/>
        </w:rPr>
        <w:tab/>
        <w:t>(e)</w:t>
      </w:r>
      <w:r>
        <w:rPr>
          <w:rFonts w:hint="eastAsia"/>
        </w:rPr>
        <w:tab/>
        <w:t>国际劳工组织禁止和立即行动消除最恶劣形式的童工劳动公约(第182号)，2002年5月6日。</w:t>
      </w:r>
    </w:p>
    <w:p w:rsidR="002D3A4F" w:rsidRPr="00326F2C" w:rsidRDefault="002D3A4F" w:rsidP="009137D6">
      <w:pPr>
        <w:pStyle w:val="SingleTxt"/>
        <w:spacing w:after="120" w:line="300" w:lineRule="exact"/>
        <w:ind w:left="2171" w:hanging="907"/>
        <w:rPr>
          <w:rFonts w:ascii="SimHei" w:eastAsia="SimHei" w:hint="eastAsia"/>
        </w:rPr>
      </w:pPr>
      <w:r w:rsidRPr="00326F2C">
        <w:rPr>
          <w:rFonts w:ascii="SimHei" w:eastAsia="SimHei" w:hint="eastAsia"/>
        </w:rPr>
        <w:t>主要关切领域和建议</w:t>
      </w:r>
    </w:p>
    <w:p w:rsidR="002D3A4F" w:rsidRDefault="002D3A4F" w:rsidP="009137D6">
      <w:pPr>
        <w:pStyle w:val="SingleTxt"/>
        <w:spacing w:after="120" w:line="300" w:lineRule="exact"/>
        <w:rPr>
          <w:rFonts w:hint="eastAsia"/>
        </w:rPr>
      </w:pPr>
      <w:r>
        <w:rPr>
          <w:rFonts w:hint="eastAsia"/>
        </w:rPr>
        <w:t>11.</w:t>
      </w:r>
      <w:r>
        <w:rPr>
          <w:rFonts w:hint="eastAsia"/>
        </w:rPr>
        <w:tab/>
      </w:r>
      <w:r w:rsidRPr="00FC392D">
        <w:rPr>
          <w:rFonts w:ascii="SimHei" w:eastAsia="SimHei" w:hint="eastAsia"/>
        </w:rPr>
        <w:t>委员会提请注意，缔约国有义务系统和持续地执行《消除对妇女一切形式歧视公约》的各项规定，同时认为，从现在起到提交下一次定期报告期间，缔约国必须优先注意在本结论意见中确定的关切和建议。因此，委员会敦促缔约国将执行活动的重点放在这些领域，并在下一次定期报告中汇报所采取的行动和取得的成果。委员会促请缔约国将本结论意见发交所有相关部委、国家议会和司法机关，以确保其全面落实</w:t>
      </w:r>
      <w:r>
        <w:rPr>
          <w:rFonts w:hint="eastAsia"/>
        </w:rPr>
        <w:t>。</w:t>
      </w:r>
    </w:p>
    <w:p w:rsidR="002D3A4F" w:rsidRPr="00326F2C" w:rsidRDefault="002D3A4F" w:rsidP="009137D6">
      <w:pPr>
        <w:pStyle w:val="SingleTxt"/>
        <w:spacing w:line="300" w:lineRule="exact"/>
        <w:rPr>
          <w:rFonts w:ascii="SimHei" w:eastAsia="SimHei" w:hint="eastAsia"/>
        </w:rPr>
      </w:pPr>
      <w:r w:rsidRPr="00326F2C">
        <w:rPr>
          <w:rFonts w:ascii="SimHei" w:eastAsia="SimHei" w:hint="eastAsia"/>
        </w:rPr>
        <w:t>国家议会</w:t>
      </w:r>
    </w:p>
    <w:p w:rsidR="002D3A4F" w:rsidRDefault="002D3A4F" w:rsidP="009137D6">
      <w:pPr>
        <w:pStyle w:val="SingleTxt"/>
        <w:spacing w:line="300" w:lineRule="exact"/>
      </w:pPr>
      <w:r>
        <w:rPr>
          <w:rFonts w:hint="eastAsia"/>
        </w:rPr>
        <w:t>12.</w:t>
      </w:r>
      <w:r>
        <w:rPr>
          <w:rFonts w:hint="eastAsia"/>
        </w:rPr>
        <w:tab/>
      </w:r>
      <w:r w:rsidRPr="00FC392D">
        <w:rPr>
          <w:rFonts w:ascii="SimHei" w:eastAsia="SimHei" w:hint="eastAsia"/>
        </w:rPr>
        <w:t>委员会重申，政府对全面履行《公约》规定的缔约国义务负有首要责任，尤其要为此接受问责。委员会强调《公约》对政府所有部门具有约束力，并请缔约国鼓励国家议会酌情根据相关程序，就落实本结论意见和《公约》规定的政府下一个报告过程采取必要步骤</w:t>
      </w:r>
      <w:r>
        <w:rPr>
          <w:rFonts w:hint="eastAsia"/>
        </w:rPr>
        <w:t>。</w:t>
      </w:r>
    </w:p>
    <w:p w:rsidR="002D3A4F" w:rsidRPr="00326F2C" w:rsidRDefault="002D3A4F" w:rsidP="002D3A4F">
      <w:pPr>
        <w:pStyle w:val="SingleTxt"/>
        <w:rPr>
          <w:rFonts w:ascii="SimHei" w:eastAsia="SimHei" w:hint="eastAsia"/>
        </w:rPr>
      </w:pPr>
      <w:r w:rsidRPr="00326F2C">
        <w:rPr>
          <w:rFonts w:ascii="SimHei" w:eastAsia="SimHei" w:hint="eastAsia"/>
        </w:rPr>
        <w:t>保留</w:t>
      </w:r>
    </w:p>
    <w:p w:rsidR="002D3A4F" w:rsidRDefault="002D3A4F" w:rsidP="002D3A4F">
      <w:pPr>
        <w:pStyle w:val="SingleTxt"/>
      </w:pPr>
      <w:r>
        <w:rPr>
          <w:rFonts w:hint="eastAsia"/>
        </w:rPr>
        <w:t>13.</w:t>
      </w:r>
      <w:r>
        <w:rPr>
          <w:rFonts w:hint="eastAsia"/>
        </w:rPr>
        <w:tab/>
        <w:t>委员会虽然欢迎缔约国在批准《公约》时撤回其对《公约》的保留方面取得进展，但再次对保持第2和第16条的保留表示关切。</w:t>
      </w:r>
    </w:p>
    <w:p w:rsidR="002D3A4F" w:rsidRDefault="002D3A4F" w:rsidP="002D3A4F">
      <w:pPr>
        <w:pStyle w:val="SingleTxt"/>
      </w:pPr>
      <w:r>
        <w:rPr>
          <w:rFonts w:hint="eastAsia"/>
        </w:rPr>
        <w:t>14.</w:t>
      </w:r>
      <w:r>
        <w:rPr>
          <w:rFonts w:hint="eastAsia"/>
        </w:rPr>
        <w:tab/>
      </w:r>
      <w:r w:rsidRPr="00FC392D">
        <w:rPr>
          <w:rFonts w:ascii="SimHei" w:eastAsia="SimHei" w:hint="eastAsia"/>
        </w:rPr>
        <w:t>委员会敦促缔约国审查并撤回对第2和第16条的保留，因为这与《公约》的目标和宗旨不相符</w:t>
      </w:r>
      <w:r>
        <w:rPr>
          <w:rFonts w:hint="eastAsia"/>
        </w:rPr>
        <w:t>。</w:t>
      </w:r>
    </w:p>
    <w:p w:rsidR="002D3A4F" w:rsidRPr="00326F2C" w:rsidRDefault="002D3A4F" w:rsidP="002D3A4F">
      <w:pPr>
        <w:pStyle w:val="SingleTxt"/>
        <w:rPr>
          <w:rFonts w:ascii="SimHei" w:eastAsia="SimHei" w:hint="eastAsia"/>
        </w:rPr>
      </w:pPr>
      <w:r w:rsidRPr="00326F2C">
        <w:rPr>
          <w:rFonts w:ascii="SimHei" w:eastAsia="SimHei" w:hint="eastAsia"/>
        </w:rPr>
        <w:t xml:space="preserve">歧视性法律 </w:t>
      </w:r>
    </w:p>
    <w:p w:rsidR="002D3A4F" w:rsidRDefault="002D3A4F" w:rsidP="002D3A4F">
      <w:pPr>
        <w:pStyle w:val="SingleTxt"/>
        <w:rPr>
          <w:rFonts w:hint="eastAsia"/>
        </w:rPr>
      </w:pPr>
      <w:r>
        <w:rPr>
          <w:rFonts w:hint="eastAsia"/>
        </w:rPr>
        <w:t>15.</w:t>
      </w:r>
      <w:r>
        <w:rPr>
          <w:rFonts w:hint="eastAsia"/>
        </w:rPr>
        <w:tab/>
        <w:t>委员会虽然赞赏有关两性平等的宪法保障以及缔约国努力审查和修订歧视性立法，但对剥夺妇女享有与男子一样平等权利的大量歧视性法律和规定依然存在感到关切，其中包括《刑法典》和《人身法》。</w:t>
      </w:r>
    </w:p>
    <w:p w:rsidR="002D3A4F" w:rsidRDefault="002D3A4F" w:rsidP="002D3A4F">
      <w:pPr>
        <w:pStyle w:val="SingleTxt"/>
        <w:rPr>
          <w:rFonts w:hint="eastAsia"/>
        </w:rPr>
      </w:pPr>
      <w:r>
        <w:rPr>
          <w:rFonts w:hint="eastAsia"/>
        </w:rPr>
        <w:t>16.</w:t>
      </w:r>
      <w:r>
        <w:rPr>
          <w:rFonts w:hint="eastAsia"/>
        </w:rPr>
        <w:tab/>
      </w:r>
      <w:r w:rsidRPr="00FC392D">
        <w:rPr>
          <w:rFonts w:ascii="SimHei" w:eastAsia="SimHei" w:hint="eastAsia"/>
        </w:rPr>
        <w:t>委员会呼吁缔约国高度重视完成必要的法律改革进程，毫不拖延地在明确时限内修改或者废止歧视性立法，其中包括《刑法》和《人身法》中的歧视性规定。委员会呼吁缔约国加紧努力，向议会和公众宣传加快法律改革的重要性，以便实现妇女的正式平等，并符合《公约》的规定。委员会还鼓励缔约国通过与宗教和社区领导人、律师、法官、工会、民间社会组织和妇女非政府组织建立伙伴关系并进行协作，继续扩大法律改革获得的支持</w:t>
      </w:r>
      <w:r>
        <w:rPr>
          <w:rFonts w:hint="eastAsia"/>
        </w:rPr>
        <w:t>。</w:t>
      </w:r>
    </w:p>
    <w:p w:rsidR="002D3A4F" w:rsidRPr="00326F2C" w:rsidRDefault="002D3A4F" w:rsidP="002D3A4F">
      <w:pPr>
        <w:pStyle w:val="SingleTxt"/>
        <w:rPr>
          <w:rFonts w:ascii="SimHei" w:eastAsia="SimHei" w:hint="eastAsia"/>
        </w:rPr>
      </w:pPr>
      <w:r w:rsidRPr="00326F2C">
        <w:rPr>
          <w:rFonts w:ascii="SimHei" w:eastAsia="SimHei" w:hint="eastAsia"/>
        </w:rPr>
        <w:t>《公约》的知名度</w:t>
      </w:r>
    </w:p>
    <w:p w:rsidR="002D3A4F" w:rsidRDefault="002D3A4F" w:rsidP="002D3A4F">
      <w:pPr>
        <w:pStyle w:val="SingleTxt"/>
        <w:rPr>
          <w:rFonts w:hint="eastAsia"/>
        </w:rPr>
      </w:pPr>
      <w:r>
        <w:rPr>
          <w:rFonts w:hint="eastAsia"/>
        </w:rPr>
        <w:t>17.</w:t>
      </w:r>
      <w:r>
        <w:rPr>
          <w:rFonts w:hint="eastAsia"/>
        </w:rPr>
        <w:tab/>
        <w:t xml:space="preserve">委员会注意到各种有关《公约》的宣传运动，包括通过媒体进行宣传，并注意到《公约》等国际文书是埃及法律的一部分，可以在法院进行援引。但委员会仍然关切的是，就社会整体而言，包括各级政府和司法部门的所有机构，对《公约》规定的妇女权利、实质上两性平等概念和委员会各项一般性建议的认识不足。委员会还感到关切的是，缔约国没有提供在法院直接援引《公约》规定的案例资料。委员会进一步感到关切的是，妇女本身，尤其是农村和偏远地区的妇女，不了解她们根据《公约》应享的权利，因此也就没有能力主张这些权利。 </w:t>
      </w:r>
    </w:p>
    <w:p w:rsidR="002D3A4F" w:rsidRDefault="002D3A4F" w:rsidP="002D3A4F">
      <w:pPr>
        <w:pStyle w:val="SingleTxt"/>
        <w:rPr>
          <w:rFonts w:hint="eastAsia"/>
        </w:rPr>
      </w:pPr>
      <w:r>
        <w:rPr>
          <w:rFonts w:hint="eastAsia"/>
        </w:rPr>
        <w:t>18.</w:t>
      </w:r>
      <w:r>
        <w:rPr>
          <w:rFonts w:hint="eastAsia"/>
        </w:rPr>
        <w:tab/>
      </w:r>
      <w:r w:rsidRPr="009137D6">
        <w:rPr>
          <w:rFonts w:ascii="SimHei" w:eastAsia="SimHei" w:hint="eastAsia"/>
          <w:spacing w:val="-2"/>
        </w:rPr>
        <w:t>委员会请缔约国采取一切适当措施，确保《公约》广为人知，并且作为所有关于性别平等和提高妇女地位的法律、判决和政策的指导框架，由政府所有部门和司法机关予以执行。委员会建议《公约》和相关国内立法作为对官员和治安法官、律师及检察官(尤其是家事法庭工作者)进行法律教育和培训的必不可少的内容，以便在该国扎实地建立支持妇女平等和不歧视的法律文化。委员会敦促缔约国，除其他外，通过实施法律扫盲方案和提供法律援助，提高妇女对自身权利的认识，并采用媒体等一切适当措施，确保向全国各地的妇女提供有关《公约》的资料</w:t>
      </w:r>
      <w:r w:rsidRPr="009137D6">
        <w:rPr>
          <w:rFonts w:hint="eastAsia"/>
          <w:spacing w:val="-2"/>
        </w:rPr>
        <w:t>。</w:t>
      </w:r>
    </w:p>
    <w:p w:rsidR="002D3A4F" w:rsidRPr="00326F2C" w:rsidRDefault="002D3A4F" w:rsidP="002D3A4F">
      <w:pPr>
        <w:pStyle w:val="SingleTxt"/>
        <w:rPr>
          <w:rFonts w:ascii="SimHei" w:eastAsia="SimHei"/>
        </w:rPr>
      </w:pPr>
      <w:r w:rsidRPr="00326F2C">
        <w:rPr>
          <w:rFonts w:ascii="SimHei" w:eastAsia="SimHei" w:hint="eastAsia"/>
        </w:rPr>
        <w:t>法律申诉机制</w:t>
      </w:r>
    </w:p>
    <w:p w:rsidR="002D3A4F" w:rsidRPr="00326F2C" w:rsidRDefault="002D3A4F" w:rsidP="002D3A4F">
      <w:pPr>
        <w:pStyle w:val="SingleTxt"/>
      </w:pPr>
      <w:r>
        <w:rPr>
          <w:rFonts w:hint="eastAsia"/>
        </w:rPr>
        <w:t>19.</w:t>
      </w:r>
      <w:r>
        <w:rPr>
          <w:rFonts w:hint="eastAsia"/>
        </w:rPr>
        <w:tab/>
        <w:t>委员会注意到2003年埃及议会设立了具有咨商职能的监督机构——埃及国家人权理事会，以及2001年在全国妇女理事会内设立监察员办公室或“妇女申诉办公室”。虽然该办公室已收到妇女的50</w:t>
      </w:r>
      <w:r>
        <w:t xml:space="preserve"> </w:t>
      </w:r>
      <w:r>
        <w:rPr>
          <w:rFonts w:hint="eastAsia"/>
        </w:rPr>
        <w:t xml:space="preserve">000多个投诉，但委员会感到关切的是，该办公室没有调查这些投诉的授权。委员会还感到关切的是，缔约国没有全面、有效的妇女法律申诉制度，但满意地注意到其代表团提供资料，说明正在考虑建立普通监督员办公室。  </w:t>
      </w:r>
    </w:p>
    <w:p w:rsidR="002D3A4F" w:rsidRPr="00326F2C" w:rsidRDefault="002D3A4F" w:rsidP="002D3A4F">
      <w:pPr>
        <w:pStyle w:val="SingleTxt"/>
      </w:pPr>
      <w:r>
        <w:rPr>
          <w:rFonts w:hint="eastAsia"/>
        </w:rPr>
        <w:t>20.</w:t>
      </w:r>
      <w:r>
        <w:rPr>
          <w:rFonts w:hint="eastAsia"/>
        </w:rPr>
        <w:tab/>
      </w:r>
      <w:r w:rsidRPr="00FC392D">
        <w:rPr>
          <w:rFonts w:ascii="SimHei" w:eastAsia="SimHei" w:hint="eastAsia"/>
        </w:rPr>
        <w:t>委员会敦促该缔约国加强法律申诉制度，确保妇女有效获得诉诸法律的机会。为此，鼓励缔约国加速建立普通监督员办公室，负责审理各种投诉。缔约国应确保向该办公室提供足够的人力、财力和技术资源，使之有效运作，并确保该办公室的构成和活动对性别问题有敏感认识，充分处理妇女人权问题。委员会请该缔约国在其下次报告中提供资料，说明普通监督员办公室的授权和职能</w:t>
      </w:r>
      <w:r>
        <w:rPr>
          <w:rFonts w:hint="eastAsia"/>
        </w:rPr>
        <w:t xml:space="preserve">。  </w:t>
      </w:r>
    </w:p>
    <w:p w:rsidR="002D3A4F" w:rsidRPr="00326F2C" w:rsidRDefault="002D3A4F" w:rsidP="002D3A4F">
      <w:pPr>
        <w:pStyle w:val="SingleTxt"/>
        <w:rPr>
          <w:rFonts w:ascii="SimHei" w:eastAsia="SimHei"/>
        </w:rPr>
      </w:pPr>
      <w:r w:rsidRPr="00326F2C">
        <w:rPr>
          <w:rFonts w:ascii="SimHei" w:eastAsia="SimHei" w:hint="eastAsia"/>
        </w:rPr>
        <w:t>陈规定型观念和文化习俗</w:t>
      </w:r>
    </w:p>
    <w:p w:rsidR="002D3A4F" w:rsidRDefault="002D3A4F" w:rsidP="002D3A4F">
      <w:pPr>
        <w:pStyle w:val="SingleTxt"/>
        <w:spacing w:line="340" w:lineRule="exact"/>
      </w:pPr>
      <w:r>
        <w:rPr>
          <w:rFonts w:hint="eastAsia"/>
        </w:rPr>
        <w:t>21.</w:t>
      </w:r>
      <w:r>
        <w:rPr>
          <w:rFonts w:hint="eastAsia"/>
        </w:rPr>
        <w:tab/>
        <w:t>委员会再次表示关切的是，在生活各领域中有关男女作用、责任和身份的习俗和传统以及家长制作风和根深蒂固的定型观念持续存在。委员会感到关切的是，此类风俗习惯使妇女和女孩长期受到歧视，体现为在教育、公共生活、决策、婚姻和家庭关系等许多领域中处于劣势和不平等地位；有害的传统习俗和暴力侵害妇女现象长期存在；缔约国迄今未采取有效、系统的行动，以改变或消除陈规定型观念及负面的传统价值观和习俗。委员会注意到已制定媒体战略，并在全国妇女理事会内设立媒体观察处，但重申对媒体继续从陈规定型的角度描述妇女感到关切，因为这助长歧视，破坏男女平等。</w:t>
      </w:r>
    </w:p>
    <w:p w:rsidR="002D3A4F" w:rsidRDefault="002D3A4F" w:rsidP="002D3A4F">
      <w:pPr>
        <w:pStyle w:val="SingleTxt"/>
      </w:pPr>
      <w:r>
        <w:rPr>
          <w:rFonts w:hint="eastAsia"/>
        </w:rPr>
        <w:t>22.</w:t>
      </w:r>
      <w:r>
        <w:rPr>
          <w:rFonts w:hint="eastAsia"/>
        </w:rPr>
        <w:tab/>
      </w:r>
      <w:r w:rsidRPr="00FC392D">
        <w:rPr>
          <w:rFonts w:ascii="SimHei" w:eastAsia="SimHei" w:hint="eastAsia"/>
        </w:rPr>
        <w:t>委员会敦促缔约国立即制订一项全面战略，包括依照《公约》第2(f)条和第5(a)条审查和制订立法并设定目标和时间表，以改变或消除歧视妇女的传统习俗和陈规定型观念。此类措施应包括与民间社会协作，努力提高社会各阶层妇女和男子对这个专题的认识。委员会促请缔约国采取创新和切实措施，加强对男女平等的理解，并与媒体一道，从正面、非陈规和不歧视的角度对妇女进行描述</w:t>
      </w:r>
      <w:r>
        <w:rPr>
          <w:rFonts w:hint="eastAsia"/>
        </w:rPr>
        <w:t xml:space="preserve">。 </w:t>
      </w:r>
    </w:p>
    <w:p w:rsidR="002D3A4F" w:rsidRPr="00326F2C" w:rsidRDefault="002D3A4F" w:rsidP="002D3A4F">
      <w:pPr>
        <w:pStyle w:val="SingleTxt"/>
        <w:rPr>
          <w:rFonts w:ascii="SimHei" w:eastAsia="SimHei"/>
        </w:rPr>
      </w:pPr>
      <w:r w:rsidRPr="00326F2C">
        <w:rPr>
          <w:rFonts w:ascii="SimHei" w:eastAsia="SimHei" w:hint="eastAsia"/>
        </w:rPr>
        <w:t>暴力侵害妇女行为</w:t>
      </w:r>
    </w:p>
    <w:p w:rsidR="002D3A4F" w:rsidRPr="00326F2C" w:rsidRDefault="002D3A4F" w:rsidP="002D3A4F">
      <w:pPr>
        <w:pStyle w:val="SingleTxt"/>
      </w:pPr>
      <w:r>
        <w:rPr>
          <w:rFonts w:hint="eastAsia"/>
        </w:rPr>
        <w:t>23.</w:t>
      </w:r>
      <w:r>
        <w:rPr>
          <w:rFonts w:hint="eastAsia"/>
        </w:rPr>
        <w:tab/>
        <w:t>委员会严重关切的是，在私人和公共领域一切形式的暴力侵害妇女行为有所增加。在此方面，委员会仍然关切的是，没有采取综合办法防止和消除一切形式的暴力侵害妇女行为，而且社会上似乎认为这种暴力行为合法，已形成对此保持缄默和施暴者逍遥法外的文化，因此很少举报此类暴力案件。委员会还感到关切的是，《刑法》的一些条款，包括第17条和第60条，宽恕暴力侵害妇女行为，不惩罚施暴者或予以减刑。委员会遗憾的是，没有关于各种形式的暴力侵害妇女和女孩事件的数据和资料，也没有关于此种暴力行为的范围及其根源的研究报告和</w:t>
      </w:r>
      <w:r>
        <w:t>/</w:t>
      </w:r>
      <w:r>
        <w:rPr>
          <w:rFonts w:hint="eastAsia"/>
        </w:rPr>
        <w:t xml:space="preserve">或调查。委员会进一步感到关切的是，没有适当、足够的社会支助服务，缺乏协调，而且家庭暴力受害人收容所仅接收50岁以下的妇女。 </w:t>
      </w:r>
    </w:p>
    <w:p w:rsidR="002D3A4F" w:rsidRDefault="002D3A4F" w:rsidP="002D3A4F">
      <w:pPr>
        <w:pStyle w:val="SingleTxt"/>
      </w:pPr>
      <w:r>
        <w:rPr>
          <w:rFonts w:hint="eastAsia"/>
        </w:rPr>
        <w:t>24.</w:t>
      </w:r>
      <w:r>
        <w:rPr>
          <w:rFonts w:hint="eastAsia"/>
        </w:rPr>
        <w:tab/>
      </w:r>
      <w:r w:rsidRPr="00FC392D">
        <w:rPr>
          <w:rFonts w:ascii="SimHei" w:eastAsia="SimHei" w:hint="eastAsia"/>
        </w:rPr>
        <w:t>委员会敦促缔约国按照委员会第19号一般性建议，优先重视消除暴力侵害妇女和女孩行为，并采取综合措施应对这种暴力行为。这些措施应包括迅速通过一项综合法律，将一切形式的暴力侵害妇女行为定罪，包括家庭暴力、婚内强奸、性暴力、性骚扰、机构暴力和为维护名誉所犯的罪行，还应包括制订一致的多部门行动计划，消除暴力侵害妇女行为。委员会还敦促缔约国修订《刑法》第17条和第60条，以及其他适用的条款，确保暴力侵害妇女者受到应有的惩罚。委员会吁请缔约国增加收容所，确保适当的地域分配，还吁请缔约国取消家庭暴力受害人收容所接收受害人的年龄限制。委员会请缔约国提供按年龄及城乡地区分列的关于各种形式的暴力侵害妇女行为流行趋势的数据和资料</w:t>
      </w:r>
      <w:r>
        <w:rPr>
          <w:rFonts w:hint="eastAsia"/>
        </w:rPr>
        <w:t>。</w:t>
      </w:r>
    </w:p>
    <w:p w:rsidR="002D3A4F" w:rsidRPr="00326F2C" w:rsidRDefault="002D3A4F" w:rsidP="002D3A4F">
      <w:pPr>
        <w:pStyle w:val="SingleTxt"/>
        <w:rPr>
          <w:rFonts w:ascii="SimHei" w:eastAsia="SimHei"/>
        </w:rPr>
      </w:pPr>
      <w:r w:rsidRPr="00326F2C">
        <w:rPr>
          <w:rFonts w:ascii="SimHei" w:eastAsia="SimHei" w:hint="eastAsia"/>
        </w:rPr>
        <w:t>贩卖人口和卖淫</w:t>
      </w:r>
    </w:p>
    <w:p w:rsidR="002D3A4F" w:rsidRDefault="002D3A4F" w:rsidP="002D3A4F">
      <w:pPr>
        <w:pStyle w:val="SingleTxt"/>
        <w:spacing w:line="340" w:lineRule="exact"/>
      </w:pPr>
      <w:r>
        <w:rPr>
          <w:rFonts w:hint="eastAsia"/>
        </w:rPr>
        <w:t>25.</w:t>
      </w:r>
      <w:r>
        <w:rPr>
          <w:rFonts w:hint="eastAsia"/>
        </w:rPr>
        <w:tab/>
        <w:t>委员会注意到已建立防止和打击贩卖人口全国协调委员会，关于贩卖人口的综合法律草案已列入议会议程。委员会对缔约国境内贩卖人口现象普遍感到关切，并对缺乏说明法律草案内容的资料以及没有关于贩卖人口和卖淫普遍现象的分类数据感到遗憾。委员会还感到关切的是缔约国没有处理贩卖人口的根源，这有碍缔约国认真努力处理贩卖人口问题。委员会感到遗憾的是，没有提供信息说明是否与其他国家就贩运问题达成并执行区域和双边谅解备忘录和(或)协定，以及关于起诉和惩罚贩运者的信息不足。委员会还感到关切的是卖淫妇女受到惩罚，而嫖客却不受惩罚。</w:t>
      </w:r>
    </w:p>
    <w:p w:rsidR="002D3A4F" w:rsidRDefault="002D3A4F" w:rsidP="002D3A4F">
      <w:pPr>
        <w:pStyle w:val="SingleTxt"/>
        <w:spacing w:line="340" w:lineRule="exact"/>
      </w:pPr>
      <w:r>
        <w:rPr>
          <w:rFonts w:hint="eastAsia"/>
        </w:rPr>
        <w:t>26.</w:t>
      </w:r>
      <w:r>
        <w:rPr>
          <w:rFonts w:hint="eastAsia"/>
        </w:rPr>
        <w:tab/>
      </w:r>
      <w:r w:rsidRPr="00FC392D">
        <w:rPr>
          <w:rFonts w:ascii="SimHei" w:eastAsia="SimHei" w:hint="eastAsia"/>
        </w:rPr>
        <w:t>委员会促请缔约国充分执行《公约》第6条，包括加速制定执行关于贩卖人口现象的国家专门综合法律，并确保贩运者受到惩罚，受害人得到充分保护和帮助。委员会还呼吁缔约国通过信息交流增加与原籍国、转运国和目的地国的国际、区域和双边合作，以防止贩运活动，并协调起诉贩运者的法律程序。委员会还建议向司法机构、执法官员、边防队和社会工作者提供关于反贩运人口立法的资料和培训。此外，委员会还建议缔约国就贩运和卖淫问题进行比较研究，消除其根源，杜绝女孩和妇女易遭受性剥削和贩运的情况，并为受害者复原和融入社会做出努力。委员会还敦促缔约国采取综合办法处理卖淫问题，包括妓女从良方案以及处罚嫖客的立法。委员会吁请缔约国确保进行系统监测和定期评估，包括收集和分析关于贩运人口和剥削妓女的数据，并将此类数据列入其下一份定期报告</w:t>
      </w:r>
      <w:r>
        <w:rPr>
          <w:rFonts w:hint="eastAsia"/>
        </w:rPr>
        <w:t>。</w:t>
      </w:r>
    </w:p>
    <w:p w:rsidR="002D3A4F" w:rsidRPr="00326F2C" w:rsidRDefault="002D3A4F" w:rsidP="002D3A4F">
      <w:pPr>
        <w:pStyle w:val="SingleTxt"/>
        <w:rPr>
          <w:rFonts w:ascii="SimHei" w:eastAsia="SimHei"/>
        </w:rPr>
      </w:pPr>
      <w:r w:rsidRPr="00326F2C">
        <w:rPr>
          <w:rFonts w:ascii="SimHei" w:eastAsia="SimHei" w:hint="eastAsia"/>
        </w:rPr>
        <w:t>游客婚姻或临时婚姻</w:t>
      </w:r>
    </w:p>
    <w:p w:rsidR="002D3A4F" w:rsidRDefault="002D3A4F" w:rsidP="002D3A4F">
      <w:pPr>
        <w:pStyle w:val="SingleTxt"/>
      </w:pPr>
      <w:r>
        <w:rPr>
          <w:rFonts w:hint="eastAsia"/>
        </w:rPr>
        <w:t>27.</w:t>
      </w:r>
      <w:r>
        <w:rPr>
          <w:rFonts w:hint="eastAsia"/>
        </w:rPr>
        <w:tab/>
        <w:t>委员会对埃及少女所谓的“游客婚姻”或“临时婚姻”表示关切，她们来自农村地区的贫穷家庭，通常嫁给邻国富裕的非埃及男人。委员会还关切的是，根据缔约国报告，这构成在婚姻掩盖下新类型的贩运女童行为。</w:t>
      </w:r>
    </w:p>
    <w:p w:rsidR="002D3A4F" w:rsidRDefault="002D3A4F" w:rsidP="002D3A4F">
      <w:pPr>
        <w:pStyle w:val="SingleTxt"/>
        <w:rPr>
          <w:rFonts w:hint="eastAsia"/>
        </w:rPr>
      </w:pPr>
      <w:r>
        <w:rPr>
          <w:rFonts w:hint="eastAsia"/>
        </w:rPr>
        <w:t>28.</w:t>
      </w:r>
      <w:r>
        <w:rPr>
          <w:rFonts w:hint="eastAsia"/>
        </w:rPr>
        <w:tab/>
      </w:r>
      <w:r w:rsidRPr="00FC392D">
        <w:rPr>
          <w:rFonts w:ascii="SimHei" w:eastAsia="SimHei" w:hint="eastAsia"/>
        </w:rPr>
        <w:t>委员会敦促缔约国采取一切必要措施，防止和打击这种负面现象，包括起诉贩运者。委员会建议缔约国在宗教当局、社区领袖和民间社会组织的支持下，开展宣传运动，促进认识这些“临时婚姻”对女孩及其家庭的消极影响</w:t>
      </w:r>
      <w:r>
        <w:rPr>
          <w:rFonts w:hint="eastAsia"/>
        </w:rPr>
        <w:t>。</w:t>
      </w:r>
    </w:p>
    <w:p w:rsidR="002D3A4F" w:rsidRPr="00170E38" w:rsidRDefault="002D3A4F" w:rsidP="002D3A4F">
      <w:pPr>
        <w:pStyle w:val="SingleTxt"/>
        <w:rPr>
          <w:rFonts w:ascii="SimHei" w:eastAsia="SimHei" w:hint="eastAsia"/>
        </w:rPr>
      </w:pPr>
      <w:r w:rsidRPr="00170E38">
        <w:rPr>
          <w:rFonts w:ascii="SimHei" w:eastAsia="SimHei" w:hint="eastAsia"/>
        </w:rPr>
        <w:t xml:space="preserve">参与政治和公共生活 </w:t>
      </w:r>
    </w:p>
    <w:p w:rsidR="002D3A4F" w:rsidRDefault="002D3A4F" w:rsidP="002D3A4F">
      <w:pPr>
        <w:pStyle w:val="SingleTxt"/>
        <w:rPr>
          <w:rFonts w:hint="eastAsia"/>
        </w:rPr>
      </w:pPr>
      <w:r>
        <w:rPr>
          <w:rFonts w:hint="eastAsia"/>
        </w:rPr>
        <w:t>29.</w:t>
      </w:r>
      <w:r>
        <w:rPr>
          <w:rFonts w:hint="eastAsia"/>
        </w:rPr>
        <w:tab/>
        <w:t xml:space="preserve">委员会注意到缔约国采取的各种措施，包括最近修订了其选举法，在人民议会(下院)中专为妇女增设64个席位的配额并设立埃及妇女议会论坛。然而，委员会关切的是，这个配额并不包括协商会议，而且只涵盖连续两届议会任期。委员会还关切地注意到有关选举进程中出现针对女性候选人的暴力的报道，其中包括基于性别的暴力，这种暴力对她们的政治参与构成了严重挑战。此外，委员会仍然关切的是，妇女在公共、政治和职业生活中和在市、镇及村议会以及高级管理层等决策岗位上的代表人数仍然不足。 </w:t>
      </w:r>
    </w:p>
    <w:p w:rsidR="002D3A4F" w:rsidRPr="00170E38" w:rsidRDefault="002D3A4F" w:rsidP="002D3A4F">
      <w:pPr>
        <w:pStyle w:val="SingleTxt"/>
        <w:rPr>
          <w:rFonts w:ascii="SimHei" w:eastAsia="SimHei" w:hint="eastAsia"/>
        </w:rPr>
      </w:pPr>
      <w:r w:rsidRPr="00170E38">
        <w:rPr>
          <w:rFonts w:ascii="SimHei" w:eastAsia="SimHei" w:hint="eastAsia"/>
        </w:rPr>
        <w:t>30.</w:t>
      </w:r>
      <w:r w:rsidRPr="00170E38">
        <w:rPr>
          <w:rFonts w:ascii="SimHei" w:eastAsia="SimHei" w:hint="eastAsia"/>
        </w:rPr>
        <w:tab/>
        <w:t>委员会建议缔约国持续推行旨在促进妇女在公共、政治和职业生活所有领域充分平等参与决策的政策。委员会建议缔约国充分利用关于妇女参与公共事务的第23号一般性建议，并呼吁缔约国根据《公约》第4条第1款和第25号一般性建议采取暂</w:t>
      </w:r>
      <w:r>
        <w:rPr>
          <w:rFonts w:ascii="SimHei" w:eastAsia="SimHei" w:hint="eastAsia"/>
        </w:rPr>
        <w:t>行</w:t>
      </w:r>
      <w:r w:rsidRPr="00170E38">
        <w:rPr>
          <w:rFonts w:ascii="SimHei" w:eastAsia="SimHei" w:hint="eastAsia"/>
        </w:rPr>
        <w:t xml:space="preserve">特别措施，以加速推动妇女充分平等参与公共及政治生活。委员会呼吁缔约国采取必要措施，确保妇女参加选举进程的各个阶段，包括采取有效措施打击针对她们的基于性别的暴力。委员会建议开展关于妇女参与决策对整个社会的重要性的宣传活动，并为妇女候选人和当选公职的妇女制订有针对性的培训和辅导方案，同时为当前和今后的妇女领导者制订关于领导艺术和谈判技巧的方案。委员会还建议缔约国认真监测所采取措施的功效和取得的成果，并在其下次报告就此向委员会作出汇报。 </w:t>
      </w:r>
    </w:p>
    <w:p w:rsidR="002D3A4F" w:rsidRPr="00170E38" w:rsidRDefault="002D3A4F" w:rsidP="002D3A4F">
      <w:pPr>
        <w:pStyle w:val="SingleTxt"/>
        <w:rPr>
          <w:rFonts w:ascii="SimHei" w:eastAsia="SimHei" w:hint="eastAsia"/>
        </w:rPr>
      </w:pPr>
      <w:r w:rsidRPr="00170E38">
        <w:rPr>
          <w:rFonts w:ascii="SimHei" w:eastAsia="SimHei" w:hint="eastAsia"/>
        </w:rPr>
        <w:t xml:space="preserve">教育 </w:t>
      </w:r>
    </w:p>
    <w:p w:rsidR="002D3A4F" w:rsidRPr="00A70556" w:rsidRDefault="002D3A4F" w:rsidP="002D3A4F">
      <w:pPr>
        <w:pStyle w:val="SingleTxt"/>
        <w:rPr>
          <w:rFonts w:hint="eastAsia"/>
        </w:rPr>
      </w:pPr>
      <w:r>
        <w:rPr>
          <w:rFonts w:hint="eastAsia"/>
        </w:rPr>
        <w:t>31.</w:t>
      </w:r>
      <w:r>
        <w:rPr>
          <w:rFonts w:hint="eastAsia"/>
        </w:rPr>
        <w:tab/>
        <w:t xml:space="preserve">在注意到缔约国所采取措施的同时，委员会感到关切的是，在一些人口较少的农村和偏远村庄，小学教育男、女生平均入学人数普遍下降，在某些地区仍然存在着男生多于女生的性别差距，小学和中学女生入学率也大幅度下降。委员会对中学和大学女孩和年轻妇女的辍学率也感到关切。委员会还对学生在选择受教育领域方面的性别隔离感到关切，并对很少有资料介绍少数民族和难民社区的女孩和流落街头的女孩普遍缺乏有关受教育机会的情况表示遗憾。 </w:t>
      </w:r>
    </w:p>
    <w:p w:rsidR="002D3A4F" w:rsidRPr="00170E38" w:rsidRDefault="002D3A4F" w:rsidP="002D3A4F">
      <w:pPr>
        <w:pStyle w:val="SingleTxt"/>
        <w:rPr>
          <w:rFonts w:ascii="SimHei" w:eastAsia="SimHei" w:hint="eastAsia"/>
        </w:rPr>
      </w:pPr>
      <w:r w:rsidRPr="00170E38">
        <w:rPr>
          <w:rFonts w:ascii="SimHei" w:eastAsia="SimHei" w:hint="eastAsia"/>
        </w:rPr>
        <w:t>32.</w:t>
      </w:r>
      <w:r w:rsidRPr="00170E38">
        <w:rPr>
          <w:rFonts w:ascii="SimHei" w:eastAsia="SimHei" w:hint="eastAsia"/>
        </w:rPr>
        <w:tab/>
        <w:t xml:space="preserve">委员会敦促缔约国加强落实《公约》第10条并提高人们对教育作为一项人权和提高妇女地位之基础的重要性的认识。委员会敦促缔约国确保女孩和妇女能够平等获得各级和各种教育，采取步骤克服一些农村地区可能有碍女孩和妇女接受教育的传统观念，并在学校留住女生。委员会还呼吁缔约国尽快解决教育系统中事实上的隔离，积极鼓励男、女生教育和职业选择多元化，并采取措施激励青年妇女进入传统上以男性为主的学习领域。委员会敦促缔约国确保为各项计划和方案的实施给予必要的预算拨款，并请缔约国在其下一次报告中就采取的措施及其对两性问题的影响提供资料，同时提供资料说明少数民族和难民社区的女孩及流落街头的女孩接受教育的机会。 </w:t>
      </w:r>
    </w:p>
    <w:p w:rsidR="002D3A4F" w:rsidRPr="00170E38" w:rsidRDefault="002D3A4F" w:rsidP="002D3A4F">
      <w:pPr>
        <w:pStyle w:val="SingleTxt"/>
        <w:rPr>
          <w:rFonts w:ascii="SimHei" w:eastAsia="SimHei" w:hint="eastAsia"/>
        </w:rPr>
      </w:pPr>
      <w:r w:rsidRPr="00170E38">
        <w:rPr>
          <w:rFonts w:ascii="SimHei" w:eastAsia="SimHei" w:hint="eastAsia"/>
        </w:rPr>
        <w:t>就业</w:t>
      </w:r>
    </w:p>
    <w:p w:rsidR="002D3A4F" w:rsidRDefault="002D3A4F" w:rsidP="009137D6">
      <w:pPr>
        <w:pStyle w:val="SingleTxt"/>
        <w:spacing w:line="326" w:lineRule="exact"/>
        <w:rPr>
          <w:rFonts w:hint="eastAsia"/>
        </w:rPr>
      </w:pPr>
      <w:r>
        <w:rPr>
          <w:rFonts w:hint="eastAsia"/>
        </w:rPr>
        <w:t>33.</w:t>
      </w:r>
      <w:r>
        <w:rPr>
          <w:rFonts w:hint="eastAsia"/>
        </w:rPr>
        <w:tab/>
        <w:t>委员会对妇女在劳动市场受到歧视表示关切，</w:t>
      </w:r>
      <w:r w:rsidR="00826AEF">
        <w:rPr>
          <w:rFonts w:hint="eastAsia"/>
        </w:rPr>
        <w:t>尤其关注妇女高失业率，性别差距大，</w:t>
      </w:r>
      <w:r>
        <w:rPr>
          <w:rFonts w:hint="eastAsia"/>
        </w:rPr>
        <w:t>这一市场上存在着职业隔离和</w:t>
      </w:r>
      <w:r w:rsidR="00826AEF">
        <w:rPr>
          <w:rFonts w:hint="eastAsia"/>
        </w:rPr>
        <w:t>歧视性招聘</w:t>
      </w:r>
      <w:r>
        <w:rPr>
          <w:rFonts w:hint="eastAsia"/>
        </w:rPr>
        <w:t>。委员会还关切地注意到，《劳动法》并未充分反映男女同工同酬的原则。委员会对于妇女集中在没有社会保障或其他福利的非正规经济部门的情况仍感关切。委员会还感到关切的是，没有专门的法律规定和具体的措施解决工作场所的性骚扰问题。</w:t>
      </w:r>
      <w:r w:rsidR="00826AEF">
        <w:rPr>
          <w:rFonts w:hint="eastAsia"/>
        </w:rPr>
        <w:t>委员会还关注立法框架不足，难以充分保护妇女不受就业各方面的歧视，《劳工法》执行不够，劳工检查署执法不严。</w:t>
      </w:r>
    </w:p>
    <w:p w:rsidR="002D3A4F" w:rsidRPr="00170E38" w:rsidRDefault="002D3A4F" w:rsidP="009137D6">
      <w:pPr>
        <w:pStyle w:val="SingleTxt"/>
        <w:spacing w:line="326" w:lineRule="exact"/>
        <w:rPr>
          <w:rFonts w:ascii="SimHei" w:eastAsia="SimHei" w:hint="eastAsia"/>
        </w:rPr>
      </w:pPr>
      <w:r w:rsidRPr="00170E38">
        <w:rPr>
          <w:rFonts w:ascii="SimHei" w:eastAsia="SimHei" w:hint="eastAsia"/>
        </w:rPr>
        <w:t>34.</w:t>
      </w:r>
      <w:r w:rsidRPr="00170E38">
        <w:rPr>
          <w:rFonts w:ascii="SimHei" w:eastAsia="SimHei" w:hint="eastAsia"/>
        </w:rPr>
        <w:tab/>
        <w:t>委员会请缔约国根据《公约》第11条确保妇女在劳动市场中的平等机会。为此，委员会敦促缔约国在正规劳动市场中采取有效措施，消除横向和纵向职业隔离，缩小和消除男女工资差距，并在工作中实行平等报酬和平等机会的原则。它鼓励缔约国规范非正规经济部门，以确保妇女在这一部门不受剥削并获得社会保障和其他福利。委员会还鼓励缔约国颁布专门的法律条款并采取具体措施，禁止并解决工作场所性骚扰问题。</w:t>
      </w:r>
      <w:r w:rsidR="00826AEF">
        <w:rPr>
          <w:rFonts w:ascii="SimHei" w:eastAsia="SimHei" w:hint="eastAsia"/>
        </w:rPr>
        <w:t>委员会敦促缔约国考虑修订《</w:t>
      </w:r>
      <w:r w:rsidR="00826AEF" w:rsidRPr="00826AEF">
        <w:rPr>
          <w:rFonts w:ascii="SimHei" w:eastAsia="SimHei" w:hint="eastAsia"/>
        </w:rPr>
        <w:t>劳工法</w:t>
      </w:r>
      <w:r w:rsidR="00826AEF">
        <w:rPr>
          <w:rFonts w:ascii="SimHei" w:eastAsia="SimHei" w:hint="eastAsia"/>
        </w:rPr>
        <w:t>2003</w:t>
      </w:r>
      <w:r w:rsidR="00826AEF" w:rsidRPr="00826AEF">
        <w:rPr>
          <w:rFonts w:ascii="SimHei" w:eastAsia="SimHei" w:hint="eastAsia"/>
        </w:rPr>
        <w:t>》</w:t>
      </w:r>
      <w:r w:rsidR="00826AEF">
        <w:rPr>
          <w:rFonts w:ascii="SimHei" w:eastAsia="SimHei" w:hint="eastAsia"/>
        </w:rPr>
        <w:t>，全面禁止所有就业方面的歧视，包括招聘中的歧视。</w:t>
      </w:r>
      <w:r w:rsidRPr="00170E38">
        <w:rPr>
          <w:rFonts w:ascii="SimHei" w:eastAsia="SimHei" w:hint="eastAsia"/>
        </w:rPr>
        <w:t xml:space="preserve"> </w:t>
      </w:r>
    </w:p>
    <w:p w:rsidR="002D3A4F" w:rsidRPr="00170E38" w:rsidRDefault="002D3A4F" w:rsidP="009137D6">
      <w:pPr>
        <w:pStyle w:val="SingleTxt"/>
        <w:spacing w:line="326" w:lineRule="exact"/>
        <w:rPr>
          <w:rFonts w:ascii="SimHei" w:eastAsia="SimHei" w:hint="eastAsia"/>
        </w:rPr>
      </w:pPr>
      <w:r w:rsidRPr="00170E38">
        <w:rPr>
          <w:rFonts w:ascii="SimHei" w:eastAsia="SimHei" w:hint="eastAsia"/>
        </w:rPr>
        <w:t xml:space="preserve">家庭女佣 </w:t>
      </w:r>
    </w:p>
    <w:p w:rsidR="002D3A4F" w:rsidRDefault="002D3A4F" w:rsidP="009137D6">
      <w:pPr>
        <w:pStyle w:val="SingleTxt"/>
        <w:spacing w:line="326" w:lineRule="exact"/>
        <w:rPr>
          <w:rFonts w:hint="eastAsia"/>
        </w:rPr>
      </w:pPr>
      <w:r>
        <w:rPr>
          <w:rFonts w:hint="eastAsia"/>
        </w:rPr>
        <w:t>35.</w:t>
      </w:r>
      <w:r>
        <w:rPr>
          <w:rFonts w:hint="eastAsia"/>
        </w:rPr>
        <w:tab/>
        <w:t xml:space="preserve">委员会关切地注意到，《劳动法》第4条(b)款规定，该法条款不适用于家庭服务人员，包括外籍家庭佣工。委员会还关切地注意到，包括女性在内的移民家庭佣工人数不断增加，但却没有对他们给予法律保护，而他们往往也不了解自己的权利，并且实际上在虐待案件中无法顺利提出控告和获得赔偿。 </w:t>
      </w:r>
    </w:p>
    <w:p w:rsidR="002D3A4F" w:rsidRPr="00170E38" w:rsidRDefault="002D3A4F" w:rsidP="009137D6">
      <w:pPr>
        <w:pStyle w:val="SingleTxt"/>
        <w:spacing w:line="326" w:lineRule="exact"/>
        <w:rPr>
          <w:rFonts w:ascii="SimHei" w:eastAsia="SimHei" w:hint="eastAsia"/>
        </w:rPr>
      </w:pPr>
      <w:r w:rsidRPr="00170E38">
        <w:rPr>
          <w:rFonts w:ascii="SimHei" w:eastAsia="SimHei" w:hint="eastAsia"/>
        </w:rPr>
        <w:t>36.</w:t>
      </w:r>
      <w:r w:rsidRPr="00170E38">
        <w:rPr>
          <w:rFonts w:ascii="SimHei" w:eastAsia="SimHei" w:hint="eastAsia"/>
        </w:rPr>
        <w:tab/>
        <w:t xml:space="preserve">委员会建议修订《劳动法》使之适用于家庭佣工，包括移民家庭佣工，或是通过新的立法为他们提供保护。委员会还建议缔约国采取适当措施保护移民家庭佣工，特别是妇女家庭佣工，同时建议应有机制使从事家庭服务的移民工能对雇主提出投诉，并使包括虐待在内的所有侵权行为都受到迅速查处。 </w:t>
      </w:r>
    </w:p>
    <w:p w:rsidR="002D3A4F" w:rsidRPr="00170E38" w:rsidRDefault="002D3A4F" w:rsidP="009137D6">
      <w:pPr>
        <w:pStyle w:val="SingleTxt"/>
        <w:spacing w:line="326" w:lineRule="exact"/>
        <w:rPr>
          <w:rFonts w:ascii="SimHei" w:eastAsia="SimHei" w:hint="eastAsia"/>
        </w:rPr>
      </w:pPr>
      <w:r w:rsidRPr="00170E38">
        <w:rPr>
          <w:rFonts w:ascii="SimHei" w:eastAsia="SimHei" w:hint="eastAsia"/>
        </w:rPr>
        <w:t xml:space="preserve">国籍 </w:t>
      </w:r>
    </w:p>
    <w:p w:rsidR="002D3A4F" w:rsidRDefault="002D3A4F" w:rsidP="009137D6">
      <w:pPr>
        <w:pStyle w:val="SingleTxt"/>
        <w:spacing w:line="326" w:lineRule="exact"/>
        <w:rPr>
          <w:rFonts w:hint="eastAsia"/>
        </w:rPr>
      </w:pPr>
      <w:r>
        <w:rPr>
          <w:rFonts w:hint="eastAsia"/>
        </w:rPr>
        <w:t>37.</w:t>
      </w:r>
      <w:r>
        <w:rPr>
          <w:rFonts w:hint="eastAsia"/>
        </w:rPr>
        <w:tab/>
        <w:t xml:space="preserve">委员会注意到，《国籍法》已根据2004年第154号法的规定进行了修订，在与外国人结婚的男、女将埃及国籍传给子女的问题上实行了性别平等。然而，委员会关切的是，埃及妇女不能把国籍转给外国丈夫，而埃及男子在婚后两年却享有这种权利。它还感到关切的是，嫁给某些国家的人结婚的埃及妇女，在把国籍传给子女时仍面临着障碍。 </w:t>
      </w:r>
    </w:p>
    <w:p w:rsidR="00790395" w:rsidRDefault="002D3A4F" w:rsidP="009137D6">
      <w:pPr>
        <w:pStyle w:val="SingleTxt"/>
        <w:spacing w:line="326" w:lineRule="exact"/>
        <w:rPr>
          <w:rFonts w:hint="eastAsia"/>
        </w:rPr>
      </w:pPr>
      <w:r w:rsidRPr="00170E38">
        <w:rPr>
          <w:rFonts w:ascii="SimHei" w:eastAsia="SimHei" w:hint="eastAsia"/>
        </w:rPr>
        <w:t>38.</w:t>
      </w:r>
      <w:r w:rsidRPr="00170E38">
        <w:rPr>
          <w:rFonts w:ascii="SimHei" w:eastAsia="SimHei" w:hint="eastAsia"/>
        </w:rPr>
        <w:tab/>
        <w:t>委员会请缔约国修订国籍法，使之符合《公约》第9条的规定。委员会还呼吁缔约国排除实际执行该法的任何障碍</w:t>
      </w:r>
      <w:r>
        <w:rPr>
          <w:rFonts w:hint="eastAsia"/>
        </w:rPr>
        <w:t>。</w:t>
      </w:r>
    </w:p>
    <w:p w:rsidR="002D3A4F" w:rsidRPr="00170E38" w:rsidRDefault="002D3A4F" w:rsidP="00790395">
      <w:pPr>
        <w:pStyle w:val="SingleTxt"/>
        <w:spacing w:line="340" w:lineRule="exact"/>
        <w:rPr>
          <w:rFonts w:ascii="SimHei" w:eastAsia="SimHei" w:hint="eastAsia"/>
        </w:rPr>
      </w:pPr>
      <w:r w:rsidRPr="00170E38">
        <w:rPr>
          <w:rFonts w:ascii="SimHei" w:eastAsia="SimHei" w:hint="eastAsia"/>
        </w:rPr>
        <w:t>卫生</w:t>
      </w:r>
    </w:p>
    <w:p w:rsidR="002D3A4F" w:rsidRDefault="002D3A4F" w:rsidP="002D3A4F">
      <w:pPr>
        <w:pStyle w:val="SingleTxt"/>
        <w:rPr>
          <w:rFonts w:hint="eastAsia"/>
        </w:rPr>
      </w:pPr>
      <w:r>
        <w:rPr>
          <w:rFonts w:hint="eastAsia"/>
        </w:rPr>
        <w:t>39.</w:t>
      </w:r>
      <w:r>
        <w:rPr>
          <w:rFonts w:hint="eastAsia"/>
        </w:rPr>
        <w:tab/>
        <w:t>委员会赞赏缔约国努力改善卫生基础设施，减少孕产妇死亡率(从2000年的 每10万次活产死亡84人，减少到2008年的每10万次活产死亡55人)，但委员会关切地注意到，没有关于孕产妇发病率的任何统计或数据。委员会还对农村地区特别缺乏生殖保健和性保健服务感到关切，而且通常没有紧急避孕药具。</w:t>
      </w:r>
      <w:r w:rsidR="00790395">
        <w:rPr>
          <w:rFonts w:hint="eastAsia"/>
        </w:rPr>
        <w:t>委员会还关注缺少妇女精神状态的信息。</w:t>
      </w:r>
    </w:p>
    <w:p w:rsidR="002D3A4F" w:rsidRPr="00170E38" w:rsidRDefault="002D3A4F" w:rsidP="002D3A4F">
      <w:pPr>
        <w:pStyle w:val="SingleTxt"/>
        <w:rPr>
          <w:rFonts w:ascii="SimHei" w:eastAsia="SimHei" w:hint="eastAsia"/>
        </w:rPr>
      </w:pPr>
      <w:r w:rsidRPr="00170E38">
        <w:rPr>
          <w:rFonts w:ascii="SimHei" w:eastAsia="SimHei" w:hint="eastAsia"/>
        </w:rPr>
        <w:t>40.</w:t>
      </w:r>
      <w:r w:rsidRPr="00170E38">
        <w:rPr>
          <w:rFonts w:ascii="SimHei" w:eastAsia="SimHei" w:hint="eastAsia"/>
        </w:rPr>
        <w:tab/>
        <w:t>委员会吁请缔约国在第24号一般性建议的框架内，采取一切必要措施，增加妇女获得医疗保健和有关健康服务的途径。委员会敦促会员国在全国开展有关孕产妇死亡率和发病率的全面调查，公布所有调查结果，并在下一次报告中，提供按性别分类的全国和城镇地区的发病率数据。委员会请缔约国加强并扩大努力，使全国各地人民更好地了解和得到负担得起的避孕方法，并确保农村地区的妇女能够没有障碍地获得计划生育信息和服务。委员会还建议针对男女青少年广泛开展性教育，特别要重视预防早孕和控制性传播感染，包括艾滋病毒/艾滋病。委员会建议卫生部在老中青妇女中宣传和提高关于紧急避孕药具的认识，强调其在被强奸时避免意外怀孕的好处。</w:t>
      </w:r>
      <w:r w:rsidR="00790395">
        <w:rPr>
          <w:rFonts w:ascii="SimHei" w:eastAsia="SimHei" w:hint="eastAsia"/>
        </w:rPr>
        <w:t>委员会还呼吁缔约国在下次定期报告中介绍妇女精神状况，获得精神保健服务情况。</w:t>
      </w:r>
    </w:p>
    <w:p w:rsidR="002D3A4F" w:rsidRPr="00170E38" w:rsidRDefault="002D3A4F" w:rsidP="002D3A4F">
      <w:pPr>
        <w:pStyle w:val="SingleTxt"/>
        <w:rPr>
          <w:rFonts w:ascii="SimHei" w:eastAsia="SimHei" w:hint="eastAsia"/>
        </w:rPr>
      </w:pPr>
      <w:r w:rsidRPr="00170E38">
        <w:rPr>
          <w:rFonts w:ascii="SimHei" w:eastAsia="SimHei" w:hint="eastAsia"/>
        </w:rPr>
        <w:t>切割女性生殖器</w:t>
      </w:r>
    </w:p>
    <w:p w:rsidR="002D3A4F" w:rsidRDefault="002D3A4F" w:rsidP="002D3A4F">
      <w:pPr>
        <w:pStyle w:val="SingleTxt"/>
        <w:rPr>
          <w:rFonts w:hint="eastAsia"/>
        </w:rPr>
      </w:pPr>
      <w:r>
        <w:rPr>
          <w:rFonts w:hint="eastAsia"/>
        </w:rPr>
        <w:t>41.</w:t>
      </w:r>
      <w:r>
        <w:rPr>
          <w:rFonts w:hint="eastAsia"/>
        </w:rPr>
        <w:tab/>
        <w:t xml:space="preserve">委员会欢迎最近对切割女性生殖器定罪的举措，并欢迎开展全国运动，采取措施打击切割女性生殖器，包括实现全村无人切割女性生殖器的项目。与此同时，委员会对这种有害习俗继续普遍存在依然深感关切。这一习俗严重侵害女孩和妇女的人权，并且违背缔约国对《公约》的义务。委员会还关切地注意到这一习俗对女孩和妇女健康所产生的严重影响(有时甚至可导致死亡)以及侵害人逍遥法外的现象。在这方面， 委员会对目前法律上的漏洞感到关切。这种漏洞允许医生出于“医疗必需”，切割女性生殖器。  </w:t>
      </w:r>
    </w:p>
    <w:p w:rsidR="002D3A4F" w:rsidRDefault="002D3A4F" w:rsidP="002D3A4F">
      <w:pPr>
        <w:pStyle w:val="SingleTxt"/>
        <w:spacing w:line="340" w:lineRule="exact"/>
        <w:rPr>
          <w:rFonts w:ascii="SimHei" w:eastAsia="SimHei" w:hint="eastAsia"/>
        </w:rPr>
      </w:pPr>
      <w:r w:rsidRPr="00170E38">
        <w:rPr>
          <w:rFonts w:ascii="SimHei" w:eastAsia="SimHei" w:hint="eastAsia"/>
        </w:rPr>
        <w:t>42.</w:t>
      </w:r>
      <w:r w:rsidRPr="00170E38">
        <w:rPr>
          <w:rFonts w:ascii="SimHei" w:eastAsia="SimHei" w:hint="eastAsia"/>
        </w:rPr>
        <w:tab/>
        <w:t>根据</w:t>
      </w:r>
      <w:r>
        <w:rPr>
          <w:rFonts w:ascii="SimHei" w:eastAsia="SimHei" w:hint="eastAsia"/>
        </w:rPr>
        <w:t>第</w:t>
      </w:r>
      <w:r w:rsidRPr="00170E38">
        <w:rPr>
          <w:rFonts w:ascii="SimHei" w:eastAsia="SimHei" w:hint="eastAsia"/>
        </w:rPr>
        <w:t>14</w:t>
      </w:r>
      <w:r>
        <w:rPr>
          <w:rFonts w:ascii="SimHei" w:eastAsia="SimHei" w:hint="eastAsia"/>
        </w:rPr>
        <w:t>号</w:t>
      </w:r>
      <w:r w:rsidRPr="00170E38">
        <w:rPr>
          <w:rFonts w:ascii="SimHei" w:eastAsia="SimHei" w:hint="eastAsia"/>
        </w:rPr>
        <w:t>和</w:t>
      </w:r>
      <w:r>
        <w:rPr>
          <w:rFonts w:ascii="SimHei" w:eastAsia="SimHei" w:hint="eastAsia"/>
        </w:rPr>
        <w:t>第</w:t>
      </w:r>
      <w:r w:rsidRPr="00170E38">
        <w:rPr>
          <w:rFonts w:ascii="SimHei" w:eastAsia="SimHei" w:hint="eastAsia"/>
        </w:rPr>
        <w:t>19</w:t>
      </w:r>
      <w:r>
        <w:rPr>
          <w:rFonts w:ascii="SimHei" w:eastAsia="SimHei" w:hint="eastAsia"/>
        </w:rPr>
        <w:t>号</w:t>
      </w:r>
      <w:r w:rsidRPr="00170E38">
        <w:rPr>
          <w:rFonts w:ascii="SimHei" w:eastAsia="SimHei" w:hint="eastAsia"/>
        </w:rPr>
        <w:t>一般性建议，委员会吁请缔约国通过2008年第126号法律以及起诉和充分惩罚</w:t>
      </w:r>
      <w:r>
        <w:rPr>
          <w:rFonts w:ascii="SimHei" w:eastAsia="SimHei" w:hint="eastAsia"/>
        </w:rPr>
        <w:t>侵害</w:t>
      </w:r>
      <w:r w:rsidRPr="00170E38">
        <w:rPr>
          <w:rFonts w:ascii="SimHei" w:eastAsia="SimHei" w:hint="eastAsia"/>
        </w:rPr>
        <w:t>人等措施，确保有效禁止切割女性生殖器。委员会建议缔约国在民间社会组织和宗教当局的支持下，继续并加强提高男子和妇女的认识和对其双方进行教育的努力，以彻底根除切割女性生殖器的习俗及其文化根基。这种努力应包括设计并开展一项有效的教育运动，特别在文盲</w:t>
      </w:r>
      <w:r w:rsidR="00297B92">
        <w:rPr>
          <w:rFonts w:ascii="SimHei" w:eastAsia="SimHei" w:hint="eastAsia"/>
        </w:rPr>
        <w:t>家长</w:t>
      </w:r>
      <w:r w:rsidRPr="00170E38">
        <w:rPr>
          <w:rFonts w:ascii="SimHei" w:eastAsia="SimHei" w:hint="eastAsia"/>
        </w:rPr>
        <w:t>中间开展，以打击支持这一习俗的传统势力和家庭势力。委员会请缔约国在下一次报告中提供资料，说明这种措施的效果。</w:t>
      </w:r>
    </w:p>
    <w:p w:rsidR="002D3A4F" w:rsidRPr="00170E38" w:rsidRDefault="002D3A4F" w:rsidP="002D3A4F">
      <w:pPr>
        <w:pStyle w:val="SingleTxt"/>
        <w:rPr>
          <w:rFonts w:ascii="SimHei" w:eastAsia="SimHei" w:hint="eastAsia"/>
        </w:rPr>
      </w:pPr>
      <w:r w:rsidRPr="00170E38">
        <w:rPr>
          <w:rFonts w:ascii="SimHei" w:eastAsia="SimHei" w:hint="eastAsia"/>
        </w:rPr>
        <w:t>农村妇女</w:t>
      </w:r>
    </w:p>
    <w:p w:rsidR="002D3A4F" w:rsidRDefault="002D3A4F" w:rsidP="002D3A4F">
      <w:pPr>
        <w:pStyle w:val="SingleTxt"/>
        <w:rPr>
          <w:rFonts w:hint="eastAsia"/>
        </w:rPr>
      </w:pPr>
      <w:r>
        <w:rPr>
          <w:rFonts w:hint="eastAsia"/>
        </w:rPr>
        <w:t>43.</w:t>
      </w:r>
      <w:r>
        <w:rPr>
          <w:rFonts w:hint="eastAsia"/>
        </w:rPr>
        <w:tab/>
        <w:t>委员会注意到，农村妇女是缔约国妇女人口中的多数，也是农业部门的劳动力。委员会再次关切地表示，报告所提供的关于农村和边远地区妇女状况的资料和统计数据极为有限，在卫生、教育、劳动和就业以及参加社会政治生活问题上尤其如此。委员会注意到政府最近开展的运动，但对农村地区依然有许多妇女没有个人身份证感到关切。这使她们无法充分享有其公民权利，包括选民登记以及获得工作和国家提供的服务。</w:t>
      </w:r>
    </w:p>
    <w:p w:rsidR="002D3A4F" w:rsidRDefault="002D3A4F" w:rsidP="002D3A4F">
      <w:pPr>
        <w:pStyle w:val="SingleTxt"/>
        <w:rPr>
          <w:rFonts w:hint="eastAsia"/>
        </w:rPr>
      </w:pPr>
      <w:r w:rsidRPr="00DE15B1">
        <w:rPr>
          <w:rFonts w:ascii="SimHei" w:eastAsia="SimHei" w:hint="eastAsia"/>
        </w:rPr>
        <w:t>44.</w:t>
      </w:r>
      <w:r w:rsidRPr="00DE15B1">
        <w:rPr>
          <w:rFonts w:ascii="SimHei" w:eastAsia="SimHei" w:hint="eastAsia"/>
        </w:rPr>
        <w:tab/>
        <w:t>委员会请缔约国在下一次报告中提供全面数据，说明农村妇女在《公约》所述各领域中的状况。委员会还请缔约国加快向所有妇女</w:t>
      </w:r>
      <w:r>
        <w:rPr>
          <w:rFonts w:ascii="SimHei" w:eastAsia="SimHei" w:hint="eastAsia"/>
        </w:rPr>
        <w:t>(</w:t>
      </w:r>
      <w:r w:rsidRPr="00DE15B1">
        <w:rPr>
          <w:rFonts w:ascii="SimHei" w:eastAsia="SimHei" w:hint="eastAsia"/>
        </w:rPr>
        <w:t>包括农村和边远地区的妇女</w:t>
      </w:r>
      <w:r>
        <w:rPr>
          <w:rFonts w:ascii="SimHei" w:eastAsia="SimHei" w:hint="eastAsia"/>
        </w:rPr>
        <w:t>)</w:t>
      </w:r>
      <w:r w:rsidRPr="00DE15B1">
        <w:rPr>
          <w:rFonts w:ascii="SimHei" w:eastAsia="SimHei" w:hint="eastAsia"/>
        </w:rPr>
        <w:t>发放身份证的进程</w:t>
      </w:r>
      <w:r>
        <w:rPr>
          <w:rFonts w:hint="eastAsia"/>
        </w:rPr>
        <w:t>。</w:t>
      </w:r>
    </w:p>
    <w:p w:rsidR="002D3A4F" w:rsidRPr="00DE15B1" w:rsidRDefault="002D3A4F" w:rsidP="009137D6">
      <w:pPr>
        <w:pStyle w:val="SingleTxt"/>
        <w:spacing w:line="306" w:lineRule="exact"/>
        <w:rPr>
          <w:rFonts w:ascii="SimHei" w:eastAsia="SimHei" w:hint="eastAsia"/>
        </w:rPr>
      </w:pPr>
      <w:r w:rsidRPr="00DE15B1">
        <w:rPr>
          <w:rFonts w:ascii="SimHei" w:eastAsia="SimHei" w:hint="eastAsia"/>
        </w:rPr>
        <w:t>弱势妇女群体</w:t>
      </w:r>
    </w:p>
    <w:p w:rsidR="002D3A4F" w:rsidRDefault="002D3A4F" w:rsidP="009137D6">
      <w:pPr>
        <w:pStyle w:val="SingleTxt"/>
        <w:spacing w:line="306" w:lineRule="exact"/>
        <w:rPr>
          <w:rFonts w:hint="eastAsia"/>
        </w:rPr>
      </w:pPr>
      <w:r>
        <w:rPr>
          <w:rFonts w:hint="eastAsia"/>
        </w:rPr>
        <w:t>45.</w:t>
      </w:r>
      <w:r>
        <w:rPr>
          <w:rFonts w:hint="eastAsia"/>
        </w:rPr>
        <w:tab/>
        <w:t>委员会关切地注意到，报告就老年妇女、残疾妇女、寄宿街头的难民妇女和女孩等弱势妇女群体提供的资料和数据十分有限。委员会还关切地注意到，这些妇女往往受到多种形式的歧视，尤其在接受教育、寻求就业和保健、不受暴力侵害和诉诸法律等方面。</w:t>
      </w:r>
    </w:p>
    <w:p w:rsidR="002D3A4F" w:rsidRPr="00DE15B1" w:rsidRDefault="002D3A4F" w:rsidP="009137D6">
      <w:pPr>
        <w:pStyle w:val="SingleTxt"/>
        <w:spacing w:line="306" w:lineRule="exact"/>
        <w:rPr>
          <w:rFonts w:ascii="SimHei" w:eastAsia="SimHei" w:hint="eastAsia"/>
        </w:rPr>
      </w:pPr>
      <w:r w:rsidRPr="00DE15B1">
        <w:rPr>
          <w:rFonts w:ascii="SimHei" w:eastAsia="SimHei" w:hint="eastAsia"/>
        </w:rPr>
        <w:t>46.</w:t>
      </w:r>
      <w:r w:rsidRPr="00DE15B1">
        <w:rPr>
          <w:rFonts w:ascii="SimHei" w:eastAsia="SimHei" w:hint="eastAsia"/>
        </w:rPr>
        <w:tab/>
        <w:t>委员会请缔约国在下一次报告中提供资料，全面说明弱势妇女群体在《公约》所述各领域的实际境况，并提供资料说明具体方案和成就。</w:t>
      </w:r>
    </w:p>
    <w:p w:rsidR="002D3A4F" w:rsidRDefault="002D3A4F" w:rsidP="009137D6">
      <w:pPr>
        <w:pStyle w:val="SingleTxt"/>
        <w:spacing w:line="306" w:lineRule="exact"/>
        <w:rPr>
          <w:rFonts w:hint="eastAsia"/>
        </w:rPr>
      </w:pPr>
      <w:r>
        <w:rPr>
          <w:rFonts w:ascii="SimHei" w:eastAsia="SimHei" w:hint="eastAsia"/>
        </w:rPr>
        <w:t>婚姻</w:t>
      </w:r>
      <w:r w:rsidRPr="00DE15B1">
        <w:rPr>
          <w:rFonts w:ascii="SimHei" w:eastAsia="SimHei" w:hint="eastAsia"/>
        </w:rPr>
        <w:t>和家庭关系</w:t>
      </w:r>
    </w:p>
    <w:p w:rsidR="002D3A4F" w:rsidRDefault="002D3A4F" w:rsidP="009137D6">
      <w:pPr>
        <w:pStyle w:val="SingleTxt"/>
        <w:spacing w:line="306" w:lineRule="exact"/>
        <w:rPr>
          <w:rFonts w:hint="eastAsia"/>
        </w:rPr>
      </w:pPr>
      <w:r>
        <w:rPr>
          <w:rFonts w:hint="eastAsia"/>
        </w:rPr>
        <w:t>47.</w:t>
      </w:r>
      <w:r>
        <w:rPr>
          <w:rFonts w:hint="eastAsia"/>
        </w:rPr>
        <w:tab/>
        <w:t>缔约国最近对《税法》作了修正，并且将男女结婚年龄从16岁提高到18岁。委员会对此表示赞赏，但关切地注意到，特别在农村地区，仍有许多女孩早婚，而且一夫多妻制继续得到法律上的认可。委员会还关切地注意到，有关结婚、离婚、儿童监护权和继承等个人状况的法律规定，没有为妇女和男子提供同等的权利。在这方面，委员会对非正式婚姻(Urfi marriages)以及嫁给穆斯林男子的基督教妇女在离婚、监护权和继承权方面的无保障境况表示关切。委员会还关切地注意到，家庭法院是唯一处理有关家庭纠纷的地方，但主持家庭法院的法官却不具备必要的学识和专长，而且家庭法院中没有女法官。委员会还关切地注意到，由于缺乏适当的执法机制，家庭法院的判决有可能得不到实施。</w:t>
      </w:r>
    </w:p>
    <w:p w:rsidR="002D3A4F" w:rsidRDefault="002D3A4F" w:rsidP="009137D6">
      <w:pPr>
        <w:pStyle w:val="SingleTxt"/>
        <w:spacing w:line="306" w:lineRule="exact"/>
        <w:rPr>
          <w:rFonts w:hint="eastAsia"/>
        </w:rPr>
      </w:pPr>
      <w:r w:rsidRPr="00DE15B1">
        <w:rPr>
          <w:rFonts w:ascii="SimHei" w:eastAsia="SimHei" w:hint="eastAsia"/>
        </w:rPr>
        <w:t>48.</w:t>
      </w:r>
      <w:r w:rsidRPr="00DE15B1">
        <w:rPr>
          <w:rFonts w:ascii="SimHei" w:eastAsia="SimHei" w:hint="eastAsia"/>
        </w:rPr>
        <w:tab/>
        <w:t>委员会吁请缔约国全面审查其个人状况的法律，确保男女有结婚、离婚、监护儿童和继承财产的同等权利。委员会建议缔约国考虑颁布一项关于个人状况的统一家庭法，将穆斯林和基督教徒都包括在内。委员会还吁请缔约国响应委员会在关于婚姻和家庭关系平等的第21号一般性建议中的呼吁，实施旨在消除各种一夫多妻制的措施，并采取各项必要措施，打击早婚习俗。委员会还建议组织培训，确保家庭法官具备关于家庭法问题的适当知识和专长，并在家庭法院中任命女法官。委员会吁请缔约国建立有效机制，及时执行家庭法院的判决</w:t>
      </w:r>
      <w:r>
        <w:rPr>
          <w:rFonts w:hint="eastAsia"/>
        </w:rPr>
        <w:t>。</w:t>
      </w:r>
    </w:p>
    <w:p w:rsidR="002D3A4F" w:rsidRDefault="002D3A4F" w:rsidP="009137D6">
      <w:pPr>
        <w:pStyle w:val="SingleTxt"/>
        <w:spacing w:line="306" w:lineRule="exact"/>
        <w:rPr>
          <w:rFonts w:hint="eastAsia"/>
        </w:rPr>
      </w:pPr>
      <w:r>
        <w:rPr>
          <w:rFonts w:hint="eastAsia"/>
        </w:rPr>
        <w:t>49.</w:t>
      </w:r>
      <w:r>
        <w:rPr>
          <w:rFonts w:hint="eastAsia"/>
        </w:rPr>
        <w:tab/>
        <w:t>根据2000年第1号法律</w:t>
      </w:r>
      <w:r w:rsidR="00297B92">
        <w:rPr>
          <w:rFonts w:hint="eastAsia"/>
        </w:rPr>
        <w:t>(khul)</w:t>
      </w:r>
      <w:r>
        <w:rPr>
          <w:rFonts w:hint="eastAsia"/>
        </w:rPr>
        <w:t>，以单方面终止婚约的形式争取离婚的妇女只有在放弃赡养费和归还嫁妆的情况下才可离婚。对此委员会再次表示关切。委员会还感到关切的是，由于没有规定离婚时平等均分婚姻财产，致使妻子在经济上缺乏保障。</w:t>
      </w:r>
    </w:p>
    <w:p w:rsidR="002D3A4F" w:rsidRPr="00DE15B1" w:rsidRDefault="002D3A4F" w:rsidP="009137D6">
      <w:pPr>
        <w:pStyle w:val="SingleTxt"/>
        <w:spacing w:line="306" w:lineRule="exact"/>
        <w:rPr>
          <w:rFonts w:ascii="SimHei" w:eastAsia="SimHei" w:hint="eastAsia"/>
        </w:rPr>
      </w:pPr>
      <w:r w:rsidRPr="00DE15B1">
        <w:rPr>
          <w:rFonts w:ascii="SimHei" w:eastAsia="SimHei" w:hint="eastAsia"/>
        </w:rPr>
        <w:t>50.</w:t>
      </w:r>
      <w:r w:rsidRPr="00DE15B1">
        <w:rPr>
          <w:rFonts w:ascii="SimHei" w:eastAsia="SimHei" w:hint="eastAsia"/>
        </w:rPr>
        <w:tab/>
        <w:t>委员会吁请缔约国考虑修改2000年第1号法律，以消除对妇女</w:t>
      </w:r>
      <w:r>
        <w:rPr>
          <w:rFonts w:ascii="SimHei" w:eastAsia="SimHei" w:hint="eastAsia"/>
        </w:rPr>
        <w:t>在财务上的</w:t>
      </w:r>
      <w:r w:rsidRPr="00DE15B1">
        <w:rPr>
          <w:rFonts w:ascii="SimHei" w:eastAsia="SimHei" w:hint="eastAsia"/>
        </w:rPr>
        <w:t>歧视。委员会还吁请缔约国规定离婚时平等</w:t>
      </w:r>
      <w:r>
        <w:rPr>
          <w:rFonts w:ascii="SimHei" w:eastAsia="SimHei" w:hint="eastAsia"/>
        </w:rPr>
        <w:t>均</w:t>
      </w:r>
      <w:r w:rsidRPr="00DE15B1">
        <w:rPr>
          <w:rFonts w:ascii="SimHei" w:eastAsia="SimHei" w:hint="eastAsia"/>
        </w:rPr>
        <w:t>分结婚期间累积的财产，同时考虑对积累的婚姻财产所作的非</w:t>
      </w:r>
      <w:r>
        <w:rPr>
          <w:rFonts w:ascii="SimHei" w:eastAsia="SimHei" w:hint="eastAsia"/>
        </w:rPr>
        <w:t>财务</w:t>
      </w:r>
      <w:r w:rsidRPr="00DE15B1">
        <w:rPr>
          <w:rFonts w:ascii="SimHei" w:eastAsia="SimHei" w:hint="eastAsia"/>
        </w:rPr>
        <w:t>贡献。</w:t>
      </w:r>
    </w:p>
    <w:p w:rsidR="002D3A4F" w:rsidRDefault="002D3A4F" w:rsidP="002D3A4F">
      <w:pPr>
        <w:pStyle w:val="SingleTxt"/>
        <w:rPr>
          <w:rFonts w:hint="eastAsia"/>
        </w:rPr>
      </w:pPr>
      <w:r w:rsidRPr="00DE15B1">
        <w:rPr>
          <w:rFonts w:ascii="SimHei" w:eastAsia="SimHei" w:hint="eastAsia"/>
        </w:rPr>
        <w:t>数据收集和分析</w:t>
      </w:r>
    </w:p>
    <w:p w:rsidR="002D3A4F" w:rsidRDefault="002D3A4F" w:rsidP="002D3A4F">
      <w:pPr>
        <w:pStyle w:val="SingleTxt"/>
        <w:spacing w:line="340" w:lineRule="exact"/>
        <w:rPr>
          <w:rFonts w:hint="eastAsia"/>
        </w:rPr>
      </w:pPr>
      <w:r>
        <w:rPr>
          <w:rFonts w:hint="eastAsia"/>
        </w:rPr>
        <w:t>51.</w:t>
      </w:r>
      <w:r>
        <w:rPr>
          <w:rFonts w:hint="eastAsia"/>
        </w:rPr>
        <w:tab/>
        <w:t>委员会感到关切的是，报告没有提供充分统计数据，说明妇女在《公约》所述各领域中的状况。委员会还感到关切的是，没有提供资料说明在《公约》所述各领域采取的措施所产生的影响、遇到的障碍和取得的成果。</w:t>
      </w:r>
    </w:p>
    <w:p w:rsidR="002D3A4F" w:rsidRPr="009137D6" w:rsidRDefault="002D3A4F" w:rsidP="009137D6">
      <w:pPr>
        <w:pStyle w:val="SingleTxt"/>
        <w:spacing w:line="300" w:lineRule="exact"/>
        <w:rPr>
          <w:rFonts w:ascii="SimHei" w:eastAsia="SimHei" w:hint="eastAsia"/>
          <w:spacing w:val="-2"/>
        </w:rPr>
      </w:pPr>
      <w:r w:rsidRPr="00DE15B1">
        <w:rPr>
          <w:rFonts w:ascii="SimHei" w:eastAsia="SimHei" w:hint="eastAsia"/>
        </w:rPr>
        <w:t>52.</w:t>
      </w:r>
      <w:r w:rsidRPr="00DE15B1">
        <w:rPr>
          <w:rFonts w:ascii="SimHei" w:eastAsia="SimHei" w:hint="eastAsia"/>
        </w:rPr>
        <w:tab/>
      </w:r>
      <w:r w:rsidRPr="009137D6">
        <w:rPr>
          <w:rFonts w:ascii="SimHei" w:eastAsia="SimHei" w:hint="eastAsia"/>
          <w:spacing w:val="-2"/>
        </w:rPr>
        <w:t>委员会吁请缔约国加强数据收集系统，包括采用可衡量的指标，以评估妇女状况的趋势和在实现妇女事实上的平等方面取得的进展，并为此目的划拨足够的预算资源。委员会还请缔约国在下次报告中列入按性别、农村和城市地区、国家和省分列的统计数据和分析，说明政策和方案措施的影响、遇到的障碍和取得的成果。</w:t>
      </w:r>
    </w:p>
    <w:p w:rsidR="002D3A4F" w:rsidRDefault="002D3A4F" w:rsidP="009137D6">
      <w:pPr>
        <w:pStyle w:val="SingleTxt"/>
        <w:spacing w:line="300" w:lineRule="exact"/>
        <w:rPr>
          <w:rFonts w:hint="eastAsia"/>
        </w:rPr>
      </w:pPr>
      <w:r w:rsidRPr="00DE15B1">
        <w:rPr>
          <w:rFonts w:ascii="SimHei" w:eastAsia="SimHei" w:hint="eastAsia"/>
        </w:rPr>
        <w:t>任择议定书</w:t>
      </w:r>
    </w:p>
    <w:p w:rsidR="002D3A4F" w:rsidRPr="007A643A" w:rsidRDefault="002D3A4F" w:rsidP="009137D6">
      <w:pPr>
        <w:pStyle w:val="SingleTxt"/>
        <w:spacing w:line="300" w:lineRule="exact"/>
        <w:rPr>
          <w:rFonts w:ascii="SimHei" w:eastAsia="SimHei" w:hint="eastAsia"/>
        </w:rPr>
      </w:pPr>
      <w:r w:rsidRPr="007A643A">
        <w:rPr>
          <w:rFonts w:ascii="SimHei" w:eastAsia="SimHei" w:hint="eastAsia"/>
        </w:rPr>
        <w:t>53.</w:t>
      </w:r>
      <w:r w:rsidRPr="007A643A">
        <w:rPr>
          <w:rFonts w:ascii="SimHei" w:eastAsia="SimHei" w:hint="eastAsia"/>
        </w:rPr>
        <w:tab/>
        <w:t>委员会注意到，缔约国正在考虑这一问题，但仍吁请缔约国加入《公约》任择议定书。</w:t>
      </w:r>
    </w:p>
    <w:p w:rsidR="002D3A4F" w:rsidRPr="00DE15B1" w:rsidRDefault="002D3A4F" w:rsidP="009137D6">
      <w:pPr>
        <w:pStyle w:val="SingleTxt"/>
        <w:spacing w:line="300" w:lineRule="exact"/>
        <w:rPr>
          <w:rFonts w:ascii="SimHei" w:eastAsia="SimHei" w:hint="eastAsia"/>
        </w:rPr>
      </w:pPr>
      <w:r w:rsidRPr="00DE15B1">
        <w:rPr>
          <w:rFonts w:ascii="SimHei" w:eastAsia="SimHei" w:hint="eastAsia"/>
        </w:rPr>
        <w:t>下一次报告的编写</w:t>
      </w:r>
    </w:p>
    <w:p w:rsidR="002D3A4F" w:rsidRPr="00DE15B1" w:rsidRDefault="002D3A4F" w:rsidP="009137D6">
      <w:pPr>
        <w:pStyle w:val="SingleTxt"/>
        <w:spacing w:line="300" w:lineRule="exact"/>
        <w:rPr>
          <w:rFonts w:ascii="SimHei" w:eastAsia="SimHei" w:hint="eastAsia"/>
        </w:rPr>
      </w:pPr>
      <w:r w:rsidRPr="00DE15B1">
        <w:rPr>
          <w:rFonts w:ascii="SimHei" w:eastAsia="SimHei" w:hint="eastAsia"/>
        </w:rPr>
        <w:t>54.</w:t>
      </w:r>
      <w:r w:rsidRPr="00DE15B1">
        <w:rPr>
          <w:rFonts w:ascii="SimHei" w:eastAsia="SimHei" w:hint="eastAsia"/>
        </w:rPr>
        <w:tab/>
        <w:t>委员会要求缔约国确保所有的部委和公共机构都能广泛参与下一次定期报告的编写，并在此阶段与各</w:t>
      </w:r>
      <w:r>
        <w:rPr>
          <w:rFonts w:ascii="SimHei" w:eastAsia="SimHei" w:hint="eastAsia"/>
        </w:rPr>
        <w:t>个</w:t>
      </w:r>
      <w:r w:rsidRPr="00DE15B1">
        <w:rPr>
          <w:rFonts w:ascii="SimHei" w:eastAsia="SimHei" w:hint="eastAsia"/>
        </w:rPr>
        <w:t>妇女和人权组织开展协商。</w:t>
      </w:r>
    </w:p>
    <w:p w:rsidR="002D3A4F" w:rsidRPr="00DE15B1" w:rsidRDefault="002D3A4F" w:rsidP="009137D6">
      <w:pPr>
        <w:pStyle w:val="SingleTxt"/>
        <w:spacing w:line="300" w:lineRule="exact"/>
        <w:rPr>
          <w:rFonts w:ascii="SimHei" w:eastAsia="SimHei" w:hint="eastAsia"/>
        </w:rPr>
      </w:pPr>
      <w:r w:rsidRPr="00DE15B1">
        <w:rPr>
          <w:rFonts w:ascii="SimHei" w:eastAsia="SimHei" w:hint="eastAsia"/>
        </w:rPr>
        <w:t>《北京宣言和行动纲要》</w:t>
      </w:r>
    </w:p>
    <w:p w:rsidR="002D3A4F" w:rsidRPr="007A643A" w:rsidRDefault="002D3A4F" w:rsidP="009137D6">
      <w:pPr>
        <w:pStyle w:val="SingleTxt"/>
        <w:spacing w:line="300" w:lineRule="exact"/>
        <w:rPr>
          <w:rFonts w:ascii="SimHei" w:eastAsia="SimHei" w:hint="eastAsia"/>
        </w:rPr>
      </w:pPr>
      <w:r w:rsidRPr="007A643A">
        <w:rPr>
          <w:rFonts w:ascii="SimHei" w:eastAsia="SimHei" w:hint="eastAsia"/>
        </w:rPr>
        <w:t>55.</w:t>
      </w:r>
      <w:r w:rsidRPr="007A643A">
        <w:rPr>
          <w:rFonts w:ascii="SimHei" w:eastAsia="SimHei" w:hint="eastAsia"/>
        </w:rPr>
        <w:tab/>
        <w:t>委员会敦促缔约国在履行《公约》义务时，充分利用加强《公约》各项规定的《北京宣言和行动纲要》，并请缔约国在下一次定期报告中提供有关资料。</w:t>
      </w:r>
    </w:p>
    <w:p w:rsidR="002D3A4F" w:rsidRPr="00DE15B1" w:rsidRDefault="002D3A4F" w:rsidP="009137D6">
      <w:pPr>
        <w:pStyle w:val="SingleTxt"/>
        <w:spacing w:line="300" w:lineRule="exact"/>
        <w:rPr>
          <w:rFonts w:ascii="SimHei" w:eastAsia="SimHei" w:hint="eastAsia"/>
        </w:rPr>
      </w:pPr>
      <w:r w:rsidRPr="00DE15B1">
        <w:rPr>
          <w:rFonts w:ascii="SimHei" w:eastAsia="SimHei" w:hint="eastAsia"/>
        </w:rPr>
        <w:t>千年发展目标</w:t>
      </w:r>
    </w:p>
    <w:p w:rsidR="002D3A4F" w:rsidRDefault="002D3A4F" w:rsidP="009137D6">
      <w:pPr>
        <w:pStyle w:val="SingleTxt"/>
        <w:spacing w:line="300" w:lineRule="exact"/>
        <w:rPr>
          <w:rFonts w:ascii="SimHei" w:eastAsia="SimHei" w:hint="eastAsia"/>
        </w:rPr>
      </w:pPr>
      <w:r w:rsidRPr="001E114B">
        <w:rPr>
          <w:rFonts w:ascii="SimHei" w:eastAsia="SimHei" w:hint="eastAsia"/>
        </w:rPr>
        <w:t>56.</w:t>
      </w:r>
      <w:r w:rsidRPr="001E114B">
        <w:rPr>
          <w:rFonts w:ascii="SimHei" w:eastAsia="SimHei" w:hint="eastAsia"/>
        </w:rPr>
        <w:tab/>
        <w:t>委员会强调，要实现千年发展目标，就必须充分、有效地实施《公约》。委员会要求在为了实现千年发展目标所做的一切努力中都纳入性别平等视角并明确体现《公约》的规定，并请缔约国在下次定期报告中包括有关资料。</w:t>
      </w:r>
    </w:p>
    <w:p w:rsidR="002D3A4F" w:rsidRPr="001E114B" w:rsidRDefault="002D3A4F" w:rsidP="009137D6">
      <w:pPr>
        <w:pStyle w:val="SingleTxt"/>
        <w:spacing w:line="300" w:lineRule="exact"/>
        <w:rPr>
          <w:rFonts w:ascii="SimHei" w:eastAsia="SimHei" w:hint="eastAsia"/>
        </w:rPr>
      </w:pPr>
      <w:r w:rsidRPr="001E114B">
        <w:rPr>
          <w:rFonts w:ascii="SimHei" w:eastAsia="SimHei" w:hint="eastAsia"/>
        </w:rPr>
        <w:t>传播</w:t>
      </w:r>
    </w:p>
    <w:p w:rsidR="002D3A4F" w:rsidRPr="007A643A" w:rsidRDefault="002D3A4F" w:rsidP="009137D6">
      <w:pPr>
        <w:pStyle w:val="SingleTxt"/>
        <w:spacing w:line="300" w:lineRule="exact"/>
        <w:rPr>
          <w:rFonts w:ascii="SimHei" w:eastAsia="SimHei" w:hint="eastAsia"/>
        </w:rPr>
      </w:pPr>
      <w:r w:rsidRPr="007A643A">
        <w:rPr>
          <w:rFonts w:ascii="SimHei" w:eastAsia="SimHei" w:hint="eastAsia"/>
        </w:rPr>
        <w:t>57.</w:t>
      </w:r>
      <w:r w:rsidRPr="007A643A">
        <w:rPr>
          <w:rFonts w:ascii="SimHei" w:eastAsia="SimHei" w:hint="eastAsia"/>
        </w:rPr>
        <w:tab/>
        <w:t>委员会要求在埃及广泛传播结论意见，使所有人，包括政府官员、政治家、议员以及妇女和人权组织，都认识到为了确保妇女在法律和事实上平等而采取的步骤，以及这方面需要采取的进一步步骤。委员会建议将结论意见传播到社区一级。鼓励缔约国举办一系列会议，讨论在实施本结论意见方面取得的进展。委员会请缔约国继续广泛传播，特别是向妇女和人权组织传播委员会的一般性建议、《北京宣言》和《行动纲要》以及主题为“2000年妇女：二十一世纪两性平等、发展与和平”的大会第二十三届特别会议的成果文件。</w:t>
      </w:r>
    </w:p>
    <w:p w:rsidR="002D3A4F" w:rsidRPr="001E114B" w:rsidRDefault="002D3A4F" w:rsidP="009137D6">
      <w:pPr>
        <w:pStyle w:val="SingleTxt"/>
        <w:spacing w:line="330" w:lineRule="exact"/>
        <w:rPr>
          <w:rFonts w:ascii="SimHei" w:eastAsia="SimHei" w:hint="eastAsia"/>
        </w:rPr>
      </w:pPr>
      <w:r w:rsidRPr="001E114B">
        <w:rPr>
          <w:rFonts w:ascii="SimHei" w:eastAsia="SimHei" w:hint="eastAsia"/>
        </w:rPr>
        <w:t>批准其他条约</w:t>
      </w:r>
    </w:p>
    <w:p w:rsidR="002D3A4F" w:rsidRDefault="002D3A4F" w:rsidP="009137D6">
      <w:pPr>
        <w:pStyle w:val="SingleTxt"/>
        <w:spacing w:line="330" w:lineRule="exact"/>
        <w:rPr>
          <w:rFonts w:hint="eastAsia"/>
        </w:rPr>
      </w:pPr>
      <w:r w:rsidRPr="001E114B">
        <w:rPr>
          <w:rFonts w:ascii="SimHei" w:eastAsia="SimHei" w:hint="eastAsia"/>
        </w:rPr>
        <w:t>58.</w:t>
      </w:r>
      <w:r w:rsidRPr="001E114B">
        <w:rPr>
          <w:rFonts w:ascii="SimHei" w:eastAsia="SimHei" w:hint="eastAsia"/>
        </w:rPr>
        <w:tab/>
        <w:t>委员会指出缔约国加入所有九项主要国际人权文书</w:t>
      </w:r>
      <w:r w:rsidR="00297B92" w:rsidRPr="00606D34">
        <w:rPr>
          <w:rStyle w:val="FootnoteReference"/>
          <w:rFonts w:ascii="SimHei" w:eastAsia="SimHei"/>
        </w:rPr>
        <w:footnoteReference w:id="1"/>
      </w:r>
      <w:r w:rsidR="00606D34">
        <w:rPr>
          <w:rFonts w:ascii="SimHei" w:eastAsia="SimHei" w:hint="eastAsia"/>
        </w:rPr>
        <w:t xml:space="preserve"> </w:t>
      </w:r>
      <w:r w:rsidRPr="001E114B">
        <w:rPr>
          <w:rFonts w:ascii="SimHei" w:eastAsia="SimHei" w:hint="eastAsia"/>
        </w:rPr>
        <w:t>将有助于妇女进一步享受生活所有领域人权和基本自由。因此，委员会鼓</w:t>
      </w:r>
      <w:r w:rsidRPr="00925F68">
        <w:rPr>
          <w:rFonts w:ascii="SimHei" w:eastAsia="SimHei" w:hint="eastAsia"/>
        </w:rPr>
        <w:t>励埃及考虑批准其尚未加入的下述公约：《保护所有人免遭强迫失踪国际公约》</w:t>
      </w:r>
      <w:r>
        <w:rPr>
          <w:rFonts w:hint="eastAsia"/>
        </w:rPr>
        <w:t>。</w:t>
      </w:r>
    </w:p>
    <w:p w:rsidR="002D3A4F" w:rsidRPr="001E114B" w:rsidRDefault="002D3A4F" w:rsidP="002D3A4F">
      <w:pPr>
        <w:pStyle w:val="SingleTxt"/>
        <w:rPr>
          <w:rFonts w:ascii="SimHei" w:eastAsia="SimHei" w:hint="eastAsia"/>
        </w:rPr>
      </w:pPr>
      <w:r w:rsidRPr="001E114B">
        <w:rPr>
          <w:rFonts w:ascii="SimHei" w:eastAsia="SimHei" w:hint="eastAsia"/>
        </w:rPr>
        <w:t>结论意见后续行动</w:t>
      </w:r>
    </w:p>
    <w:p w:rsidR="002D3A4F" w:rsidRPr="007A643A" w:rsidRDefault="002D3A4F" w:rsidP="002D3A4F">
      <w:pPr>
        <w:pStyle w:val="SingleTxt"/>
        <w:rPr>
          <w:rFonts w:ascii="SimHei" w:eastAsia="SimHei" w:hint="eastAsia"/>
        </w:rPr>
      </w:pPr>
      <w:r w:rsidRPr="007A643A">
        <w:rPr>
          <w:rFonts w:ascii="SimHei" w:eastAsia="SimHei" w:hint="eastAsia"/>
        </w:rPr>
        <w:t>59.</w:t>
      </w:r>
      <w:r w:rsidRPr="007A643A">
        <w:rPr>
          <w:rFonts w:ascii="SimHei" w:eastAsia="SimHei" w:hint="eastAsia"/>
        </w:rPr>
        <w:tab/>
        <w:t>委员会请缔约国在两年内提供书面材料，说明为了落实上文第16段和第24段所载各项建议而采取的措施。</w:t>
      </w:r>
    </w:p>
    <w:p w:rsidR="002D3A4F" w:rsidRPr="001E114B" w:rsidRDefault="002D3A4F" w:rsidP="002D3A4F">
      <w:pPr>
        <w:pStyle w:val="SingleTxt"/>
        <w:rPr>
          <w:rFonts w:ascii="SimHei" w:eastAsia="SimHei" w:hint="eastAsia"/>
        </w:rPr>
      </w:pPr>
      <w:r w:rsidRPr="001E114B">
        <w:rPr>
          <w:rFonts w:ascii="SimHei" w:eastAsia="SimHei" w:hint="eastAsia"/>
        </w:rPr>
        <w:t>技术援助</w:t>
      </w:r>
    </w:p>
    <w:p w:rsidR="002D3A4F" w:rsidRDefault="002D3A4F" w:rsidP="002D3A4F">
      <w:pPr>
        <w:pStyle w:val="SingleTxt"/>
        <w:rPr>
          <w:rFonts w:hint="eastAsia"/>
        </w:rPr>
      </w:pPr>
      <w:r w:rsidRPr="001E114B">
        <w:rPr>
          <w:rFonts w:ascii="SimHei" w:eastAsia="SimHei" w:hint="eastAsia"/>
        </w:rPr>
        <w:t>60.</w:t>
      </w:r>
      <w:r w:rsidRPr="001E114B">
        <w:rPr>
          <w:rFonts w:ascii="SimHei" w:eastAsia="SimHei" w:hint="eastAsia"/>
        </w:rPr>
        <w:tab/>
        <w:t>委员会建议缔约国利用技术援助拟定并执行一项综合性方案，以实施上述各项建议及整个公约。委员会还吁请缔约国进一步加强与联合国系统各专门机构和方案的合作，包括联合国开发计划署、联合国妇女发展基金、联合国儿童基金会、联合国人口基金、世界卫生组织、联合国人权事务高级专员办事处以及秘书处经济和社会事务部统计司和提高妇女地位司</w:t>
      </w:r>
      <w:r>
        <w:rPr>
          <w:rFonts w:hint="eastAsia"/>
        </w:rPr>
        <w:t>。</w:t>
      </w:r>
    </w:p>
    <w:p w:rsidR="002D3A4F" w:rsidRPr="001E114B" w:rsidRDefault="002D3A4F" w:rsidP="002D3A4F">
      <w:pPr>
        <w:pStyle w:val="SingleTxt"/>
        <w:rPr>
          <w:rFonts w:ascii="SimHei" w:eastAsia="SimHei" w:hint="eastAsia"/>
        </w:rPr>
      </w:pPr>
      <w:r w:rsidRPr="001E114B">
        <w:rPr>
          <w:rFonts w:ascii="SimHei" w:eastAsia="SimHei" w:hint="eastAsia"/>
        </w:rPr>
        <w:t>下次报告的日期</w:t>
      </w:r>
    </w:p>
    <w:p w:rsidR="002D3A4F" w:rsidRDefault="002D3A4F" w:rsidP="002D3A4F">
      <w:pPr>
        <w:pStyle w:val="SingleTxt"/>
        <w:rPr>
          <w:rFonts w:hint="eastAsia"/>
        </w:rPr>
      </w:pPr>
      <w:r>
        <w:rPr>
          <w:rFonts w:hint="eastAsia"/>
        </w:rPr>
        <w:t>61.</w:t>
      </w:r>
      <w:r>
        <w:rPr>
          <w:rFonts w:hint="eastAsia"/>
        </w:rPr>
        <w:tab/>
        <w:t>委员会请缔约国在根据《公约》第18条提交的下次定期报告中对在上述结论意见表示的关切作出答复。委员会请缔约国于2014年</w:t>
      </w:r>
      <w:r w:rsidR="00297B92">
        <w:rPr>
          <w:rFonts w:hint="eastAsia"/>
        </w:rPr>
        <w:t>2月5日</w:t>
      </w:r>
      <w:r>
        <w:rPr>
          <w:rFonts w:hint="eastAsia"/>
        </w:rPr>
        <w:t>提交下次定期报告。</w:t>
      </w:r>
    </w:p>
    <w:p w:rsidR="002D3A4F" w:rsidRPr="007A643A" w:rsidRDefault="002D3A4F" w:rsidP="002D3A4F">
      <w:pPr>
        <w:pStyle w:val="SingleTxt"/>
        <w:rPr>
          <w:rFonts w:hAnsi="SimSun" w:hint="eastAsia"/>
        </w:rPr>
      </w:pPr>
      <w:r w:rsidRPr="007A643A">
        <w:rPr>
          <w:rFonts w:hAnsi="SimSun" w:hint="eastAsia"/>
        </w:rPr>
        <w:t>62.</w:t>
      </w:r>
      <w:r w:rsidRPr="007A643A">
        <w:rPr>
          <w:rFonts w:hAnsi="SimSun" w:hint="eastAsia"/>
        </w:rPr>
        <w:tab/>
        <w:t>委员会请缔约国遵循人权条约机构委员会间技术工作组于2006年6月通过的“根据国际人权条约提交报告的协调准则，包括编写共同核心文件、提交具体条约报告的准则”(HRI/MC/2006/3)。在遵循编写核心文件的协调准则的同时，还必须遵循委员会2008年1月第四十届会议通过的关于具体条约的报告准则。这两份准则构成了“根据《消除对妇女一切形式歧视公约》提交报告的协调准则”。关于每项条约的报告不得超过40页，增补的共同核心文件不得超过60</w:t>
      </w:r>
      <w:r w:rsidRPr="007A643A">
        <w:rPr>
          <w:rFonts w:hAnsi="SimSun"/>
        </w:rPr>
        <w:t>-</w:t>
      </w:r>
      <w:r w:rsidRPr="007A643A">
        <w:rPr>
          <w:rFonts w:hAnsi="SimSun" w:hint="eastAsia"/>
        </w:rPr>
        <w:t>80页。</w:t>
      </w:r>
    </w:p>
    <w:p w:rsidR="002D3A4F" w:rsidRDefault="002D3A4F" w:rsidP="002D3A4F">
      <w:pPr>
        <w:pStyle w:val="SingleTxt"/>
        <w:spacing w:after="0" w:line="240" w:lineRule="auto"/>
        <w:rPr>
          <w:sz w:val="20"/>
        </w:rPr>
      </w:pPr>
      <w:r>
        <w:rPr>
          <w:rFonts w:hint="eastAsia"/>
          <w:noProof/>
          <w:sz w:val="20"/>
        </w:rPr>
        <w:pict>
          <v:line id="_x0000_s1026" style="position:absolute;left:0;text-align:left;z-index:1;mso-position-horizontal:center" from="0,30pt" to="1in,30pt" strokeweight=".25pt"/>
        </w:pict>
      </w:r>
    </w:p>
    <w:p w:rsidR="00EA31C3" w:rsidRPr="002D3A4F" w:rsidRDefault="00EA31C3" w:rsidP="00FD6000">
      <w:pPr>
        <w:pStyle w:val="SingleTxt"/>
      </w:pPr>
      <w:bookmarkStart w:id="1" w:name="TmpSave"/>
      <w:bookmarkEnd w:id="1"/>
    </w:p>
    <w:sectPr w:rsidR="00EA31C3" w:rsidRPr="002D3A4F" w:rsidSect="00FD600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3T15:10:00Z" w:initials="Start">
    <w:p w:rsidR="00DA095E" w:rsidRDefault="00DA095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NO&gt;&gt;N1024255C&lt;&lt;ODS JOB NO&gt;&gt;</w:t>
      </w:r>
    </w:p>
    <w:p w:rsidR="00DA095E" w:rsidRDefault="00DA095E">
      <w:pPr>
        <w:pStyle w:val="CommentText"/>
      </w:pPr>
      <w:r>
        <w:t>&lt;&lt;ODS DOC SYMBOL1&gt;&gt;CEDAW/C/EGY/CO/7&lt;&lt;ODS DOC SYMBOL1&gt;&gt;</w:t>
      </w:r>
    </w:p>
    <w:p w:rsidR="00DA095E" w:rsidRDefault="00DA09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692" w:rsidRDefault="000B5692">
      <w:r>
        <w:separator/>
      </w:r>
    </w:p>
  </w:endnote>
  <w:endnote w:type="continuationSeparator" w:id="0">
    <w:p w:rsidR="000B5692" w:rsidRDefault="000B5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095E" w:rsidTr="00FD6000">
      <w:tblPrEx>
        <w:tblCellMar>
          <w:top w:w="0" w:type="dxa"/>
          <w:bottom w:w="0" w:type="dxa"/>
        </w:tblCellMar>
      </w:tblPrEx>
      <w:tc>
        <w:tcPr>
          <w:tcW w:w="5033" w:type="dxa"/>
          <w:shd w:val="clear" w:color="auto" w:fill="auto"/>
        </w:tcPr>
        <w:p w:rsidR="00DA095E" w:rsidRPr="00FD6000" w:rsidRDefault="00DA095E" w:rsidP="00FD6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10-24255 (C)</w:t>
          </w:r>
          <w:r>
            <w:rPr>
              <w:b w:val="0"/>
              <w:w w:val="103"/>
              <w:sz w:val="14"/>
            </w:rPr>
            <w:fldChar w:fldCharType="end"/>
          </w:r>
        </w:p>
      </w:tc>
      <w:tc>
        <w:tcPr>
          <w:tcW w:w="5033" w:type="dxa"/>
          <w:shd w:val="clear" w:color="auto" w:fill="auto"/>
        </w:tcPr>
        <w:p w:rsidR="00DA095E" w:rsidRPr="00FD6000" w:rsidRDefault="00DA095E" w:rsidP="00FD6000">
          <w:pPr>
            <w:pStyle w:val="Footer"/>
            <w:jc w:val="left"/>
            <w:rPr>
              <w:w w:val="103"/>
            </w:rPr>
          </w:pPr>
          <w:r>
            <w:rPr>
              <w:w w:val="103"/>
            </w:rPr>
            <w:fldChar w:fldCharType="begin"/>
          </w:r>
          <w:r>
            <w:rPr>
              <w:w w:val="103"/>
            </w:rPr>
            <w:instrText xml:space="preserve"> PAGE  \* MERGEFORMAT </w:instrText>
          </w:r>
          <w:r>
            <w:rPr>
              <w:w w:val="103"/>
            </w:rPr>
            <w:fldChar w:fldCharType="separate"/>
          </w:r>
          <w:r w:rsidR="007A643A">
            <w:rPr>
              <w:w w:val="103"/>
            </w:rPr>
            <w:t>10</w:t>
          </w:r>
          <w:r>
            <w:rPr>
              <w:w w:val="103"/>
            </w:rPr>
            <w:fldChar w:fldCharType="end"/>
          </w:r>
        </w:p>
      </w:tc>
    </w:tr>
  </w:tbl>
  <w:p w:rsidR="00DA095E" w:rsidRPr="00FD6000" w:rsidRDefault="00DA095E" w:rsidP="00FD6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095E" w:rsidTr="00FD6000">
      <w:tblPrEx>
        <w:tblCellMar>
          <w:top w:w="0" w:type="dxa"/>
          <w:bottom w:w="0" w:type="dxa"/>
        </w:tblCellMar>
      </w:tblPrEx>
      <w:tc>
        <w:tcPr>
          <w:tcW w:w="5033" w:type="dxa"/>
          <w:shd w:val="clear" w:color="auto" w:fill="auto"/>
        </w:tcPr>
        <w:p w:rsidR="00DA095E" w:rsidRPr="00FD6000" w:rsidRDefault="00DA095E" w:rsidP="00FD6000">
          <w:pPr>
            <w:pStyle w:val="Footer"/>
            <w:jc w:val="right"/>
          </w:pPr>
          <w:r>
            <w:fldChar w:fldCharType="begin"/>
          </w:r>
          <w:r>
            <w:instrText xml:space="preserve"> PAGE  \* MERGEFORMAT </w:instrText>
          </w:r>
          <w:r>
            <w:fldChar w:fldCharType="separate"/>
          </w:r>
          <w:r w:rsidR="007A643A">
            <w:t>11</w:t>
          </w:r>
          <w:r>
            <w:fldChar w:fldCharType="end"/>
          </w:r>
        </w:p>
      </w:tc>
      <w:tc>
        <w:tcPr>
          <w:tcW w:w="5033" w:type="dxa"/>
          <w:shd w:val="clear" w:color="auto" w:fill="auto"/>
        </w:tcPr>
        <w:p w:rsidR="00DA095E" w:rsidRPr="00FD6000" w:rsidRDefault="00DA095E" w:rsidP="00FD600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10-24255 (C)</w:t>
          </w:r>
          <w:r>
            <w:rPr>
              <w:b w:val="0"/>
              <w:w w:val="103"/>
              <w:sz w:val="14"/>
            </w:rPr>
            <w:fldChar w:fldCharType="end"/>
          </w:r>
        </w:p>
      </w:tc>
    </w:tr>
  </w:tbl>
  <w:p w:rsidR="00DA095E" w:rsidRPr="00FD6000" w:rsidRDefault="00DA095E" w:rsidP="00FD6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A095E">
      <w:tblPrEx>
        <w:tblCellMar>
          <w:top w:w="0" w:type="dxa"/>
          <w:bottom w:w="0" w:type="dxa"/>
        </w:tblCellMar>
      </w:tblPrEx>
      <w:tc>
        <w:tcPr>
          <w:tcW w:w="5033" w:type="dxa"/>
        </w:tcPr>
        <w:p w:rsidR="00DA095E" w:rsidRDefault="00DA095E" w:rsidP="00FD600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10-24255 (C)</w:t>
          </w:r>
          <w:r>
            <w:rPr>
              <w:b w:val="0"/>
              <w:sz w:val="21"/>
            </w:rPr>
            <w:fldChar w:fldCharType="end"/>
          </w:r>
          <w:r>
            <w:rPr>
              <w:b w:val="0"/>
              <w:sz w:val="21"/>
            </w:rPr>
            <w:t xml:space="preserve">    1</w:t>
          </w:r>
          <w:r>
            <w:rPr>
              <w:rFonts w:hint="eastAsia"/>
              <w:b w:val="0"/>
              <w:sz w:val="21"/>
            </w:rPr>
            <w:t>8</w:t>
          </w:r>
          <w:r>
            <w:rPr>
              <w:b w:val="0"/>
              <w:sz w:val="21"/>
            </w:rPr>
            <w:t xml:space="preserve">0210    </w:t>
          </w:r>
          <w:r>
            <w:rPr>
              <w:rFonts w:hint="eastAsia"/>
              <w:b w:val="0"/>
              <w:sz w:val="21"/>
            </w:rPr>
            <w:t>25</w:t>
          </w:r>
          <w:r>
            <w:rPr>
              <w:b w:val="0"/>
              <w:sz w:val="21"/>
            </w:rPr>
            <w:t>0210</w:t>
          </w:r>
        </w:p>
        <w:p w:rsidR="00DA095E" w:rsidRPr="00FD6000" w:rsidRDefault="00DA095E" w:rsidP="00FD600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*1024255*</w:t>
          </w:r>
          <w:r>
            <w:rPr>
              <w:rFonts w:ascii="Barcode 3 of 9 by request" w:hAnsi="Barcode 3 of 9 by request"/>
              <w:sz w:val="24"/>
            </w:rPr>
            <w:fldChar w:fldCharType="end"/>
          </w:r>
        </w:p>
      </w:tc>
      <w:tc>
        <w:tcPr>
          <w:tcW w:w="5033" w:type="dxa"/>
        </w:tcPr>
        <w:p w:rsidR="00DA095E" w:rsidRDefault="00DA095E" w:rsidP="00FD6000">
          <w:pPr>
            <w:pStyle w:val="Footer"/>
            <w:jc w:val="right"/>
            <w:rPr>
              <w:b w:val="0"/>
              <w:sz w:val="21"/>
            </w:rPr>
          </w:pPr>
          <w:r w:rsidRPr="00FD600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A095E" w:rsidRPr="00FD6000" w:rsidRDefault="00DA095E" w:rsidP="00FD6000">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692" w:rsidRPr="00606D34" w:rsidRDefault="000B5692" w:rsidP="00606D34">
      <w:pPr>
        <w:pStyle w:val="Footer"/>
        <w:spacing w:after="80"/>
        <w:ind w:left="792"/>
        <w:rPr>
          <w:sz w:val="16"/>
        </w:rPr>
      </w:pPr>
      <w:r w:rsidRPr="00606D34">
        <w:rPr>
          <w:sz w:val="16"/>
        </w:rPr>
        <w:t>__________________</w:t>
      </w:r>
    </w:p>
  </w:footnote>
  <w:footnote w:type="continuationSeparator" w:id="0">
    <w:p w:rsidR="000B5692" w:rsidRPr="00606D34" w:rsidRDefault="000B5692" w:rsidP="00606D34">
      <w:pPr>
        <w:pStyle w:val="Footer"/>
        <w:spacing w:after="80"/>
        <w:ind w:left="792"/>
        <w:rPr>
          <w:sz w:val="16"/>
        </w:rPr>
      </w:pPr>
      <w:r w:rsidRPr="00606D34">
        <w:rPr>
          <w:sz w:val="16"/>
        </w:rPr>
        <w:t>__________________</w:t>
      </w:r>
    </w:p>
  </w:footnote>
  <w:footnote w:id="1">
    <w:p w:rsidR="00DA095E" w:rsidRDefault="00DA095E" w:rsidP="00606D34">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w:t>
      </w:r>
      <w:r w:rsidRPr="00591F8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095E" w:rsidTr="00FD6000">
      <w:tblPrEx>
        <w:tblCellMar>
          <w:top w:w="0" w:type="dxa"/>
          <w:bottom w:w="0" w:type="dxa"/>
        </w:tblCellMar>
      </w:tblPrEx>
      <w:trPr>
        <w:trHeight w:hRule="exact" w:val="864"/>
      </w:trPr>
      <w:tc>
        <w:tcPr>
          <w:tcW w:w="4838" w:type="dxa"/>
          <w:shd w:val="clear" w:color="auto" w:fill="auto"/>
          <w:vAlign w:val="bottom"/>
        </w:tcPr>
        <w:p w:rsidR="00DA095E" w:rsidRPr="00FD6000" w:rsidRDefault="00DA095E" w:rsidP="00FD600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CEDAW/C/EGY/CO/7 </w:t>
          </w:r>
          <w:r>
            <w:rPr>
              <w:b/>
              <w:sz w:val="17"/>
            </w:rPr>
            <w:fldChar w:fldCharType="end"/>
          </w:r>
        </w:p>
      </w:tc>
      <w:tc>
        <w:tcPr>
          <w:tcW w:w="5033" w:type="dxa"/>
          <w:shd w:val="clear" w:color="auto" w:fill="auto"/>
          <w:vAlign w:val="bottom"/>
        </w:tcPr>
        <w:p w:rsidR="00DA095E" w:rsidRDefault="00DA095E" w:rsidP="00FD6000">
          <w:pPr>
            <w:pStyle w:val="Header"/>
          </w:pPr>
        </w:p>
      </w:tc>
    </w:tr>
  </w:tbl>
  <w:p w:rsidR="00DA095E" w:rsidRPr="00FD6000" w:rsidRDefault="00DA095E" w:rsidP="00FD6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095E" w:rsidTr="00FD6000">
      <w:tblPrEx>
        <w:tblCellMar>
          <w:top w:w="0" w:type="dxa"/>
          <w:bottom w:w="0" w:type="dxa"/>
        </w:tblCellMar>
      </w:tblPrEx>
      <w:trPr>
        <w:trHeight w:hRule="exact" w:val="864"/>
      </w:trPr>
      <w:tc>
        <w:tcPr>
          <w:tcW w:w="4838" w:type="dxa"/>
          <w:shd w:val="clear" w:color="auto" w:fill="auto"/>
          <w:vAlign w:val="bottom"/>
        </w:tcPr>
        <w:p w:rsidR="00DA095E" w:rsidRDefault="00DA095E" w:rsidP="00FD6000">
          <w:pPr>
            <w:pStyle w:val="Header"/>
          </w:pPr>
        </w:p>
      </w:tc>
      <w:tc>
        <w:tcPr>
          <w:tcW w:w="5033" w:type="dxa"/>
          <w:shd w:val="clear" w:color="auto" w:fill="auto"/>
          <w:vAlign w:val="bottom"/>
        </w:tcPr>
        <w:p w:rsidR="00DA095E" w:rsidRPr="00FD6000" w:rsidRDefault="00DA095E" w:rsidP="00FD600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CEDAW/C/EGY/CO/7 </w:t>
          </w:r>
          <w:r>
            <w:rPr>
              <w:b/>
              <w:sz w:val="17"/>
            </w:rPr>
            <w:fldChar w:fldCharType="end"/>
          </w:r>
        </w:p>
      </w:tc>
    </w:tr>
  </w:tbl>
  <w:p w:rsidR="00DA095E" w:rsidRPr="00FD6000" w:rsidRDefault="00DA095E" w:rsidP="00FD6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A095E" w:rsidTr="00FD6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095E" w:rsidRDefault="00DA095E" w:rsidP="00FD6000">
          <w:pPr>
            <w:pStyle w:val="Header"/>
            <w:spacing w:after="120"/>
          </w:pPr>
        </w:p>
      </w:tc>
      <w:tc>
        <w:tcPr>
          <w:tcW w:w="1872" w:type="dxa"/>
          <w:tcBorders>
            <w:bottom w:val="single" w:sz="4" w:space="0" w:color="auto"/>
          </w:tcBorders>
          <w:shd w:val="clear" w:color="auto" w:fill="auto"/>
          <w:vAlign w:val="bottom"/>
        </w:tcPr>
        <w:p w:rsidR="00DA095E" w:rsidRPr="00FD6000" w:rsidRDefault="00DA095E" w:rsidP="00FD600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A095E" w:rsidRDefault="00DA095E" w:rsidP="00FD6000">
          <w:pPr>
            <w:pStyle w:val="Header"/>
            <w:spacing w:after="120"/>
          </w:pPr>
        </w:p>
      </w:tc>
      <w:tc>
        <w:tcPr>
          <w:tcW w:w="6523" w:type="dxa"/>
          <w:gridSpan w:val="3"/>
          <w:tcBorders>
            <w:bottom w:val="single" w:sz="4" w:space="0" w:color="auto"/>
          </w:tcBorders>
          <w:shd w:val="clear" w:color="auto" w:fill="auto"/>
          <w:vAlign w:val="bottom"/>
        </w:tcPr>
        <w:p w:rsidR="00DA095E" w:rsidRPr="00FD6000" w:rsidRDefault="00DA095E" w:rsidP="00FD6000">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/C/EGY/CO/7 </w:t>
          </w:r>
        </w:p>
      </w:tc>
    </w:tr>
    <w:tr w:rsidR="00DA095E" w:rsidRPr="00FD6000" w:rsidTr="00FD6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095E" w:rsidRDefault="00DA095E" w:rsidP="00FD6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095E" w:rsidRPr="00FD6000" w:rsidRDefault="00DA095E" w:rsidP="00FD6000">
          <w:pPr>
            <w:pStyle w:val="Header"/>
            <w:spacing w:before="109"/>
            <w:ind w:left="-72"/>
          </w:pPr>
        </w:p>
      </w:tc>
      <w:tc>
        <w:tcPr>
          <w:tcW w:w="5227" w:type="dxa"/>
          <w:gridSpan w:val="3"/>
          <w:tcBorders>
            <w:top w:val="single" w:sz="4" w:space="0" w:color="auto"/>
            <w:bottom w:val="single" w:sz="12" w:space="0" w:color="auto"/>
          </w:tcBorders>
          <w:shd w:val="clear" w:color="auto" w:fill="auto"/>
        </w:tcPr>
        <w:p w:rsidR="00DA095E" w:rsidRPr="00FD6000" w:rsidRDefault="00DA095E" w:rsidP="00FD600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A095E" w:rsidRPr="00FD6000" w:rsidRDefault="00DA095E" w:rsidP="00FD6000">
          <w:pPr>
            <w:pStyle w:val="Header"/>
            <w:spacing w:before="109"/>
          </w:pPr>
        </w:p>
      </w:tc>
      <w:tc>
        <w:tcPr>
          <w:tcW w:w="3180" w:type="dxa"/>
          <w:gridSpan w:val="2"/>
          <w:tcBorders>
            <w:top w:val="single" w:sz="4" w:space="0" w:color="auto"/>
            <w:bottom w:val="single" w:sz="12" w:space="0" w:color="auto"/>
          </w:tcBorders>
          <w:shd w:val="clear" w:color="auto" w:fill="auto"/>
        </w:tcPr>
        <w:p w:rsidR="00DA095E" w:rsidRDefault="00DA095E" w:rsidP="00FD6000">
          <w:pPr>
            <w:spacing w:before="240" w:line="240" w:lineRule="exact"/>
            <w:rPr>
              <w:rFonts w:ascii="Times New Roman"/>
            </w:rPr>
          </w:pPr>
          <w:r>
            <w:rPr>
              <w:rFonts w:ascii="Times New Roman"/>
            </w:rPr>
            <w:t>Distr.: General</w:t>
          </w:r>
        </w:p>
        <w:p w:rsidR="00DA095E" w:rsidRDefault="00DA095E" w:rsidP="00FD6000">
          <w:pPr>
            <w:spacing w:line="240" w:lineRule="exact"/>
            <w:rPr>
              <w:rFonts w:ascii="Times New Roman"/>
            </w:rPr>
          </w:pPr>
          <w:r>
            <w:rPr>
              <w:rFonts w:ascii="Times New Roman"/>
            </w:rPr>
            <w:t>5 February 2010</w:t>
          </w:r>
        </w:p>
        <w:p w:rsidR="00DA095E" w:rsidRDefault="00DA095E" w:rsidP="00FD6000">
          <w:pPr>
            <w:spacing w:line="240" w:lineRule="exact"/>
            <w:rPr>
              <w:rFonts w:ascii="Times New Roman"/>
            </w:rPr>
          </w:pPr>
          <w:r>
            <w:rPr>
              <w:rFonts w:ascii="Times New Roman"/>
            </w:rPr>
            <w:t>Chinese</w:t>
          </w:r>
        </w:p>
        <w:p w:rsidR="00DA095E" w:rsidRPr="00FD6000" w:rsidRDefault="00DA095E" w:rsidP="00FD6000">
          <w:pPr>
            <w:spacing w:line="240" w:lineRule="exact"/>
            <w:rPr>
              <w:rFonts w:ascii="Times New Roman"/>
            </w:rPr>
          </w:pPr>
          <w:r>
            <w:rPr>
              <w:rFonts w:ascii="Times New Roman"/>
            </w:rPr>
            <w:t>Original: English</w:t>
          </w:r>
        </w:p>
      </w:tc>
    </w:tr>
  </w:tbl>
  <w:p w:rsidR="00DA095E" w:rsidRPr="00FD6000" w:rsidRDefault="00DA095E" w:rsidP="00FD6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55*"/>
    <w:docVar w:name="CreationDt" w:val="19/02/2010 09:38:36"/>
    <w:docVar w:name="DocCategory" w:val="Doc"/>
    <w:docVar w:name="DocType" w:val="Final"/>
    <w:docVar w:name="FooterJN" w:val="10-24255 (C)"/>
    <w:docVar w:name="jobn" w:val="10-24255 (C)"/>
    <w:docVar w:name="jobnDT" w:val="10-24255 (C)   190210"/>
    <w:docVar w:name="jobnDTDT" w:val="10-24255 (C)   190210   190210"/>
    <w:docVar w:name="JobNo" w:val="1024255C"/>
    <w:docVar w:name="OandT" w:val="xu"/>
    <w:docVar w:name="sss1" w:val="CEDAW/C/EGY/CO/7 "/>
    <w:docVar w:name="sss2" w:val="-"/>
    <w:docVar w:name="Symbol1" w:val="CEDAW/C/EGY/CO/7 "/>
    <w:docVar w:name="Symbol2" w:val="-"/>
  </w:docVars>
  <w:rsids>
    <w:rsidRoot w:val="008015E5"/>
    <w:rsid w:val="0000347C"/>
    <w:rsid w:val="000125BC"/>
    <w:rsid w:val="00021A2B"/>
    <w:rsid w:val="00037B39"/>
    <w:rsid w:val="00044CA4"/>
    <w:rsid w:val="00045EFE"/>
    <w:rsid w:val="00050A58"/>
    <w:rsid w:val="0007337D"/>
    <w:rsid w:val="000758DF"/>
    <w:rsid w:val="00076EB8"/>
    <w:rsid w:val="00095C67"/>
    <w:rsid w:val="000A31F9"/>
    <w:rsid w:val="000B5692"/>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97B92"/>
    <w:rsid w:val="002A4AEF"/>
    <w:rsid w:val="002B305F"/>
    <w:rsid w:val="002B564F"/>
    <w:rsid w:val="002B5F5D"/>
    <w:rsid w:val="002C2254"/>
    <w:rsid w:val="002C3BC9"/>
    <w:rsid w:val="002C54DB"/>
    <w:rsid w:val="002D039F"/>
    <w:rsid w:val="002D0694"/>
    <w:rsid w:val="002D0B62"/>
    <w:rsid w:val="002D3A4F"/>
    <w:rsid w:val="002D4ACE"/>
    <w:rsid w:val="002D5503"/>
    <w:rsid w:val="002E66D5"/>
    <w:rsid w:val="002F41E2"/>
    <w:rsid w:val="00320C99"/>
    <w:rsid w:val="003274A9"/>
    <w:rsid w:val="00331221"/>
    <w:rsid w:val="003649EE"/>
    <w:rsid w:val="00371BC6"/>
    <w:rsid w:val="00373A15"/>
    <w:rsid w:val="00383ACA"/>
    <w:rsid w:val="0039096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D6789"/>
    <w:rsid w:val="004F29B8"/>
    <w:rsid w:val="004F4C51"/>
    <w:rsid w:val="0050413E"/>
    <w:rsid w:val="00515657"/>
    <w:rsid w:val="00521275"/>
    <w:rsid w:val="0052216F"/>
    <w:rsid w:val="005232CA"/>
    <w:rsid w:val="00523636"/>
    <w:rsid w:val="005335B9"/>
    <w:rsid w:val="00536CCE"/>
    <w:rsid w:val="005541E4"/>
    <w:rsid w:val="00562FE7"/>
    <w:rsid w:val="0057450D"/>
    <w:rsid w:val="0058302A"/>
    <w:rsid w:val="005A728B"/>
    <w:rsid w:val="005B7338"/>
    <w:rsid w:val="005C02AB"/>
    <w:rsid w:val="005C5FC3"/>
    <w:rsid w:val="005D0F04"/>
    <w:rsid w:val="005F12F0"/>
    <w:rsid w:val="005F3273"/>
    <w:rsid w:val="005F34A3"/>
    <w:rsid w:val="00606D34"/>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90395"/>
    <w:rsid w:val="00791482"/>
    <w:rsid w:val="007A643A"/>
    <w:rsid w:val="007C74B9"/>
    <w:rsid w:val="007E1B5E"/>
    <w:rsid w:val="007E6253"/>
    <w:rsid w:val="007F2278"/>
    <w:rsid w:val="008015E5"/>
    <w:rsid w:val="00803014"/>
    <w:rsid w:val="00805783"/>
    <w:rsid w:val="00806F57"/>
    <w:rsid w:val="00806F90"/>
    <w:rsid w:val="008246FC"/>
    <w:rsid w:val="00824C19"/>
    <w:rsid w:val="00826250"/>
    <w:rsid w:val="00826AEF"/>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137D6"/>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AF6BAA"/>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0FF2"/>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095E"/>
    <w:rsid w:val="00DA51B2"/>
    <w:rsid w:val="00DB0932"/>
    <w:rsid w:val="00DC2506"/>
    <w:rsid w:val="00DC49FA"/>
    <w:rsid w:val="00DD3D6B"/>
    <w:rsid w:val="00DD4467"/>
    <w:rsid w:val="00DD61C8"/>
    <w:rsid w:val="00DD772B"/>
    <w:rsid w:val="00E041F4"/>
    <w:rsid w:val="00E050BA"/>
    <w:rsid w:val="00E25442"/>
    <w:rsid w:val="00E25A1F"/>
    <w:rsid w:val="00E37B25"/>
    <w:rsid w:val="00E37EEB"/>
    <w:rsid w:val="00E710FB"/>
    <w:rsid w:val="00E806D9"/>
    <w:rsid w:val="00E82CA2"/>
    <w:rsid w:val="00E94E5A"/>
    <w:rsid w:val="00E95594"/>
    <w:rsid w:val="00EA31C3"/>
    <w:rsid w:val="00EB33AC"/>
    <w:rsid w:val="00EC6F21"/>
    <w:rsid w:val="00EE0913"/>
    <w:rsid w:val="00EF3939"/>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6000"/>
    <w:rsid w:val="00FD75B9"/>
    <w:rsid w:val="00FE5FE8"/>
    <w:rsid w:val="00FF1E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1565</Words>
  <Characters>8922</Characters>
  <Application>Microsoft Office Word</Application>
  <DocSecurity>4</DocSecurity>
  <Lines>74</Lines>
  <Paragraphs>20</Paragraphs>
  <ScaleCrop>false</ScaleCrop>
  <Company>United Nations</Company>
  <LinksUpToDate>false</LinksUpToDate>
  <CharactersWithSpaces>10467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28</cp:revision>
  <cp:lastPrinted>2010-02-23T14:10:00Z</cp:lastPrinted>
  <dcterms:created xsi:type="dcterms:W3CDTF">2010-02-19T08:37:00Z</dcterms:created>
  <dcterms:modified xsi:type="dcterms:W3CDTF">2010-02-25T13:47:00Z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1024255</vt:lpwstr>
  </property>
  <property fmtid="{D5CDD505-2E9C-101B-9397-08002B2CF9AE}" pid="3" name="Symbol1">
    <vt:lpwstr>CEDAW/C/EGY/CO/7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xu</vt:lpwstr>
  </property>
</Properties>
</file>