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lang w:val="en-US"/>
              </w:rPr>
            </w:pPr>
            <w:r>
              <w:rPr>
                <w:rFonts w:ascii="Univers" w:hAnsi="Univers"/>
                <w:b/>
                <w:sz w:val="28"/>
                <w:lang w:val="en-US"/>
              </w:rPr>
              <w:t>UNITED</w:t>
            </w:r>
            <w:r>
              <w:rPr>
                <w:rFonts w:ascii="Univers" w:hAnsi="Univers"/>
                <w:b/>
                <w:sz w:val="28"/>
                <w:lang w:val="en-US"/>
              </w:rPr>
              <w:br/>
              <w:t>NATIONS</w:t>
            </w:r>
            <w:r>
              <w:rPr>
                <w:rFonts w:ascii="Univers" w:hAnsi="Univers"/>
                <w:b/>
                <w:sz w:val="28"/>
                <w:lang w:val="en-US"/>
              </w:rPr>
              <w:br/>
            </w:r>
          </w:p>
        </w:tc>
        <w:tc>
          <w:tcPr>
            <w:tcW w:w="4536" w:type="dxa"/>
            <w:tcBorders>
              <w:top w:val="nil"/>
              <w:left w:val="nil"/>
              <w:bottom w:val="single" w:sz="6" w:space="0" w:color="auto"/>
              <w:right w:val="nil"/>
            </w:tcBorders>
          </w:tcPr>
          <w:p w:rsidR="00000000" w:rsidRDefault="00000000">
            <w:pPr>
              <w:rPr>
                <w:lang w:val="en-US"/>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en-US"/>
              </w:rPr>
            </w:pPr>
            <w:r>
              <w:rPr>
                <w:rFonts w:ascii="Univers" w:hAnsi="Univers"/>
                <w:b/>
                <w:sz w:val="72"/>
                <w:lang w:val="en-US"/>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r>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6474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en-US"/>
              </w:rPr>
            </w:pPr>
            <w:r>
              <w:rPr>
                <w:rFonts w:ascii="Univers" w:hAnsi="Univers"/>
                <w:b/>
                <w:sz w:val="36"/>
                <w:lang w:val="en-US"/>
              </w:rPr>
              <w:t>International covenant on civil and</w:t>
            </w:r>
            <w:r>
              <w:rPr>
                <w:rFonts w:ascii="Univers" w:hAnsi="Univers"/>
                <w:b/>
                <w:sz w:val="36"/>
                <w:lang w:val="en-US"/>
              </w:rPr>
              <w:br/>
              <w:t>political rights</w:t>
            </w:r>
          </w:p>
          <w:p w:rsidR="00000000" w:rsidRDefault="00000000">
            <w:pPr>
              <w:rPr>
                <w:rFonts w:ascii="Univers" w:hAnsi="Univers"/>
                <w:sz w:val="32"/>
                <w:lang w:val="en-US"/>
              </w:rPr>
            </w:pPr>
          </w:p>
        </w:tc>
        <w:tc>
          <w:tcPr>
            <w:tcW w:w="3366" w:type="dxa"/>
            <w:tcBorders>
              <w:top w:val="single" w:sz="6" w:space="0" w:color="auto"/>
              <w:left w:val="nil"/>
              <w:bottom w:val="single" w:sz="36" w:space="0" w:color="auto"/>
              <w:right w:val="nil"/>
            </w:tcBorders>
          </w:tcPr>
          <w:p w:rsidR="00000000" w:rsidRDefault="00000000">
            <w:pPr>
              <w:spacing w:before="240"/>
              <w:rPr>
                <w:lang w:val="en-US"/>
              </w:rPr>
            </w:pPr>
            <w:r>
              <w:rPr>
                <w:lang w:val="en-US"/>
              </w:rPr>
              <w:t>Distr.</w:t>
            </w:r>
            <w:r>
              <w:rPr>
                <w:lang w:val="en-US"/>
              </w:rPr>
              <w:br/>
            </w:r>
            <w:r>
              <w:rPr>
                <w:lang w:val="en-US"/>
              </w:rPr>
              <w:fldChar w:fldCharType="begin"/>
            </w:r>
            <w:r>
              <w:rPr>
                <w:lang w:val="en-US"/>
              </w:rPr>
              <w:instrText xml:space="preserve"> FILLIN "Distr." \* MERGEFORMAT </w:instrText>
            </w:r>
            <w:r>
              <w:rPr>
                <w:lang w:val="en-US"/>
              </w:rPr>
              <w:fldChar w:fldCharType="separate"/>
            </w:r>
            <w:r>
              <w:rPr>
                <w:lang w:val="en-US"/>
              </w:rPr>
              <w:t>GENERAL</w:t>
            </w:r>
            <w:r>
              <w:rPr>
                <w:lang w:val="en-US"/>
              </w:rPr>
              <w:fldChar w:fldCharType="end"/>
            </w:r>
          </w:p>
          <w:p w:rsidR="00000000" w:rsidRDefault="00000000">
            <w:pPr>
              <w:rPr>
                <w:lang w:val="en-US"/>
              </w:rPr>
            </w:pPr>
            <w:r>
              <w:rPr>
                <w:lang w:val="en-US"/>
              </w:rPr>
              <w:t>CCPR/C/USA/CO/3</w:t>
            </w:r>
            <w:r>
              <w:rPr>
                <w:lang w:val="en-US"/>
              </w:rPr>
              <w:br/>
              <w:t>15 September 2006</w:t>
            </w:r>
          </w:p>
          <w:p w:rsidR="00000000" w:rsidRDefault="00000000">
            <w:pPr>
              <w:rPr>
                <w:lang w:val="en-US"/>
              </w:rPr>
            </w:pPr>
            <w:r>
              <w:rPr>
                <w:lang w:val="en-US"/>
              </w:rPr>
              <w:t>Original: ENGLISH</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line="240" w:lineRule="auto"/>
        <w:ind w:left="1264" w:right="249" w:hanging="1264"/>
        <w:rPr>
          <w:b w:val="0"/>
          <w:sz w:val="24"/>
          <w:szCs w:val="24"/>
          <w:lang w:val="en-US"/>
        </w:rPr>
      </w:pPr>
      <w:r>
        <w:rPr>
          <w:b w:val="0"/>
          <w:sz w:val="24"/>
          <w:szCs w:val="24"/>
          <w:lang w:val="en-US"/>
        </w:rPr>
        <w:t>HUMAN RIGHTS COMMITTEE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249" w:hanging="1264"/>
        <w:rPr>
          <w:b w:val="0"/>
          <w:sz w:val="24"/>
          <w:szCs w:val="24"/>
          <w:lang w:val="en-US"/>
        </w:rPr>
      </w:pPr>
      <w:r>
        <w:rPr>
          <w:b w:val="0"/>
          <w:sz w:val="24"/>
          <w:szCs w:val="24"/>
          <w:lang w:val="en-US"/>
        </w:rPr>
        <w:t>Eighty-seventh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249" w:hanging="1264"/>
        <w:rPr>
          <w:b w:val="0"/>
          <w:sz w:val="24"/>
          <w:szCs w:val="24"/>
          <w:lang w:val="en-US"/>
        </w:rPr>
      </w:pPr>
      <w:r>
        <w:rPr>
          <w:b w:val="0"/>
          <w:sz w:val="24"/>
          <w:szCs w:val="24"/>
          <w:lang w:val="en-US"/>
        </w:rPr>
        <w:t>10-28 July 2006</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249" w:hanging="1264"/>
        <w:rPr>
          <w:b w:val="0"/>
          <w:sz w:val="24"/>
          <w:szCs w:val="24"/>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jc w:val="center"/>
        <w:rPr>
          <w:b/>
          <w:bCs/>
          <w:lang w:val="en-US"/>
        </w:rPr>
      </w:pPr>
      <w:r>
        <w:rPr>
          <w:b/>
          <w:bCs/>
          <w:lang w:val="en-US"/>
        </w:rPr>
        <w:t>CONSIDERATION OF REPORTS SUBMITTED BY STATES PARTIES</w:t>
      </w:r>
      <w:r>
        <w:rPr>
          <w:b/>
          <w:bCs/>
          <w:lang w:val="en-US"/>
        </w:rPr>
        <w:br/>
        <w:t xml:space="preserve">UNDER ARTICLE 40 OF THE COVENANT </w:t>
      </w:r>
    </w:p>
    <w:p w:rsidR="00000000" w:rsidRDefault="00000000">
      <w:pPr>
        <w:pStyle w:val="NormalWeb"/>
        <w:jc w:val="center"/>
        <w:rPr>
          <w:b/>
          <w:bCs/>
        </w:rPr>
      </w:pPr>
      <w:r>
        <w:rPr>
          <w:b/>
          <w:bCs/>
        </w:rPr>
        <w:t>Concluding observations of the Human Rights Committee</w:t>
      </w:r>
    </w:p>
    <w:p w:rsidR="00000000" w:rsidRDefault="00000000">
      <w:pPr>
        <w:pStyle w:val="NormalWeb"/>
        <w:jc w:val="center"/>
        <w:rPr>
          <w:b/>
          <w:bCs/>
        </w:rPr>
      </w:pPr>
      <w:r>
        <w:rPr>
          <w:b/>
          <w:bCs/>
        </w:rPr>
        <w:t>UNITED STATES OF AMERICA</w:t>
      </w:r>
    </w:p>
    <w:p w:rsidR="00000000" w:rsidRDefault="00000000">
      <w:pPr>
        <w:numPr>
          <w:ilvl w:val="0"/>
          <w:numId w:val="4"/>
        </w:numPr>
        <w:tabs>
          <w:tab w:val="clear" w:pos="720"/>
        </w:tabs>
        <w:ind w:left="0" w:hanging="11"/>
        <w:jc w:val="both"/>
        <w:rPr>
          <w:lang w:val="en-US"/>
        </w:rPr>
      </w:pPr>
      <w:r>
        <w:rPr>
          <w:lang w:val="en-US"/>
        </w:rPr>
        <w:t>The Committee considered the second and third periodic reports of the United States of America (CCPR/C/USA/3) at its 2379</w:t>
      </w:r>
      <w:r>
        <w:rPr>
          <w:vertAlign w:val="superscript"/>
          <w:lang w:val="en-US"/>
        </w:rPr>
        <w:t>th</w:t>
      </w:r>
      <w:r>
        <w:rPr>
          <w:lang w:val="en-US"/>
        </w:rPr>
        <w:t>, 2380</w:t>
      </w:r>
      <w:r>
        <w:rPr>
          <w:vertAlign w:val="superscript"/>
          <w:lang w:val="en-US"/>
        </w:rPr>
        <w:t>th</w:t>
      </w:r>
      <w:r>
        <w:rPr>
          <w:lang w:val="en-US"/>
        </w:rPr>
        <w:t xml:space="preserve"> and 2381</w:t>
      </w:r>
      <w:r>
        <w:rPr>
          <w:vertAlign w:val="superscript"/>
          <w:lang w:val="en-US"/>
        </w:rPr>
        <w:t>st</w:t>
      </w:r>
      <w:r>
        <w:rPr>
          <w:lang w:val="en-US"/>
        </w:rPr>
        <w:t xml:space="preserve"> meetings (CCPR/C/SR.2379-2381), held on 17 and 18 July 2006, and adopted the following concluding observations at its 2395</w:t>
      </w:r>
      <w:r>
        <w:rPr>
          <w:vertAlign w:val="superscript"/>
          <w:lang w:val="en-US"/>
        </w:rPr>
        <w:t>th</w:t>
      </w:r>
      <w:r>
        <w:rPr>
          <w:lang w:val="en-US"/>
        </w:rPr>
        <w:t xml:space="preserve"> meeting (CCPR/C/SR.2395), held on 27 July 2006.</w:t>
      </w:r>
    </w:p>
    <w:p w:rsidR="00000000" w:rsidRDefault="00000000">
      <w:pPr>
        <w:jc w:val="center"/>
        <w:rPr>
          <w:b/>
          <w:bCs/>
          <w:lang w:val="en-US"/>
        </w:rPr>
      </w:pPr>
    </w:p>
    <w:p w:rsidR="00000000" w:rsidRDefault="00000000">
      <w:pPr>
        <w:jc w:val="center"/>
        <w:rPr>
          <w:b/>
          <w:bCs/>
          <w:lang w:val="en-US"/>
        </w:rPr>
      </w:pPr>
      <w:r>
        <w:rPr>
          <w:b/>
          <w:bCs/>
          <w:lang w:val="en-US"/>
        </w:rPr>
        <w:t>A. Introduction</w:t>
      </w:r>
    </w:p>
    <w:p w:rsidR="00000000" w:rsidRDefault="00000000">
      <w:pPr>
        <w:numPr>
          <w:ilvl w:val="0"/>
          <w:numId w:val="4"/>
        </w:numPr>
        <w:tabs>
          <w:tab w:val="clear" w:pos="720"/>
        </w:tabs>
        <w:ind w:left="0" w:hanging="11"/>
        <w:jc w:val="both"/>
        <w:rPr>
          <w:lang w:val="en-US"/>
        </w:rPr>
      </w:pPr>
      <w:r>
        <w:rPr>
          <w:lang w:val="en-US"/>
        </w:rPr>
        <w:t xml:space="preserve">The Committee notes the submission of the State party’s second and third periodic combined report, which was seven years overdue, as well as the written answers provided in advance.  It appreciates the attendance of a delegation composed of experts belonging to various agencies responsible for the implementation of the Covenant, and welcomes their efforts to answer to the Committee’s written and oral questions.  </w:t>
      </w:r>
    </w:p>
    <w:p w:rsidR="00000000" w:rsidRDefault="00000000">
      <w:pPr>
        <w:numPr>
          <w:ilvl w:val="0"/>
          <w:numId w:val="4"/>
        </w:numPr>
        <w:tabs>
          <w:tab w:val="clear" w:pos="720"/>
        </w:tabs>
        <w:ind w:left="0" w:hanging="11"/>
        <w:jc w:val="both"/>
        <w:rPr>
          <w:lang w:val="en-US"/>
        </w:rPr>
      </w:pPr>
      <w:r>
        <w:rPr>
          <w:lang w:val="en-US"/>
        </w:rPr>
        <w:t xml:space="preserve">The Committee regrets that the State party has not integrated into its report information on the implementation of the Covenant with respect to individuals under its jurisdiction and outside its territory.  </w:t>
      </w:r>
      <w:r>
        <w:rPr>
          <w:szCs w:val="24"/>
          <w:lang w:val="en-US"/>
        </w:rPr>
        <w:t xml:space="preserve">The Committee notes however that the </w:t>
      </w:r>
      <w:r>
        <w:rPr>
          <w:lang w:val="en-US"/>
        </w:rPr>
        <w:t>State party has provided additional material “out of courtesy”.  The Committee further regrets that the State party, invoking grounds of non-applicability of the Covenant or intelligence operations, refused to address certain serious allegations of violations of the rights protected under the Covenant.</w:t>
      </w:r>
    </w:p>
    <w:p w:rsidR="00000000" w:rsidRDefault="00000000">
      <w:pPr>
        <w:numPr>
          <w:ilvl w:val="0"/>
          <w:numId w:val="4"/>
        </w:numPr>
        <w:tabs>
          <w:tab w:val="clear" w:pos="720"/>
        </w:tabs>
        <w:ind w:left="0" w:hanging="11"/>
        <w:jc w:val="both"/>
        <w:rPr>
          <w:lang w:val="en-US"/>
        </w:r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pt;margin-top:37.45pt;width:108pt;height:27pt;z-index:1" stroked="f">
            <v:textbox>
              <w:txbxContent>
                <w:p w:rsidR="00000000" w:rsidRDefault="00000000">
                  <w:r>
                    <w:t xml:space="preserve"> GE.06-44318</w:t>
                  </w:r>
                </w:p>
              </w:txbxContent>
            </v:textbox>
          </v:shape>
        </w:pict>
      </w:r>
      <w:r>
        <w:rPr>
          <w:lang w:val="en-US"/>
        </w:rPr>
        <w:t>The Committee regrets that only limited information was provided on the implementation of the Covenant at the State level.</w:t>
      </w:r>
    </w:p>
    <w:p w:rsidR="00000000" w:rsidRDefault="00000000">
      <w:pPr>
        <w:jc w:val="center"/>
        <w:rPr>
          <w:b/>
          <w:bCs/>
          <w:lang w:val="en-US"/>
        </w:rPr>
      </w:pPr>
    </w:p>
    <w:p w:rsidR="00000000" w:rsidRDefault="00000000">
      <w:pPr>
        <w:jc w:val="center"/>
        <w:rPr>
          <w:b/>
          <w:bCs/>
          <w:lang w:val="en-US"/>
        </w:rPr>
      </w:pPr>
      <w:r>
        <w:rPr>
          <w:b/>
          <w:bCs/>
          <w:lang w:val="en-US"/>
        </w:rPr>
        <w:t>B. Positive aspects</w:t>
      </w:r>
    </w:p>
    <w:p w:rsidR="00000000" w:rsidRDefault="00000000">
      <w:pPr>
        <w:numPr>
          <w:ilvl w:val="0"/>
          <w:numId w:val="4"/>
        </w:numPr>
        <w:tabs>
          <w:tab w:val="clear" w:pos="720"/>
        </w:tabs>
        <w:ind w:left="0" w:hanging="11"/>
        <w:jc w:val="both"/>
        <w:rPr>
          <w:rFonts w:cs="Courier New"/>
          <w:lang w:val="en-US"/>
        </w:rPr>
      </w:pPr>
      <w:r>
        <w:rPr>
          <w:rFonts w:cs="Courier New"/>
          <w:lang w:val="en-US"/>
        </w:rPr>
        <w:t xml:space="preserve">The Committee welcomes the Supreme Court’s decision in </w:t>
      </w:r>
      <w:r>
        <w:rPr>
          <w:rFonts w:cs="Courier New"/>
          <w:i/>
          <w:iCs/>
          <w:lang w:val="en-US"/>
        </w:rPr>
        <w:t>Hamdan v. Rumsfeld</w:t>
      </w:r>
      <w:r>
        <w:rPr>
          <w:rFonts w:cs="Courier New"/>
          <w:lang w:val="en-US"/>
        </w:rPr>
        <w:t xml:space="preserve"> (2006) establishing the applicability of common article 3 of the Geneva Conventions of 12 August 1949, which reflects fundamental rights guaranteed by the Covenant in any armed conflict.</w:t>
      </w:r>
    </w:p>
    <w:p w:rsidR="00000000" w:rsidRDefault="00000000">
      <w:pPr>
        <w:numPr>
          <w:ilvl w:val="0"/>
          <w:numId w:val="4"/>
        </w:numPr>
        <w:tabs>
          <w:tab w:val="clear" w:pos="720"/>
        </w:tabs>
        <w:ind w:left="0" w:hanging="11"/>
        <w:jc w:val="both"/>
        <w:rPr>
          <w:rFonts w:cs="Courier New"/>
          <w:lang w:val="en-US"/>
        </w:rPr>
      </w:pPr>
      <w:r>
        <w:rPr>
          <w:lang w:val="en-US"/>
        </w:rPr>
        <w:t>The Committee welcomes the Supreme Court’s decision in</w:t>
      </w:r>
      <w:r>
        <w:rPr>
          <w:rFonts w:cs="Courier New"/>
          <w:lang w:val="en-US"/>
        </w:rPr>
        <w:t xml:space="preserve"> </w:t>
      </w:r>
      <w:r>
        <w:rPr>
          <w:rFonts w:cs="Courier New"/>
          <w:i/>
          <w:iCs/>
          <w:lang w:val="en-US"/>
        </w:rPr>
        <w:t>Roper v. Simmons</w:t>
      </w:r>
      <w:r>
        <w:rPr>
          <w:rFonts w:cs="Courier New"/>
          <w:lang w:val="en-US"/>
        </w:rPr>
        <w:t xml:space="preserve"> (2005), which held that </w:t>
      </w:r>
      <w:r>
        <w:rPr>
          <w:color w:val="000000"/>
          <w:szCs w:val="24"/>
        </w:rPr>
        <w:t xml:space="preserve">the Eighth and </w:t>
      </w:r>
      <w:hyperlink r:id="rId9" w:history="1">
        <w:r>
          <w:rPr>
            <w:szCs w:val="24"/>
          </w:rPr>
          <w:t>Fourteenth Amendment</w:t>
        </w:r>
      </w:hyperlink>
      <w:r>
        <w:rPr>
          <w:color w:val="000000"/>
          <w:szCs w:val="24"/>
        </w:rPr>
        <w:t>s forbid imposition of the death penalty on offenders who were under the age of 18 when their crimes were committed</w:t>
      </w:r>
      <w:r>
        <w:rPr>
          <w:rFonts w:cs="Courier New"/>
          <w:lang w:val="en-US"/>
        </w:rPr>
        <w:t>.  In</w:t>
      </w:r>
      <w:r>
        <w:rPr>
          <w:lang w:val="en-US"/>
        </w:rPr>
        <w:t xml:space="preserve"> this regard, the Committee reiterates the recommendation made in its previous concluding observations, encouraging the State party to withdraw its reservation to article 6 (5) of the Covenant.</w:t>
      </w:r>
    </w:p>
    <w:p w:rsidR="00000000" w:rsidRDefault="00000000">
      <w:pPr>
        <w:numPr>
          <w:ilvl w:val="0"/>
          <w:numId w:val="4"/>
        </w:numPr>
        <w:tabs>
          <w:tab w:val="clear" w:pos="720"/>
        </w:tabs>
        <w:ind w:left="0" w:hanging="11"/>
        <w:jc w:val="both"/>
        <w:rPr>
          <w:szCs w:val="24"/>
          <w:lang w:val="en-US"/>
        </w:rPr>
      </w:pPr>
      <w:r>
        <w:rPr>
          <w:lang w:val="en-US"/>
        </w:rPr>
        <w:t xml:space="preserve">The Committee welcomes the Supreme Court’s decision </w:t>
      </w:r>
      <w:r>
        <w:rPr>
          <w:rFonts w:cs="Courier New"/>
          <w:lang w:val="en-US"/>
        </w:rPr>
        <w:t xml:space="preserve">in </w:t>
      </w:r>
      <w:r>
        <w:rPr>
          <w:rFonts w:cs="Courier New"/>
          <w:i/>
          <w:iCs/>
          <w:lang w:val="en-US"/>
        </w:rPr>
        <w:t>Atkins v. Virginia</w:t>
      </w:r>
      <w:r>
        <w:rPr>
          <w:rFonts w:cs="Courier New"/>
          <w:lang w:val="en-US"/>
        </w:rPr>
        <w:t xml:space="preserve"> (2002), which held that executions of mentally retarded criminals are cruel and unusual punishments, and encourages the State party to ensure that persons suffering from severe forms of mental illness not amounting to mental retardation are equally protected. </w:t>
      </w:r>
    </w:p>
    <w:p w:rsidR="00000000" w:rsidRDefault="00000000">
      <w:pPr>
        <w:numPr>
          <w:ilvl w:val="0"/>
          <w:numId w:val="4"/>
        </w:numPr>
        <w:tabs>
          <w:tab w:val="clear" w:pos="720"/>
        </w:tabs>
        <w:ind w:left="0" w:hanging="11"/>
        <w:jc w:val="both"/>
        <w:rPr>
          <w:rFonts w:cs="Courier New"/>
          <w:lang w:val="en-US"/>
        </w:rPr>
      </w:pPr>
      <w:r>
        <w:rPr>
          <w:lang w:val="en-US"/>
        </w:rPr>
        <w:t>The Committee welcomes the promulgation of the National Detention Standards in 2000, establishing minimum standards for detention facilities holding Department of Homeland Security detainees, and encourages the State party to adopt all measures necessary for their effective enforcement.</w:t>
      </w:r>
      <w:r>
        <w:rPr>
          <w:rFonts w:cs="Courier New"/>
          <w:lang w:val="en-US"/>
        </w:rPr>
        <w:t xml:space="preserve"> </w:t>
      </w:r>
    </w:p>
    <w:p w:rsidR="00000000" w:rsidRDefault="00000000">
      <w:pPr>
        <w:numPr>
          <w:ilvl w:val="0"/>
          <w:numId w:val="4"/>
        </w:numPr>
        <w:tabs>
          <w:tab w:val="clear" w:pos="720"/>
        </w:tabs>
        <w:ind w:left="0" w:hanging="11"/>
        <w:jc w:val="both"/>
        <w:rPr>
          <w:szCs w:val="24"/>
          <w:lang w:val="en-US"/>
        </w:rPr>
      </w:pPr>
      <w:r>
        <w:rPr>
          <w:szCs w:val="24"/>
          <w:lang w:val="en-US"/>
        </w:rPr>
        <w:t xml:space="preserve">The Committee welcomes the Supreme Court’s decision in </w:t>
      </w:r>
      <w:r>
        <w:rPr>
          <w:i/>
          <w:iCs/>
          <w:szCs w:val="24"/>
          <w:lang w:val="en-US"/>
        </w:rPr>
        <w:t>Lawrence et al. v. Texas</w:t>
      </w:r>
      <w:r>
        <w:rPr>
          <w:szCs w:val="24"/>
          <w:lang w:val="en-US"/>
        </w:rPr>
        <w:t xml:space="preserve"> (2003), which declared unconstitutional legislation criminalizing homosexual relations between consenting adults. </w:t>
      </w:r>
    </w:p>
    <w:p w:rsidR="00000000" w:rsidRDefault="00000000">
      <w:pPr>
        <w:rPr>
          <w:lang w:val="en-US"/>
        </w:rPr>
      </w:pPr>
    </w:p>
    <w:p w:rsidR="00000000" w:rsidRDefault="00000000">
      <w:pPr>
        <w:jc w:val="center"/>
        <w:rPr>
          <w:b/>
          <w:bCs/>
          <w:lang w:val="en-US"/>
        </w:rPr>
      </w:pPr>
      <w:r>
        <w:rPr>
          <w:b/>
          <w:bCs/>
          <w:lang w:val="en-US"/>
        </w:rPr>
        <w:t>C. Principal subjects of concern and recommendations</w:t>
      </w:r>
    </w:p>
    <w:p w:rsidR="00000000" w:rsidRDefault="00000000">
      <w:pPr>
        <w:pStyle w:val="PlainText"/>
        <w:spacing w:after="0"/>
        <w:rPr>
          <w:b/>
          <w:bCs/>
          <w:u w:val="single"/>
          <w:lang w:val="en-US"/>
        </w:rPr>
      </w:pPr>
    </w:p>
    <w:p w:rsidR="00000000" w:rsidRDefault="00000000">
      <w:pPr>
        <w:numPr>
          <w:ilvl w:val="0"/>
          <w:numId w:val="4"/>
        </w:numPr>
        <w:tabs>
          <w:tab w:val="clear" w:pos="720"/>
        </w:tabs>
        <w:ind w:left="0" w:firstLine="0"/>
        <w:jc w:val="both"/>
        <w:rPr>
          <w:lang w:val="en-US"/>
        </w:rPr>
      </w:pPr>
      <w:r>
        <w:rPr>
          <w:szCs w:val="24"/>
          <w:lang w:val="en-US"/>
        </w:rPr>
        <w:t xml:space="preserve">The Committee notes with concern the restrictive interpretation made by the State party of its obligations under the Covenant, as a result in particular of (a) its position that the Covenant does not apply </w:t>
      </w:r>
      <w:r>
        <w:rPr>
          <w:lang w:val="en-US"/>
        </w:rPr>
        <w:t>with respect to individuals under its jurisdiction but outside its territory,</w:t>
      </w:r>
      <w:r>
        <w:rPr>
          <w:szCs w:val="24"/>
          <w:lang w:val="en-US"/>
        </w:rPr>
        <w:t xml:space="preserve"> nor in time of war, despite the contrary opinions and established jurisprudence of the Committee and the International Court of Justice; (b) its failure to take fully into consideration its obligation under the Covenant not only to respect, but also to ensure the rights prescribed by the Covenant; and (c) its restrictive approach to some substantive provisions of the Covenant, which is not in conformity with the interpretation made by the Committee before and after the State party’s ratification of the Covenant</w:t>
      </w:r>
      <w:r>
        <w:rPr>
          <w:lang w:val="en-US"/>
        </w:rPr>
        <w:t>. (articles 2 and 40)</w:t>
      </w:r>
    </w:p>
    <w:p w:rsidR="00000000" w:rsidRDefault="00000000">
      <w:pPr>
        <w:pStyle w:val="PlainText"/>
        <w:spacing w:after="0"/>
        <w:ind w:left="709"/>
        <w:jc w:val="both"/>
        <w:rPr>
          <w:b/>
          <w:bCs/>
          <w:szCs w:val="24"/>
          <w:lang w:val="en-US"/>
        </w:rPr>
      </w:pPr>
      <w:r>
        <w:rPr>
          <w:b/>
          <w:bCs/>
          <w:szCs w:val="24"/>
          <w:lang w:val="en-US"/>
        </w:rPr>
        <w:t xml:space="preserve">The State party should review its approach and interpret the Covenant </w:t>
      </w:r>
      <w:r>
        <w:rPr>
          <w:b/>
          <w:bCs/>
          <w:lang w:val="en-US"/>
        </w:rPr>
        <w:t xml:space="preserve">in good faith, in accordance with the ordinary meaning to be given to its terms in their context, including subsequent practice, and in the light of its object and purpose.  The State party should in particular (a) </w:t>
      </w:r>
      <w:r>
        <w:rPr>
          <w:b/>
          <w:bCs/>
          <w:szCs w:val="24"/>
          <w:lang w:val="en-US"/>
        </w:rPr>
        <w:t xml:space="preserve">acknowledge the applicability of the Covenant </w:t>
      </w:r>
      <w:r>
        <w:rPr>
          <w:b/>
          <w:bCs/>
          <w:lang w:val="en-US"/>
        </w:rPr>
        <w:t>with respect to individuals under its jurisdiction but outside its territory, as well as</w:t>
      </w:r>
      <w:r>
        <w:rPr>
          <w:b/>
          <w:bCs/>
          <w:szCs w:val="24"/>
          <w:lang w:val="en-US"/>
        </w:rPr>
        <w:t xml:space="preserve"> its applicability in time of war; </w:t>
      </w:r>
      <w:r>
        <w:rPr>
          <w:b/>
          <w:bCs/>
          <w:lang w:val="en-US"/>
        </w:rPr>
        <w:t xml:space="preserve">(b) take positive steps, when necessary, to ensure the full implementation of all rights prescribed by the Covenant; and (c) consider in good faith the interpretation of the Covenant provided by the Committee pursuant to its mandate.  </w:t>
      </w:r>
      <w:r>
        <w:rPr>
          <w:b/>
          <w:bCs/>
          <w:szCs w:val="24"/>
          <w:lang w:val="en-US"/>
        </w:rPr>
        <w:t xml:space="preserve"> </w:t>
      </w:r>
    </w:p>
    <w:p w:rsidR="00000000" w:rsidRDefault="00000000">
      <w:pPr>
        <w:pStyle w:val="PlainText"/>
        <w:spacing w:after="0"/>
        <w:ind w:left="709"/>
        <w:jc w:val="both"/>
        <w:rPr>
          <w:szCs w:val="24"/>
          <w:lang w:val="en-US"/>
        </w:rPr>
      </w:pPr>
    </w:p>
    <w:p w:rsidR="00000000" w:rsidRDefault="00000000">
      <w:pPr>
        <w:pStyle w:val="PlainText"/>
        <w:spacing w:after="0"/>
        <w:rPr>
          <w:lang w:val="en-US"/>
        </w:rPr>
      </w:pPr>
    </w:p>
    <w:p w:rsidR="00000000" w:rsidRDefault="00000000">
      <w:pPr>
        <w:numPr>
          <w:ilvl w:val="0"/>
          <w:numId w:val="4"/>
        </w:numPr>
        <w:tabs>
          <w:tab w:val="clear" w:pos="720"/>
        </w:tabs>
        <w:autoSpaceDE w:val="0"/>
        <w:autoSpaceDN w:val="0"/>
        <w:adjustRightInd w:val="0"/>
        <w:spacing w:after="0" w:line="240" w:lineRule="atLeast"/>
        <w:ind w:left="0" w:hanging="11"/>
        <w:jc w:val="both"/>
        <w:rPr>
          <w:rFonts w:eastAsia="SimSun"/>
          <w:color w:val="000000"/>
          <w:szCs w:val="24"/>
          <w:lang w:val="en-US" w:eastAsia="zh-CN"/>
        </w:rPr>
      </w:pPr>
      <w:r>
        <w:rPr>
          <w:rFonts w:eastAsia="SimSun"/>
          <w:color w:val="000000"/>
          <w:szCs w:val="24"/>
          <w:lang w:val="en-US" w:eastAsia="zh-CN"/>
        </w:rPr>
        <w:t xml:space="preserve">The Committee expresses its concern about the potentially overbroad reach of the definitions of terrorism under domestic law, in particular under 8 U.S.C. § 1182 (a) (3) (B) and Executive Order 13224 which seem to extend to conduct, e.g. in the context of political dissent, which, although unlawful, should not be understood as constituting terrorism (articles 17, 19 and 21).  </w:t>
      </w:r>
    </w:p>
    <w:p w:rsidR="00000000" w:rsidRDefault="00000000">
      <w:pPr>
        <w:autoSpaceDE w:val="0"/>
        <w:autoSpaceDN w:val="0"/>
        <w:adjustRightInd w:val="0"/>
        <w:spacing w:after="0" w:line="240" w:lineRule="atLeast"/>
        <w:jc w:val="both"/>
        <w:rPr>
          <w:rFonts w:eastAsia="SimSun"/>
          <w:color w:val="000000"/>
          <w:szCs w:val="24"/>
          <w:lang w:val="en-US" w:eastAsia="zh-CN"/>
        </w:rPr>
      </w:pPr>
    </w:p>
    <w:p w:rsidR="00000000" w:rsidRDefault="00000000">
      <w:pPr>
        <w:autoSpaceDE w:val="0"/>
        <w:autoSpaceDN w:val="0"/>
        <w:adjustRightInd w:val="0"/>
        <w:spacing w:after="0" w:line="240" w:lineRule="atLeast"/>
        <w:ind w:left="709"/>
        <w:jc w:val="both"/>
        <w:rPr>
          <w:rFonts w:eastAsia="SimSun"/>
          <w:b/>
          <w:bCs/>
          <w:color w:val="000000"/>
          <w:szCs w:val="24"/>
          <w:lang w:val="en-US" w:eastAsia="zh-CN"/>
        </w:rPr>
      </w:pPr>
      <w:r>
        <w:rPr>
          <w:rFonts w:eastAsia="SimSun"/>
          <w:b/>
          <w:bCs/>
          <w:color w:val="000000"/>
          <w:szCs w:val="24"/>
          <w:lang w:val="en-US" w:eastAsia="zh-CN"/>
        </w:rPr>
        <w:t xml:space="preserve">The State party should ensure that its </w:t>
      </w:r>
      <w:r>
        <w:rPr>
          <w:b/>
          <w:bCs/>
          <w:szCs w:val="21"/>
          <w:lang w:val="en-US"/>
        </w:rPr>
        <w:t>counter-</w:t>
      </w:r>
      <w:r>
        <w:rPr>
          <w:rStyle w:val="Strong"/>
          <w:szCs w:val="21"/>
          <w:lang w:val="en-US"/>
        </w:rPr>
        <w:t>terrorism</w:t>
      </w:r>
      <w:r>
        <w:rPr>
          <w:b/>
          <w:bCs/>
          <w:szCs w:val="21"/>
          <w:lang w:val="en-US"/>
        </w:rPr>
        <w:t xml:space="preserve"> measures are in full conformity with the Covenant</w:t>
      </w:r>
      <w:r>
        <w:rPr>
          <w:rFonts w:eastAsia="SimSun"/>
          <w:b/>
          <w:bCs/>
          <w:color w:val="000000"/>
          <w:szCs w:val="24"/>
          <w:lang w:val="en-US" w:eastAsia="zh-CN"/>
        </w:rPr>
        <w:t xml:space="preserve"> and in particular that the legislation adopted in this context is limited to crimes that would justify being assimilated to terrorism, and the grave consequences associated with it.</w:t>
      </w:r>
    </w:p>
    <w:p w:rsidR="00000000" w:rsidRDefault="00000000">
      <w:pPr>
        <w:autoSpaceDE w:val="0"/>
        <w:autoSpaceDN w:val="0"/>
        <w:adjustRightInd w:val="0"/>
        <w:spacing w:after="0" w:line="240" w:lineRule="atLeast"/>
        <w:ind w:left="709"/>
        <w:jc w:val="both"/>
        <w:rPr>
          <w:b/>
          <w:bCs/>
          <w:szCs w:val="24"/>
          <w:lang w:val="en-US"/>
        </w:rPr>
      </w:pPr>
    </w:p>
    <w:p w:rsidR="00000000" w:rsidRDefault="00000000">
      <w:pPr>
        <w:numPr>
          <w:ilvl w:val="0"/>
          <w:numId w:val="4"/>
        </w:numPr>
        <w:tabs>
          <w:tab w:val="clear" w:pos="720"/>
        </w:tabs>
        <w:ind w:left="0" w:hanging="11"/>
        <w:jc w:val="both"/>
        <w:rPr>
          <w:szCs w:val="24"/>
          <w:lang w:val="en-US"/>
        </w:rPr>
      </w:pPr>
      <w:r>
        <w:rPr>
          <w:lang w:val="en-US"/>
        </w:rPr>
        <w:t>The Committee is concerned by credible and uncontested information that the State party has seen fit to engage in the practice of detaining people secretly and in secret places for months and years on end, without  keeping the International Committee of the Red Cross informed.  In such cases, the rights of the families of the detainees are also being violated.  The Committee is also concerned that, even when such persons may have their detention acknowledged, they have been held incommunicado for months or years, a practice that violates the rights protected by articles 7 and 9.  In general, the Committee is concerned by the fact that people are detained in places where they cannot benefit from the protection of domestic or international law or where that protection is substantially curtailed, a practice that cannot be justified by the  stated need to remove them from the battlefield. (articles 7 and 9)</w:t>
      </w:r>
    </w:p>
    <w:p w:rsidR="00000000" w:rsidRDefault="00000000">
      <w:pPr>
        <w:ind w:left="709"/>
        <w:jc w:val="both"/>
        <w:rPr>
          <w:b/>
          <w:bCs/>
          <w:szCs w:val="24"/>
          <w:lang w:val="en-US"/>
        </w:rPr>
      </w:pPr>
      <w:r>
        <w:rPr>
          <w:b/>
          <w:bCs/>
          <w:lang w:val="en-US"/>
        </w:rPr>
        <w:t xml:space="preserve">The State party should immediately cease its practice of secret detention and close all secret detention facilities.  It should also grant the International Committee of the Red Cross prompt access to any person detained in connection with an armed conflict.  The State party should also ensure that detainees, regardless of their place of detention, always benefit from the full protection of the law. </w:t>
      </w:r>
    </w:p>
    <w:p w:rsidR="00000000" w:rsidRDefault="00000000">
      <w:pPr>
        <w:numPr>
          <w:ilvl w:val="0"/>
          <w:numId w:val="4"/>
        </w:numPr>
        <w:tabs>
          <w:tab w:val="clear" w:pos="720"/>
        </w:tabs>
        <w:ind w:left="0" w:hanging="11"/>
        <w:jc w:val="both"/>
        <w:rPr>
          <w:szCs w:val="24"/>
          <w:lang w:val="en-US"/>
        </w:rPr>
      </w:pPr>
      <w:r>
        <w:rPr>
          <w:lang w:val="en-US"/>
        </w:rPr>
        <w:t xml:space="preserve">The Committee is concerned with the fact that the State party has authorized for some time the use of enhanced interrogation techniques, such as prolonged stress positions and isolation, sensory deprivation, hooding, exposure to cold or heat, sleep and dietary adjustments, 20-hour interrogations, removal of clothing </w:t>
      </w:r>
      <w:r>
        <w:rPr>
          <w:bCs/>
          <w:lang w:val="en-US"/>
        </w:rPr>
        <w:t>and deprivation of all comfort and religious items</w:t>
      </w:r>
      <w:r>
        <w:rPr>
          <w:lang w:val="en-US"/>
        </w:rPr>
        <w:t xml:space="preserve">, forced grooming, and exploitation of detainees’ individual phobias.  Although the Committee welcomes the assurance that, according to the Detainee Treatment Act of 2005, such interrogation techniques are prohibited by the present Army Field Manual </w:t>
      </w:r>
      <w:r>
        <w:rPr>
          <w:szCs w:val="24"/>
        </w:rPr>
        <w:t>on Intelligence Interrogation</w:t>
      </w:r>
      <w:r>
        <w:rPr>
          <w:lang w:val="en-US"/>
        </w:rPr>
        <w:t xml:space="preserve">, the Committee remains concerned that (a) the State party refuses to acknowledge that such techniques, several of which were allegedly applied, either individually or in combination, over a protracted period of time, violate the prohibition contained by article 7 of the Covenant; (b) no sentence has been pronounced </w:t>
      </w:r>
      <w:r>
        <w:rPr>
          <w:szCs w:val="24"/>
        </w:rPr>
        <w:t>against an officer, employee, member of the Armed Forces, or other agent of the United States Government for using harsh interrogation techniques that had been approved</w:t>
      </w:r>
      <w:r>
        <w:rPr>
          <w:lang w:val="en-US"/>
        </w:rPr>
        <w:t xml:space="preserve">; (c) these interrogation techniques may still be authorized or used by other agencies, including intelligence agencies and “private contractors”; and (d) the State party has provided no information to the fact that oversight systems of such agencies have been established to  ensure compliance with  article 7. </w:t>
      </w:r>
    </w:p>
    <w:p w:rsidR="00000000" w:rsidRDefault="00000000">
      <w:pPr>
        <w:ind w:left="709"/>
        <w:jc w:val="both"/>
        <w:rPr>
          <w:szCs w:val="24"/>
          <w:lang w:val="en-US"/>
        </w:rPr>
      </w:pPr>
      <w:r>
        <w:rPr>
          <w:b/>
          <w:bCs/>
          <w:szCs w:val="24"/>
          <w:lang w:val="en-US"/>
        </w:rPr>
        <w:t>The State party should ensure that any revision of the Army Field Manual only provides for interrogation techniques in conformity with the international understanding of the scope of the prohibition contained in article 7 of the Covenant; the State party should also ensure that the current interrogation techniques or any revised techniques are binding on all agencies of the United States Government and any others acting on its behalf; the State party should ensure that there are effective means to follow suit against abuses committed by agencies operating outside the military structure and that appropriate sanctions be imposed on its personnel who used or approved the use of the now prohibited techniques; the State party should ensure that the right to reparation of the victims of such practices is respected; and it should inform the Committee of any revisions of the interrogation techniques approved by the Army Field Manual.</w:t>
      </w:r>
    </w:p>
    <w:p w:rsidR="00000000" w:rsidRDefault="00000000">
      <w:pPr>
        <w:numPr>
          <w:ilvl w:val="0"/>
          <w:numId w:val="4"/>
        </w:numPr>
        <w:tabs>
          <w:tab w:val="clear" w:pos="720"/>
        </w:tabs>
        <w:ind w:left="0" w:hanging="11"/>
        <w:jc w:val="both"/>
        <w:rPr>
          <w:szCs w:val="24"/>
          <w:lang w:val="en-US"/>
        </w:rPr>
      </w:pPr>
      <w:r>
        <w:rPr>
          <w:lang w:val="en-US"/>
        </w:rPr>
        <w:t>The Committee notes with concern shortcomings concerning the independence, impartiality and effectiveness of investigations into allegations of torture and cruel, inhuman or degrading treatment or punishment inflicted by United States military and non-military personnel or contract employees, in detention facilities in Guantanamo Bay, Afghanistan, Iraq, and other overseas locations, and to alleged cases of suspicious death in custody in any of these locations.  The Committee regrets that the State party did not provide sufficient information regarding the prosecutions launched, sentences passed (which appear excessively light for offences of such gravity) and reparation granted to the victims. (articles 6 and 7)</w:t>
      </w:r>
    </w:p>
    <w:p w:rsidR="00000000" w:rsidRDefault="00000000">
      <w:pPr>
        <w:ind w:left="709"/>
        <w:jc w:val="both"/>
        <w:rPr>
          <w:b/>
          <w:bCs/>
          <w:lang w:val="en-US"/>
        </w:rPr>
      </w:pPr>
      <w:r>
        <w:rPr>
          <w:b/>
          <w:bCs/>
          <w:lang w:val="en-US"/>
        </w:rPr>
        <w:t xml:space="preserve">The State party should conduct prompt and independent investigations into all allegations concerning suspicious deaths, torture or cruel, inhuman or degrading treatment or punishment inflicted by its personnel (including commanders) as well as contract employees, in detention facilities in Guantanamo Bay, Afghanistan, Iraq and other overseas locations.  The State party should ensure that those responsible are prosecuted and punished in accordance with the gravity of the crime.  The State party should adopt all necessary measures to prevent the recurrence of such behaviors, in particular by providing adequate training and clear guidance to its personnel (including commanders) and contract employees, about their respective obligations and responsibilities, in line with articles 7 and 10 of the Covenant.  During the course of any legal proceedings, the State party should also refrain from relying on evidence obtained by treatment incompatible with article 7.  The Committee wishes to be informed about the measures taken by the State party to ensure the respect of the right to reparation for the victims. </w:t>
      </w:r>
    </w:p>
    <w:p w:rsidR="00000000" w:rsidRDefault="00000000">
      <w:pPr>
        <w:numPr>
          <w:ilvl w:val="0"/>
          <w:numId w:val="4"/>
        </w:numPr>
        <w:tabs>
          <w:tab w:val="clear" w:pos="720"/>
        </w:tabs>
        <w:ind w:left="0" w:hanging="11"/>
        <w:jc w:val="both"/>
        <w:rPr>
          <w:szCs w:val="24"/>
          <w:lang w:val="en-US"/>
        </w:rPr>
      </w:pPr>
      <w:r>
        <w:rPr>
          <w:szCs w:val="24"/>
          <w:lang w:val="en-US"/>
        </w:rPr>
        <w:t xml:space="preserve">The Committee notes with concern that section 1005 (e) of the Detainee Treatment Act bars detainees in Guantanamo Bay from seeking review in case of allegations of ill-treatment or poor conditions of detention. </w:t>
      </w:r>
      <w:r>
        <w:rPr>
          <w:lang w:val="en-US"/>
        </w:rPr>
        <w:t>(articles 7 and 10)</w:t>
      </w:r>
    </w:p>
    <w:p w:rsidR="00000000" w:rsidRDefault="00000000">
      <w:pPr>
        <w:ind w:left="709"/>
        <w:jc w:val="both"/>
        <w:rPr>
          <w:b/>
          <w:szCs w:val="24"/>
          <w:lang w:val="en-US"/>
        </w:rPr>
      </w:pPr>
      <w:r>
        <w:rPr>
          <w:b/>
          <w:szCs w:val="24"/>
          <w:lang w:val="en-US"/>
        </w:rPr>
        <w:t>The State party should amend section 1005 of the Detainee Treatment Act so as to allow detainees in Guantanamo Bay to seek review of their treatment or conditions of detention before a court.</w:t>
      </w:r>
    </w:p>
    <w:p w:rsidR="00000000" w:rsidRDefault="00000000">
      <w:pPr>
        <w:numPr>
          <w:ilvl w:val="0"/>
          <w:numId w:val="4"/>
        </w:numPr>
        <w:tabs>
          <w:tab w:val="clear" w:pos="720"/>
        </w:tabs>
        <w:ind w:left="0" w:hanging="11"/>
        <w:jc w:val="both"/>
        <w:rPr>
          <w:szCs w:val="24"/>
          <w:lang w:val="en-US"/>
        </w:rPr>
      </w:pPr>
      <w:r>
        <w:rPr>
          <w:lang w:val="en-US"/>
        </w:rPr>
        <w:t xml:space="preserve">The Committee notes with concern the State party’s restrictive interpretation of article 7 of the Covenant according to which it understands (a) that the obligation not to subject anyone to treatment does not include an obligation not to expose anyone to such treatment by means of transfer, rendition, extradition, expulsion or refoulement; (b) that, in any case, it is not under any other obligation not to deport an individual who may undergo cruel, inhumane or degrading treatment or punishment other than torture, as the State party understands the term; and (c) that it is not under any international obligation to respect a non-refoulement rule in relation to persons it detains outside its territory.  The Committee also notes with concern the “more likely than not” standard the State party uses in non-refoulement procedures.  </w:t>
      </w:r>
      <w:r>
        <w:rPr>
          <w:rFonts w:eastAsia="SimSun"/>
          <w:lang w:val="en-US"/>
        </w:rPr>
        <w:t xml:space="preserve">The Committee is concerned that in practice the </w:t>
      </w:r>
      <w:r>
        <w:rPr>
          <w:lang w:val="en-US"/>
        </w:rPr>
        <w:t xml:space="preserve">State party appears to have adopted a policy to remove, or to assist in removing, either from the United States or other States’ territories, suspected terrorists to third countries.   for the purpose of detention and interrogation, without the appropriate safeguards to protect them from treatment prohibited by the Covenant.  The Committee is also concerned by numerous, well-publicized and documented allegations that persons sent to third countries in this way were indeed detained and interrogated under conditions grossly violating the prohibition contained in article 7, allegations that the State party did not contest.  It is deeply concerned with the invocation of State-secrets privilege in cases where the victims of these practices have brought claim before the State party’s courts (e.g. the cases of </w:t>
      </w:r>
      <w:r>
        <w:rPr>
          <w:i/>
          <w:lang w:val="en-US"/>
        </w:rPr>
        <w:t>Maher Arar v. Ashcroft</w:t>
      </w:r>
      <w:r>
        <w:rPr>
          <w:lang w:val="en-US"/>
        </w:rPr>
        <w:t xml:space="preserve"> (2006) and </w:t>
      </w:r>
      <w:r>
        <w:rPr>
          <w:i/>
          <w:lang w:val="en-US"/>
        </w:rPr>
        <w:t>Khaled Al-Masri v. Tenet</w:t>
      </w:r>
      <w:r>
        <w:rPr>
          <w:lang w:val="en-US"/>
        </w:rPr>
        <w:t xml:space="preserve"> (2006)). (article 7)</w:t>
      </w:r>
    </w:p>
    <w:p w:rsidR="00000000" w:rsidRDefault="00000000">
      <w:pPr>
        <w:ind w:left="709"/>
        <w:jc w:val="both"/>
        <w:rPr>
          <w:rFonts w:eastAsia="SimSun"/>
          <w:b/>
          <w:bCs/>
          <w:color w:val="000000"/>
          <w:szCs w:val="24"/>
          <w:lang w:val="en-US" w:eastAsia="zh-CN"/>
        </w:rPr>
      </w:pPr>
      <w:r>
        <w:rPr>
          <w:rFonts w:eastAsia="SimSun"/>
          <w:b/>
          <w:bCs/>
          <w:color w:val="000000"/>
          <w:lang w:val="en-US" w:eastAsia="zh-CN"/>
        </w:rPr>
        <w:t xml:space="preserve">The State party should review its position, in accordance with </w:t>
      </w:r>
      <w:r>
        <w:rPr>
          <w:rFonts w:eastAsia="SimSun"/>
          <w:b/>
          <w:bCs/>
          <w:lang w:val="en-US"/>
        </w:rPr>
        <w:t xml:space="preserve">the Committee’s general comments No 20 (1992) on Article 7 and No 31 (2004) on the nature of the general legal obligation imposed on States parties to the Covenant.  </w:t>
      </w:r>
      <w:r>
        <w:rPr>
          <w:rFonts w:eastAsia="SimSun"/>
          <w:b/>
          <w:bCs/>
          <w:color w:val="000000"/>
          <w:lang w:val="en-US" w:eastAsia="zh-CN"/>
        </w:rPr>
        <w:t xml:space="preserve">The State party should </w:t>
      </w:r>
      <w:r>
        <w:rPr>
          <w:b/>
          <w:bCs/>
          <w:lang w:val="en-US"/>
        </w:rPr>
        <w:t xml:space="preserve">take all necessary measures to ensure that detainees, including in facilities outside its own territory, are not removed to another country by way of, </w:t>
      </w:r>
      <w:r>
        <w:rPr>
          <w:b/>
          <w:bCs/>
          <w:i/>
          <w:lang w:val="en-US"/>
        </w:rPr>
        <w:t>inter alia</w:t>
      </w:r>
      <w:r>
        <w:rPr>
          <w:b/>
          <w:bCs/>
          <w:lang w:val="en-US"/>
        </w:rPr>
        <w:t xml:space="preserve">, transfer, rendition, extradition, expulsion or refoulement, if there are substantial reasons to believe  that they would be in danger of being subjected to torture or cruel, inhuman or degrading treatment or punishment.  </w:t>
      </w:r>
      <w:r>
        <w:rPr>
          <w:rFonts w:eastAsia="SimSun"/>
          <w:b/>
          <w:bCs/>
          <w:color w:val="000000"/>
          <w:szCs w:val="24"/>
          <w:lang w:val="en-US" w:eastAsia="zh-CN"/>
        </w:rPr>
        <w:t xml:space="preserve">The State party should </w:t>
      </w:r>
      <w:r>
        <w:rPr>
          <w:b/>
          <w:bCs/>
          <w:lang w:val="en-US"/>
        </w:rPr>
        <w:t>conduct thorough and independent investigations into allegations that persons have been removed to third countries where they have been victims of torture or cruel, inhuman or degrading treatment or punishment; modify its legislation and policies to ensure that no such situation will recur; and provide appropriate reparation to the victims.  The State party should exercise the utmost care in the use of diplomatic assurances and adopt clear and transparent procedures, with adequate judicial mechanisms for review, prior to removing any detainees to third countries.  It should also establish effective mechanisms to monitor scrupulously and vigorously the removal of detainees to third countries.  The State party should be aware that in countries where  torture or cruel, inhuman or degrading treatment are common practice, it is likely to be used regardless of assurances to the contrary, however stringent any agreed follow-up procedures may be.</w:t>
      </w:r>
    </w:p>
    <w:p w:rsidR="00000000" w:rsidRDefault="00000000">
      <w:pPr>
        <w:pStyle w:val="PlainText"/>
        <w:numPr>
          <w:ilvl w:val="0"/>
          <w:numId w:val="4"/>
        </w:numPr>
        <w:tabs>
          <w:tab w:val="clear" w:pos="720"/>
        </w:tabs>
        <w:spacing w:after="0"/>
        <w:ind w:left="0" w:firstLine="0"/>
        <w:jc w:val="both"/>
        <w:rPr>
          <w:lang w:val="en-US"/>
        </w:rPr>
      </w:pPr>
      <w:r>
        <w:rPr>
          <w:rFonts w:eastAsia="SimSun"/>
          <w:lang w:val="en-US"/>
        </w:rPr>
        <w:t>The Committee is concerned that the Patriot Act and the 2005 REAL ID Act of 2005 may bar from asylum and withholding of removal any person who has provided “material support” to a “terrorist organization”, whether voluntarily or under duress.  It regrets having received no response on this matter from the State party. (article 7)</w:t>
      </w:r>
    </w:p>
    <w:p w:rsidR="00000000" w:rsidRDefault="00000000">
      <w:pPr>
        <w:pStyle w:val="PlainText"/>
        <w:spacing w:after="0"/>
        <w:jc w:val="both"/>
        <w:rPr>
          <w:rFonts w:eastAsia="SimSun"/>
          <w:lang w:val="en-US"/>
        </w:rPr>
      </w:pPr>
    </w:p>
    <w:p w:rsidR="00000000" w:rsidRDefault="00000000">
      <w:pPr>
        <w:pStyle w:val="PlainText"/>
        <w:spacing w:after="0"/>
        <w:ind w:left="567"/>
        <w:jc w:val="both"/>
        <w:rPr>
          <w:rFonts w:eastAsia="SimSun"/>
          <w:b/>
          <w:bCs/>
          <w:lang w:val="en-US"/>
        </w:rPr>
      </w:pPr>
      <w:r>
        <w:rPr>
          <w:rFonts w:eastAsia="SimSun"/>
          <w:b/>
          <w:bCs/>
          <w:lang w:val="en-US"/>
        </w:rPr>
        <w:t>The State party should ensure that the “material support to terrorist organisations” bar is not applied to those who acted under duress.</w:t>
      </w:r>
    </w:p>
    <w:p w:rsidR="00000000" w:rsidRDefault="00000000">
      <w:pPr>
        <w:jc w:val="both"/>
        <w:rPr>
          <w:szCs w:val="24"/>
          <w:lang w:val="en-US"/>
        </w:rPr>
      </w:pPr>
    </w:p>
    <w:p w:rsidR="00000000" w:rsidRDefault="00000000">
      <w:pPr>
        <w:numPr>
          <w:ilvl w:val="0"/>
          <w:numId w:val="4"/>
        </w:numPr>
        <w:tabs>
          <w:tab w:val="clear" w:pos="720"/>
        </w:tabs>
        <w:ind w:left="0" w:hanging="11"/>
        <w:jc w:val="both"/>
        <w:rPr>
          <w:szCs w:val="24"/>
          <w:lang w:val="en-US"/>
        </w:rPr>
      </w:pPr>
      <w:r>
        <w:rPr>
          <w:lang w:val="en-US"/>
        </w:rPr>
        <w:t xml:space="preserve">The Committee is concerned that, following the Supreme Court ruling in </w:t>
      </w:r>
      <w:r>
        <w:rPr>
          <w:i/>
          <w:iCs/>
          <w:lang w:val="en-US"/>
        </w:rPr>
        <w:t>Rasul v. Bush</w:t>
      </w:r>
      <w:r>
        <w:rPr>
          <w:lang w:val="en-US"/>
        </w:rPr>
        <w:t xml:space="preserve"> (2004), proceedings before </w:t>
      </w:r>
      <w:r>
        <w:rPr>
          <w:bCs/>
          <w:szCs w:val="24"/>
          <w:lang w:val="en-US"/>
        </w:rPr>
        <w:t xml:space="preserve">Combatant Status Review Tribunals (CSRTs) and Administrative Review Boards (ARBs), </w:t>
      </w:r>
      <w:r>
        <w:rPr>
          <w:lang w:val="en-US"/>
        </w:rPr>
        <w:t xml:space="preserve">mandated </w:t>
      </w:r>
      <w:r>
        <w:rPr>
          <w:bCs/>
          <w:szCs w:val="24"/>
          <w:lang w:val="en-US"/>
        </w:rPr>
        <w:t xml:space="preserve">respectively to determine and review the status of detainees, may not offer </w:t>
      </w:r>
      <w:r>
        <w:rPr>
          <w:lang w:val="en-US"/>
        </w:rPr>
        <w:t xml:space="preserve">adequate safeguards of due process, in particular due to : (a) their lack of independence from the executive branch and the army, (b) </w:t>
      </w:r>
      <w:r>
        <w:rPr>
          <w:bCs/>
          <w:szCs w:val="24"/>
          <w:lang w:val="en-US"/>
        </w:rPr>
        <w:t>restrictions on the rights of detainees to have access to all proceedings and evidence, (c) the inevitable difficulty CSRTs and ARBs face in summoning witnesses, and (d) the possibility given to CSRTs and ARBs, under S</w:t>
      </w:r>
      <w:r>
        <w:rPr>
          <w:rFonts w:cs="Courier New"/>
          <w:lang w:val="en-US"/>
        </w:rPr>
        <w:t xml:space="preserve">ection 1005 of the 2005 Detainee Treatment Act, to weigh </w:t>
      </w:r>
      <w:r>
        <w:rPr>
          <w:lang w:val="en-US"/>
        </w:rPr>
        <w:t>evidence</w:t>
      </w:r>
      <w:r>
        <w:rPr>
          <w:rFonts w:cs="Courier New"/>
          <w:lang w:val="en-US"/>
        </w:rPr>
        <w:t xml:space="preserve"> obtained by coercion for its probative value.  The Committee is further concerned that detention in other locations, such as Afghanistan and Iraq, is reviewed by mechanisms providing even fewer guarantees.  (article 9)</w:t>
      </w:r>
    </w:p>
    <w:p w:rsidR="00000000" w:rsidRDefault="00000000">
      <w:pPr>
        <w:ind w:left="709"/>
        <w:jc w:val="both"/>
        <w:rPr>
          <w:b/>
          <w:szCs w:val="24"/>
          <w:lang w:val="en-US"/>
        </w:rPr>
      </w:pPr>
      <w:r>
        <w:rPr>
          <w:b/>
          <w:szCs w:val="24"/>
          <w:lang w:val="en-US"/>
        </w:rPr>
        <w:t xml:space="preserve">The State party should ensure, in accordance with article 9 (4) of the Covenant, that persons detained in Guantanamo Bay are entitled to proceedings before a court to decide, without delay, on the lawfulness of their detention or order their release.  Due process, independence of the reviewing courts from the executive branch and the army, access of detainees to counsel of their choice and to all proceedings and evidence, should be guaranteed in this regard. </w:t>
      </w:r>
    </w:p>
    <w:p w:rsidR="00000000" w:rsidRDefault="00000000">
      <w:pPr>
        <w:numPr>
          <w:ilvl w:val="0"/>
          <w:numId w:val="4"/>
        </w:numPr>
        <w:tabs>
          <w:tab w:val="clear" w:pos="720"/>
        </w:tabs>
        <w:ind w:left="0" w:hanging="11"/>
        <w:jc w:val="both"/>
        <w:rPr>
          <w:szCs w:val="24"/>
          <w:lang w:val="en-US"/>
        </w:rPr>
      </w:pPr>
      <w:r>
        <w:rPr>
          <w:rFonts w:eastAsia="SimSun"/>
          <w:lang w:val="en-US"/>
        </w:rPr>
        <w:t>The Committee, having taken into consideration information provided by the State party, is concerned by reports that, following the September 11 attacks, many non-U.S.  citizens, suspected to have committed terrorism-related offences have been detained for long periods pursuant to immigration laws with fewer guarantees than in the context of criminal procedures, or on the basis of the Material Witness Statute only.  The Committee is also concerned with the compatibility of the Statute with the Covenant since it may be applied for up-coming trials but also to investigations or proposed investigations.</w:t>
      </w:r>
      <w:r>
        <w:rPr>
          <w:b/>
          <w:bCs/>
          <w:lang w:val="en-US"/>
        </w:rPr>
        <w:t xml:space="preserve"> </w:t>
      </w:r>
      <w:r>
        <w:rPr>
          <w:lang w:val="en-US"/>
        </w:rPr>
        <w:t>(article 9)</w:t>
      </w:r>
    </w:p>
    <w:p w:rsidR="00000000" w:rsidRDefault="00000000">
      <w:pPr>
        <w:ind w:left="567"/>
        <w:jc w:val="both"/>
        <w:rPr>
          <w:b/>
          <w:bCs/>
          <w:i/>
          <w:iCs/>
          <w:lang w:val="en-US"/>
        </w:rPr>
      </w:pPr>
      <w:r>
        <w:rPr>
          <w:rFonts w:eastAsia="SimSun"/>
          <w:b/>
          <w:bCs/>
          <w:lang w:val="en-US"/>
        </w:rPr>
        <w:t xml:space="preserve">The State party should </w:t>
      </w:r>
      <w:r>
        <w:rPr>
          <w:b/>
          <w:bCs/>
          <w:lang w:val="en-US"/>
        </w:rPr>
        <w:t>review its practice with a view to ensuring that the Material Witness Statute and immigration laws are not used so as to detain persons suspected of terrorism or any other criminal offences with fewer guarantees than in criminal proceedings.  The State party should also ensure that those improperly so detained receive appropriate reparation.</w:t>
      </w:r>
    </w:p>
    <w:p w:rsidR="00000000" w:rsidRDefault="00000000">
      <w:pPr>
        <w:numPr>
          <w:ilvl w:val="0"/>
          <w:numId w:val="4"/>
        </w:numPr>
        <w:tabs>
          <w:tab w:val="clear" w:pos="720"/>
        </w:tabs>
        <w:ind w:left="0" w:hanging="11"/>
        <w:jc w:val="both"/>
        <w:rPr>
          <w:szCs w:val="24"/>
          <w:lang w:val="en-US"/>
        </w:rPr>
      </w:pPr>
      <w:r>
        <w:rPr>
          <w:szCs w:val="24"/>
          <w:lang w:val="en-US"/>
        </w:rPr>
        <w:t xml:space="preserve">The Committee notes that the decision of the Supreme Court in </w:t>
      </w:r>
      <w:r>
        <w:rPr>
          <w:i/>
          <w:szCs w:val="24"/>
          <w:lang w:val="en-US"/>
        </w:rPr>
        <w:t>Hamdan v. Rumsfeld</w:t>
      </w:r>
      <w:r>
        <w:rPr>
          <w:szCs w:val="24"/>
          <w:lang w:val="en-US"/>
        </w:rPr>
        <w:t>, according to which Guantanamo Bay detainees accused of terrorism offences are to be judged by a regularly constituted court affording all the judicial guarantees required by common article 3 of the Geneva Conventions of 12 August 1949, remains to be implemented. (article 14)</w:t>
      </w:r>
    </w:p>
    <w:p w:rsidR="00000000" w:rsidRDefault="00000000">
      <w:pPr>
        <w:ind w:left="567"/>
        <w:jc w:val="both"/>
        <w:rPr>
          <w:b/>
          <w:szCs w:val="24"/>
          <w:lang w:val="en-US"/>
        </w:rPr>
      </w:pPr>
      <w:r>
        <w:rPr>
          <w:b/>
          <w:szCs w:val="24"/>
          <w:lang w:val="en-US"/>
        </w:rPr>
        <w:t xml:space="preserve">The State party should provide the Committee with information on its implementation of the decision. </w:t>
      </w:r>
    </w:p>
    <w:p w:rsidR="00000000" w:rsidRDefault="00000000">
      <w:pPr>
        <w:numPr>
          <w:ilvl w:val="0"/>
          <w:numId w:val="4"/>
        </w:numPr>
        <w:tabs>
          <w:tab w:val="clear" w:pos="720"/>
        </w:tabs>
        <w:ind w:left="0" w:hanging="11"/>
        <w:jc w:val="both"/>
        <w:rPr>
          <w:szCs w:val="24"/>
          <w:lang w:val="en-US"/>
        </w:rPr>
      </w:pPr>
      <w:r>
        <w:rPr>
          <w:lang w:val="en-US"/>
        </w:rPr>
        <w:t>The Committee, while noting some positive amendments introduced in 2006, notes that s</w:t>
      </w:r>
      <w:r>
        <w:rPr>
          <w:color w:val="000000"/>
          <w:lang w:val="en-US"/>
        </w:rPr>
        <w:t xml:space="preserve">ection 213 of the Patriot Act, expanding the possibility of delayed notification of home and office searches; </w:t>
      </w:r>
      <w:r>
        <w:rPr>
          <w:rFonts w:eastAsia="SimSun"/>
          <w:lang w:val="en-US"/>
        </w:rPr>
        <w:t>section 215 regarding access to individuals’ personal records and belongings; and section 505, relating to the issuance of national security letters, still raise issues of concern in relation to article 17 of the Covenant.  In particular, the Committee is concerned about the restricted possibilities for the concerned persons to be informed about such measures and to effectively challenge them</w:t>
      </w:r>
      <w:r>
        <w:rPr>
          <w:lang w:val="en-US"/>
        </w:rPr>
        <w:t xml:space="preserve">.  Furthermore, the Committee is concerned that the State Party, including through the National Security Agency (NSA), has monitored and still monitors phone, email, and fax communications of individuals both within and outside the U.S., without any judicial or other independent oversight.  </w:t>
      </w:r>
      <w:r>
        <w:rPr>
          <w:rFonts w:eastAsia="SimSun"/>
          <w:lang w:val="en-US"/>
        </w:rPr>
        <w:t>(articles 2(3) and 17)</w:t>
      </w:r>
    </w:p>
    <w:p w:rsidR="00000000" w:rsidRDefault="00000000">
      <w:pPr>
        <w:ind w:left="709"/>
        <w:jc w:val="both"/>
        <w:rPr>
          <w:b/>
          <w:bCs/>
          <w:lang w:val="en-US"/>
        </w:rPr>
      </w:pPr>
      <w:r>
        <w:rPr>
          <w:b/>
          <w:bCs/>
          <w:lang w:val="en-US"/>
        </w:rPr>
        <w:t xml:space="preserve">The State party should review sections 213, 215 and 505 of the Patriot Act to ensure full compatibility with article 17 of the Covenant.  The State party should ensure that any infringement on individual’s rights to privacy is  strictly necessary and duly authorized by law,  and that the rights of individuals to follow suit in this regard are respected. </w:t>
      </w:r>
    </w:p>
    <w:p w:rsidR="00000000" w:rsidRDefault="00000000">
      <w:pPr>
        <w:pStyle w:val="PlainText"/>
        <w:numPr>
          <w:ilvl w:val="0"/>
          <w:numId w:val="4"/>
        </w:numPr>
        <w:tabs>
          <w:tab w:val="clear" w:pos="720"/>
        </w:tabs>
        <w:spacing w:after="0"/>
        <w:ind w:left="0" w:hanging="11"/>
        <w:jc w:val="both"/>
        <w:rPr>
          <w:iCs/>
          <w:lang w:val="en-US"/>
        </w:rPr>
      </w:pPr>
      <w:r>
        <w:rPr>
          <w:iCs/>
          <w:lang w:val="en-US"/>
        </w:rPr>
        <w:t>The Committee is concerned with reports that some 50 % of homeless people are African American although they constitute only 12 % of the United States population.  (articles 2 and 26)</w:t>
      </w:r>
    </w:p>
    <w:p w:rsidR="00000000" w:rsidRDefault="00000000">
      <w:pPr>
        <w:pStyle w:val="PlainText"/>
        <w:spacing w:after="0"/>
        <w:ind w:left="-11"/>
        <w:jc w:val="both"/>
        <w:rPr>
          <w:iCs/>
          <w:lang w:val="en-US"/>
        </w:rPr>
      </w:pPr>
    </w:p>
    <w:p w:rsidR="00000000" w:rsidRDefault="00000000">
      <w:pPr>
        <w:pStyle w:val="PlainText"/>
        <w:spacing w:after="0"/>
        <w:ind w:left="709"/>
        <w:jc w:val="both"/>
        <w:rPr>
          <w:b/>
          <w:iCs/>
          <w:lang w:val="en-US"/>
        </w:rPr>
      </w:pPr>
      <w:r>
        <w:rPr>
          <w:b/>
          <w:iCs/>
          <w:lang w:val="en-US"/>
        </w:rPr>
        <w:t xml:space="preserve">The State party should take measures, including adequate and adequately implemented policies, to bring an end to such  de facto and historically generated racial discrimination. </w:t>
      </w:r>
    </w:p>
    <w:p w:rsidR="00000000" w:rsidRDefault="00000000">
      <w:pPr>
        <w:ind w:left="-11"/>
        <w:jc w:val="both"/>
        <w:rPr>
          <w:szCs w:val="24"/>
          <w:lang w:val="en-US"/>
        </w:rPr>
      </w:pPr>
    </w:p>
    <w:p w:rsidR="00000000" w:rsidRDefault="00000000">
      <w:pPr>
        <w:numPr>
          <w:ilvl w:val="0"/>
          <w:numId w:val="4"/>
        </w:numPr>
        <w:tabs>
          <w:tab w:val="clear" w:pos="720"/>
        </w:tabs>
        <w:ind w:left="0" w:hanging="11"/>
        <w:jc w:val="both"/>
        <w:rPr>
          <w:szCs w:val="24"/>
          <w:lang w:val="en-US"/>
        </w:rPr>
      </w:pPr>
      <w:r>
        <w:rPr>
          <w:lang w:val="en-US"/>
        </w:rPr>
        <w:t>The Committee notes with concern reports of de facto racial segregation in public schools, reportedly caused by discrepancies between the racial and ethnic composition of large urban districts and their surrounding suburbs, and the manner in which schools districts are created, funded and regulated.  The Committee is concerned that the State party, despite measures adopted, has not succeeded in eliminating racial discrimination such as regarding the wide disparities in the quality of education across school districts in metropolitan areas, to the detriment of minority students.  It also notes with concern the State party’s position that federal government authorities cannot take legal action  if there is no indication of discriminatory intent by state or local authorities.  (articles 2 and 26)</w:t>
      </w:r>
    </w:p>
    <w:p w:rsidR="00000000" w:rsidRDefault="00000000">
      <w:pPr>
        <w:ind w:left="709"/>
        <w:jc w:val="both"/>
        <w:rPr>
          <w:b/>
          <w:bCs/>
          <w:lang w:val="en-US"/>
        </w:rPr>
      </w:pPr>
      <w:r>
        <w:rPr>
          <w:b/>
          <w:bCs/>
          <w:lang w:val="en-US"/>
        </w:rPr>
        <w:t xml:space="preserve">The Committee reminds the State party of its obligation under articles 2 and 26 of the Covenant to respect and ensure that all individuals are guaranteed effective protection against practices that have either the purpose or the effect of discrimination on a racial basis.  The State party should conduct in-depth investigations into the de facto segregation described above and take remedial steps, in consultation with the affected communities. </w:t>
      </w:r>
    </w:p>
    <w:p w:rsidR="00000000" w:rsidRDefault="00000000">
      <w:pPr>
        <w:numPr>
          <w:ilvl w:val="0"/>
          <w:numId w:val="4"/>
        </w:numPr>
        <w:tabs>
          <w:tab w:val="clear" w:pos="720"/>
        </w:tabs>
        <w:ind w:left="0" w:hanging="11"/>
        <w:jc w:val="both"/>
        <w:rPr>
          <w:szCs w:val="24"/>
          <w:lang w:val="en-US"/>
        </w:rPr>
      </w:pPr>
      <w:r>
        <w:rPr>
          <w:lang w:val="en-US"/>
        </w:rPr>
        <w:t>The Committee, while welcoming the mandate given to the Attorney General to review the use by federal enforcement authorities of race as a factor in conducting stops, searches, and other enforcement procedures, and the prohibition of racial profiling made in guidance to federal law enforcement officials, remains concerned about information that such practices still persist in the State party, in particular at the state level.  It also notes with concern information about racial disparities and discrimination in prosecuting and sentencing processes in the criminal justice system.  (articles 2 and 26)</w:t>
      </w:r>
    </w:p>
    <w:p w:rsidR="00000000" w:rsidRDefault="00000000">
      <w:pPr>
        <w:ind w:left="709"/>
        <w:jc w:val="both"/>
        <w:rPr>
          <w:b/>
          <w:bCs/>
          <w:szCs w:val="24"/>
          <w:lang w:val="en-US"/>
        </w:rPr>
      </w:pPr>
      <w:r>
        <w:rPr>
          <w:b/>
          <w:bCs/>
          <w:lang w:val="en-US"/>
        </w:rPr>
        <w:t xml:space="preserve">The State party should continue and intensify its efforts to put an end to racial profiling used by federal as well as state law enforcement officials.  The Committee wishes to receive more detailed information about the extent to which such practices still persist, as well as statistical data on complaints, prosecutions and sentences in such matters. </w:t>
      </w:r>
    </w:p>
    <w:p w:rsidR="00000000" w:rsidRDefault="00000000">
      <w:pPr>
        <w:numPr>
          <w:ilvl w:val="0"/>
          <w:numId w:val="4"/>
        </w:numPr>
        <w:tabs>
          <w:tab w:val="clear" w:pos="720"/>
        </w:tabs>
        <w:ind w:left="0" w:hanging="11"/>
        <w:jc w:val="both"/>
        <w:rPr>
          <w:lang w:val="en-US"/>
        </w:rPr>
      </w:pPr>
      <w:r>
        <w:rPr>
          <w:lang w:val="en-US"/>
        </w:rPr>
        <w:t>The Committee notes with concern allegations of widespread incidence of violent crime perpetrated against persons of minority sexual orientation, including by law enforcement officials.  It notes with concern the failure to address such crime in the legislation on hate crime adopted at the federal level and in many states.  It notes with concern the failure to outlaw employment discrimination on the basis of sexual orientation in many states.  (articles 2 and 26)</w:t>
      </w:r>
    </w:p>
    <w:p w:rsidR="00000000" w:rsidRDefault="00000000">
      <w:pPr>
        <w:ind w:left="709"/>
        <w:jc w:val="both"/>
        <w:rPr>
          <w:lang w:val="en-US"/>
        </w:rPr>
      </w:pPr>
      <w:r>
        <w:rPr>
          <w:b/>
          <w:bCs/>
          <w:lang w:val="en-US"/>
        </w:rPr>
        <w:t>The State party should acknowledge its legal obligation under articles 2 and 26 to ensure to everyone the rights recognized by the Covenant, as well as equality before the law and equal protection of the law, without discrimination on the basis of sexual orientation.  The State party should ensure that its hate crime legislation, both at the federal and state levels,  address sexual orientation-related violence and  that federal and state employment legislation outlaw discrimination on the basis of sexual orientation.</w:t>
      </w:r>
    </w:p>
    <w:p w:rsidR="00000000" w:rsidRDefault="00000000">
      <w:pPr>
        <w:numPr>
          <w:ilvl w:val="0"/>
          <w:numId w:val="4"/>
        </w:numPr>
        <w:tabs>
          <w:tab w:val="clear" w:pos="720"/>
        </w:tabs>
        <w:ind w:left="0" w:hanging="11"/>
        <w:jc w:val="both"/>
        <w:rPr>
          <w:szCs w:val="24"/>
          <w:lang w:val="en-US"/>
        </w:rPr>
      </w:pPr>
      <w:r>
        <w:rPr>
          <w:lang w:val="en-US"/>
        </w:rPr>
        <w:t>The Committee, while taking note of the various rules and regulations prohibiting discrimination in the provision of disaster relief and emergency assistance, remains concerned about information that the poor, and in particular African-Americans, were disadvantaged by the rescue and evacuation plans implemented when Hurricane Katrina hit the United States, and continue to be disadvantaged under the reconstruction plans.  (articles 6 and 26)</w:t>
      </w:r>
    </w:p>
    <w:p w:rsidR="00000000" w:rsidRDefault="00000000">
      <w:pPr>
        <w:ind w:left="709"/>
        <w:jc w:val="both"/>
        <w:rPr>
          <w:b/>
          <w:bCs/>
          <w:szCs w:val="24"/>
          <w:lang w:val="en-US"/>
        </w:rPr>
      </w:pPr>
      <w:r>
        <w:rPr>
          <w:b/>
          <w:bCs/>
          <w:szCs w:val="24"/>
          <w:lang w:val="en-US"/>
        </w:rPr>
        <w:t>The State party should review its practices and policies to ensure the full implementation of its obligation to protect life and of the prohibition of discrimination, whether direct or indirect</w:t>
      </w:r>
      <w:r>
        <w:rPr>
          <w:b/>
          <w:bCs/>
          <w:lang w:val="en-US"/>
        </w:rPr>
        <w:t>, as well as of the United Nations Guiding Principles on Internal Displacement,</w:t>
      </w:r>
      <w:r>
        <w:rPr>
          <w:b/>
          <w:bCs/>
          <w:szCs w:val="24"/>
          <w:lang w:val="en-US"/>
        </w:rPr>
        <w:t xml:space="preserve"> in </w:t>
      </w:r>
      <w:r>
        <w:rPr>
          <w:b/>
          <w:bCs/>
          <w:lang w:val="en-US"/>
        </w:rPr>
        <w:t xml:space="preserve">matters related to disaster prevention and preparedness, emergency assistance and relief measures.  In the aftermath of Hurricane Katrina, the State party should increase its efforts to ensure that the rights of the poor, and in particular African-Americans, are fully taken into consideration in the reconstruction plans with regard to access to housing, education and healthcare.  The Committee wishes to be informed about the results of the inquiries into the alleged failure to evacuate prisoners at the Parish prison, as well as the allegations that New Orleans residents were not permitted by law enforcement officials to cross the Greater New Orleans Bridge to Gretna, Louisiana.  </w:t>
      </w:r>
    </w:p>
    <w:p w:rsidR="00000000" w:rsidRDefault="00000000">
      <w:pPr>
        <w:numPr>
          <w:ilvl w:val="0"/>
          <w:numId w:val="4"/>
        </w:numPr>
        <w:tabs>
          <w:tab w:val="clear" w:pos="720"/>
        </w:tabs>
        <w:ind w:left="0" w:hanging="11"/>
        <w:jc w:val="both"/>
        <w:rPr>
          <w:szCs w:val="24"/>
          <w:lang w:val="en-US"/>
        </w:rPr>
      </w:pPr>
      <w:r>
        <w:rPr>
          <w:szCs w:val="24"/>
          <w:lang w:val="en-US"/>
        </w:rPr>
        <w:t xml:space="preserve">The Committee regrets that it has not received sufficient information on the measures the State party considers adopting in relation to the reportedly nine million undocumented migrants now in the United States.  While noting the information provided by the delegation that National Guard troops will not engage in direct law enforcement duties in the apprehension or detention of aliens, the Committee remains concerned about the increased </w:t>
      </w:r>
      <w:r>
        <w:rPr>
          <w:rFonts w:eastAsia="SimSun"/>
          <w:color w:val="000000"/>
          <w:szCs w:val="24"/>
          <w:lang w:val="en-US" w:eastAsia="zh-CN"/>
        </w:rPr>
        <w:t>level of militarization on the southwest border with Mexico.  (articles 12 and 26)</w:t>
      </w:r>
    </w:p>
    <w:p w:rsidR="00000000" w:rsidRDefault="00000000">
      <w:pPr>
        <w:ind w:left="709"/>
        <w:jc w:val="both"/>
        <w:rPr>
          <w:b/>
          <w:szCs w:val="24"/>
          <w:lang w:val="en-US"/>
        </w:rPr>
      </w:pPr>
      <w:r>
        <w:rPr>
          <w:b/>
          <w:szCs w:val="24"/>
          <w:lang w:val="en-US"/>
        </w:rPr>
        <w:t xml:space="preserve">The State party should provide the Committee with more detailed information on these issues, in particular on the concrete measures adopted to ensure that only agents who have received adequate training on immigration issues enforce immigration laws, which should be compatible with the rights guaranteed by the Covenant. </w:t>
      </w:r>
    </w:p>
    <w:p w:rsidR="00000000" w:rsidRDefault="00000000">
      <w:pPr>
        <w:numPr>
          <w:ilvl w:val="0"/>
          <w:numId w:val="4"/>
        </w:numPr>
        <w:tabs>
          <w:tab w:val="clear" w:pos="720"/>
        </w:tabs>
        <w:ind w:left="0" w:hanging="11"/>
        <w:jc w:val="both"/>
        <w:rPr>
          <w:lang w:val="en-US"/>
        </w:rPr>
      </w:pPr>
      <w:r>
        <w:rPr>
          <w:szCs w:val="24"/>
          <w:lang w:val="en-US"/>
        </w:rPr>
        <w:t xml:space="preserve"> The Committee regrets that many federal laws which address sex-discrimination are limited in scope and restricted in implementation.  The Committee is especially concerned about the reported persistence of employment discrimination against women.  (articles 3 and 26)</w:t>
      </w:r>
    </w:p>
    <w:p w:rsidR="00000000" w:rsidRDefault="00000000">
      <w:pPr>
        <w:ind w:left="709"/>
        <w:jc w:val="both"/>
        <w:rPr>
          <w:b/>
          <w:lang w:val="en-US"/>
        </w:rPr>
      </w:pPr>
      <w:r>
        <w:rPr>
          <w:b/>
          <w:szCs w:val="24"/>
          <w:lang w:val="en-US"/>
        </w:rPr>
        <w:t>The State party should take all steps necessary, including at state level, to ensure the equality of women before the law and equal protection of the law, as well as effective protection against discrimination on the ground of sex, in particular in the area of employment.</w:t>
      </w:r>
    </w:p>
    <w:p w:rsidR="00000000" w:rsidRDefault="00000000">
      <w:pPr>
        <w:numPr>
          <w:ilvl w:val="0"/>
          <w:numId w:val="4"/>
        </w:numPr>
        <w:tabs>
          <w:tab w:val="clear" w:pos="720"/>
        </w:tabs>
        <w:ind w:left="0" w:hanging="11"/>
        <w:jc w:val="both"/>
        <w:rPr>
          <w:szCs w:val="24"/>
          <w:lang w:val="en-US"/>
        </w:rPr>
      </w:pPr>
      <w:r>
        <w:rPr>
          <w:szCs w:val="24"/>
          <w:lang w:val="en-US"/>
        </w:rPr>
        <w:t xml:space="preserve">The Committee regrets that </w:t>
      </w:r>
      <w:r>
        <w:rPr>
          <w:rFonts w:eastAsia="SimSun"/>
          <w:lang w:val="en-US" w:eastAsia="zh-CN"/>
        </w:rPr>
        <w:t xml:space="preserve">the State party does not indicate that it has taken any steps to review federal and state legislation with a view to assessing whether offences carrying the death penalty are restricted to the most serious crimes, and that, </w:t>
      </w:r>
      <w:r>
        <w:rPr>
          <w:szCs w:val="24"/>
          <w:lang w:val="en-US"/>
        </w:rPr>
        <w:t xml:space="preserve">despite the Committee’s previous concluding observations, the State party has extended the number of offences for which the death penalty is applicable.  </w:t>
      </w:r>
      <w:r>
        <w:rPr>
          <w:lang w:val="en-US"/>
        </w:rPr>
        <w:t xml:space="preserve">While taking note of some efforts towards the </w:t>
      </w:r>
      <w:r>
        <w:rPr>
          <w:bCs/>
          <w:lang w:val="en-US"/>
        </w:rPr>
        <w:t>improvement of the quality of legal representation provided to indigent defendants facing capital punishment</w:t>
      </w:r>
      <w:r>
        <w:rPr>
          <w:lang w:val="en-US"/>
        </w:rPr>
        <w:t xml:space="preserve">, the Committee remains concerned by studies according to which the death penalty may be imposed disproportionately on ethnic minorities as well as on low-income groups, </w:t>
      </w:r>
      <w:r>
        <w:rPr>
          <w:bCs/>
          <w:lang w:val="en-US"/>
        </w:rPr>
        <w:t xml:space="preserve">a problem which does not seem to be fully acknowledged by the State party.  </w:t>
      </w:r>
      <w:r>
        <w:rPr>
          <w:lang w:val="en-US"/>
        </w:rPr>
        <w:t>(articles 6 and 14)</w:t>
      </w:r>
      <w:r>
        <w:rPr>
          <w:rStyle w:val="FootnoteReference"/>
          <w:rFonts w:eastAsia="SimSun"/>
          <w:lang w:val="en-US" w:eastAsia="zh-CN"/>
        </w:rPr>
        <w:t xml:space="preserve"> </w:t>
      </w:r>
    </w:p>
    <w:p w:rsidR="00000000" w:rsidRDefault="00000000">
      <w:pPr>
        <w:ind w:left="709"/>
        <w:jc w:val="both"/>
        <w:rPr>
          <w:b/>
          <w:bCs/>
          <w:szCs w:val="24"/>
          <w:lang w:val="en-US"/>
        </w:rPr>
      </w:pPr>
      <w:r>
        <w:rPr>
          <w:b/>
          <w:bCs/>
          <w:szCs w:val="24"/>
          <w:lang w:val="en-US"/>
        </w:rPr>
        <w:t xml:space="preserve">The State party should </w:t>
      </w:r>
      <w:r>
        <w:rPr>
          <w:rFonts w:eastAsia="SimSun"/>
          <w:b/>
          <w:bCs/>
          <w:color w:val="000000"/>
          <w:szCs w:val="24"/>
          <w:lang w:val="en-US" w:eastAsia="zh-CN"/>
        </w:rPr>
        <w:t xml:space="preserve">review federal and state legislation with a view to restricting the number of offences carrying the death penalty.  </w:t>
      </w:r>
      <w:r>
        <w:rPr>
          <w:b/>
          <w:bCs/>
          <w:szCs w:val="24"/>
          <w:lang w:val="en-US"/>
        </w:rPr>
        <w:t xml:space="preserve">The State party should also assess the extent to which </w:t>
      </w:r>
      <w:r>
        <w:rPr>
          <w:b/>
          <w:bCs/>
          <w:lang w:val="en-US"/>
        </w:rPr>
        <w:t xml:space="preserve">death penalty is disproportionately imposed on ethnic minorities and on low-income population groups, as well as the reasons for this, and </w:t>
      </w:r>
      <w:r>
        <w:rPr>
          <w:b/>
          <w:bCs/>
          <w:szCs w:val="24"/>
          <w:lang w:val="en-US"/>
        </w:rPr>
        <w:t xml:space="preserve">adopt all appropriate measures </w:t>
      </w:r>
      <w:r>
        <w:rPr>
          <w:b/>
          <w:bCs/>
          <w:lang w:val="en-US"/>
        </w:rPr>
        <w:t>to address the problem.  In the meantime, the State party should place a moratorium on capital sentences, bearing in mind the desirability of abolishing death penalty.</w:t>
      </w:r>
      <w:r>
        <w:rPr>
          <w:b/>
          <w:bCs/>
          <w:szCs w:val="24"/>
          <w:lang w:val="en-US"/>
        </w:rPr>
        <w:t xml:space="preserve"> </w:t>
      </w:r>
    </w:p>
    <w:p w:rsidR="00000000" w:rsidRDefault="00000000">
      <w:pPr>
        <w:pStyle w:val="PlainText"/>
        <w:spacing w:after="0"/>
        <w:rPr>
          <w:i/>
          <w:iCs/>
          <w:lang w:val="en-US"/>
        </w:rPr>
      </w:pPr>
    </w:p>
    <w:p w:rsidR="00000000" w:rsidRDefault="00000000">
      <w:pPr>
        <w:numPr>
          <w:ilvl w:val="0"/>
          <w:numId w:val="4"/>
        </w:numPr>
        <w:tabs>
          <w:tab w:val="clear" w:pos="720"/>
        </w:tabs>
        <w:ind w:left="0" w:hanging="11"/>
        <w:jc w:val="both"/>
        <w:rPr>
          <w:szCs w:val="24"/>
          <w:lang w:val="en-US"/>
        </w:rPr>
      </w:pPr>
      <w:r>
        <w:rPr>
          <w:szCs w:val="24"/>
          <w:lang w:val="en-US"/>
        </w:rPr>
        <w:t xml:space="preserve">The Committee reiterates its concern about reports of police brutality and excessive use of force by law enforcement officials.  </w:t>
      </w:r>
      <w:r>
        <w:rPr>
          <w:lang w:val="en-US"/>
        </w:rPr>
        <w:t xml:space="preserve">The Committee is concerned in particular by the use of so-called less lethal restraint devices, such as electro-muscular disruption devices (EMDs), in situations where lethal or other serious force would not otherwise have been used.  It is concerned about information according to which </w:t>
      </w:r>
      <w:r>
        <w:rPr>
          <w:szCs w:val="22"/>
          <w:lang w:val="en-US"/>
        </w:rPr>
        <w:t xml:space="preserve">police have used tasers against unruly schoolchildren; mentally disabled or intoxicated individuals involved in disturbed but non-life-threatening behaviour; elderly people; pregnant women; unarmed suspects fleeing minor crime scenes and people who argue with officers or simply fail to comply with police commands, without in most cases the responsible officers being found to have violated their departments’ policies.  (articles 6 and 7) </w:t>
      </w:r>
    </w:p>
    <w:p w:rsidR="00000000" w:rsidRDefault="00000000">
      <w:pPr>
        <w:ind w:left="709"/>
        <w:jc w:val="both"/>
        <w:rPr>
          <w:b/>
          <w:bCs/>
          <w:szCs w:val="24"/>
          <w:lang w:val="en-US"/>
        </w:rPr>
      </w:pPr>
      <w:r>
        <w:rPr>
          <w:b/>
          <w:bCs/>
          <w:szCs w:val="24"/>
          <w:lang w:val="en-US"/>
        </w:rPr>
        <w:t xml:space="preserve">The State party should increase significantly its efforts towards the elimination of police brutality and excessive use of force by law enforcement officials.  The State party should ensure that EMDs and other restraint devices are only used in situations where greater or lethal force would otherwise have been justified, and in particular that they are never used against vulnerable persons.  The State party should bring its policies into line with the United Nations Basic Principles on the Use of Force and Firearms by Law Enforcement Officials. </w:t>
      </w:r>
    </w:p>
    <w:p w:rsidR="00000000" w:rsidRDefault="00000000">
      <w:pPr>
        <w:numPr>
          <w:ilvl w:val="0"/>
          <w:numId w:val="4"/>
        </w:numPr>
        <w:tabs>
          <w:tab w:val="clear" w:pos="720"/>
        </w:tabs>
        <w:ind w:left="0" w:hanging="11"/>
        <w:jc w:val="both"/>
        <w:rPr>
          <w:szCs w:val="24"/>
          <w:lang w:val="en-US"/>
        </w:rPr>
      </w:pPr>
      <w:r>
        <w:rPr>
          <w:lang w:val="en-US"/>
        </w:rPr>
        <w:t xml:space="preserve">The Committee notes that (a) waivers of consent in research regulated by the U.S Department of Health and Human Services and the Food and Drug Administration may be given in case of individual and national emergencies; (b) some research may be conducted on persons vulnerable to coercion or undue influence such as children, prisoners, pregnant women, mentally disabled persons, or economically disadvantaged persons; (c) </w:t>
      </w:r>
      <w:r>
        <w:rPr>
          <w:rFonts w:eastAsia="SimSun"/>
          <w:color w:val="000000"/>
          <w:lang w:val="en-US" w:eastAsia="zh-CN"/>
        </w:rPr>
        <w:t xml:space="preserve">non-therapeutic research may be conducted on </w:t>
      </w:r>
      <w:r>
        <w:rPr>
          <w:lang w:val="en-US"/>
        </w:rPr>
        <w:t>mentally ill persons or persons with impaired decision-making capacity, including minors</w:t>
      </w:r>
      <w:r>
        <w:rPr>
          <w:rFonts w:eastAsia="SimSun"/>
          <w:color w:val="000000"/>
          <w:lang w:val="en-US" w:eastAsia="zh-CN"/>
        </w:rPr>
        <w:t xml:space="preserve">; and (d) although no waivers have been given so far, </w:t>
      </w:r>
      <w:r>
        <w:rPr>
          <w:bCs/>
          <w:lang w:val="en-US"/>
        </w:rPr>
        <w:t>domestic law authorizes the President to waive the prior informed-consent requirement for the administration of an investigational new drug to a member of the U.S. Armed Forces, if the President determines that obtaining consent is not feasible, is contrary to the best interests of the military members, or is not in the interests of U.S. national security. (article 7)</w:t>
      </w:r>
    </w:p>
    <w:p w:rsidR="00000000" w:rsidRDefault="00000000">
      <w:pPr>
        <w:ind w:left="709"/>
        <w:jc w:val="both"/>
        <w:rPr>
          <w:b/>
          <w:bCs/>
          <w:lang w:val="en-US"/>
        </w:rPr>
      </w:pPr>
      <w:r>
        <w:rPr>
          <w:b/>
          <w:bCs/>
          <w:lang w:val="en-US"/>
        </w:rPr>
        <w:t xml:space="preserve">The State party should ensure that it meets its obligation under article 7 of the Covenant not to subject anyone without his/her free consent to medical or scientific experimentation.  The Committee recalls in this regard the non-derogable character of this obligation under article 4 of the Covenant.  When there is doubt as to the ability of a person or a category of persons to give such consent, e.g. prisoners, the only experimental treatment compatible with article 7 would be treatment chosen as the most appropriate to meet the medical needs of the individual. </w:t>
      </w:r>
    </w:p>
    <w:p w:rsidR="00000000" w:rsidRDefault="00000000">
      <w:pPr>
        <w:numPr>
          <w:ilvl w:val="0"/>
          <w:numId w:val="4"/>
        </w:numPr>
        <w:tabs>
          <w:tab w:val="clear" w:pos="720"/>
        </w:tabs>
        <w:ind w:left="0" w:hanging="11"/>
        <w:jc w:val="both"/>
        <w:rPr>
          <w:szCs w:val="24"/>
          <w:lang w:val="en-US"/>
        </w:rPr>
      </w:pPr>
      <w:r>
        <w:rPr>
          <w:lang w:val="en-US"/>
        </w:rPr>
        <w:t>The Committee reiterates its concern that conditions in some maximum security prisons are incompatible with the obligation contained in article 10 (1) of the Covenant to treat detainees with humanity and respect for the inherent dignity of the human person.  It is particularly concerned by the practice in some such institutions to hold detainees in prolonged cellular confinement, and to allow them out-of-cell recreation for only five hours per week, in general conditions of strict regimentation in a depersonalized environment.  It is also concerned that such treatment cannot be reconciled with the requirement in article 10 (3) that the penitentiary system shall comprise treatment the essential aim of which shall be the reformation and social rehabilitation of prisoners.  It also expresses concern about the reported high numbers of severely mentally ill persons in these prisons, as well as in regular in U.S. jails.</w:t>
      </w:r>
      <w:r>
        <w:rPr>
          <w:rFonts w:ascii="Tms Rmn" w:hAnsi="Tms Rmn" w:cs="Tms Rmn"/>
          <w:color w:val="000000"/>
          <w:sz w:val="20"/>
          <w:lang w:val="en-US"/>
        </w:rPr>
        <w:t xml:space="preserve"> </w:t>
      </w:r>
    </w:p>
    <w:p w:rsidR="00000000" w:rsidRDefault="00000000">
      <w:pPr>
        <w:ind w:left="709"/>
        <w:jc w:val="both"/>
        <w:rPr>
          <w:b/>
          <w:bCs/>
          <w:i/>
          <w:iCs/>
          <w:szCs w:val="24"/>
          <w:lang w:val="en-US"/>
        </w:rPr>
      </w:pPr>
      <w:r>
        <w:rPr>
          <w:rFonts w:ascii="Tms Rmn" w:hAnsi="Tms Rmn" w:cs="Tms Rmn"/>
          <w:b/>
          <w:bCs/>
          <w:color w:val="000000"/>
          <w:lang w:val="en-US"/>
        </w:rPr>
        <w:t>The State party should scrutinize conditions of detention in prisons, in particular in maximum security prisons, with a view to guaranteeing that persons deprived of their liberty be treated in accordance with the requirements of article 10 of the Covenant and the United Nations Standard Minimum Rules for the Treatment of Prisoners.</w:t>
      </w:r>
    </w:p>
    <w:p w:rsidR="00000000" w:rsidRDefault="00000000">
      <w:pPr>
        <w:numPr>
          <w:ilvl w:val="0"/>
          <w:numId w:val="4"/>
        </w:numPr>
        <w:tabs>
          <w:tab w:val="clear" w:pos="720"/>
        </w:tabs>
        <w:ind w:left="0" w:hanging="11"/>
        <w:jc w:val="both"/>
        <w:rPr>
          <w:rStyle w:val="NormalWebChar"/>
        </w:rPr>
      </w:pPr>
      <w:r>
        <w:rPr>
          <w:rStyle w:val="NormalWebChar"/>
        </w:rPr>
        <w:t xml:space="preserve">The Committee, while welcoming the adoption of the Prison Rape Elimination Act of 2003, regrets that the State party has not implemented its previous recommendation that </w:t>
      </w:r>
      <w:r>
        <w:rPr>
          <w:rFonts w:eastAsia="SimSun"/>
          <w:color w:val="000000"/>
          <w:szCs w:val="24"/>
          <w:lang w:val="en-US" w:eastAsia="zh-CN"/>
        </w:rPr>
        <w:t xml:space="preserve">legislation allowing male officers access to women's quarters should be amended to provide at least that they will always be accompanied by women officers.  </w:t>
      </w:r>
      <w:r>
        <w:rPr>
          <w:rStyle w:val="NormalWebChar"/>
        </w:rPr>
        <w:t>The Committee also expresses concern about the shackling of detained women during childbirth.  (articles 7 and 10)</w:t>
      </w:r>
    </w:p>
    <w:p w:rsidR="00000000" w:rsidRDefault="00000000">
      <w:pPr>
        <w:ind w:left="709"/>
        <w:jc w:val="both"/>
        <w:rPr>
          <w:b/>
          <w:bCs/>
          <w:i/>
          <w:iCs/>
          <w:lang w:val="en-US"/>
        </w:rPr>
      </w:pPr>
      <w:r>
        <w:rPr>
          <w:rStyle w:val="Strong"/>
          <w:lang w:val="en-US"/>
        </w:rPr>
        <w:t xml:space="preserve">The Committee reiterates its recommendation that </w:t>
      </w:r>
      <w:r>
        <w:rPr>
          <w:rFonts w:eastAsia="SimSun"/>
          <w:b/>
          <w:bCs/>
          <w:color w:val="000000"/>
          <w:szCs w:val="24"/>
          <w:lang w:val="en-US" w:eastAsia="zh-CN"/>
        </w:rPr>
        <w:t xml:space="preserve">male officers should not be granted access to women's quarters, or at least be accompanied by women officers.  </w:t>
      </w:r>
      <w:r>
        <w:rPr>
          <w:rFonts w:ascii="Tms Rmn" w:eastAsia="SimSun" w:hAnsi="Tms Rmn" w:cs="Tms Rmn"/>
          <w:b/>
          <w:bCs/>
          <w:color w:val="000000"/>
          <w:szCs w:val="24"/>
          <w:lang w:val="en-US" w:eastAsia="zh-CN"/>
        </w:rPr>
        <w:t xml:space="preserve"> The Committee also recommends the State party to prohibit </w:t>
      </w:r>
      <w:r>
        <w:rPr>
          <w:b/>
          <w:bCs/>
          <w:lang w:val="en-US"/>
        </w:rPr>
        <w:t>the shackling of detained women during childbirth</w:t>
      </w:r>
      <w:r>
        <w:rPr>
          <w:rFonts w:ascii="Tms Rmn" w:eastAsia="SimSun" w:hAnsi="Tms Rmn" w:cs="Tms Rmn"/>
          <w:b/>
          <w:bCs/>
          <w:color w:val="000000"/>
          <w:szCs w:val="24"/>
          <w:lang w:val="en-US" w:eastAsia="zh-CN"/>
        </w:rPr>
        <w:t xml:space="preserve">. </w:t>
      </w:r>
    </w:p>
    <w:p w:rsidR="00000000" w:rsidRDefault="00000000">
      <w:pPr>
        <w:pStyle w:val="PlainText"/>
        <w:spacing w:after="0"/>
        <w:rPr>
          <w:bCs/>
          <w:u w:val="single"/>
          <w:lang w:val="en-US"/>
        </w:rPr>
      </w:pPr>
    </w:p>
    <w:p w:rsidR="00000000" w:rsidRDefault="00000000">
      <w:pPr>
        <w:numPr>
          <w:ilvl w:val="0"/>
          <w:numId w:val="4"/>
        </w:numPr>
        <w:tabs>
          <w:tab w:val="clear" w:pos="720"/>
        </w:tabs>
        <w:ind w:left="0" w:hanging="11"/>
        <w:jc w:val="both"/>
        <w:rPr>
          <w:szCs w:val="24"/>
          <w:lang w:val="en-US"/>
        </w:rPr>
      </w:pPr>
      <w:r>
        <w:rPr>
          <w:lang w:val="en-US"/>
        </w:rPr>
        <w:t>The Committee notes with concern reports that forty-two states and the Federal government have laws allowing persons under the age of eighteen at the time the offence was committed, to receive life sentences, without parole, and that about 2,225 youth offenders are currently serving life sentences in United States prisons.  The Committee, while noting the State party’s reservation to treat juveniles as adults in exceptional circumstances notwithstanding articles 10 (2) (b) and (3) and 14 (4) of the Covenant, remains concerned by information that treatment of children as adults is not only applied in exceptional circumstances.  The Committee is of the view that sentencing children to life sentence without parole is of itself not in compliance with article 24 (1) of the Covenant.  (articles 7 and 24)</w:t>
      </w:r>
    </w:p>
    <w:p w:rsidR="00000000" w:rsidRDefault="00000000">
      <w:pPr>
        <w:ind w:left="709"/>
        <w:jc w:val="both"/>
        <w:rPr>
          <w:b/>
          <w:bCs/>
          <w:lang w:val="en-US"/>
        </w:rPr>
      </w:pPr>
      <w:r>
        <w:rPr>
          <w:b/>
          <w:bCs/>
          <w:lang w:val="en-US"/>
        </w:rPr>
        <w:t>The State party should ensure that no such child offender is sentenced to life imprisonment without parole, and should adopt all appropriate measures to review the situation of persons already serving such sentences.</w:t>
      </w:r>
    </w:p>
    <w:p w:rsidR="00000000" w:rsidRDefault="00000000">
      <w:pPr>
        <w:ind w:left="709"/>
        <w:jc w:val="both"/>
        <w:rPr>
          <w:b/>
          <w:bCs/>
          <w:lang w:val="en-US"/>
        </w:rPr>
      </w:pPr>
    </w:p>
    <w:p w:rsidR="00000000" w:rsidRDefault="00000000">
      <w:pPr>
        <w:numPr>
          <w:ilvl w:val="0"/>
          <w:numId w:val="4"/>
        </w:numPr>
        <w:tabs>
          <w:tab w:val="clear" w:pos="720"/>
        </w:tabs>
        <w:ind w:left="0" w:hanging="11"/>
        <w:jc w:val="both"/>
        <w:rPr>
          <w:szCs w:val="24"/>
          <w:lang w:val="en-US"/>
        </w:rPr>
      </w:pPr>
      <w:r>
        <w:rPr>
          <w:rStyle w:val="NormalWebChar"/>
        </w:rPr>
        <w:t xml:space="preserve">The Committee is concerned that about </w:t>
      </w:r>
      <w:r>
        <w:rPr>
          <w:lang w:val="en-US"/>
        </w:rPr>
        <w:t>five million citizens cannot vote due to a felony conviction, and that this practice has significant racial implications</w:t>
      </w:r>
      <w:r>
        <w:rPr>
          <w:rStyle w:val="NormalWebChar"/>
        </w:rPr>
        <w:t xml:space="preserve">.  The Committee also notes with concern </w:t>
      </w:r>
      <w:r>
        <w:rPr>
          <w:lang w:val="en-US"/>
        </w:rPr>
        <w:t>that the recommendation made in 2001 by the National Commission on Federal Election Reform that all states restore voting rights to citizens who have fully served their sentences has not been endorsed by all states.  The Committee is of the view that general deprivation of the right vote for persons who have received a felony conviction, and in particular those who are no longer deprived of liberty, do not meet the requirements of articles 25 of 26 of the Covenant, nor serves the rehabilitation goals of article 10 (3).</w:t>
      </w:r>
    </w:p>
    <w:p w:rsidR="00000000" w:rsidRDefault="00000000">
      <w:pPr>
        <w:ind w:left="709"/>
        <w:jc w:val="both"/>
        <w:rPr>
          <w:b/>
          <w:bCs/>
          <w:szCs w:val="24"/>
          <w:lang w:val="en-US"/>
        </w:rPr>
      </w:pPr>
      <w:r>
        <w:rPr>
          <w:b/>
          <w:bCs/>
          <w:lang w:val="en-US"/>
        </w:rPr>
        <w:t xml:space="preserve">The State party should adopt appropriate measures to ensure that states restore voting rights to citizens who have fully served their sentences and those who have been released on parole.  The Committee also recommends that the State party review regulations relating to deprivation of votes for felony conviction to ensure that they always meet the reasonableness test of article 25.  The State party should also assess the extent to which such regulations disproportionately impact on the rights of minority groups and provide the Committee with detailed information in this regard. </w:t>
      </w:r>
    </w:p>
    <w:p w:rsidR="00000000" w:rsidRDefault="00000000">
      <w:pPr>
        <w:numPr>
          <w:ilvl w:val="0"/>
          <w:numId w:val="4"/>
        </w:numPr>
        <w:tabs>
          <w:tab w:val="clear" w:pos="720"/>
        </w:tabs>
        <w:ind w:left="0" w:hanging="11"/>
        <w:jc w:val="both"/>
        <w:rPr>
          <w:szCs w:val="24"/>
          <w:lang w:val="en-US"/>
        </w:rPr>
      </w:pPr>
      <w:r>
        <w:rPr>
          <w:lang w:val="en-US"/>
        </w:rPr>
        <w:t>The Committee, having taken note of the responses provided by the delegation, remains concerned that residents of the District of Columbia do not enjoy full representation in Congress, a restriction which does not seem to be compatible with article 25 of the Covenant.  (articles 2, 25 and 26)</w:t>
      </w:r>
    </w:p>
    <w:p w:rsidR="00000000" w:rsidRDefault="00000000">
      <w:pPr>
        <w:ind w:left="709"/>
        <w:jc w:val="both"/>
        <w:rPr>
          <w:b/>
          <w:bCs/>
          <w:szCs w:val="24"/>
          <w:lang w:val="en-US"/>
        </w:rPr>
      </w:pPr>
      <w:r>
        <w:rPr>
          <w:b/>
          <w:bCs/>
          <w:lang w:val="en-US"/>
        </w:rPr>
        <w:t xml:space="preserve">The State party should ensure the right of residents of the District of Columbia to take part in the conduct of public affairs, directly or through freely chosen representatives, </w:t>
      </w:r>
      <w:r>
        <w:rPr>
          <w:b/>
          <w:lang w:val="en-US"/>
        </w:rPr>
        <w:t>in particular with regard to the House of Representatives</w:t>
      </w:r>
      <w:r>
        <w:rPr>
          <w:b/>
          <w:bCs/>
          <w:lang w:val="en-US"/>
        </w:rPr>
        <w:t>.</w:t>
      </w:r>
    </w:p>
    <w:p w:rsidR="00000000" w:rsidRDefault="00000000">
      <w:pPr>
        <w:pStyle w:val="PlainText"/>
        <w:spacing w:after="0"/>
        <w:rPr>
          <w:b/>
          <w:bCs/>
          <w:u w:val="single"/>
          <w:lang w:val="en-US"/>
        </w:rPr>
      </w:pPr>
    </w:p>
    <w:p w:rsidR="00000000" w:rsidRDefault="00000000">
      <w:pPr>
        <w:numPr>
          <w:ilvl w:val="0"/>
          <w:numId w:val="4"/>
        </w:numPr>
        <w:tabs>
          <w:tab w:val="clear" w:pos="720"/>
        </w:tabs>
        <w:ind w:left="0" w:hanging="11"/>
        <w:jc w:val="both"/>
        <w:rPr>
          <w:rFonts w:eastAsia="SimSun"/>
          <w:szCs w:val="24"/>
          <w:lang w:val="en-US" w:eastAsia="zh-CN"/>
        </w:rPr>
      </w:pPr>
      <w:r>
        <w:rPr>
          <w:rFonts w:eastAsia="SimSun"/>
          <w:szCs w:val="24"/>
          <w:lang w:val="en-US" w:eastAsia="zh-CN"/>
        </w:rPr>
        <w:t>The Committee notes with concern that no action has been taken by the State party to address its previous recommendation relating to the extinguishment of aboriginal and indigenous rights.  The Committee, while noting that the guarantees provided by the Fifth Amendment apply to the taking of land in situations where treaties concluded between the Federal Government and Indian tribes apply, is concerned that in other situations, in particular where land was assigned by creating a reservation or is held by reason of long possession and use, tribal property rights can be extinguished on the basis of the plenary authority of Congress for conducting Indian affairs without due process and fair compensation.  The Committee is also concerned that the concept of permanent trusteeship over the Indian and Alaska native tribes and their land as well as the actual exercise of this trusteeship in managing the so called Individual Indian Money (IIM) accounts may infringe upon the full enjoyment of their rights under the Covenant.  Finally, the</w:t>
      </w:r>
      <w:r>
        <w:rPr>
          <w:lang w:val="en-US"/>
        </w:rPr>
        <w:t xml:space="preserve"> Committee regrets that it has not received sufficient information on the consequences on the situation of Indigenous Native Hawaiians of Public Law 103-150 apologizing to the Native Hawaiians Peoples for the illegal overthrow of the Kingdom of Hawaii, which resulted in the suppression of the inherent sovereignty of the Hawaiian people.  </w:t>
      </w:r>
      <w:r>
        <w:rPr>
          <w:rFonts w:eastAsia="SimSun"/>
          <w:szCs w:val="24"/>
          <w:lang w:val="en-US" w:eastAsia="zh-CN"/>
        </w:rPr>
        <w:t>(articles 1, 26 and 27 in conjunction with Article 2, paragraph 3 of the Covenant).</w:t>
      </w:r>
    </w:p>
    <w:p w:rsidR="00000000" w:rsidRDefault="00000000">
      <w:pPr>
        <w:autoSpaceDE w:val="0"/>
        <w:autoSpaceDN w:val="0"/>
        <w:adjustRightInd w:val="0"/>
        <w:spacing w:after="0"/>
        <w:ind w:left="709"/>
        <w:jc w:val="both"/>
        <w:rPr>
          <w:szCs w:val="24"/>
          <w:lang w:val="en-US"/>
        </w:rPr>
      </w:pPr>
      <w:r>
        <w:rPr>
          <w:rFonts w:eastAsia="SimSun"/>
          <w:b/>
          <w:bCs/>
          <w:szCs w:val="24"/>
          <w:lang w:val="en-US" w:eastAsia="zh-CN"/>
        </w:rPr>
        <w:t xml:space="preserve">The State party should review its policy towards indigenous peoples as regards the extinguishment of aboriginal rights on the basis of the plenary power of Congress regarding Indian affairs and grant them the same degree of judicial protection that is available to the non-indigenous population.  The State party should </w:t>
      </w:r>
      <w:r>
        <w:rPr>
          <w:b/>
          <w:szCs w:val="24"/>
          <w:lang w:val="en-US"/>
        </w:rPr>
        <w:t xml:space="preserve">take further steps to secure the rights of all indigenous peoples, under articles 1 and 27 of the Covenant, so as to give them </w:t>
      </w:r>
      <w:r>
        <w:rPr>
          <w:rFonts w:cs="Arial"/>
          <w:b/>
          <w:szCs w:val="24"/>
          <w:lang w:val="en-US"/>
        </w:rPr>
        <w:t>greater influence in decision-making affecting their natural environment and their means of subsistence as well as their own culture.</w:t>
      </w:r>
    </w:p>
    <w:p w:rsidR="00000000" w:rsidRDefault="00000000">
      <w:pPr>
        <w:autoSpaceDE w:val="0"/>
        <w:autoSpaceDN w:val="0"/>
        <w:adjustRightInd w:val="0"/>
        <w:spacing w:after="0"/>
        <w:jc w:val="both"/>
        <w:rPr>
          <w:lang w:val="en-US"/>
        </w:rPr>
      </w:pPr>
    </w:p>
    <w:p w:rsidR="00000000" w:rsidRDefault="00000000">
      <w:pPr>
        <w:numPr>
          <w:ilvl w:val="0"/>
          <w:numId w:val="4"/>
        </w:numPr>
        <w:tabs>
          <w:tab w:val="clear" w:pos="720"/>
        </w:tabs>
        <w:ind w:left="0" w:hanging="11"/>
        <w:jc w:val="both"/>
        <w:rPr>
          <w:lang w:val="en-US"/>
        </w:rPr>
      </w:pPr>
      <w:r>
        <w:rPr>
          <w:lang w:val="en-US"/>
        </w:rPr>
        <w:t>The Committee sets 1</w:t>
      </w:r>
      <w:r>
        <w:rPr>
          <w:vertAlign w:val="superscript"/>
          <w:lang w:val="en-US"/>
        </w:rPr>
        <w:t>st</w:t>
      </w:r>
      <w:r>
        <w:rPr>
          <w:lang w:val="en-US"/>
        </w:rPr>
        <w:t xml:space="preserve"> August </w:t>
      </w:r>
      <w:r>
        <w:rPr>
          <w:bCs/>
          <w:lang w:val="en-US"/>
        </w:rPr>
        <w:t>2010</w:t>
      </w:r>
      <w:r>
        <w:rPr>
          <w:lang w:val="en-US"/>
        </w:rPr>
        <w:t xml:space="preserve"> as the date for the submission of the fourth periodic report of the United States of America.   It requests that the State party’s second and third periodic reports and the present concluding observations be published and widely disseminated in the State party, to the general public as well as to the judicial, legislative and administrative authorities, and that the fourth periodic report be circulated for the attention of the non-governmental organizations operating in the country. </w:t>
      </w:r>
    </w:p>
    <w:p w:rsidR="00000000" w:rsidRDefault="00000000">
      <w:pPr>
        <w:numPr>
          <w:ilvl w:val="0"/>
          <w:numId w:val="4"/>
        </w:numPr>
        <w:tabs>
          <w:tab w:val="clear" w:pos="720"/>
        </w:tabs>
        <w:ind w:left="0" w:firstLine="0"/>
        <w:jc w:val="both"/>
        <w:rPr>
          <w:rFonts w:eastAsia="SimSun"/>
          <w:color w:val="000000"/>
          <w:szCs w:val="24"/>
          <w:lang w:val="en-US" w:eastAsia="zh-CN"/>
        </w:rPr>
      </w:pPr>
      <w:r>
        <w:rPr>
          <w:lang w:val="en-US"/>
        </w:rPr>
        <w:t>In accordance with rule 71, paragraph 5, of the Committee’s rules of procedure, the State party should submit within one year information on the follow-up given to the Committee’s recommendations in paragraphs 12, 13, 14, 16, 20 and 26 above.   The Committee requests the State party to include in its next periodic report information on its remaining recommendations and on the implementation of the Covenant as a whole, as well as about the practical implementation of the Covenant, the difficulties encountered in this regard, and the implementation of the Covenant at state level.  The State party is also encouraged to provide more detailed information on the adoption of effective mechanisms to ensure that new and existing legislation, at federal and at state level, is in compliance with the Covenant, and about mechanisms adopted to ensure proper follow-up of the Committee’s concluding observations.</w:t>
      </w:r>
    </w:p>
    <w:p w:rsidR="00000000" w:rsidRDefault="00000000">
      <w:pPr>
        <w:ind w:left="-11"/>
        <w:jc w:val="center"/>
        <w:rPr>
          <w:szCs w:val="24"/>
          <w:lang w:val="en-US"/>
        </w:rPr>
      </w:pPr>
      <w:r>
        <w:rPr>
          <w:szCs w:val="24"/>
          <w:lang w:val="en-US"/>
        </w:rPr>
        <w:t>---</w:t>
      </w:r>
    </w:p>
    <w:sectPr w:rsidR="00000000">
      <w:headerReference w:type="even" r:id="rId10"/>
      <w:headerReference w:type="default" r:id="rId11"/>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CCPR/C/USA/CO/3</w:t>
    </w:r>
  </w:p>
  <w:p w:rsidR="00000000" w:rsidRDefault="00000000">
    <w:pPr>
      <w:pStyle w:val="Header"/>
      <w:spacing w:after="0"/>
    </w:pPr>
    <w:r>
      <w:rPr>
        <w:lang w:val="en-US"/>
      </w:rPr>
      <w:t>P</w:t>
    </w:r>
    <w:r>
      <w:t xml:space="preserve">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jc w:val="right"/>
      <w:rPr>
        <w:lang w:val="es-ES_tradnl"/>
      </w:rPr>
    </w:pPr>
    <w:r>
      <w:rPr>
        <w:lang w:val="en-US"/>
      </w:rPr>
      <w:t>CCPR/C/USA/CO/3</w:t>
    </w:r>
  </w:p>
  <w:p w:rsidR="00000000" w:rsidRDefault="00000000">
    <w:pPr>
      <w:pStyle w:val="Header"/>
      <w:spacing w:after="0"/>
      <w:jc w:val="right"/>
    </w:pP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7AA0"/>
    <w:multiLevelType w:val="hybridMultilevel"/>
    <w:tmpl w:val="25129E3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
    <w:nsid w:val="22096BE0"/>
    <w:multiLevelType w:val="hybridMultilevel"/>
    <w:tmpl w:val="91F040F6"/>
    <w:lvl w:ilvl="0" w:tplc="86947E4A">
      <w:start w:val="1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4B10189"/>
    <w:multiLevelType w:val="hybridMultilevel"/>
    <w:tmpl w:val="8FFC2054"/>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5"/>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s-ES_tradnl" w:vendorID="64" w:dllVersion="131078" w:nlCheck="1" w:checkStyle="1"/>
  <w:activeWritingStyle w:appName="MSWord" w:lang="fr-CA" w:vendorID="64" w:dllVersion="131078" w:nlCheck="1" w:checkStyle="1"/>
  <w:activeWritingStyle w:appName="MSWord" w:lang="en-US"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aliases w:val="Footnote Text Char Char Char,Footnote Text Char Char Char Char,Footnote Text Char Char Char Char Char,Footnote Text Char Char Char Char Char Char,Footnote Text Char Char Char Char Char Char Char Char Char Char,FA Fu"/>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rPr>
      <w:rFonts w:ascii="Tahoma" w:hAnsi="Tahoma" w:cs="Tahoma"/>
      <w:sz w:val="16"/>
      <w:szCs w:val="16"/>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Emphasis">
    <w:name w:val="Emphasis"/>
    <w:qFormat/>
    <w:rPr>
      <w:i/>
      <w:iCs/>
    </w:r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szCs w:val="24"/>
      <w:lang w:val="en-US"/>
    </w:rPr>
  </w:style>
  <w:style w:type="character" w:styleId="Strong">
    <w:name w:val="Strong"/>
    <w:qFormat/>
    <w:rPr>
      <w:b/>
      <w:bCs/>
    </w:rPr>
  </w:style>
  <w:style w:type="paragraph" w:customStyle="1" w:styleId="H1">
    <w:name w:val="_ H_1"/>
    <w:basedOn w:val="Normal"/>
    <w:next w:val="SingleTxt"/>
    <w:pPr>
      <w:keepNext/>
      <w:keepLines/>
      <w:suppressAutoHyphens/>
      <w:spacing w:after="0" w:line="270" w:lineRule="exact"/>
      <w:outlineLvl w:val="0"/>
    </w:pPr>
    <w:rPr>
      <w:b/>
      <w:spacing w:val="4"/>
      <w:w w:val="103"/>
      <w:kern w:val="14"/>
      <w:lang w:val="fr-CA"/>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character" w:customStyle="1" w:styleId="NormalWebChar">
    <w:name w:val="Normal (Web) Char"/>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pct.law.cornell.edu/supct-cgi/get-const?amendmentx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5595</Words>
  <Characters>31893</Characters>
  <Application>Microsoft Office Word</Application>
  <DocSecurity>4</DocSecurity>
  <Lines>265</Lines>
  <Paragraphs>63</Paragraphs>
  <ScaleCrop>false</ScaleCrop>
  <HeadingPairs>
    <vt:vector size="2" baseType="variant">
      <vt:variant>
        <vt:lpstr>Title</vt:lpstr>
      </vt:variant>
      <vt:variant>
        <vt:i4>1</vt:i4>
      </vt:variant>
    </vt:vector>
  </HeadingPairs>
  <TitlesOfParts>
    <vt:vector size="1" baseType="lpstr">
      <vt:lpstr>0444978</vt:lpstr>
    </vt:vector>
  </TitlesOfParts>
  <Company/>
  <LinksUpToDate>false</LinksUpToDate>
  <CharactersWithSpaces>39166</CharactersWithSpaces>
  <SharedDoc>false</SharedDoc>
  <HLinks>
    <vt:vector size="6" baseType="variant">
      <vt:variant>
        <vt:i4>4194326</vt:i4>
      </vt:variant>
      <vt:variant>
        <vt:i4>6</vt:i4>
      </vt:variant>
      <vt:variant>
        <vt:i4>0</vt:i4>
      </vt:variant>
      <vt:variant>
        <vt:i4>5</vt:i4>
      </vt:variant>
      <vt:variant>
        <vt:lpwstr>http://supct.law.cornell.edu/supct-cgi/get-const?amendmentxiv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0444978</dc:title>
  <dc:subject/>
  <dc:creator>BEST FRUTIGER</dc:creator>
  <cp:keywords>CCPR/C/83/L/GRC</cp:keywords>
  <dc:description/>
  <cp:lastModifiedBy>csd</cp:lastModifiedBy>
  <cp:revision>2</cp:revision>
  <cp:lastPrinted>2006-07-27T18:29:00Z</cp:lastPrinted>
  <dcterms:created xsi:type="dcterms:W3CDTF">2006-09-20T15:45:00Z</dcterms:created>
  <dcterms:modified xsi:type="dcterms:W3CDTF">2006-09-20T15:45:00Z</dcterms:modified>
</cp:coreProperties>
</file>