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43255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090806    100806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5620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</w:t>
            </w:r>
            <w:proofErr w:type="spellStart"/>
            <w:r>
              <w:rPr>
                <w:sz w:val="22"/>
                <w:lang w:val="en-US"/>
              </w:rPr>
              <w:t>KOR</w:t>
            </w:r>
            <w:proofErr w:type="spellEnd"/>
            <w:r>
              <w:rPr>
                <w:sz w:val="22"/>
                <w:lang w:val="en-US"/>
              </w:rPr>
              <w:t>/CO/2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25 </w:t>
            </w:r>
            <w:proofErr w:type="spellStart"/>
            <w:r>
              <w:rPr>
                <w:sz w:val="22"/>
              </w:rPr>
              <w:t>July</w:t>
            </w:r>
            <w:proofErr w:type="spellEnd"/>
            <w:r>
              <w:rPr>
                <w:sz w:val="22"/>
              </w:rPr>
              <w:t xml:space="preserve"> 2006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ПРОТИВ ПЫТОК</w:t>
      </w:r>
    </w:p>
    <w:p w:rsidR="00000000" w:rsidRDefault="00000000">
      <w:r>
        <w:t>Тридцать шестая сессия</w:t>
      </w:r>
    </w:p>
    <w:p w:rsidR="00000000" w:rsidRDefault="00000000">
      <w:r>
        <w:t>1-19 мая 2006 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РЕСПУБЛИКА КОРЕЯ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рассмотрел второй периодический доклад Республики Корея (САТ/С/53/Аdd.2) на своих 711-м и 714-м заседаниях, состоявшихся 11 и 12 мая 2006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.711 и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.714), и принял на своем 722-м заседании 18 мая 2006 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.722) 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второй периодический доклад Республики Корея, подготовленный в соответствии с руководящими принципами Комитета, но представленный с опозданием в четыре года.  Комитет дает высокую оценку исчерпывающим ответам на список вопросов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KOR</w:t>
      </w:r>
      <w:r>
        <w:t>/</w:t>
      </w:r>
      <w:r>
        <w:rPr>
          <w:lang w:val="en-US"/>
        </w:rPr>
        <w:t>Q</w:t>
      </w:r>
      <w:r>
        <w:t>/2), а также представленным во время рассмотрения доклада аудиовизуальным информационным материалам.  Он также с признательностью отмечает открытый и конструктивный диалог с делегацией высокого уровня.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/>
    <w:p w:rsidR="00000000" w:rsidRDefault="00000000">
      <w:r>
        <w:t>3.</w:t>
      </w:r>
      <w:r>
        <w:tab/>
        <w:t xml:space="preserve">Комитет приветствует значительный прогресс, достигнутый за время, прошедшее после рассмотрения первого доклада, в обеспечении более эффективной защиты прав человека.  Он также отмечает неустанные усилия государства-участника по пересмотру своего законодательства и принятию других необходимых мер в целях реализации рекомендаций Комитета и поощрения выполнения Конвенции, включая:  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более строгое применение Закона о национальной безопасности и принятие мер для освобождения и помилования лиц, ранее осужденных согласно этому Закону;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меры по расследованию и оказанию правовой защиты в отношении нарушений прав человека, имевших место в прошлом, такие, как принятие Специального закона об установлении истины в отношении подозрительных смертных случаев в 2000 году и последующее создание президентской Комиссии по установлению истины в отношении подозрительных смертных случаев, а также принятие Закона о восстановлении чести и предоставлении компенсации лицам, участвовавшим в движении за демократизацию в 2000 году;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создание в 2001 году Национальной комиссии по правам человека, мандат которой предусматривает проведение расследований и принятие правовых мер в случаях нарушения прав человека и, в определенных обстоятельствах, проведение инспекции мест содержания под стражей и исправительных заведений;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меры обеспечения соблюдения основополагающих правовых гарантий лиц, задержанных полицией, включая пересмотр Уголовно-процессуального закона в 1997 году для того, чтобы предоставить судьям возможность (по запросу) допрашивать лиц перед их арестом;  принятие в 2002 году Директивы о защите прав человека при проведении расследований;  и принятие Общих мер по усилению защиты прав человека в 2005 году;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создание групп или департаментов по правам человека в министерствах юстиции и национальной обороны и в окружных прокуратурах;  и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создание органов гражданского контроля  за местами содержания под стражей и исправительными заведениями, таких, как комиссия по мониторингу случаев сексуального насилия и консультативный комитет при администрации исправительных заведений.</w:t>
      </w:r>
    </w:p>
    <w:p w:rsidR="00000000" w:rsidRDefault="00000000"/>
    <w:p w:rsidR="00000000" w:rsidRDefault="00000000">
      <w:r>
        <w:t>4.</w:t>
      </w:r>
      <w:r>
        <w:tab/>
        <w:t xml:space="preserve">Приветствуя устные заверения делегации в том, что она будет рекомендовать внесение изменений во внутреннее законодательство в отношении пыток, Комитет тем не менее сохраняет обеспокоенность в связи с тем обстоятельством, что государство-участник не включило в свое уголовное законодательство конкретного определения преступления, заключающегося  в применении пыток, соответствующего приведенному в статье 1 Конвенции.  </w:t>
      </w:r>
    </w:p>
    <w:p w:rsidR="00000000" w:rsidRDefault="00000000"/>
    <w:p w:rsidR="00000000" w:rsidRDefault="00000000">
      <w:pPr>
        <w:ind w:left="561"/>
        <w:rPr>
          <w:b/>
          <w:bCs/>
        </w:rPr>
      </w:pPr>
      <w:r>
        <w:rPr>
          <w:b/>
          <w:bCs/>
        </w:rPr>
        <w:t>Согласно предыдущей рекомендации Комитета (</w:t>
      </w:r>
      <w:r>
        <w:rPr>
          <w:b/>
          <w:bCs/>
          <w:lang w:val="en-US"/>
        </w:rPr>
        <w:t>A</w:t>
      </w:r>
      <w:r>
        <w:rPr>
          <w:b/>
          <w:bCs/>
        </w:rPr>
        <w:t>/52/22, пункт 62) государству-участнику следует включить определение преступления, заключающегося  в применении пыток, в свой Уголовный кодекс в соответствии со статьей 1 Конвенции.</w:t>
      </w:r>
    </w:p>
    <w:p w:rsidR="00000000" w:rsidRDefault="00000000"/>
    <w:p w:rsidR="00000000" w:rsidRDefault="00000000">
      <w:r>
        <w:t>5.</w:t>
      </w:r>
      <w:r>
        <w:tab/>
        <w:t xml:space="preserve">Комитет с обеспокоенностью отмечает то обстоятельство, что статья 125 Уголовного кодекса, касающаяся насилия и жестокого обращения, применима только к конкретным лицам в ходе следственных процедур и судебного разбирательства, в то время как в отношении других представляющих собой пытки действий, которые не попадают в сферу действия этой статьи, применяются другие положения Уголовного кодекса и для них предусмотрены менее суровые наказания.  </w:t>
      </w:r>
    </w:p>
    <w:p w:rsidR="00000000" w:rsidRDefault="00000000"/>
    <w:p w:rsidR="00000000" w:rsidRDefault="00000000">
      <w:pPr>
        <w:ind w:left="561"/>
        <w:rPr>
          <w:b/>
          <w:bCs/>
        </w:rPr>
      </w:pPr>
      <w:r>
        <w:rPr>
          <w:b/>
          <w:bCs/>
        </w:rPr>
        <w:t>Государство-участник должно пересмотреть и, в случае необходимости, внести поправки в Уголовный кодекс с целью обеспечения того, чтобы все случаи пыток криминализировались и наказывались в соответствии с пунктом 2 статьи 4 Конвенции.</w:t>
      </w:r>
    </w:p>
    <w:p w:rsidR="00000000" w:rsidRDefault="00000000"/>
    <w:p w:rsidR="00000000" w:rsidRDefault="00000000">
      <w:r>
        <w:t>6.</w:t>
      </w:r>
      <w:r>
        <w:tab/>
        <w:t xml:space="preserve">Принимая к сведению недавние меры по ограничению применения Закона о национальной безопасности и по смягчению участи осужденных по нему лиц, Комитет сохраняет обеспокоенность в связи с тем, что определенные положения этого Закона остаются расплывчатыми и что правила и положения, касающиеся ареста и содержания под стражей, продолжают применяться произвольным образом.  </w:t>
      </w:r>
    </w:p>
    <w:p w:rsidR="00000000" w:rsidRDefault="00000000"/>
    <w:p w:rsidR="00000000" w:rsidRDefault="00000000">
      <w:pPr>
        <w:ind w:left="561"/>
        <w:rPr>
          <w:b/>
          <w:bCs/>
        </w:rPr>
      </w:pPr>
      <w:r>
        <w:rPr>
          <w:b/>
          <w:bCs/>
        </w:rPr>
        <w:t>В соответствии с предыдущей рекомендацией Комитета (</w:t>
      </w:r>
      <w:r>
        <w:rPr>
          <w:b/>
          <w:bCs/>
          <w:lang w:val="en-US"/>
        </w:rPr>
        <w:t>A</w:t>
      </w:r>
      <w:r>
        <w:rPr>
          <w:b/>
          <w:bCs/>
        </w:rPr>
        <w:t>/52/44, пункт 59) государству-участнику следует продолжить пересмотр Закона о национальной безопасности с целью обеспечения его полного соответствия Конвенции, а также того, чтобы аресты и содержание под стражей, производимые согласно этому закону, не повышали потенциальную возможность нарушения прав человека.  В свой следующий периодический доклад государству-участнику также надлежит включить информацию о развитии и результатах дискуссии с Национальной ассамблеей об отмене этого Закона или внесении в него поправок.</w:t>
      </w:r>
    </w:p>
    <w:p w:rsidR="00000000" w:rsidRDefault="00000000"/>
    <w:p w:rsidR="00000000" w:rsidRDefault="00000000">
      <w:r>
        <w:t>7.</w:t>
      </w:r>
      <w:r>
        <w:tab/>
        <w:t>Несмотря на существование законодательных и административных мер для пресечения и запрещения пыток и других видов жестокого обращения, Комитет сохраняет обеспокоенность в связи с продолжающими поступать сообщениями о случаях пыток и запугивания со стороны сотрудников правоохранительных органов, в частности в связи с применением чрезмерной силы и других видов жестокого обращения во время арестов и расследования, а также в местах содержания под стражей и исправительных заведениях.</w:t>
      </w:r>
    </w:p>
    <w:p w:rsidR="00000000" w:rsidRDefault="00000000"/>
    <w:p w:rsidR="00000000" w:rsidRDefault="00000000">
      <w:pPr>
        <w:ind w:left="561"/>
        <w:rPr>
          <w:b/>
          <w:bCs/>
        </w:rPr>
      </w:pPr>
      <w:r>
        <w:rPr>
          <w:b/>
          <w:bCs/>
        </w:rPr>
        <w:t>Государству-участнику следует с бо</w:t>
      </w:r>
      <w:r>
        <w:rPr>
          <w:rFonts w:ascii="Tahoma" w:hAnsi="Tahoma" w:cs="Tahoma"/>
          <w:b/>
          <w:bCs/>
        </w:rPr>
        <w:t></w:t>
      </w:r>
      <w:r>
        <w:rPr>
          <w:b/>
          <w:bCs/>
        </w:rPr>
        <w:t>льшим вниманием относиться к усилиям по поощрению культуры прав человека посредством обеспечения разработки и осуществления политики "нулевой терпимости" в отношении сотрудников правоохранительных органов, а также всего персонала мест содержания под стражей и исправительных заведений.  Государству-участнику также следует активизировать свои усилия в отношении образования, повышения осведомленности и учебных программ в сфере прав человека как общей направленности, так и конкретно применительно к запрету пыток.</w:t>
      </w:r>
    </w:p>
    <w:p w:rsidR="00000000" w:rsidRDefault="00000000"/>
    <w:p w:rsidR="00000000" w:rsidRDefault="00000000">
      <w:r>
        <w:t>8.</w:t>
      </w:r>
      <w:r>
        <w:tab/>
        <w:t>Ввиду большого числа сообщений о пытках и других актах жестокого и бесчеловечного или унижающего достоинство обращения и жалоб по поводу нарушений прав человека в целом Комитет выражает обеспокоенность в связи со сравнительно невысоким числом  обвинений, обвинительных приговоров и дисциплинарных мер, предпринятых в отношении сотрудников правоохранительных органов.  В этом контексте Комитет также обеспокоен тем, что применение положения о сроке давности в отношении преступлений, связанных с применением пыток как в уголовном, так и в гражданском праве, может привести к прекращению расследования, судебного преследования и наказания за пытки, а также к ликвидации компенсаций и других видов правовой защиты, предоставляемых жертвам пыток.   Кроме того, Комитет озабочен отсутствием специальных программ по оказанию помощи и реабилитации жертв пыток.</w:t>
      </w:r>
    </w:p>
    <w:p w:rsidR="00000000" w:rsidRDefault="00000000"/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a</w:t>
      </w:r>
      <w:r>
        <w:rPr>
          <w:b/>
          <w:bCs/>
        </w:rPr>
        <w:t>)</w:t>
      </w:r>
      <w:r>
        <w:rPr>
          <w:b/>
          <w:bCs/>
        </w:rPr>
        <w:tab/>
        <w:t>Государству-участнику следует обеспечить в своей правовой системе, чтобы все сообщения о пытках и жестоком обращении оперативно и тщательно расследовались и чтобы все жертвы получали возмещение и имели подкрепляемое правовой санкцией право на справедливую и адекватную компенсацию;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в этой связи Комитет настоятельно призывает принять законопроект об упразднении или приостановлении применения срока давности к преступлениям против человечности (включая преступления, заключающиеся в применении пыток), который в настоящий момент находится на рассмотрении Национальной ассамблеи;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keepLines/>
        <w:ind w:left="1134" w:hanging="1134"/>
      </w:pPr>
      <w:r>
        <w:rPr>
          <w:b/>
          <w:bCs/>
        </w:rPr>
        <w:tab/>
      </w:r>
      <w:r>
        <w:rPr>
          <w:b/>
          <w:bCs/>
          <w:lang w:val="en-US"/>
        </w:rPr>
        <w:t>c</w:t>
      </w:r>
      <w:r>
        <w:rPr>
          <w:b/>
          <w:bCs/>
        </w:rPr>
        <w:t>)</w:t>
      </w:r>
      <w:r>
        <w:rPr>
          <w:b/>
          <w:bCs/>
        </w:rPr>
        <w:tab/>
        <w:t>Комитет также призывает государство-участник внедрить всеохватывающие программы по оказанию помощи и реабилитации (как физической, так и психологической) жертв пыток и жестокого обращения, включая право на справедливую и адекватную компенсацию.</w:t>
      </w:r>
    </w:p>
    <w:p w:rsidR="00000000" w:rsidRDefault="00000000"/>
    <w:p w:rsidR="00000000" w:rsidRDefault="00000000">
      <w:r>
        <w:t>9.</w:t>
      </w:r>
      <w:r>
        <w:tab/>
        <w:t>Комитет с обеспокоенностью отмечает, что право на присутствие в ходе допросов и проведения следственных действий адвоката в настоящий момент не гарантируется Уголовно-процессуальным законом и может осуществляться только в соответствии с руководящими принципами прокуратуры.</w:t>
      </w:r>
    </w:p>
    <w:p w:rsidR="00000000" w:rsidRDefault="00000000"/>
    <w:p w:rsidR="00000000" w:rsidRDefault="00000000">
      <w:pPr>
        <w:ind w:left="561"/>
        <w:rPr>
          <w:b/>
          <w:bCs/>
        </w:rPr>
      </w:pPr>
      <w:r>
        <w:rPr>
          <w:b/>
          <w:bCs/>
        </w:rPr>
        <w:t>Государству-участнику следует принять эффективные меры для обеспечения соблюдения основополагающих правовых гарантий лиц, задержанных полицией.  В этом отношении Комитет рекомендует принять соответствующие поправки к Уголовно-процессуальному закону, в настоящий момент находящиеся на рассмотрении Национальной ассамблеи, которые гарантируют право на присутствие адвоката в ходе допросов и следственных процедур.</w:t>
      </w:r>
    </w:p>
    <w:p w:rsidR="00000000" w:rsidRDefault="00000000"/>
    <w:p w:rsidR="00000000" w:rsidRDefault="00000000">
      <w:r>
        <w:t>10.</w:t>
      </w:r>
      <w:r>
        <w:tab/>
        <w:t>Принимая к сведению представленную государством-участником информацию о независимости судебных органов, Комитет по</w:t>
      </w:r>
      <w:r>
        <w:noBreakHyphen/>
        <w:t>прежнему выражает обеспокоенность в связи с отсутствием достаточных гарантий этой независимости, включая то обстоятельство, что процесс оценки судей может повлиять на сохранение ими их полномочий.</w:t>
      </w:r>
    </w:p>
    <w:p w:rsidR="00000000" w:rsidRDefault="00000000"/>
    <w:p w:rsidR="00000000" w:rsidRDefault="00000000">
      <w:pPr>
        <w:ind w:left="561"/>
      </w:pPr>
      <w:r>
        <w:rPr>
          <w:b/>
          <w:bCs/>
        </w:rPr>
        <w:t>Государству-участнику следует принять меры для обеспечения гарантий полномочий судей и недопущения вмешательства в их судебные функции.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11.</w:t>
      </w:r>
      <w:r>
        <w:tab/>
        <w:t>Комитет обеспокоен сообщениями о том, что процедура срочного ареста, в рамках которой лицо может быть задержано без ордера на арест на период до 48 часов, используется чрезмерно широко, что приводит к злоупотреблениям.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продолжить принятие всех необходимых юридических и административных мер для жесткого регулирования использования процедуры срочного ареста и предотвращения злоупотреблений, а также для обеспечения соблюдения прав лиц, задержанных в рамках этой процедуры.  В частности, Комитет призывает государство-участник безотлагательно принять соответствующие поправки к Уголовно-процессуальному закону, в настоящий момент находящиеся на рассмотрении Национальной ассамблеи.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12.</w:t>
      </w:r>
      <w:r>
        <w:tab/>
        <w:t>Комитет обеспокоен отсутствием адекватной правовой защиты лиц, в частности лиц ищущих убежища, от депортации и высылки в места, где они могут быть подвергнуты пыткам.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Комитет приветствует устные заверения делегации в том, что она изучит ситуацию с лицами, высылаемыми из страны или возвращаемыми в места, где лично они подвергаются реальной угрозе пыток.  Государству-участнику следует обеспечить соблюдение требований статьи 3 Конвенции при принятии решений о высылке, возвращении или экстрадиции в каждом случае, когда лицо, являющееся или не являющееся гражданином страны, может быть возвращено в место, на которое не распространяется юрисдикция Республики Корея.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13.</w:t>
      </w:r>
      <w:r>
        <w:tab/>
        <w:t>Комитет озабочен числом лиц, содержащихся во "временных камерах" (камерах содержания под стражей на полицейских участках), которые, по сообщениям, переполнены и находятся в плохом состоянии.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ограничить использование "временных камер", четко обозначить их функцию, обеспечить в них приемлемые условия содержания задержанных и завершить планируемое создание новых мест содержания под стражей.  Кроме того, Комитет настоятельно призывает государство-участник обеспечить соответствие всех мест содержания под стражей минимальным требованиям международных стандартов.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14.</w:t>
      </w:r>
      <w:r>
        <w:tab/>
        <w:t>Комитет обеспокоен высоким числом самоубийств и других случаев внезапной смерти в местах содержания под стражей.  Он отмечает, что не было проведено тщательного расследования по вопросу о связи между числом смертных случаев и распространенностью в местах содержания под стражей насилия, пыток и других видов жестокого обращения.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предпринять все необходимые шаги для предупреждения и снижения числа смертных случаев в местах содержания под стражей.  В подобных местах надлежит обеспечить адекватное и доступное медицинское обслуживание, а также создать программы профилактики самоубийств.  Комитет также рекомендует государству-участнику провести всесторонний анализ взаимосвязи, если такая взаимосвязь существует, между числом подобных смертных случаев и распространенностью насилия, пыток и других видов жестокого обращения в местах содержания под стражей.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15.</w:t>
      </w:r>
      <w:r>
        <w:tab/>
        <w:t>Комитет выражает обеспокоенность в связи с большим количеством самоубийств в армии и отсутствием точной информации о числе самоубийств, вызванных жестоким обращением и посягательствами, в том числе "</w:t>
      </w:r>
      <w:proofErr w:type="spellStart"/>
      <w:r>
        <w:t>дедовщиной</w:t>
      </w:r>
      <w:proofErr w:type="spellEnd"/>
      <w:r>
        <w:t>", со стороны военнослужащих.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предотвращать акты жестокого обращения и посягательств в армии.  Комитет призывает его проводить систематический анализ причин самоубийств в армии и оценивать эффективность действующих мер и программ, включая механизмы, находящиеся в распоряжении омбудсмена, применительно к предотвращению подобных случаев смерти.  Всеохватывающие программы по предотвращению самоубийств в армии могли бы включать, среди прочего, программы просвещения, обучения и образования для всех военнослужащих.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16.</w:t>
      </w:r>
      <w:r>
        <w:tab/>
        <w:t>Комитет озабочен сообщениями о том, что в ходе судебных процессов по уголовным делам судьи регулярно прибегают и в значительной мере полагаются на протоколы расследования, что нередко побуждает следователей добиваться от подозреваемых признательных показаний.  Комитет также с обеспокоенностью отмечает, что не была представлена информация о числе вынесенных в соответствии с Законом о национальной безопасности обвинительных приговоров, основанных на признательных показаниях.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 xml:space="preserve">Государству-участнику следует обеспечить недопустимость применения в качестве доказательства на каком-либо судебном процессе заявлений, сделанных в результате применения пыток.  В этом отношении Комитет рекомендует принять соответствующие поправки к Уголовно-процессуальному закону, в настоящий момент находящиеся на рассмотрении Национальной ассамблеи, которые предусматривают более жесткий режим допустимости письменных доказательств на судебных процессах.  Комитет также рекомендует государству-участнику включить в свой следующий доклад информацию о конкретной судебной практике, исключающей использование заявлений, полученных под пытками, а также точные данные о числе обвинительных приговоров, вынесенных в соответствии с Законом о национальной безопасности на основании признательных показаний, и сведения о том, проводились ли какие-либо расследования на предмет того, являются ли подобные признательные показания вынужденными, и/или был ли кто-либо в этой связи признан виновным в применении пыток. 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17.</w:t>
      </w:r>
      <w:r>
        <w:tab/>
        <w:t xml:space="preserve">Комитет обеспокоен распространением бытового насилия и других форм </w:t>
      </w:r>
      <w:proofErr w:type="spellStart"/>
      <w:r>
        <w:t>гендерного</w:t>
      </w:r>
      <w:proofErr w:type="spellEnd"/>
      <w:r>
        <w:t xml:space="preserve"> насилия, включая изнасилование в браке, и отмечает незначительное число соответствующих обвинений, что отчасти связано с |урегулированием и снятием соответствующих претензий на этапе расследования.  Комитет также отмечает, что согласно действующему законодательству изнасилование в браке не является уголовным преступлением.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 xml:space="preserve">Государству-участнику следует обеспечить, чтобы жертвы изнасилования в браке и </w:t>
      </w:r>
      <w:proofErr w:type="spellStart"/>
      <w:r>
        <w:rPr>
          <w:b/>
          <w:bCs/>
        </w:rPr>
        <w:t>гендерного</w:t>
      </w:r>
      <w:proofErr w:type="spellEnd"/>
      <w:r>
        <w:rPr>
          <w:b/>
          <w:bCs/>
        </w:rPr>
        <w:t xml:space="preserve"> насилия имели незамедлительный доступ к средствам правовой защиты и иной помощи, чтобы меры, направленные на урегулирование и снятие претензий на этапе расследования, не сказывались негативно на женщинах, ставших жертвами посягательств, и чтобы виновные привлекались к ответственности и несли наказание.  Комитет настоятельно призывает государство-участник продолжить деятельность по информированию и просвещению общественности в целом и законодателей, сотрудников судебной системы, правоохранительных органов и медицинских учреждений в частности.  Кроме того, Комитет настоятельно призывает государство-участник принять все необходимые меры для квалификации изнасилования в браке в качестве уголовного преступления.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18.</w:t>
      </w:r>
      <w:r>
        <w:tab/>
        <w:t xml:space="preserve">Комитет выражает сожаление в связи с отсутствием </w:t>
      </w:r>
      <w:proofErr w:type="spellStart"/>
      <w:r>
        <w:t>дезагрегированных</w:t>
      </w:r>
      <w:proofErr w:type="spellEnd"/>
      <w:r>
        <w:t xml:space="preserve"> по полу и возрасту данных относительно исков, касающихся пыток или жестокого обращения, в рамках которых в соответствующих деяниях обвиняются сотрудники правоохранительных органов, и относительно связанных с этими исками расследований, судебных разбирательств и уголовных и дисциплинарных наказаний, а также статистических данных о числе женщин и детей, являющихся жертвами торговли людьми с целью проституции.  Помимо этого запрашивается информация обо всех видах компенсации и реабилитации, предоставляемых жертвам.  Кроме того, запрашивается информация о результатах исследований, проведение которых рекомендуется в пунктах 14 и 15 выше.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r>
        <w:t>19.</w:t>
      </w:r>
      <w:r>
        <w:tab/>
        <w:t xml:space="preserve">Государству-участнику следует обеспечить широкое распространение своего доклада и своих ответов на список вопросов, а также выводов и рекомендаций Комитета на всех соответствующих языках через официальные </w:t>
      </w:r>
      <w:proofErr w:type="spellStart"/>
      <w:r>
        <w:t>вебсайты</w:t>
      </w:r>
      <w:proofErr w:type="spellEnd"/>
      <w:r>
        <w:t>, средства массовой информации и неправительственные организации.</w:t>
      </w:r>
    </w:p>
    <w:p w:rsidR="00000000" w:rsidRDefault="00000000"/>
    <w:p w:rsidR="00000000" w:rsidRDefault="00000000">
      <w:r>
        <w:t>20.</w:t>
      </w:r>
      <w:r>
        <w:tab/>
        <w:t>Комитет просит государство-участник представить в течении одного года информацию о мерах, принятых им во исполнение рекомендаций Комитета, содержащихся в пунктах 7, 9, 13, 14 и 15.</w:t>
      </w:r>
    </w:p>
    <w:p w:rsidR="00000000" w:rsidRDefault="00000000"/>
    <w:p w:rsidR="00000000" w:rsidRDefault="00000000">
      <w:pPr>
        <w:keepLines/>
      </w:pPr>
      <w:r>
        <w:t>21.</w:t>
      </w:r>
      <w:r>
        <w:tab/>
        <w:t>Комитет рекомендует государству-участнику представить свой следующий периодический доклад, который будет рассматриваться как четвертый, пятый и шестой доклады, к 7 февраля 2012 года, т.е. в срок, предусмотренный для представления пятого периодического доклада.</w:t>
      </w:r>
    </w:p>
    <w:p w:rsidR="00000000" w:rsidRDefault="00000000"/>
    <w:p w:rsidR="00000000" w:rsidRDefault="00000000">
      <w:pPr>
        <w:tabs>
          <w:tab w:val="clear" w:pos="567"/>
          <w:tab w:val="left" w:pos="561"/>
        </w:tabs>
      </w:pPr>
      <w:r>
        <w:t>22.</w:t>
      </w:r>
      <w:r>
        <w:tab/>
        <w:t>Комитет принимает к сведению тот факт, что государство-участник рассматривает возможность ратификации Факультативного протокола к Конвенции.  Он также принимает к сведению то обстоятельство, что государство-участник рассматривает вопрос о том, чтобы сделать заявления в соответствии со статьями 21 и 22 Конвенции, и что министерство юстиции уже опубликовало соответствующее заключение.  Комитет призывает государство-участник ускорить шаги в этом направлении.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jc w:val="center"/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CAT/C/KOR/CO/2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CAT/C/KOR/CO/2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2598</Words>
  <Characters>14812</Characters>
  <Application>Microsoft Office Word</Application>
  <DocSecurity>4</DocSecurity>
  <Lines>123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Ткаченко</vt:lpstr>
    </vt:vector>
  </TitlesOfParts>
  <Company> </Company>
  <LinksUpToDate>false</LinksUpToDate>
  <CharactersWithSpaces>18190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Ткаченко</dc:title>
  <dc:subject/>
  <dc:creator>Черняева</dc:creator>
  <cp:keywords/>
  <dc:description/>
  <cp:lastModifiedBy>Черняева</cp:lastModifiedBy>
  <cp:revision>3</cp:revision>
  <cp:lastPrinted>2006-08-10T13:57:00Z</cp:lastPrinted>
  <dcterms:created xsi:type="dcterms:W3CDTF">2006-08-10T13:57:00Z</dcterms:created>
  <dcterms:modified xsi:type="dcterms:W3CDTF">2006-08-10T13:57:00Z</dcterms:modified>
</cp:coreProperties>
</file>