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E60" w:rsidRDefault="00B56E60" w:rsidP="00B56E60">
      <w:pPr>
        <w:spacing w:line="60" w:lineRule="exact"/>
        <w:rPr>
          <w:sz w:val="6"/>
        </w:rPr>
        <w:sectPr w:rsidR="00B56E60" w:rsidSect="00B56E6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56E60" w:rsidRDefault="00B56E60" w:rsidP="00B56E60">
      <w:pPr>
        <w:spacing w:line="60" w:lineRule="exact"/>
        <w:rPr>
          <w:sz w:val="6"/>
        </w:rPr>
      </w:pPr>
    </w:p>
    <w:p w:rsidR="002852FC" w:rsidRDefault="002852FC" w:rsidP="001710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2852FC" w:rsidRPr="001710D4" w:rsidRDefault="002852FC" w:rsidP="001710D4">
      <w:pPr>
        <w:pStyle w:val="SingleTxt"/>
        <w:spacing w:after="60"/>
        <w:ind w:left="0"/>
        <w:rPr>
          <w:rFonts w:ascii="SimHei" w:eastAsia="SimHei" w:hint="eastAsia"/>
          <w:color w:val="FF0000"/>
        </w:rPr>
      </w:pPr>
      <w:r w:rsidRPr="001710D4">
        <w:rPr>
          <w:rFonts w:ascii="SimHei" w:eastAsia="SimHei" w:hint="eastAsia"/>
          <w:color w:val="FF0000"/>
        </w:rPr>
        <w:t>会前工作组</w:t>
      </w:r>
    </w:p>
    <w:p w:rsidR="002852FC" w:rsidRPr="001710D4" w:rsidRDefault="002852FC" w:rsidP="001710D4">
      <w:pPr>
        <w:pStyle w:val="SingleTxt"/>
        <w:spacing w:after="60"/>
        <w:ind w:left="0"/>
        <w:rPr>
          <w:rFonts w:ascii="SimHei" w:eastAsia="SimHei" w:hint="eastAsia"/>
          <w:color w:val="FF0000"/>
        </w:rPr>
      </w:pPr>
      <w:r w:rsidRPr="001710D4">
        <w:rPr>
          <w:rFonts w:ascii="SimHei" w:eastAsia="SimHei" w:hint="eastAsia"/>
          <w:color w:val="FF0000"/>
        </w:rPr>
        <w:t>第四十五届会议</w:t>
      </w:r>
    </w:p>
    <w:p w:rsidR="002852FC" w:rsidRDefault="002852FC" w:rsidP="001710D4">
      <w:pPr>
        <w:pStyle w:val="SingleTxt"/>
        <w:spacing w:after="60"/>
        <w:ind w:left="0"/>
        <w:rPr>
          <w:rFonts w:hint="eastAsia"/>
        </w:rPr>
      </w:pPr>
      <w:r>
        <w:rPr>
          <w:rFonts w:hint="eastAsia"/>
        </w:rPr>
        <w:t>2010年1月至2月</w:t>
      </w:r>
    </w:p>
    <w:p w:rsidR="001710D4" w:rsidRPr="001710D4" w:rsidRDefault="001710D4" w:rsidP="001710D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710D4" w:rsidRPr="001710D4" w:rsidRDefault="001710D4" w:rsidP="001710D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710D4" w:rsidRPr="001710D4" w:rsidRDefault="001710D4" w:rsidP="001710D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852FC" w:rsidRDefault="001710D4" w:rsidP="001710D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2FC">
        <w:rPr>
          <w:rFonts w:hint="eastAsia"/>
        </w:rPr>
        <w:t>与审议定期报告有关的议题和问题清单</w:t>
      </w:r>
    </w:p>
    <w:p w:rsidR="001710D4" w:rsidRPr="001710D4" w:rsidRDefault="001710D4" w:rsidP="001710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710D4" w:rsidRPr="001710D4" w:rsidRDefault="001710D4" w:rsidP="001710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852FC" w:rsidRDefault="001710D4" w:rsidP="001710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2FC">
        <w:rPr>
          <w:rFonts w:hint="eastAsia"/>
        </w:rPr>
        <w:t>荷兰</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1.</w:t>
      </w:r>
      <w:r>
        <w:rPr>
          <w:rFonts w:hint="eastAsia"/>
        </w:rPr>
        <w:tab/>
        <w:t>会前工作组审查了荷兰第五次报告(CEDAW/C/NLD/5)。</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2FC">
        <w:rPr>
          <w:rFonts w:hint="eastAsia"/>
        </w:rPr>
        <w:t>一般性问题</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2.</w:t>
      </w:r>
      <w:r>
        <w:rPr>
          <w:rFonts w:hint="eastAsia"/>
        </w:rPr>
        <w:tab/>
        <w:t>委员会赞赏地注意到缔约国为非政府组织影子报告的编写提供了补贴，但希望得到关于政府和非政府机构参与荷兰第五次报告编写过程的更多资料。据缔约国报告(CEDAW/C/NLD/5，第20页)称，2004年决定通过项目补贴而不是机构补贴提供更多的资金。补贴政策的这一变化据说导致若干机构的核心资金遭到削减，限制了促进两性平等和妇女人权的非政府组织和专业中心的作用。请说明政府是否打算对这一政策变化的影响进行评估。</w:t>
      </w:r>
    </w:p>
    <w:p w:rsidR="002852FC" w:rsidRDefault="002852FC" w:rsidP="002852FC">
      <w:pPr>
        <w:pStyle w:val="SingleTxt"/>
        <w:rPr>
          <w:rFonts w:hint="eastAsia"/>
        </w:rPr>
      </w:pPr>
      <w:r>
        <w:rPr>
          <w:rFonts w:hint="eastAsia"/>
        </w:rPr>
        <w:t>3.</w:t>
      </w:r>
      <w:r>
        <w:rPr>
          <w:rFonts w:hint="eastAsia"/>
        </w:rPr>
        <w:tab/>
        <w:t>委员会要求缔约国在2008年1月就荷属安的列斯群岛执行《消除对妇女一切形式歧视公约》的情况提交后续报告</w:t>
      </w:r>
      <w:r w:rsidR="001710D4">
        <w:rPr>
          <w:rFonts w:hint="eastAsia"/>
        </w:rPr>
        <w:t>(CEDAW/C/NLD/4/CO/4，</w:t>
      </w:r>
      <w:r>
        <w:rPr>
          <w:rFonts w:hint="eastAsia"/>
        </w:rPr>
        <w:t xml:space="preserve">第46段)，这一报告仍然没有提交，尽管缔约国向其他委员会提交了关于荷属安的列斯群岛和阿鲁巴的资料，但仍未将这两国的有关资料包括在给本委员会的报告中，委员会对此感到非常遗憾。因此，委员会要求缔约国以一份单独报告的形式提供两国执行《公约》情况的全面资料，供委员会第四十五届会议审议。 </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2852FC">
        <w:rPr>
          <w:rFonts w:hint="eastAsia"/>
        </w:rPr>
        <w:t>立法、政策和体制框架</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4.</w:t>
      </w:r>
      <w:r>
        <w:rPr>
          <w:rFonts w:hint="eastAsia"/>
        </w:rPr>
        <w:tab/>
        <w:t>委员会注意到，虽然缔约国通过签署《公约任择议定书》而确认了个人就《公约》所规定的所有权利提出申诉的权利，但缔约国仍然认为应当由司法机构裁定《公约》的某一条款是否直接适用于法律秩序。就此，请说明缔约国打算如何克服这一法律上不一致之处。也请向委员会提供2008年12月10日就《公约》的适用性给议会的信件的英文译文。</w:t>
      </w:r>
    </w:p>
    <w:p w:rsidR="002852FC" w:rsidRDefault="002852FC" w:rsidP="002852FC">
      <w:pPr>
        <w:pStyle w:val="SingleTxt"/>
        <w:rPr>
          <w:rFonts w:hint="eastAsia"/>
        </w:rPr>
      </w:pPr>
      <w:r>
        <w:rPr>
          <w:rFonts w:hint="eastAsia"/>
        </w:rPr>
        <w:t>5.</w:t>
      </w:r>
      <w:r>
        <w:rPr>
          <w:rFonts w:hint="eastAsia"/>
        </w:rPr>
        <w:tab/>
      </w:r>
      <w:r w:rsidRPr="00C833F3">
        <w:rPr>
          <w:rFonts w:hint="eastAsia"/>
          <w:spacing w:val="-2"/>
        </w:rPr>
        <w:t>缔约国表示，委员会建议和意见的出版首先是私营部门的问题</w:t>
      </w:r>
      <w:r w:rsidR="001710D4" w:rsidRPr="00C833F3">
        <w:rPr>
          <w:rFonts w:hint="eastAsia"/>
          <w:spacing w:val="-2"/>
        </w:rPr>
        <w:t>(</w:t>
      </w:r>
      <w:r w:rsidRPr="00C833F3">
        <w:rPr>
          <w:rFonts w:hint="eastAsia"/>
          <w:spacing w:val="-2"/>
        </w:rPr>
        <w:t>CEDAW/C/NLD/</w:t>
      </w:r>
      <w:r w:rsidR="00C833F3">
        <w:t xml:space="preserve"> </w:t>
      </w:r>
      <w:r>
        <w:rPr>
          <w:rFonts w:hint="eastAsia"/>
        </w:rPr>
        <w:t>5，第22页</w:t>
      </w:r>
      <w:r w:rsidR="001710D4">
        <w:rPr>
          <w:rFonts w:hint="eastAsia"/>
        </w:rPr>
        <w:t>)</w:t>
      </w:r>
      <w:r>
        <w:rPr>
          <w:rFonts w:hint="eastAsia"/>
        </w:rPr>
        <w:t xml:space="preserve">，关于这一点，请说明缔约国将如何履行其广泛传播《公约》的义务。鉴于对司法人员进行的《公约》宣传相当有限，也请说明是否为法官、检察官和律师举办了关于《公约》的专门培训课程。 </w:t>
      </w:r>
    </w:p>
    <w:p w:rsidR="002852FC" w:rsidRDefault="002852FC" w:rsidP="002852FC">
      <w:pPr>
        <w:pStyle w:val="SingleTxt"/>
        <w:rPr>
          <w:rFonts w:hint="eastAsia"/>
        </w:rPr>
      </w:pPr>
      <w:r>
        <w:rPr>
          <w:rFonts w:hint="eastAsia"/>
        </w:rPr>
        <w:t>6.</w:t>
      </w:r>
      <w:r>
        <w:rPr>
          <w:rFonts w:hint="eastAsia"/>
        </w:rPr>
        <w:tab/>
        <w:t>据缔约国</w:t>
      </w:r>
      <w:r w:rsidR="001710D4">
        <w:rPr>
          <w:rFonts w:hint="eastAsia"/>
        </w:rPr>
        <w:t>(</w:t>
      </w:r>
      <w:r>
        <w:rPr>
          <w:rFonts w:hint="eastAsia"/>
        </w:rPr>
        <w:t>CEDAW/C/NLD/5，第14页</w:t>
      </w:r>
      <w:r w:rsidR="001710D4">
        <w:rPr>
          <w:rFonts w:hint="eastAsia"/>
        </w:rPr>
        <w:t>)</w:t>
      </w:r>
      <w:r>
        <w:rPr>
          <w:rFonts w:hint="eastAsia"/>
        </w:rPr>
        <w:t xml:space="preserve">称，2007年内阁改组后新设立的解放部长，负有在荷兰落实《公约》和《北京行动纲要》的管理职责。请提供资料，说明为有效执行协调职责而向新设解放部长分配的人力和财政资源。请详细说明为满足缔约国报告中所宣布的、成功落实解放政策所必需的条件而采取的措施，尤其是那些涉及对责任、目标和资源进行更明确分配的措施。 </w:t>
      </w:r>
    </w:p>
    <w:p w:rsidR="002852FC" w:rsidRDefault="002852FC" w:rsidP="002852FC">
      <w:pPr>
        <w:pStyle w:val="SingleTxt"/>
        <w:rPr>
          <w:rFonts w:hint="eastAsia"/>
        </w:rPr>
      </w:pPr>
      <w:r>
        <w:rPr>
          <w:rFonts w:hint="eastAsia"/>
        </w:rPr>
        <w:t>7.</w:t>
      </w:r>
      <w:r>
        <w:rPr>
          <w:rFonts w:hint="eastAsia"/>
        </w:rPr>
        <w:tab/>
        <w:t>由于《平等待遇法》现在明令禁止性别歧视，请提供资料，说明缔约国为使广大公众特别是妇女和雇主了解新规定，尤其是那些与基于怀孕，生育和养育的歧视有关的规定</w:t>
      </w:r>
      <w:r w:rsidR="001710D4">
        <w:rPr>
          <w:rFonts w:hint="eastAsia"/>
        </w:rPr>
        <w:t>(</w:t>
      </w:r>
      <w:r>
        <w:rPr>
          <w:rFonts w:hint="eastAsia"/>
        </w:rPr>
        <w:t>CEDAW/C/NLD/5，第27页</w:t>
      </w:r>
      <w:r w:rsidR="001710D4">
        <w:rPr>
          <w:rFonts w:hint="eastAsia"/>
        </w:rPr>
        <w:t>)</w:t>
      </w:r>
      <w:r>
        <w:rPr>
          <w:rFonts w:hint="eastAsia"/>
        </w:rPr>
        <w:t>而采取的措施。有否组织旨在使歧视受害者更愿意举报歧视的宣传活动</w:t>
      </w:r>
      <w:r w:rsidR="001710D4">
        <w:rPr>
          <w:rFonts w:hint="eastAsia"/>
        </w:rPr>
        <w:t>(</w:t>
      </w:r>
      <w:r>
        <w:rPr>
          <w:rFonts w:hint="eastAsia"/>
        </w:rPr>
        <w:t>CEDAW/C/NLD/5，第45页</w:t>
      </w:r>
      <w:r w:rsidR="001710D4">
        <w:rPr>
          <w:rFonts w:hint="eastAsia"/>
        </w:rPr>
        <w:t>)</w:t>
      </w:r>
      <w:r>
        <w:rPr>
          <w:rFonts w:hint="eastAsia"/>
        </w:rPr>
        <w:t>，有否通过立法提案，要求各市政当局为公民提供一个反歧视机构？政府是否打算为建立反歧视局提供财政支持，以及缔约国将如何确保提供的服务质量？也请提供资料，说明缔约国报告</w:t>
      </w:r>
      <w:r w:rsidR="001710D4">
        <w:rPr>
          <w:rFonts w:hint="eastAsia"/>
        </w:rPr>
        <w:t>(</w:t>
      </w:r>
      <w:r>
        <w:rPr>
          <w:rFonts w:hint="eastAsia"/>
        </w:rPr>
        <w:t>CEDAW/C/NLD/5，第29页</w:t>
      </w:r>
      <w:r w:rsidR="001710D4">
        <w:rPr>
          <w:rFonts w:hint="eastAsia"/>
        </w:rPr>
        <w:t>)</w:t>
      </w:r>
      <w:r>
        <w:rPr>
          <w:rFonts w:hint="eastAsia"/>
        </w:rPr>
        <w:t xml:space="preserve">所提到的在发生性恐吓和不可取行为时实施的制裁。 </w:t>
      </w:r>
    </w:p>
    <w:p w:rsidR="002852FC" w:rsidRDefault="002852FC" w:rsidP="002852FC">
      <w:pPr>
        <w:pStyle w:val="SingleTxt"/>
        <w:rPr>
          <w:rFonts w:hint="eastAsia"/>
        </w:rPr>
      </w:pPr>
      <w:r>
        <w:rPr>
          <w:rFonts w:hint="eastAsia"/>
        </w:rPr>
        <w:t>8.</w:t>
      </w:r>
      <w:r>
        <w:rPr>
          <w:rFonts w:hint="eastAsia"/>
        </w:rPr>
        <w:tab/>
        <w:t>请说明是否有可能实现</w:t>
      </w:r>
      <w:r w:rsidR="001710D4">
        <w:rPr>
          <w:rFonts w:hint="eastAsia"/>
        </w:rPr>
        <w:t>(</w:t>
      </w:r>
      <w:r>
        <w:rPr>
          <w:rFonts w:hint="eastAsia"/>
        </w:rPr>
        <w:t>2000年</w:t>
      </w:r>
      <w:r w:rsidR="001710D4">
        <w:rPr>
          <w:rFonts w:hint="eastAsia"/>
        </w:rPr>
        <w:t>)</w:t>
      </w:r>
      <w:r>
        <w:rPr>
          <w:rFonts w:hint="eastAsia"/>
        </w:rPr>
        <w:t xml:space="preserve">多年平等待遇政策计划的各项目标，特别是那些涉及到妇女进入劳动力市场、经济上独立的妇女比例以及男子分担照料责任的目标。有没有对这一计划进行评价，如果有，在制订2007年10月公布的解放备忘录时在多大程度上考虑了从评价中获得的经验教训。也请说明新的解放备忘录是否考虑到长期存在的有关性别角色的陈规定型观念、迫使妇女处于从属地位的不平等的性别权力关系，以及男女都必须兼顾工作与照料家庭的问题。 </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定型观念和文化习俗</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9.</w:t>
      </w:r>
      <w:r>
        <w:rPr>
          <w:rFonts w:hint="eastAsia"/>
        </w:rPr>
        <w:tab/>
        <w:t>请详细说明缔约国为解决暴力侵害妇女行为问题特别报告员所表达的关切而采取的后续行动，该报告员认为，公众的观念中滋生了一个错误的二分法，将本国已解放的荷兰妇女和受压迫的移民妇女区分开来。具有移民背景的男女完全受到诬蔑，不是被当作受害者，就是被当作暴力行为人，这只会加剧他们的边缘化。</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家庭暴力</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10.</w:t>
      </w:r>
      <w:r>
        <w:rPr>
          <w:rFonts w:hint="eastAsia"/>
        </w:rPr>
        <w:tab/>
        <w:t>委员会指出，尽管此前提出了建议，但家庭暴力框架的表述仍然采取性别中立的表述方式；因此，缔约国没有具体针对男子暴力侵害妇女行为，忽视了妇女遭受暴力的根源。鉴于缔约国表示</w:t>
      </w:r>
      <w:r w:rsidR="001710D4">
        <w:rPr>
          <w:rFonts w:hint="eastAsia"/>
        </w:rPr>
        <w:t>(</w:t>
      </w:r>
      <w:r>
        <w:rPr>
          <w:rFonts w:hint="eastAsia"/>
        </w:rPr>
        <w:t>CEDAW/C/NLD/5，第36页</w:t>
      </w:r>
      <w:r w:rsidR="001710D4">
        <w:rPr>
          <w:rFonts w:hint="eastAsia"/>
        </w:rPr>
        <w:t>)</w:t>
      </w:r>
      <w:r>
        <w:rPr>
          <w:rFonts w:hint="eastAsia"/>
        </w:rPr>
        <w:t>，它正在调查针对具体性别的表述是否可取，请将这方面的任何具体进展告知委员会。</w:t>
      </w:r>
    </w:p>
    <w:p w:rsidR="002852FC" w:rsidRDefault="002852FC" w:rsidP="002852FC">
      <w:pPr>
        <w:pStyle w:val="SingleTxt"/>
        <w:rPr>
          <w:rFonts w:hint="eastAsia"/>
        </w:rPr>
      </w:pPr>
      <w:r>
        <w:rPr>
          <w:rFonts w:hint="eastAsia"/>
        </w:rPr>
        <w:t>11.</w:t>
      </w:r>
      <w:r>
        <w:rPr>
          <w:rFonts w:hint="eastAsia"/>
        </w:rPr>
        <w:tab/>
        <w:t>请简要描述2006年进行的分析</w:t>
      </w:r>
      <w:r w:rsidR="001710D4">
        <w:rPr>
          <w:rFonts w:hint="eastAsia"/>
        </w:rPr>
        <w:t>(</w:t>
      </w:r>
      <w:r>
        <w:rPr>
          <w:rFonts w:hint="eastAsia"/>
        </w:rPr>
        <w:t>CEDAW/C/NLD/5，第36页</w:t>
      </w:r>
      <w:r w:rsidR="001710D4">
        <w:rPr>
          <w:rFonts w:hint="eastAsia"/>
        </w:rPr>
        <w:t>)</w:t>
      </w:r>
      <w:r>
        <w:rPr>
          <w:rFonts w:hint="eastAsia"/>
        </w:rPr>
        <w:t>的结果，包括家庭暴力的范围、性质和特点，其受害者和嫌疑人。委员会还希望收到2008年有关家庭暴力性质和范围的公众调查</w:t>
      </w:r>
      <w:r w:rsidR="001710D4">
        <w:rPr>
          <w:rFonts w:hint="eastAsia"/>
        </w:rPr>
        <w:t>(</w:t>
      </w:r>
      <w:r>
        <w:rPr>
          <w:rFonts w:hint="eastAsia"/>
        </w:rPr>
        <w:t>CEDAW/C/NLD/5，第32页</w:t>
      </w:r>
      <w:r w:rsidR="001710D4">
        <w:rPr>
          <w:rFonts w:hint="eastAsia"/>
        </w:rPr>
        <w:t>)</w:t>
      </w:r>
      <w:r>
        <w:rPr>
          <w:rFonts w:hint="eastAsia"/>
        </w:rPr>
        <w:t>的任何初步结果，希望得知缔约国报告</w:t>
      </w:r>
      <w:r w:rsidR="001710D4">
        <w:rPr>
          <w:rFonts w:hint="eastAsia"/>
        </w:rPr>
        <w:t>(</w:t>
      </w:r>
      <w:r>
        <w:rPr>
          <w:rFonts w:hint="eastAsia"/>
        </w:rPr>
        <w:t>CEDAW/C/NLD/5，第44页</w:t>
      </w:r>
      <w:r w:rsidR="001710D4">
        <w:rPr>
          <w:rFonts w:hint="eastAsia"/>
        </w:rPr>
        <w:t>)</w:t>
      </w:r>
      <w:r>
        <w:rPr>
          <w:rFonts w:hint="eastAsia"/>
        </w:rPr>
        <w:t xml:space="preserve">所提到的关于预防荷兰家庭暴力的流行情况研究的成果。 </w:t>
      </w:r>
    </w:p>
    <w:p w:rsidR="002852FC" w:rsidRDefault="002852FC" w:rsidP="002852FC">
      <w:pPr>
        <w:pStyle w:val="SingleTxt"/>
        <w:rPr>
          <w:rFonts w:hint="eastAsia"/>
        </w:rPr>
      </w:pPr>
      <w:r>
        <w:rPr>
          <w:rFonts w:hint="eastAsia"/>
        </w:rPr>
        <w:t>12.</w:t>
      </w:r>
      <w:r>
        <w:rPr>
          <w:rFonts w:hint="eastAsia"/>
        </w:rPr>
        <w:tab/>
        <w:t xml:space="preserve">请说明是否通过了允许对家庭暴力行为人实施临时禁制令的立法。如果是，在发出禁制令后是否自动启动心理咨询进程？缔约国如何处理妇女团体所表达的关切，即：许多案件没有定罪，因为检察官过于强调伴侣之间的和解和罪犯的自愿治疗方案？ </w:t>
      </w:r>
    </w:p>
    <w:p w:rsidR="002852FC" w:rsidRDefault="002852FC" w:rsidP="002852FC">
      <w:pPr>
        <w:pStyle w:val="SingleTxt"/>
        <w:rPr>
          <w:rFonts w:hint="eastAsia"/>
        </w:rPr>
      </w:pPr>
      <w:r>
        <w:rPr>
          <w:rFonts w:hint="eastAsia"/>
        </w:rPr>
        <w:t>13.</w:t>
      </w:r>
      <w:r>
        <w:rPr>
          <w:rFonts w:hint="eastAsia"/>
        </w:rPr>
        <w:tab/>
        <w:t>缔约国的报告提到，暴力和性犯罪的受害者只有在展现出严重的身心伤害时才能获得法律援助</w:t>
      </w:r>
      <w:r w:rsidR="001710D4">
        <w:rPr>
          <w:rFonts w:hint="eastAsia"/>
        </w:rPr>
        <w:t>(</w:t>
      </w:r>
      <w:r>
        <w:rPr>
          <w:rFonts w:hint="eastAsia"/>
        </w:rPr>
        <w:t>CEDAW/C/NLD/5，第37页</w:t>
      </w:r>
      <w:r w:rsidR="001710D4">
        <w:rPr>
          <w:rFonts w:hint="eastAsia"/>
        </w:rPr>
        <w:t>)</w:t>
      </w:r>
      <w:r>
        <w:rPr>
          <w:rFonts w:hint="eastAsia"/>
        </w:rPr>
        <w:t>。请详细说明有受到身心虐待危险的妇女可以获得哪些预防和保护措施。请提供数据，说明缔约国在向家庭暴力受害妇女提供收容所方面取得的进展。缔约国是否打算给予受暴力侵害的妇女居留证，不论她们的移民身份、族裔血统</w:t>
      </w:r>
      <w:r w:rsidR="00A3447C">
        <w:rPr>
          <w:rFonts w:hint="eastAsia"/>
        </w:rPr>
        <w:t>为</w:t>
      </w:r>
      <w:r>
        <w:rPr>
          <w:rFonts w:hint="eastAsia"/>
        </w:rPr>
        <w:t xml:space="preserve">何，也不管她们是否能够以警方正式报告、医疗报告、妇女收容所报告或任何其他方式证明发生了暴力行为。 </w:t>
      </w:r>
    </w:p>
    <w:p w:rsidR="002852FC" w:rsidRDefault="002852FC" w:rsidP="002852FC">
      <w:pPr>
        <w:pStyle w:val="SingleTxt"/>
        <w:rPr>
          <w:rFonts w:hint="eastAsia"/>
        </w:rPr>
      </w:pPr>
      <w:r>
        <w:rPr>
          <w:rFonts w:hint="eastAsia"/>
        </w:rPr>
        <w:t>14.</w:t>
      </w:r>
      <w:r>
        <w:rPr>
          <w:rFonts w:hint="eastAsia"/>
        </w:rPr>
        <w:tab/>
        <w:t>请提供数据，按性别和</w:t>
      </w:r>
      <w:r w:rsidR="00A3447C">
        <w:rPr>
          <w:rFonts w:hint="eastAsia"/>
        </w:rPr>
        <w:t>族裔</w:t>
      </w:r>
      <w:r>
        <w:rPr>
          <w:rFonts w:hint="eastAsia"/>
        </w:rPr>
        <w:t>分列，说明与名誉有关的暴力行为，并简要说明2007年实施的学校内外与名誉有关的暴力行为项目的成果。也请说明为落实暴力侵害妇女行为问题特别报告员关于与名誉有关的暴力行为的本质和其中涉及性别的具体问题的意见</w:t>
      </w:r>
      <w:r w:rsidR="00A3447C">
        <w:rPr>
          <w:rFonts w:hint="eastAsia"/>
        </w:rPr>
        <w:t>，以及针对这些具体问题证明保护框架不足</w:t>
      </w:r>
      <w:r>
        <w:rPr>
          <w:rFonts w:hint="eastAsia"/>
        </w:rPr>
        <w:t xml:space="preserve">这一事实，采取了什么后续措施。 </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就业、社会和经济福利</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15.</w:t>
      </w:r>
      <w:r>
        <w:rPr>
          <w:rFonts w:hint="eastAsia"/>
        </w:rPr>
        <w:tab/>
        <w:t xml:space="preserve">据缔约国报告(CEDAW/C/NLD/5，第64页)称，一个更大的个人服务市场将为条件不佳的人带来更多的工作。另外一个效果是，那些购买了个人服务的人可有更多时间用于就业市场。在这方面，请提供更多的资料，说明妇女家务和家庭护理工作者的状况，特别是她们是否获得社会保障、失业和残疾津贴以及医疗保险金。另请说明引入“家庭服务计划”对改善妇女家务和家庭护理工作者的状况产生了什么样的影响。请说明缔约国有没有对这一计划是否遵循《公约》条款进行评估。 </w:t>
      </w:r>
    </w:p>
    <w:p w:rsidR="002852FC" w:rsidRDefault="002852FC" w:rsidP="002852FC">
      <w:pPr>
        <w:pStyle w:val="SingleTxt"/>
        <w:rPr>
          <w:rFonts w:hint="eastAsia"/>
        </w:rPr>
      </w:pPr>
      <w:r>
        <w:rPr>
          <w:rFonts w:hint="eastAsia"/>
        </w:rPr>
        <w:t>16.</w:t>
      </w:r>
      <w:r>
        <w:rPr>
          <w:rFonts w:hint="eastAsia"/>
        </w:rPr>
        <w:tab/>
        <w:t xml:space="preserve">请提供数据，按性别、年龄和种族分列，说明那些为高龄、患病或残疾的家庭成员提供护理和支助的人的情况，以及这些人在参与社会生活方面所面临的障碍。特别是，缔约国有没有评估《社会支助法》的规定对妇女解放的影响。根据此法的规定，只有在家族中无人可以或应当提供非正式护理的情况下，才会提供家庭援助。也请提供资料，说明自2009年1月起实施的《特别医疗开支法》的修改对性别问题可能产生的影响。 </w:t>
      </w:r>
    </w:p>
    <w:p w:rsidR="002852FC" w:rsidRDefault="002852FC" w:rsidP="002852FC">
      <w:pPr>
        <w:pStyle w:val="SingleTxt"/>
        <w:rPr>
          <w:rFonts w:hint="eastAsia"/>
        </w:rPr>
      </w:pPr>
      <w:r>
        <w:rPr>
          <w:rFonts w:hint="eastAsia"/>
        </w:rPr>
        <w:t>17.</w:t>
      </w:r>
      <w:r>
        <w:rPr>
          <w:rFonts w:hint="eastAsia"/>
        </w:rPr>
        <w:tab/>
        <w:t>缔约国的报告表明，荷兰是男女参加工作</w:t>
      </w:r>
      <w:r w:rsidR="001710D4">
        <w:rPr>
          <w:rFonts w:hint="eastAsia"/>
        </w:rPr>
        <w:t>(</w:t>
      </w:r>
      <w:r>
        <w:rPr>
          <w:rFonts w:hint="eastAsia"/>
        </w:rPr>
        <w:t>全日制单位</w:t>
      </w:r>
      <w:r w:rsidR="001710D4">
        <w:rPr>
          <w:rFonts w:hint="eastAsia"/>
        </w:rPr>
        <w:t>)</w:t>
      </w:r>
      <w:r>
        <w:rPr>
          <w:rFonts w:hint="eastAsia"/>
        </w:rPr>
        <w:t>差距很大的国家之一</w:t>
      </w:r>
      <w:r w:rsidR="001710D4">
        <w:rPr>
          <w:rFonts w:hint="eastAsia"/>
        </w:rPr>
        <w:t>(</w:t>
      </w:r>
      <w:r>
        <w:rPr>
          <w:rFonts w:hint="eastAsia"/>
        </w:rPr>
        <w:t>CEDAW/C/NLD/5，第61页</w:t>
      </w:r>
      <w:r w:rsidR="001710D4">
        <w:rPr>
          <w:rFonts w:hint="eastAsia"/>
        </w:rPr>
        <w:t>)</w:t>
      </w:r>
      <w:r>
        <w:rPr>
          <w:rFonts w:hint="eastAsia"/>
        </w:rPr>
        <w:t>。在这方面，注意到为提高妇女参加工作的比例已确定了一系列的措施</w:t>
      </w:r>
      <w:r w:rsidR="001710D4">
        <w:rPr>
          <w:rFonts w:hint="eastAsia"/>
        </w:rPr>
        <w:t>(</w:t>
      </w:r>
      <w:r>
        <w:rPr>
          <w:rFonts w:hint="eastAsia"/>
        </w:rPr>
        <w:t>降低边际税率和</w:t>
      </w:r>
      <w:r w:rsidR="00A3447C">
        <w:rPr>
          <w:rFonts w:hint="eastAsia"/>
        </w:rPr>
        <w:t>社会发展税</w:t>
      </w:r>
      <w:r>
        <w:rPr>
          <w:rFonts w:hint="eastAsia"/>
        </w:rPr>
        <w:t>负担、灵活的工作时间和</w:t>
      </w:r>
      <w:r w:rsidR="00A3447C">
        <w:rPr>
          <w:rFonts w:hint="eastAsia"/>
        </w:rPr>
        <w:t>远程</w:t>
      </w:r>
      <w:r>
        <w:rPr>
          <w:rFonts w:hint="eastAsia"/>
        </w:rPr>
        <w:t>工作</w:t>
      </w:r>
      <w:r w:rsidR="001710D4">
        <w:rPr>
          <w:rFonts w:hint="eastAsia"/>
        </w:rPr>
        <w:t>)</w:t>
      </w:r>
      <w:r>
        <w:rPr>
          <w:rFonts w:hint="eastAsia"/>
        </w:rPr>
        <w:t>，与此同时，请说明政府为保护非全日制工作的妇女在薪金、养恤金和晋升方面的权利而采取的政策措施。委员会还希望知道按照《公约》第4条采取了何种暂行特别措施，以加速实现男女在这方面事实上的平等。也请解释缔约国为何宣称自己无法强制实行给予妇女大学职位的做法，以及国内外女教授人数的目标为何仍然很低，远低于欧洲通常的目标</w:t>
      </w:r>
      <w:r w:rsidR="001710D4">
        <w:rPr>
          <w:rFonts w:hint="eastAsia"/>
        </w:rPr>
        <w:t>(</w:t>
      </w:r>
      <w:r>
        <w:rPr>
          <w:rFonts w:hint="eastAsia"/>
        </w:rPr>
        <w:t>CEDAW/C/NLD/5，第75页</w:t>
      </w:r>
      <w:r w:rsidR="001710D4">
        <w:rPr>
          <w:rFonts w:hint="eastAsia"/>
        </w:rPr>
        <w:t>)</w:t>
      </w:r>
      <w:r>
        <w:rPr>
          <w:rFonts w:hint="eastAsia"/>
        </w:rPr>
        <w:t xml:space="preserve">。 </w:t>
      </w:r>
    </w:p>
    <w:p w:rsidR="002852FC" w:rsidRDefault="002852FC" w:rsidP="002852FC">
      <w:pPr>
        <w:pStyle w:val="SingleTxt"/>
      </w:pPr>
      <w:r>
        <w:rPr>
          <w:rFonts w:hint="eastAsia"/>
        </w:rPr>
        <w:t>18.</w:t>
      </w:r>
      <w:r>
        <w:rPr>
          <w:rFonts w:hint="eastAsia"/>
        </w:rPr>
        <w:tab/>
        <w:t>鉴于男女之间薪酬差距扩大</w:t>
      </w:r>
      <w:r w:rsidR="001710D4">
        <w:rPr>
          <w:rFonts w:hint="eastAsia"/>
        </w:rPr>
        <w:t>(</w:t>
      </w:r>
      <w:r>
        <w:rPr>
          <w:rFonts w:hint="eastAsia"/>
        </w:rPr>
        <w:t>CEDAW/C/NLD/5，第85和86页</w:t>
      </w:r>
      <w:r w:rsidR="001710D4">
        <w:rPr>
          <w:rFonts w:hint="eastAsia"/>
        </w:rPr>
        <w:t>)</w:t>
      </w:r>
      <w:r>
        <w:rPr>
          <w:rFonts w:hint="eastAsia"/>
        </w:rPr>
        <w:t>，请说明缔约国为减少私营和公共部门工资差距而采取的具体措施，并解释为什么公共部门仍然存在这种差距，因为这有损政府的两性平等标准。</w:t>
      </w:r>
    </w:p>
    <w:p w:rsidR="002852FC" w:rsidRDefault="002852FC" w:rsidP="002852FC">
      <w:pPr>
        <w:pStyle w:val="SingleTxt"/>
        <w:rPr>
          <w:rFonts w:hint="eastAsia"/>
        </w:rPr>
      </w:pPr>
      <w:r>
        <w:rPr>
          <w:rFonts w:hint="eastAsia"/>
        </w:rPr>
        <w:t>19.</w:t>
      </w:r>
      <w:r>
        <w:rPr>
          <w:rFonts w:hint="eastAsia"/>
        </w:rPr>
        <w:tab/>
        <w:t>委员会在其先前的结论性意见</w:t>
      </w:r>
      <w:r w:rsidR="001710D4">
        <w:rPr>
          <w:rFonts w:hint="eastAsia"/>
        </w:rPr>
        <w:t>(</w:t>
      </w:r>
      <w:r>
        <w:rPr>
          <w:rFonts w:hint="eastAsia"/>
        </w:rPr>
        <w:t>CEDAW/C/NLD/CO/4，第30段</w:t>
      </w:r>
      <w:r w:rsidR="001710D4">
        <w:rPr>
          <w:rFonts w:hint="eastAsia"/>
        </w:rPr>
        <w:t>)</w:t>
      </w:r>
      <w:r>
        <w:rPr>
          <w:rFonts w:hint="eastAsia"/>
        </w:rPr>
        <w:t xml:space="preserve">中，呼吁缔约国恢复产假补助金，向包括自营职业者和企业家在内的所有妇女发放。2008年7月《工作和照顾法》生效后实行了这一做法。在这方面，请说明政府是否考虑为那些在2004年至2008年7月《伤病保险法》废止期间怀孕的自营职业妇女实行补偿安排。  </w:t>
      </w:r>
    </w:p>
    <w:p w:rsidR="002852FC" w:rsidRDefault="002852FC" w:rsidP="002852FC">
      <w:pPr>
        <w:pStyle w:val="SingleTxt"/>
        <w:rPr>
          <w:rFonts w:hint="eastAsia"/>
        </w:rPr>
      </w:pPr>
      <w:r>
        <w:rPr>
          <w:rFonts w:hint="eastAsia"/>
        </w:rPr>
        <w:t>20.</w:t>
      </w:r>
      <w:r>
        <w:rPr>
          <w:rFonts w:hint="eastAsia"/>
        </w:rPr>
        <w:tab/>
        <w:t>关于缔约国的报告</w:t>
      </w:r>
      <w:r w:rsidR="001710D4">
        <w:rPr>
          <w:rFonts w:hint="eastAsia"/>
        </w:rPr>
        <w:t>(</w:t>
      </w:r>
      <w:r>
        <w:rPr>
          <w:rFonts w:hint="eastAsia"/>
        </w:rPr>
        <w:t>CEDAW/C/NLD/5，第30页</w:t>
      </w:r>
      <w:r w:rsidR="001710D4">
        <w:rPr>
          <w:rFonts w:hint="eastAsia"/>
        </w:rPr>
        <w:t>)</w:t>
      </w:r>
      <w:r>
        <w:rPr>
          <w:rFonts w:hint="eastAsia"/>
        </w:rPr>
        <w:t xml:space="preserve">，请提供准确数据，说明现已建立内部申诉程序的公司和机构。也请概述缔约国为鼓励推行这种程序而采取或设想的措施。请提供资料，说明卫生与安全监察局要求雇主实行反歧视政策的强制执行情况。  </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特殊妇女群体的状况</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21.</w:t>
      </w:r>
      <w:r>
        <w:rPr>
          <w:rFonts w:hint="eastAsia"/>
        </w:rPr>
        <w:tab/>
        <w:t>缔约国承认，土耳其和摩洛哥裔妇女进入劳动力市场的程度大大低于</w:t>
      </w:r>
      <w:r w:rsidR="00A3447C">
        <w:rPr>
          <w:rFonts w:hint="eastAsia"/>
        </w:rPr>
        <w:t>本土</w:t>
      </w:r>
      <w:r>
        <w:rPr>
          <w:rFonts w:hint="eastAsia"/>
        </w:rPr>
        <w:t>荷</w:t>
      </w:r>
      <w:r w:rsidR="00A3447C">
        <w:rPr>
          <w:rFonts w:hint="eastAsia"/>
        </w:rPr>
        <w:t>裔</w:t>
      </w:r>
      <w:r>
        <w:rPr>
          <w:rFonts w:hint="eastAsia"/>
        </w:rPr>
        <w:t>人口。已实行数项确保促进融合的举措，包括促进</w:t>
      </w:r>
      <w:r w:rsidR="00A3447C">
        <w:rPr>
          <w:rFonts w:hint="eastAsia"/>
        </w:rPr>
        <w:t>族裔少数</w:t>
      </w:r>
      <w:r>
        <w:rPr>
          <w:rFonts w:hint="eastAsia"/>
        </w:rPr>
        <w:t>群体妇女参与委员会、解放与融合办法计划</w:t>
      </w:r>
      <w:r w:rsidR="001710D4">
        <w:rPr>
          <w:rFonts w:hint="eastAsia"/>
        </w:rPr>
        <w:t>(</w:t>
      </w:r>
      <w:r>
        <w:rPr>
          <w:rFonts w:hint="eastAsia"/>
        </w:rPr>
        <w:t>2004-2006年</w:t>
      </w:r>
      <w:r w:rsidR="001710D4">
        <w:rPr>
          <w:rFonts w:hint="eastAsia"/>
        </w:rPr>
        <w:t>)</w:t>
      </w:r>
      <w:r>
        <w:rPr>
          <w:rFonts w:hint="eastAsia"/>
        </w:rPr>
        <w:t>以及2006年2月设立的</w:t>
      </w:r>
      <w:r w:rsidR="00A3447C">
        <w:rPr>
          <w:rFonts w:hint="eastAsia"/>
        </w:rPr>
        <w:t>族裔</w:t>
      </w:r>
      <w:r>
        <w:rPr>
          <w:rFonts w:hint="eastAsia"/>
        </w:rPr>
        <w:t>少数妇女和劳工领导小组。请提供资料说明目前各项政策的具体成果。关于让50 000名弱势</w:t>
      </w:r>
      <w:r w:rsidR="00A3447C">
        <w:rPr>
          <w:rFonts w:hint="eastAsia"/>
        </w:rPr>
        <w:t>族裔少数</w:t>
      </w:r>
      <w:r>
        <w:rPr>
          <w:rFonts w:hint="eastAsia"/>
        </w:rPr>
        <w:t>妇女参加志愿工作的1</w:t>
      </w:r>
      <w:r w:rsidR="00C833F3">
        <w:t xml:space="preserve"> </w:t>
      </w:r>
      <w:r>
        <w:rPr>
          <w:rFonts w:hint="eastAsia"/>
        </w:rPr>
        <w:t>001强项方案，请解释缔约国打算如何评估该方案是否有效推动了她们融入社会和职业，而不是</w:t>
      </w:r>
      <w:r w:rsidR="00A3447C">
        <w:rPr>
          <w:rFonts w:hint="eastAsia"/>
        </w:rPr>
        <w:t>使</w:t>
      </w:r>
      <w:r>
        <w:rPr>
          <w:rFonts w:hint="eastAsia"/>
        </w:rPr>
        <w:t>这些妇女</w:t>
      </w:r>
      <w:r w:rsidR="00A3447C">
        <w:rPr>
          <w:rFonts w:hint="eastAsia"/>
        </w:rPr>
        <w:t>继续在</w:t>
      </w:r>
      <w:r>
        <w:rPr>
          <w:rFonts w:hint="eastAsia"/>
        </w:rPr>
        <w:t>动荡不安的状况</w:t>
      </w:r>
      <w:r w:rsidR="00A3447C">
        <w:rPr>
          <w:rFonts w:hint="eastAsia"/>
        </w:rPr>
        <w:t>中生活</w:t>
      </w:r>
      <w:r>
        <w:rPr>
          <w:rFonts w:hint="eastAsia"/>
        </w:rPr>
        <w:t>。</w:t>
      </w:r>
    </w:p>
    <w:p w:rsidR="002852FC" w:rsidRDefault="002852FC" w:rsidP="002852FC">
      <w:pPr>
        <w:pStyle w:val="SingleTxt"/>
        <w:rPr>
          <w:rFonts w:hint="eastAsia"/>
        </w:rPr>
      </w:pPr>
      <w:r>
        <w:rPr>
          <w:rFonts w:hint="eastAsia"/>
        </w:rPr>
        <w:t>22.</w:t>
      </w:r>
      <w:r>
        <w:rPr>
          <w:rFonts w:hint="eastAsia"/>
        </w:rPr>
        <w:tab/>
        <w:t>禁止酷刑委员会对</w:t>
      </w:r>
      <w:r w:rsidR="00A3447C">
        <w:rPr>
          <w:rFonts w:hint="eastAsia"/>
        </w:rPr>
        <w:t>在</w:t>
      </w:r>
      <w:r>
        <w:rPr>
          <w:rFonts w:hint="eastAsia"/>
        </w:rPr>
        <w:t>荷兰王国欧洲部分</w:t>
      </w:r>
      <w:r w:rsidR="00A3447C">
        <w:rPr>
          <w:rFonts w:hint="eastAsia"/>
        </w:rPr>
        <w:t>内</w:t>
      </w:r>
      <w:r>
        <w:rPr>
          <w:rFonts w:hint="eastAsia"/>
        </w:rPr>
        <w:t>寻求庇护</w:t>
      </w:r>
      <w:r w:rsidR="00A3447C">
        <w:rPr>
          <w:rFonts w:hint="eastAsia"/>
        </w:rPr>
        <w:t>的</w:t>
      </w:r>
      <w:r>
        <w:rPr>
          <w:rFonts w:hint="eastAsia"/>
        </w:rPr>
        <w:t>人在按照2000</w:t>
      </w:r>
      <w:r w:rsidR="00A3447C">
        <w:rPr>
          <w:rFonts w:hint="eastAsia"/>
        </w:rPr>
        <w:t>年《外国人</w:t>
      </w:r>
      <w:r>
        <w:rPr>
          <w:rFonts w:hint="eastAsia"/>
        </w:rPr>
        <w:t>法》加急程序为庇护申请提供证明材料时所面临的困难表示关切，因为这有可能导致违反不驱回程序。根据暴力侵害妇女行为问题特别报告员的报告，在这一加急程序中，妇女往往无法叙述遭受强奸或其他惨痛事件的经历。在这方面，请说明政府是否打算通过对性别问题有敏感认识的庇护程序，并承认性别迫害是庇护的理由之一。</w:t>
      </w:r>
    </w:p>
    <w:p w:rsidR="002852FC" w:rsidRDefault="002852FC" w:rsidP="002852FC">
      <w:pPr>
        <w:pStyle w:val="SingleTxt"/>
        <w:rPr>
          <w:rFonts w:hint="eastAsia"/>
        </w:rPr>
      </w:pPr>
      <w:r>
        <w:rPr>
          <w:rFonts w:hint="eastAsia"/>
        </w:rPr>
        <w:t>23.</w:t>
      </w:r>
      <w:r>
        <w:rPr>
          <w:rFonts w:hint="eastAsia"/>
        </w:rPr>
        <w:tab/>
        <w:t>该报告不含任何关于贫困妇女的分类统计数据。请提供荷兰贫困妇女的概况资料，以及缔约国在这方面所采取的措施。</w:t>
      </w:r>
    </w:p>
    <w:p w:rsidR="002852FC" w:rsidRDefault="002852FC" w:rsidP="002852FC">
      <w:pPr>
        <w:pStyle w:val="SingleTxt"/>
        <w:rPr>
          <w:rFonts w:hint="eastAsia"/>
        </w:rPr>
      </w:pPr>
      <w:r>
        <w:rPr>
          <w:rFonts w:hint="eastAsia"/>
        </w:rPr>
        <w:t>24.</w:t>
      </w:r>
      <w:r>
        <w:rPr>
          <w:rFonts w:hint="eastAsia"/>
        </w:rPr>
        <w:tab/>
        <w:t>现有资料显示，很多穆斯林妇女和女孩</w:t>
      </w:r>
      <w:r w:rsidR="001710D4">
        <w:rPr>
          <w:rFonts w:hint="eastAsia"/>
        </w:rPr>
        <w:t>(</w:t>
      </w:r>
      <w:r>
        <w:rPr>
          <w:rFonts w:hint="eastAsia"/>
        </w:rPr>
        <w:t>其中大多是非荷兰血统</w:t>
      </w:r>
      <w:r w:rsidR="001710D4">
        <w:rPr>
          <w:rFonts w:hint="eastAsia"/>
        </w:rPr>
        <w:t>)</w:t>
      </w:r>
      <w:r>
        <w:rPr>
          <w:rFonts w:hint="eastAsia"/>
        </w:rPr>
        <w:t>在劳动力市场、教育部门和体育学校中面临着歧视和排斥，原因之一是佩带头巾。请说明政府已采取何种措施来扭转对穆斯林妇女的这种消极态度。特别是，缔约国是否可以更具体地说明采取了什么步骤，来创造机会使穆斯林妇女和女孩融入主流社会和经济，</w:t>
      </w:r>
      <w:r w:rsidR="00A3447C">
        <w:rPr>
          <w:rFonts w:hint="eastAsia"/>
        </w:rPr>
        <w:t>同时仍保留自己的族裔</w:t>
      </w:r>
      <w:r>
        <w:rPr>
          <w:rFonts w:hint="eastAsia"/>
        </w:rPr>
        <w:t xml:space="preserve">特性和不同的文化特性。 </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参与政治和公共生活</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25.</w:t>
      </w:r>
      <w:r>
        <w:rPr>
          <w:rFonts w:hint="eastAsia"/>
        </w:rPr>
        <w:tab/>
        <w:t>虽然缔约国承认，让妇女担任45%的政治职位这一预期目标无法在2010年实现</w:t>
      </w:r>
      <w:r w:rsidR="001710D4">
        <w:rPr>
          <w:rFonts w:hint="eastAsia"/>
        </w:rPr>
        <w:t>(</w:t>
      </w:r>
      <w:r>
        <w:rPr>
          <w:rFonts w:hint="eastAsia"/>
        </w:rPr>
        <w:t>CEDAW/C/NLD/5，第122页</w:t>
      </w:r>
      <w:r w:rsidR="001710D4">
        <w:rPr>
          <w:rFonts w:hint="eastAsia"/>
        </w:rPr>
        <w:t>)</w:t>
      </w:r>
      <w:r>
        <w:rPr>
          <w:rFonts w:hint="eastAsia"/>
        </w:rPr>
        <w:t>，但报告指出，荷兰没有采用配额制来提高妇女的参与</w:t>
      </w:r>
      <w:r w:rsidR="001710D4">
        <w:rPr>
          <w:rFonts w:hint="eastAsia"/>
        </w:rPr>
        <w:t>(</w:t>
      </w:r>
      <w:r w:rsidR="00A3447C">
        <w:rPr>
          <w:rFonts w:hint="eastAsia"/>
        </w:rPr>
        <w:t>CEDAW/C/NLD/5</w:t>
      </w:r>
      <w:r>
        <w:rPr>
          <w:rFonts w:hint="eastAsia"/>
        </w:rPr>
        <w:t>，第124页</w:t>
      </w:r>
      <w:r w:rsidR="001710D4">
        <w:rPr>
          <w:rFonts w:hint="eastAsia"/>
        </w:rPr>
        <w:t>)</w:t>
      </w:r>
      <w:r>
        <w:rPr>
          <w:rFonts w:hint="eastAsia"/>
        </w:rPr>
        <w:t>。鉴于在增加担任高级职位的</w:t>
      </w:r>
      <w:r w:rsidR="00A3447C">
        <w:rPr>
          <w:rFonts w:hint="eastAsia"/>
        </w:rPr>
        <w:t>妇女</w:t>
      </w:r>
      <w:r>
        <w:rPr>
          <w:rFonts w:hint="eastAsia"/>
        </w:rPr>
        <w:t>人数方面进展缓慢，请解释为何没有拟设这样的制度以及政府是否会考虑依照《公约》第4条第1款及委员会第23和25号一般性建议采取暂行特别措施。</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婚姻与家庭</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26.</w:t>
      </w:r>
      <w:r>
        <w:rPr>
          <w:rFonts w:hint="eastAsia"/>
        </w:rPr>
        <w:tab/>
        <w:t>缔约国表示，迄今为止没有迹象表明，家庭团聚政策事实上对妇女有歧视</w:t>
      </w:r>
      <w:r w:rsidR="001710D4">
        <w:rPr>
          <w:rFonts w:hint="eastAsia"/>
        </w:rPr>
        <w:t>(</w:t>
      </w:r>
      <w:r>
        <w:rPr>
          <w:rFonts w:hint="eastAsia"/>
        </w:rPr>
        <w:t>CEDAW/C/NLD/5，第139页</w:t>
      </w:r>
      <w:r w:rsidR="001710D4">
        <w:rPr>
          <w:rFonts w:hint="eastAsia"/>
        </w:rPr>
        <w:t>)</w:t>
      </w:r>
      <w:r>
        <w:rPr>
          <w:rFonts w:hint="eastAsia"/>
        </w:rPr>
        <w:t>。但是，对高收入的要求以及对通过荷兰语考试和掌握荷兰社会知识的要求，对</w:t>
      </w:r>
      <w:r w:rsidR="00A3447C">
        <w:rPr>
          <w:rFonts w:hint="eastAsia"/>
        </w:rPr>
        <w:t>妇女</w:t>
      </w:r>
      <w:r>
        <w:rPr>
          <w:rFonts w:hint="eastAsia"/>
        </w:rPr>
        <w:t>的负面影响似乎要大于男</w:t>
      </w:r>
      <w:r w:rsidR="00A3447C">
        <w:rPr>
          <w:rFonts w:hint="eastAsia"/>
        </w:rPr>
        <w:t>子</w:t>
      </w:r>
      <w:r>
        <w:rPr>
          <w:rFonts w:hint="eastAsia"/>
        </w:rPr>
        <w:t>，其原因包括男女在教育、工资和财产所有权方面世界各地都存在差距。在这方面，请提供关于要求成立家庭和家庭团聚的男女申请者的最新数据。司法部研究部门有没有对涉及成立家庭和家庭团聚的各项措施进行评价？如果有，请向委员会通报其结果。</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贩运和利用妇女卖淫营利</w:t>
      </w:r>
    </w:p>
    <w:p w:rsidR="001710D4" w:rsidRPr="001710D4" w:rsidRDefault="001710D4" w:rsidP="001710D4">
      <w:pPr>
        <w:pStyle w:val="SingleTxt"/>
        <w:spacing w:after="0" w:line="120" w:lineRule="exact"/>
        <w:rPr>
          <w:rFonts w:hint="eastAsia"/>
          <w:sz w:val="10"/>
        </w:rPr>
      </w:pPr>
    </w:p>
    <w:p w:rsidR="002852FC" w:rsidRDefault="002852FC" w:rsidP="002852FC">
      <w:pPr>
        <w:pStyle w:val="SingleTxt"/>
        <w:rPr>
          <w:rFonts w:hint="eastAsia"/>
        </w:rPr>
      </w:pPr>
      <w:r>
        <w:rPr>
          <w:rFonts w:hint="eastAsia"/>
        </w:rPr>
        <w:t>27.</w:t>
      </w:r>
      <w:r>
        <w:rPr>
          <w:rFonts w:hint="eastAsia"/>
        </w:rPr>
        <w:tab/>
        <w:t>委员会先前的结论性意见</w:t>
      </w:r>
      <w:r w:rsidR="001710D4">
        <w:rPr>
          <w:rFonts w:hint="eastAsia"/>
        </w:rPr>
        <w:t>(CEDAW/C/NLD/</w:t>
      </w:r>
      <w:r>
        <w:rPr>
          <w:rFonts w:hint="eastAsia"/>
        </w:rPr>
        <w:t>CO/4，第23段</w:t>
      </w:r>
      <w:r w:rsidR="001710D4">
        <w:rPr>
          <w:rFonts w:hint="eastAsia"/>
        </w:rPr>
        <w:t>)</w:t>
      </w:r>
      <w:r>
        <w:rPr>
          <w:rFonts w:hint="eastAsia"/>
        </w:rPr>
        <w:t>以及暴力侵害妇女行为问题特别报告员，均对将保护贩运受害者同与警方合作挂钩表示关切。请说明政府为</w:t>
      </w:r>
      <w:r w:rsidR="00A3447C">
        <w:rPr>
          <w:rFonts w:hint="eastAsia"/>
        </w:rPr>
        <w:t>应付</w:t>
      </w:r>
      <w:r>
        <w:rPr>
          <w:rFonts w:hint="eastAsia"/>
        </w:rPr>
        <w:t>这些关切打算采取的后续措施，以及政府是否打算为贩运受害者提供临时保护签证及重返社会和支助服务，不</w:t>
      </w:r>
      <w:r w:rsidR="00A3447C">
        <w:rPr>
          <w:rFonts w:hint="eastAsia"/>
        </w:rPr>
        <w:t>论</w:t>
      </w:r>
      <w:r>
        <w:rPr>
          <w:rFonts w:hint="eastAsia"/>
        </w:rPr>
        <w:t>他们是否协助调查和起诉被指控的贩运者。</w:t>
      </w:r>
    </w:p>
    <w:p w:rsidR="002852FC" w:rsidRDefault="002852FC" w:rsidP="002852FC">
      <w:pPr>
        <w:pStyle w:val="SingleTxt"/>
        <w:rPr>
          <w:rFonts w:hint="eastAsia"/>
        </w:rPr>
      </w:pPr>
      <w:r>
        <w:rPr>
          <w:rFonts w:hint="eastAsia"/>
        </w:rPr>
        <w:t>28.</w:t>
      </w:r>
      <w:r>
        <w:rPr>
          <w:rFonts w:hint="eastAsia"/>
        </w:rPr>
        <w:tab/>
        <w:t>请说明采取了什么措施来确保妥善查找</w:t>
      </w:r>
      <w:r w:rsidR="00A3447C">
        <w:rPr>
          <w:rFonts w:hint="eastAsia"/>
        </w:rPr>
        <w:t>受</w:t>
      </w:r>
      <w:r>
        <w:rPr>
          <w:rFonts w:hint="eastAsia"/>
        </w:rPr>
        <w:t>贩运活动</w:t>
      </w:r>
      <w:r w:rsidR="00A3447C">
        <w:rPr>
          <w:rFonts w:hint="eastAsia"/>
        </w:rPr>
        <w:t>之害的妇女</w:t>
      </w:r>
      <w:r>
        <w:rPr>
          <w:rFonts w:hint="eastAsia"/>
        </w:rPr>
        <w:t>，并使其不再被关押在外国人拘留中心，得不到她们本应享有的援助和保护服务。也请说明</w:t>
      </w:r>
      <w:r w:rsidR="00A3447C">
        <w:rPr>
          <w:rFonts w:hint="eastAsia"/>
        </w:rPr>
        <w:t>受</w:t>
      </w:r>
      <w:r>
        <w:rPr>
          <w:rFonts w:hint="eastAsia"/>
        </w:rPr>
        <w:t>贩运活动和性剥削</w:t>
      </w:r>
      <w:r w:rsidR="00A3447C">
        <w:rPr>
          <w:rFonts w:hint="eastAsia"/>
        </w:rPr>
        <w:t>之</w:t>
      </w:r>
      <w:r>
        <w:rPr>
          <w:rFonts w:hint="eastAsia"/>
        </w:rPr>
        <w:t>害的未成年人是否有机会得到专门机构的帮助。关于缔约国的报告</w:t>
      </w:r>
      <w:r w:rsidR="001710D4">
        <w:rPr>
          <w:rFonts w:hint="eastAsia"/>
        </w:rPr>
        <w:t>(</w:t>
      </w:r>
      <w:r>
        <w:rPr>
          <w:rFonts w:hint="eastAsia"/>
        </w:rPr>
        <w:t>CEDAW/C/NLD/5，第113</w:t>
      </w:r>
      <w:r w:rsidR="00A3447C">
        <w:rPr>
          <w:rFonts w:hint="eastAsia"/>
        </w:rPr>
        <w:t>页</w:t>
      </w:r>
      <w:r w:rsidR="001710D4">
        <w:rPr>
          <w:rFonts w:hint="eastAsia"/>
        </w:rPr>
        <w:t>)</w:t>
      </w:r>
      <w:r w:rsidR="00A3447C">
        <w:rPr>
          <w:rFonts w:hint="eastAsia"/>
        </w:rPr>
        <w:t>，有没有完成对怀疑被人贩子带走的未成年</w:t>
      </w:r>
      <w:r>
        <w:rPr>
          <w:rFonts w:hint="eastAsia"/>
        </w:rPr>
        <w:t>寻求庇护人失踪的调查？</w:t>
      </w:r>
    </w:p>
    <w:p w:rsidR="002852FC" w:rsidRDefault="002852FC" w:rsidP="002852FC">
      <w:pPr>
        <w:pStyle w:val="SingleTxt"/>
        <w:rPr>
          <w:rFonts w:hint="eastAsia"/>
        </w:rPr>
      </w:pPr>
      <w:r>
        <w:rPr>
          <w:rFonts w:hint="eastAsia"/>
        </w:rPr>
        <w:t>29.</w:t>
      </w:r>
      <w:r w:rsidR="00A3447C">
        <w:rPr>
          <w:rFonts w:hint="eastAsia"/>
        </w:rPr>
        <w:tab/>
      </w:r>
      <w:r>
        <w:rPr>
          <w:rFonts w:hint="eastAsia"/>
        </w:rPr>
        <w:t>请说明打击人口贩运特别工作组为什么没有非政府组织的代表。</w:t>
      </w:r>
    </w:p>
    <w:p w:rsidR="002852FC" w:rsidRDefault="002852FC" w:rsidP="002852FC">
      <w:pPr>
        <w:pStyle w:val="SingleTxt"/>
        <w:rPr>
          <w:rFonts w:hint="eastAsia"/>
        </w:rPr>
      </w:pPr>
      <w:r>
        <w:rPr>
          <w:rFonts w:hint="eastAsia"/>
        </w:rPr>
        <w:t>30.</w:t>
      </w:r>
      <w:r>
        <w:rPr>
          <w:rFonts w:hint="eastAsia"/>
        </w:rPr>
        <w:tab/>
        <w:t>该报告强调通过了新的立法，其主要目标是加强和统一妓女的许可证制度，加强控制和执法，并改善她们的工作状况</w:t>
      </w:r>
      <w:r w:rsidR="001710D4">
        <w:rPr>
          <w:rFonts w:hint="eastAsia"/>
        </w:rPr>
        <w:t>(</w:t>
      </w:r>
      <w:r>
        <w:rPr>
          <w:rFonts w:hint="eastAsia"/>
        </w:rPr>
        <w:t>CEDAW/C/NLD/5，第116页</w:t>
      </w:r>
      <w:r w:rsidR="001710D4">
        <w:rPr>
          <w:rFonts w:hint="eastAsia"/>
        </w:rPr>
        <w:t>)</w:t>
      </w:r>
      <w:r>
        <w:rPr>
          <w:rFonts w:hint="eastAsia"/>
        </w:rPr>
        <w:t>。请说明在通过这项法律之前，缔约国是否评估了强制从事妓女工作的妇女在地方当局登记对她们的隐私和安全造成的风险，以及这项法律对这些妇女独立工作的可能性产生的影响。暴力侵害妇女行为问题特别报告员确定了妓女自主营业所面临的障碍，敦促缔约国加紧解决这些障碍。请说明为落实这一建议采取了哪些措施。</w:t>
      </w:r>
    </w:p>
    <w:p w:rsidR="002852FC" w:rsidRDefault="001710D4" w:rsidP="001710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2852FC">
        <w:rPr>
          <w:rFonts w:hint="eastAsia"/>
        </w:rPr>
        <w:t>卫生</w:t>
      </w:r>
    </w:p>
    <w:p w:rsidR="001710D4" w:rsidRPr="001710D4" w:rsidRDefault="001710D4" w:rsidP="001710D4">
      <w:pPr>
        <w:pStyle w:val="SingleTxt"/>
        <w:spacing w:after="0" w:line="120" w:lineRule="exact"/>
        <w:rPr>
          <w:rFonts w:hint="eastAsia"/>
          <w:sz w:val="10"/>
        </w:rPr>
      </w:pPr>
    </w:p>
    <w:p w:rsidR="00EA31C3" w:rsidRDefault="00A3447C" w:rsidP="002852FC">
      <w:pPr>
        <w:pStyle w:val="SingleTxt"/>
      </w:pPr>
      <w:r>
        <w:rPr>
          <w:rFonts w:hint="eastAsia"/>
        </w:rPr>
        <w:t>3</w:t>
      </w:r>
      <w:r w:rsidR="002852FC">
        <w:rPr>
          <w:rFonts w:hint="eastAsia"/>
        </w:rPr>
        <w:t>1.</w:t>
      </w:r>
      <w:r w:rsidR="002852FC">
        <w:rPr>
          <w:rFonts w:hint="eastAsia"/>
        </w:rPr>
        <w:tab/>
        <w:t>该报告表明，少数族裔的健康状况通常不及</w:t>
      </w:r>
      <w:r>
        <w:rPr>
          <w:rFonts w:hint="eastAsia"/>
        </w:rPr>
        <w:t>本土荷裔</w:t>
      </w:r>
      <w:r w:rsidR="002852FC">
        <w:rPr>
          <w:rFonts w:hint="eastAsia"/>
        </w:rPr>
        <w:t>人口，并且族裔</w:t>
      </w:r>
      <w:r>
        <w:rPr>
          <w:rFonts w:hint="eastAsia"/>
        </w:rPr>
        <w:t>少数</w:t>
      </w:r>
      <w:r w:rsidR="002852FC">
        <w:rPr>
          <w:rFonts w:hint="eastAsia"/>
        </w:rPr>
        <w:t>的婴儿、儿童和成人的死亡风险更大。在族裔</w:t>
      </w:r>
      <w:r>
        <w:rPr>
          <w:rFonts w:hint="eastAsia"/>
        </w:rPr>
        <w:t>少数</w:t>
      </w:r>
      <w:r w:rsidR="002852FC">
        <w:rPr>
          <w:rFonts w:hint="eastAsia"/>
        </w:rPr>
        <w:t>人口中抑郁症发</w:t>
      </w:r>
      <w:r>
        <w:rPr>
          <w:rFonts w:hint="eastAsia"/>
        </w:rPr>
        <w:t>病率</w:t>
      </w:r>
      <w:r w:rsidR="002852FC">
        <w:rPr>
          <w:rFonts w:hint="eastAsia"/>
        </w:rPr>
        <w:t>更加频繁，并且在土耳其裔的老年妇女中发病率最高</w:t>
      </w:r>
      <w:r w:rsidR="001710D4">
        <w:rPr>
          <w:rFonts w:hint="eastAsia"/>
        </w:rPr>
        <w:t>(</w:t>
      </w:r>
      <w:r w:rsidR="002852FC">
        <w:rPr>
          <w:rFonts w:hint="eastAsia"/>
        </w:rPr>
        <w:t>CEDAW/C/NLD/5，第158页</w:t>
      </w:r>
      <w:r w:rsidR="001710D4">
        <w:rPr>
          <w:rFonts w:hint="eastAsia"/>
        </w:rPr>
        <w:t>)</w:t>
      </w:r>
      <w:r w:rsidR="002852FC">
        <w:rPr>
          <w:rFonts w:hint="eastAsia"/>
        </w:rPr>
        <w:t>。请详细说明针对族裔</w:t>
      </w:r>
      <w:r>
        <w:rPr>
          <w:rFonts w:hint="eastAsia"/>
        </w:rPr>
        <w:t>少数</w:t>
      </w:r>
      <w:r w:rsidR="002852FC">
        <w:rPr>
          <w:rFonts w:hint="eastAsia"/>
        </w:rPr>
        <w:t>妇女的健康状况所采取或设想的措施以及这些措施的影响。</w:t>
      </w:r>
    </w:p>
    <w:p w:rsidR="001710D4" w:rsidRPr="001710D4" w:rsidRDefault="001710D4" w:rsidP="001710D4">
      <w:pPr>
        <w:pStyle w:val="SingleTxt"/>
        <w:spacing w:after="0" w:line="240" w:lineRule="auto"/>
        <w:rPr>
          <w:sz w:val="20"/>
        </w:rPr>
      </w:pPr>
      <w:r>
        <w:rPr>
          <w:noProof/>
          <w:sz w:val="20"/>
        </w:rPr>
        <w:pict>
          <v:line id="_x0000_s1026" style="position:absolute;left:0;text-align:left;z-index:1;mso-position-horizontal:center" from="0,30pt" to="1in,30pt" wrapcoords="1 1 97 1 97 1 1 1 1 1" strokeweight=".25pt">
            <w10:wrap type="tight"/>
          </v:line>
        </w:pict>
      </w:r>
    </w:p>
    <w:sectPr w:rsidR="001710D4" w:rsidRPr="001710D4" w:rsidSect="00B56E6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4-15T09:18:00Z" w:initials="Start">
    <w:p w:rsidR="00001A5C" w:rsidRDefault="00001A5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NO&gt;&gt;N0926615C&lt;&lt;ODS JOB NO&gt;&gt;</w:t>
      </w:r>
    </w:p>
    <w:p w:rsidR="00001A5C" w:rsidRDefault="00001A5C">
      <w:pPr>
        <w:pStyle w:val="CommentText"/>
      </w:pPr>
      <w:r>
        <w:t>&lt;&lt;ODS DOC SYMBOL1&gt;&gt;CEDAW/C/NLD/Q/5&lt;&lt;ODS DOC SYMBOL1&gt;&gt;</w:t>
      </w:r>
    </w:p>
    <w:p w:rsidR="00001A5C" w:rsidRDefault="00001A5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86E" w:rsidRDefault="00FE286E">
      <w:r>
        <w:separator/>
      </w:r>
    </w:p>
  </w:endnote>
  <w:endnote w:type="continuationSeparator" w:id="0">
    <w:p w:rsidR="00FE286E" w:rsidRDefault="00FE28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01A5C" w:rsidTr="00B56E60">
      <w:tblPrEx>
        <w:tblCellMar>
          <w:top w:w="0" w:type="dxa"/>
          <w:bottom w:w="0" w:type="dxa"/>
        </w:tblCellMar>
      </w:tblPrEx>
      <w:tc>
        <w:tcPr>
          <w:tcW w:w="5033" w:type="dxa"/>
          <w:shd w:val="clear" w:color="auto" w:fill="auto"/>
        </w:tcPr>
        <w:p w:rsidR="00001A5C" w:rsidRPr="00B56E60" w:rsidRDefault="00001A5C" w:rsidP="00B56E60">
          <w:pPr>
            <w:pStyle w:val="Footer"/>
            <w:jc w:val="right"/>
            <w:rPr>
              <w:b w:val="0"/>
              <w:w w:val="103"/>
              <w:sz w:val="14"/>
            </w:rPr>
          </w:pPr>
          <w:fldSimple w:instr=" DOCVARIABLE &quot;FooterJN&quot; \* MERGEFORMAT ">
            <w:r w:rsidR="003154F2">
              <w:rPr>
                <w:b w:val="0"/>
                <w:w w:val="103"/>
                <w:sz w:val="14"/>
              </w:rPr>
              <w:t>09-26615 (C)</w:t>
            </w:r>
          </w:fldSimple>
        </w:p>
      </w:tc>
      <w:tc>
        <w:tcPr>
          <w:tcW w:w="5033" w:type="dxa"/>
          <w:shd w:val="clear" w:color="auto" w:fill="auto"/>
        </w:tcPr>
        <w:p w:rsidR="00001A5C" w:rsidRPr="00B56E60" w:rsidRDefault="00001A5C" w:rsidP="00B56E6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3154F2">
            <w:rPr>
              <w:w w:val="103"/>
              <w:sz w:val="17"/>
            </w:rPr>
            <w:t>2</w:t>
          </w:r>
          <w:r>
            <w:rPr>
              <w:w w:val="103"/>
              <w:sz w:val="17"/>
            </w:rPr>
            <w:fldChar w:fldCharType="end"/>
          </w:r>
        </w:p>
      </w:tc>
    </w:tr>
  </w:tbl>
  <w:p w:rsidR="00001A5C" w:rsidRPr="00B56E60" w:rsidRDefault="00001A5C" w:rsidP="00B56E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01A5C" w:rsidTr="00B56E60">
      <w:tblPrEx>
        <w:tblCellMar>
          <w:top w:w="0" w:type="dxa"/>
          <w:bottom w:w="0" w:type="dxa"/>
        </w:tblCellMar>
      </w:tblPrEx>
      <w:tc>
        <w:tcPr>
          <w:tcW w:w="5033" w:type="dxa"/>
          <w:shd w:val="clear" w:color="auto" w:fill="auto"/>
        </w:tcPr>
        <w:p w:rsidR="00001A5C" w:rsidRPr="00B56E60" w:rsidRDefault="00001A5C" w:rsidP="00B56E60">
          <w:pPr>
            <w:pStyle w:val="Footer"/>
            <w:jc w:val="right"/>
          </w:pPr>
          <w:fldSimple w:instr=" PAGE  \* MERGEFORMAT ">
            <w:r w:rsidR="003154F2">
              <w:t>5</w:t>
            </w:r>
          </w:fldSimple>
        </w:p>
      </w:tc>
      <w:tc>
        <w:tcPr>
          <w:tcW w:w="5033" w:type="dxa"/>
          <w:shd w:val="clear" w:color="auto" w:fill="auto"/>
        </w:tcPr>
        <w:p w:rsidR="00001A5C" w:rsidRPr="00B56E60" w:rsidRDefault="00001A5C" w:rsidP="00B56E60">
          <w:pPr>
            <w:pStyle w:val="Footer"/>
            <w:jc w:val="left"/>
            <w:rPr>
              <w:b w:val="0"/>
              <w:w w:val="103"/>
              <w:sz w:val="14"/>
            </w:rPr>
          </w:pPr>
          <w:fldSimple w:instr=" DOCVARIABLE &quot;FooterJN&quot; \* MERGEFORMAT ">
            <w:r w:rsidR="003154F2">
              <w:rPr>
                <w:b w:val="0"/>
                <w:w w:val="103"/>
                <w:sz w:val="14"/>
              </w:rPr>
              <w:t>09-26615 (C)</w:t>
            </w:r>
          </w:fldSimple>
        </w:p>
      </w:tc>
    </w:tr>
  </w:tbl>
  <w:p w:rsidR="00001A5C" w:rsidRPr="00B56E60" w:rsidRDefault="00001A5C" w:rsidP="00B56E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001A5C">
      <w:tblPrEx>
        <w:tblCellMar>
          <w:top w:w="0" w:type="dxa"/>
          <w:bottom w:w="0" w:type="dxa"/>
        </w:tblCellMar>
      </w:tblPrEx>
      <w:tc>
        <w:tcPr>
          <w:tcW w:w="5033" w:type="dxa"/>
        </w:tcPr>
        <w:p w:rsidR="00001A5C" w:rsidRDefault="00001A5C" w:rsidP="00B56E60">
          <w:pPr>
            <w:pStyle w:val="Footer"/>
            <w:rPr>
              <w:b w:val="0"/>
              <w:sz w:val="21"/>
            </w:rPr>
          </w:pPr>
          <w:fldSimple w:instr=" DOCVARIABLE &quot;jobn&quot; \* MERGEFORMAT ">
            <w:r w:rsidR="003154F2">
              <w:rPr>
                <w:b w:val="0"/>
                <w:sz w:val="21"/>
              </w:rPr>
              <w:t>09-26615 (C)</w:t>
            </w:r>
          </w:fldSimple>
          <w:r w:rsidR="003154F2">
            <w:rPr>
              <w:b w:val="0"/>
              <w:sz w:val="21"/>
            </w:rPr>
            <w:t xml:space="preserve">    090409    1</w:t>
          </w:r>
          <w:r w:rsidR="003154F2">
            <w:rPr>
              <w:rFonts w:hint="eastAsia"/>
              <w:b w:val="0"/>
              <w:sz w:val="21"/>
            </w:rPr>
            <w:t>6</w:t>
          </w:r>
          <w:r>
            <w:rPr>
              <w:b w:val="0"/>
              <w:sz w:val="21"/>
            </w:rPr>
            <w:t>0409</w:t>
          </w:r>
        </w:p>
        <w:p w:rsidR="00001A5C" w:rsidRPr="00B56E60" w:rsidRDefault="00001A5C" w:rsidP="00B56E60">
          <w:pPr>
            <w:spacing w:before="80" w:line="210" w:lineRule="exact"/>
            <w:rPr>
              <w:rFonts w:ascii="Barcode 3 of 9 by request" w:hAnsi="Barcode 3 of 9 by request"/>
              <w:sz w:val="24"/>
            </w:rPr>
          </w:pPr>
          <w:fldSimple w:instr=" DOCVARIABLE &quot;Barcode&quot; \* MERGEFORMAT ">
            <w:r w:rsidR="003154F2">
              <w:rPr>
                <w:rFonts w:ascii="Barcode 3 of 9 by request" w:hAnsi="Barcode 3 of 9 by request"/>
                <w:sz w:val="24"/>
              </w:rPr>
              <w:t>*0926615*</w:t>
            </w:r>
          </w:fldSimple>
        </w:p>
      </w:tc>
      <w:tc>
        <w:tcPr>
          <w:tcW w:w="5033" w:type="dxa"/>
        </w:tcPr>
        <w:p w:rsidR="00001A5C" w:rsidRDefault="00001A5C" w:rsidP="00B56E60">
          <w:pPr>
            <w:pStyle w:val="Footer"/>
            <w:jc w:val="right"/>
            <w:rPr>
              <w:b w:val="0"/>
              <w:sz w:val="21"/>
            </w:rPr>
          </w:pPr>
          <w:r w:rsidRPr="00B56E6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01A5C" w:rsidRPr="00B56E60" w:rsidRDefault="00001A5C" w:rsidP="00B56E6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86E" w:rsidRDefault="00FE286E">
      <w:r>
        <w:separator/>
      </w:r>
    </w:p>
  </w:footnote>
  <w:footnote w:type="continuationSeparator" w:id="0">
    <w:p w:rsidR="00FE286E" w:rsidRDefault="00FE28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01A5C" w:rsidTr="00B56E60">
      <w:tblPrEx>
        <w:tblCellMar>
          <w:top w:w="0" w:type="dxa"/>
          <w:bottom w:w="0" w:type="dxa"/>
        </w:tblCellMar>
      </w:tblPrEx>
      <w:trPr>
        <w:trHeight w:hRule="exact" w:val="864"/>
      </w:trPr>
      <w:tc>
        <w:tcPr>
          <w:tcW w:w="4838" w:type="dxa"/>
          <w:shd w:val="clear" w:color="auto" w:fill="auto"/>
          <w:vAlign w:val="bottom"/>
        </w:tcPr>
        <w:p w:rsidR="00001A5C" w:rsidRPr="00B56E60" w:rsidRDefault="00001A5C" w:rsidP="00B56E60">
          <w:pPr>
            <w:pStyle w:val="Header"/>
            <w:spacing w:after="80"/>
            <w:jc w:val="left"/>
            <w:rPr>
              <w:b/>
              <w:sz w:val="17"/>
            </w:rPr>
          </w:pPr>
          <w:fldSimple w:instr=" DOCVARIABLE &quot;sss1&quot; \* MERGEFORMAT ">
            <w:r w:rsidR="003154F2">
              <w:rPr>
                <w:b/>
                <w:sz w:val="17"/>
              </w:rPr>
              <w:t>CEDAW/C/NLD/Q/5</w:t>
            </w:r>
          </w:fldSimple>
        </w:p>
      </w:tc>
      <w:tc>
        <w:tcPr>
          <w:tcW w:w="5033" w:type="dxa"/>
          <w:shd w:val="clear" w:color="auto" w:fill="auto"/>
          <w:vAlign w:val="bottom"/>
        </w:tcPr>
        <w:p w:rsidR="00001A5C" w:rsidRDefault="00001A5C" w:rsidP="00B56E60">
          <w:pPr>
            <w:pStyle w:val="Header"/>
          </w:pPr>
        </w:p>
      </w:tc>
    </w:tr>
  </w:tbl>
  <w:p w:rsidR="00001A5C" w:rsidRPr="00B56E60" w:rsidRDefault="00001A5C" w:rsidP="00B56E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01A5C" w:rsidTr="00B56E60">
      <w:tblPrEx>
        <w:tblCellMar>
          <w:top w:w="0" w:type="dxa"/>
          <w:bottom w:w="0" w:type="dxa"/>
        </w:tblCellMar>
      </w:tblPrEx>
      <w:trPr>
        <w:trHeight w:hRule="exact" w:val="864"/>
      </w:trPr>
      <w:tc>
        <w:tcPr>
          <w:tcW w:w="4838" w:type="dxa"/>
          <w:shd w:val="clear" w:color="auto" w:fill="auto"/>
          <w:vAlign w:val="bottom"/>
        </w:tcPr>
        <w:p w:rsidR="00001A5C" w:rsidRDefault="00001A5C" w:rsidP="00B56E60">
          <w:pPr>
            <w:pStyle w:val="Header"/>
          </w:pPr>
        </w:p>
      </w:tc>
      <w:tc>
        <w:tcPr>
          <w:tcW w:w="5033" w:type="dxa"/>
          <w:shd w:val="clear" w:color="auto" w:fill="auto"/>
          <w:vAlign w:val="bottom"/>
        </w:tcPr>
        <w:p w:rsidR="00001A5C" w:rsidRPr="00B56E60" w:rsidRDefault="00001A5C" w:rsidP="00B56E60">
          <w:pPr>
            <w:pStyle w:val="Header"/>
            <w:spacing w:after="80"/>
            <w:jc w:val="right"/>
            <w:rPr>
              <w:b/>
              <w:sz w:val="17"/>
            </w:rPr>
          </w:pPr>
          <w:fldSimple w:instr=" DOCVARIABLE &quot;sss1&quot; \* MERGEFORMAT ">
            <w:r w:rsidR="003154F2">
              <w:rPr>
                <w:b/>
                <w:sz w:val="17"/>
              </w:rPr>
              <w:t>CEDAW/C/NLD/Q/5</w:t>
            </w:r>
          </w:fldSimple>
        </w:p>
      </w:tc>
    </w:tr>
  </w:tbl>
  <w:p w:rsidR="00001A5C" w:rsidRPr="00B56E60" w:rsidRDefault="00001A5C" w:rsidP="00B56E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01A5C" w:rsidTr="00B56E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1A5C" w:rsidRDefault="00001A5C" w:rsidP="00B56E60">
          <w:pPr>
            <w:pStyle w:val="Header"/>
            <w:spacing w:after="120"/>
          </w:pPr>
        </w:p>
      </w:tc>
      <w:tc>
        <w:tcPr>
          <w:tcW w:w="1872" w:type="dxa"/>
          <w:tcBorders>
            <w:bottom w:val="single" w:sz="4" w:space="0" w:color="auto"/>
          </w:tcBorders>
          <w:shd w:val="clear" w:color="auto" w:fill="auto"/>
          <w:vAlign w:val="bottom"/>
        </w:tcPr>
        <w:p w:rsidR="00001A5C" w:rsidRPr="00B56E60" w:rsidRDefault="00001A5C" w:rsidP="00B56E6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01A5C" w:rsidRDefault="00001A5C" w:rsidP="00B56E60">
          <w:pPr>
            <w:pStyle w:val="Header"/>
            <w:spacing w:after="120"/>
          </w:pPr>
        </w:p>
      </w:tc>
      <w:tc>
        <w:tcPr>
          <w:tcW w:w="6523" w:type="dxa"/>
          <w:gridSpan w:val="3"/>
          <w:tcBorders>
            <w:bottom w:val="single" w:sz="4" w:space="0" w:color="auto"/>
          </w:tcBorders>
          <w:shd w:val="clear" w:color="auto" w:fill="auto"/>
          <w:vAlign w:val="bottom"/>
        </w:tcPr>
        <w:p w:rsidR="00001A5C" w:rsidRPr="00B56E60" w:rsidRDefault="00001A5C" w:rsidP="00B56E60">
          <w:pPr>
            <w:spacing w:after="80" w:line="240" w:lineRule="auto"/>
            <w:jc w:val="right"/>
            <w:rPr>
              <w:rFonts w:ascii="Times New Roman"/>
              <w:position w:val="-4"/>
            </w:rPr>
          </w:pPr>
          <w:r>
            <w:rPr>
              <w:rFonts w:ascii="Times New Roman"/>
              <w:position w:val="-4"/>
              <w:sz w:val="40"/>
            </w:rPr>
            <w:t>CEDAW</w:t>
          </w:r>
          <w:r>
            <w:rPr>
              <w:rFonts w:ascii="Times New Roman"/>
              <w:position w:val="-4"/>
            </w:rPr>
            <w:t>/C/NLD/Q/5</w:t>
          </w:r>
        </w:p>
      </w:tc>
    </w:tr>
    <w:tr w:rsidR="00001A5C" w:rsidRPr="00B56E60" w:rsidTr="00B56E6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1A5C" w:rsidRDefault="00001A5C" w:rsidP="00B56E6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1A5C" w:rsidRPr="00B56E60" w:rsidRDefault="00001A5C" w:rsidP="00B56E60">
          <w:pPr>
            <w:pStyle w:val="Header"/>
            <w:spacing w:before="109"/>
            <w:ind w:left="-72"/>
          </w:pPr>
        </w:p>
      </w:tc>
      <w:tc>
        <w:tcPr>
          <w:tcW w:w="5227" w:type="dxa"/>
          <w:gridSpan w:val="3"/>
          <w:tcBorders>
            <w:top w:val="single" w:sz="4" w:space="0" w:color="auto"/>
            <w:bottom w:val="single" w:sz="12" w:space="0" w:color="auto"/>
          </w:tcBorders>
          <w:shd w:val="clear" w:color="auto" w:fill="auto"/>
        </w:tcPr>
        <w:p w:rsidR="00001A5C" w:rsidRPr="00B56E60" w:rsidRDefault="00001A5C" w:rsidP="00B56E6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01A5C" w:rsidRPr="00B56E60" w:rsidRDefault="00001A5C" w:rsidP="00B56E60">
          <w:pPr>
            <w:pStyle w:val="Header"/>
            <w:spacing w:before="109"/>
          </w:pPr>
        </w:p>
      </w:tc>
      <w:tc>
        <w:tcPr>
          <w:tcW w:w="3180" w:type="dxa"/>
          <w:gridSpan w:val="2"/>
          <w:tcBorders>
            <w:top w:val="single" w:sz="4" w:space="0" w:color="auto"/>
            <w:bottom w:val="single" w:sz="12" w:space="0" w:color="auto"/>
          </w:tcBorders>
          <w:shd w:val="clear" w:color="auto" w:fill="auto"/>
        </w:tcPr>
        <w:p w:rsidR="00001A5C" w:rsidRDefault="00001A5C" w:rsidP="00B56E60">
          <w:pPr>
            <w:spacing w:before="240" w:line="240" w:lineRule="exact"/>
            <w:rPr>
              <w:rFonts w:ascii="Times New Roman"/>
            </w:rPr>
          </w:pPr>
          <w:r>
            <w:rPr>
              <w:rFonts w:ascii="Times New Roman"/>
            </w:rPr>
            <w:t>Distr.: General</w:t>
          </w:r>
        </w:p>
        <w:p w:rsidR="00001A5C" w:rsidRDefault="00001A5C" w:rsidP="00B56E60">
          <w:pPr>
            <w:spacing w:line="240" w:lineRule="exact"/>
            <w:rPr>
              <w:rFonts w:ascii="Times New Roman"/>
            </w:rPr>
          </w:pPr>
          <w:r>
            <w:rPr>
              <w:rFonts w:ascii="Times New Roman"/>
            </w:rPr>
            <w:t>13 March 2009</w:t>
          </w:r>
        </w:p>
        <w:p w:rsidR="00001A5C" w:rsidRDefault="00001A5C" w:rsidP="00B56E60">
          <w:pPr>
            <w:spacing w:line="240" w:lineRule="exact"/>
            <w:rPr>
              <w:rFonts w:ascii="Times New Roman"/>
            </w:rPr>
          </w:pPr>
          <w:r>
            <w:rPr>
              <w:rFonts w:ascii="Times New Roman"/>
            </w:rPr>
            <w:t>Chinese</w:t>
          </w:r>
        </w:p>
        <w:p w:rsidR="00001A5C" w:rsidRPr="00B56E60" w:rsidRDefault="00001A5C" w:rsidP="00B56E60">
          <w:pPr>
            <w:spacing w:line="240" w:lineRule="exact"/>
            <w:rPr>
              <w:rFonts w:ascii="Times New Roman"/>
            </w:rPr>
          </w:pPr>
          <w:r>
            <w:rPr>
              <w:rFonts w:ascii="Times New Roman"/>
            </w:rPr>
            <w:t>Original: English</w:t>
          </w:r>
        </w:p>
      </w:tc>
    </w:tr>
  </w:tbl>
  <w:p w:rsidR="00001A5C" w:rsidRPr="00B56E60" w:rsidRDefault="00001A5C" w:rsidP="00B56E6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15*"/>
    <w:docVar w:name="CreationDt" w:val="14/04/2009 09:25:49"/>
    <w:docVar w:name="DocCategory" w:val="Doc"/>
    <w:docVar w:name="DocType" w:val="Final"/>
    <w:docVar w:name="FooterJN" w:val="09-26615 (C)"/>
    <w:docVar w:name="jobn" w:val="09-26615 (C)"/>
    <w:docVar w:name="jobnDT" w:val="09-26615 (C)   140409"/>
    <w:docVar w:name="jobnDTDT" w:val="09-26615 (C)   140409   140409"/>
    <w:docVar w:name="JobNo" w:val="0926615C"/>
    <w:docVar w:name="OandT" w:val="YANGHUA"/>
    <w:docVar w:name="sss1" w:val="CEDAW/C/NLD/Q/5"/>
    <w:docVar w:name="sss2" w:val="-"/>
    <w:docVar w:name="Symbol1" w:val="CEDAW/C/NLD/Q/5"/>
    <w:docVar w:name="Symbol2" w:val="-"/>
  </w:docVars>
  <w:rsids>
    <w:rsidRoot w:val="00DD1C36"/>
    <w:rsid w:val="00001A5C"/>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10D4"/>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52FC"/>
    <w:rsid w:val="002A4AEF"/>
    <w:rsid w:val="002B305F"/>
    <w:rsid w:val="002B564F"/>
    <w:rsid w:val="002B5F5D"/>
    <w:rsid w:val="002C2254"/>
    <w:rsid w:val="002C3BC9"/>
    <w:rsid w:val="002C54DB"/>
    <w:rsid w:val="002D039F"/>
    <w:rsid w:val="002D0694"/>
    <w:rsid w:val="002D5503"/>
    <w:rsid w:val="002E66D5"/>
    <w:rsid w:val="002F41E2"/>
    <w:rsid w:val="00303C6D"/>
    <w:rsid w:val="003154F2"/>
    <w:rsid w:val="00320C99"/>
    <w:rsid w:val="003274A9"/>
    <w:rsid w:val="00331221"/>
    <w:rsid w:val="003649EE"/>
    <w:rsid w:val="00371BC6"/>
    <w:rsid w:val="00373A15"/>
    <w:rsid w:val="00383ACA"/>
    <w:rsid w:val="00394A02"/>
    <w:rsid w:val="003C7B20"/>
    <w:rsid w:val="003E4565"/>
    <w:rsid w:val="003E748F"/>
    <w:rsid w:val="003E7612"/>
    <w:rsid w:val="00414423"/>
    <w:rsid w:val="004364E7"/>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0B08"/>
    <w:rsid w:val="009122E0"/>
    <w:rsid w:val="00913351"/>
    <w:rsid w:val="00922C2E"/>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447C"/>
    <w:rsid w:val="00A37345"/>
    <w:rsid w:val="00A5206D"/>
    <w:rsid w:val="00A639A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56E60"/>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833F3"/>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1C36"/>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286E"/>
    <w:rsid w:val="00FE5F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1E5A51"/>
    <w:rPr>
      <w:color w:val="FF00FF"/>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813</Words>
  <Characters>4635</Characters>
  <Application>Microsoft Office Outlook</Application>
  <DocSecurity>4</DocSecurity>
  <Lines>38</Lines>
  <Paragraphs>10</Paragraphs>
  <ScaleCrop>false</ScaleCrop>
  <Company>United Nations</Company>
  <LinksUpToDate>false</LinksUpToDate>
  <CharactersWithSpaces>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13</cp:revision>
  <cp:lastPrinted>2009-04-16T11:02:00Z</cp:lastPrinted>
  <dcterms:created xsi:type="dcterms:W3CDTF">2009-04-14T08:23:00Z</dcterms:created>
  <dcterms:modified xsi:type="dcterms:W3CDTF">2009-04-16T11:02:00Z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0926615</vt:lpwstr>
  </property>
  <property fmtid="{D5CDD505-2E9C-101B-9397-08002B2CF9AE}" pid="3" name="Symbol1">
    <vt:lpwstr>CEDAW/C/NLD/Q/5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