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BA7" w:rsidRDefault="004E5BA7" w:rsidP="004E5BA7">
      <w:pPr>
        <w:spacing w:line="240" w:lineRule="auto"/>
        <w:jc w:val="left"/>
        <w:rPr>
          <w:szCs w:val="6"/>
          <w:rtl/>
        </w:rPr>
        <w:sectPr w:rsidR="004E5BA7" w:rsidSect="004E5BA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1&amp;Size =1&amp;Lang = A"/>
            <w10:wrap anchorx="page" anchory="page"/>
          </v:shape>
        </w:pict>
      </w:r>
    </w:p>
    <w:p w:rsidR="007F684E" w:rsidRDefault="007F684E" w:rsidP="0066419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w:t>
      </w:r>
      <w:r>
        <w:rPr>
          <w:rFonts w:hint="cs"/>
          <w:rtl/>
        </w:rPr>
        <w:t xml:space="preserve"> </w:t>
      </w:r>
      <w:r>
        <w:rPr>
          <w:rtl/>
        </w:rPr>
        <w:t>ضد المرأة</w:t>
      </w:r>
    </w:p>
    <w:p w:rsidR="007F684E" w:rsidRPr="007F684E" w:rsidRDefault="007F684E" w:rsidP="006641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7F684E">
        <w:rPr>
          <w:rtl/>
        </w:rPr>
        <w:t>الفريق العامل لما قبل الدورة</w:t>
      </w:r>
    </w:p>
    <w:p w:rsidR="007F684E" w:rsidRPr="007F684E" w:rsidRDefault="007F684E" w:rsidP="006641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7F684E">
        <w:rPr>
          <w:rtl/>
        </w:rPr>
        <w:t>الدورة الثامنة والخمسون</w:t>
      </w:r>
    </w:p>
    <w:p w:rsidR="007F684E" w:rsidRDefault="007F684E" w:rsidP="0066419D">
      <w:pPr>
        <w:tabs>
          <w:tab w:val="left" w:pos="662"/>
          <w:tab w:val="left" w:pos="1267"/>
          <w:tab w:val="left" w:pos="1987"/>
          <w:tab w:val="left" w:pos="2650"/>
        </w:tabs>
        <w:rPr>
          <w:rtl/>
        </w:rPr>
      </w:pPr>
      <w:r>
        <w:rPr>
          <w:rtl/>
        </w:rPr>
        <w:t>21-25 تشرين الأول/أكتوبر 2013</w:t>
      </w:r>
    </w:p>
    <w:p w:rsidR="007F684E" w:rsidRPr="007F684E" w:rsidRDefault="007F684E" w:rsidP="007F684E">
      <w:pPr>
        <w:pStyle w:val="SingleTxt"/>
        <w:spacing w:after="0" w:line="120" w:lineRule="exact"/>
        <w:rPr>
          <w:sz w:val="10"/>
          <w:rtl/>
        </w:rPr>
      </w:pPr>
    </w:p>
    <w:p w:rsidR="007F684E" w:rsidRPr="007F684E" w:rsidRDefault="007F684E" w:rsidP="007F684E">
      <w:pPr>
        <w:pStyle w:val="SingleTxt"/>
        <w:spacing w:after="0" w:line="120" w:lineRule="exact"/>
        <w:rPr>
          <w:sz w:val="10"/>
          <w:rtl/>
        </w:rPr>
      </w:pPr>
    </w:p>
    <w:p w:rsidR="007F684E" w:rsidRDefault="007F684E" w:rsidP="007F684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النظر في التقارير المقدمة من الدول الأطراف بموجب المادة 18 من اتفاقية القضاء على جميع أشكال التمييز ضد المرأة</w:t>
      </w:r>
    </w:p>
    <w:p w:rsidR="007F684E" w:rsidRPr="007F684E" w:rsidRDefault="007F684E" w:rsidP="007F684E">
      <w:pPr>
        <w:pStyle w:val="SingleTxt"/>
        <w:spacing w:after="0" w:line="120" w:lineRule="exact"/>
        <w:rPr>
          <w:sz w:val="10"/>
          <w:rtl/>
        </w:rPr>
      </w:pPr>
    </w:p>
    <w:p w:rsidR="007F684E" w:rsidRDefault="007F684E" w:rsidP="007F684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تقرير الفريق العامل لما قبل الدورة</w:t>
      </w:r>
    </w:p>
    <w:p w:rsidR="007F684E" w:rsidRPr="007F684E" w:rsidRDefault="007F684E" w:rsidP="007F684E">
      <w:pPr>
        <w:pStyle w:val="SingleTxt"/>
        <w:spacing w:after="0" w:line="120" w:lineRule="exact"/>
        <w:rPr>
          <w:sz w:val="10"/>
          <w:rtl/>
        </w:rPr>
      </w:pPr>
    </w:p>
    <w:p w:rsidR="007F684E" w:rsidRDefault="007F684E" w:rsidP="007F684E">
      <w:pPr>
        <w:pStyle w:val="SingleTxt"/>
        <w:rPr>
          <w:rFonts w:hint="cs"/>
          <w:rtl/>
        </w:rPr>
      </w:pPr>
      <w:r>
        <w:rPr>
          <w:rtl/>
        </w:rPr>
        <w:t>1 -</w:t>
      </w:r>
      <w:r>
        <w:rPr>
          <w:rFonts w:hint="cs"/>
          <w:rtl/>
        </w:rPr>
        <w:tab/>
      </w:r>
      <w:r>
        <w:rPr>
          <w:rtl/>
        </w:rPr>
        <w:t>درجت اللجنة المعنية بالقضاء على التمييز ضد المرأة على عقد اجتماع لفريق عامل لما قبل الدورة لمدة خمسة أيام من أجل إعداد قوائم القضايا والمسائل المتصلة بالتقارير الأولية والدورية التي ستنظر فيها اللجنة خلال إحدى دوراتها المقبلة.</w:t>
      </w:r>
    </w:p>
    <w:p w:rsidR="007F684E" w:rsidRDefault="007F684E" w:rsidP="0066419D">
      <w:pPr>
        <w:pStyle w:val="SingleTxt"/>
        <w:rPr>
          <w:rtl/>
        </w:rPr>
      </w:pPr>
      <w:r>
        <w:rPr>
          <w:rtl/>
        </w:rPr>
        <w:t>2 -</w:t>
      </w:r>
      <w:r>
        <w:rPr>
          <w:rtl/>
        </w:rPr>
        <w:tab/>
        <w:t>وقررت اللجنة أن يجتمع الفريق العامل لما قبل دورتها الثامنة والخمسين في الفترة من</w:t>
      </w:r>
      <w:r>
        <w:rPr>
          <w:rFonts w:hint="cs"/>
          <w:rtl/>
        </w:rPr>
        <w:t> </w:t>
      </w:r>
      <w:r>
        <w:rPr>
          <w:rtl/>
        </w:rPr>
        <w:t xml:space="preserve">21 إلى 25 تشرين الأول/أكتوبر 2013 فور انتهاء الدورة السادسة والخمسين، وذلك لضمان أن يتوفر للدول الأطراف ما يكفي لها من الوقت لتقدم ردودها الخطية على قوائم القضايا والأسئلة، ولضمان ترجمتها في </w:t>
      </w:r>
      <w:r>
        <w:rPr>
          <w:rFonts w:hint="cs"/>
          <w:rtl/>
        </w:rPr>
        <w:t>حينها</w:t>
      </w:r>
      <w:r>
        <w:rPr>
          <w:rtl/>
        </w:rPr>
        <w:t>.</w:t>
      </w:r>
    </w:p>
    <w:p w:rsidR="007F684E" w:rsidRDefault="007F684E" w:rsidP="007F684E">
      <w:pPr>
        <w:pStyle w:val="SingleTxt"/>
        <w:rPr>
          <w:rFonts w:hint="cs"/>
          <w:rtl/>
        </w:rPr>
      </w:pPr>
      <w:r>
        <w:rPr>
          <w:rtl/>
        </w:rPr>
        <w:t>3 -</w:t>
      </w:r>
      <w:r>
        <w:rPr>
          <w:rtl/>
        </w:rPr>
        <w:tab/>
        <w:t>وقد عين</w:t>
      </w:r>
      <w:r>
        <w:rPr>
          <w:rFonts w:hint="cs"/>
          <w:rtl/>
        </w:rPr>
        <w:t>ت</w:t>
      </w:r>
      <w:r>
        <w:rPr>
          <w:rtl/>
        </w:rPr>
        <w:t xml:space="preserve"> الخب</w:t>
      </w:r>
      <w:r>
        <w:rPr>
          <w:rFonts w:hint="cs"/>
          <w:rtl/>
        </w:rPr>
        <w:t>ي</w:t>
      </w:r>
      <w:r>
        <w:rPr>
          <w:rtl/>
        </w:rPr>
        <w:t>را</w:t>
      </w:r>
      <w:r>
        <w:rPr>
          <w:rFonts w:hint="cs"/>
          <w:rtl/>
        </w:rPr>
        <w:t>ت</w:t>
      </w:r>
      <w:r>
        <w:rPr>
          <w:rtl/>
        </w:rPr>
        <w:t xml:space="preserve"> التالية أسماؤه</w:t>
      </w:r>
      <w:r>
        <w:rPr>
          <w:rFonts w:hint="cs"/>
          <w:rtl/>
        </w:rPr>
        <w:t>ن</w:t>
      </w:r>
      <w:r>
        <w:rPr>
          <w:rtl/>
        </w:rPr>
        <w:t xml:space="preserve"> أعضاء للفريق العامل لما قبل الدورة:</w:t>
      </w:r>
    </w:p>
    <w:p w:rsidR="007F684E" w:rsidRDefault="007F684E" w:rsidP="00CD64D9">
      <w:pPr>
        <w:pStyle w:val="SingleTxt"/>
        <w:spacing w:after="80" w:line="380" w:lineRule="exact"/>
        <w:rPr>
          <w:rFonts w:hint="cs"/>
          <w:rtl/>
        </w:rPr>
      </w:pPr>
      <w:r>
        <w:rPr>
          <w:rtl/>
        </w:rPr>
        <w:tab/>
      </w:r>
      <w:r w:rsidR="00DA1D06">
        <w:rPr>
          <w:rtl/>
        </w:rPr>
        <w:t>السيدة نور الجهاني</w:t>
      </w:r>
    </w:p>
    <w:p w:rsidR="007F684E" w:rsidRDefault="007F684E" w:rsidP="00CD64D9">
      <w:pPr>
        <w:pStyle w:val="SingleTxt"/>
        <w:spacing w:after="80" w:line="380" w:lineRule="exact"/>
        <w:rPr>
          <w:rtl/>
        </w:rPr>
      </w:pPr>
      <w:r>
        <w:rPr>
          <w:rtl/>
        </w:rPr>
        <w:tab/>
        <w:t>السيدة نيكول أميلين</w:t>
      </w:r>
    </w:p>
    <w:p w:rsidR="007F684E" w:rsidRDefault="007F684E" w:rsidP="00CD64D9">
      <w:pPr>
        <w:pStyle w:val="SingleTxt"/>
        <w:spacing w:after="80" w:line="380" w:lineRule="exact"/>
        <w:rPr>
          <w:rtl/>
        </w:rPr>
      </w:pPr>
      <w:r>
        <w:rPr>
          <w:rtl/>
        </w:rPr>
        <w:tab/>
        <w:t>السيدة باربرا بيلي</w:t>
      </w:r>
    </w:p>
    <w:p w:rsidR="007F684E" w:rsidRDefault="007F684E" w:rsidP="00CD64D9">
      <w:pPr>
        <w:pStyle w:val="SingleTxt"/>
        <w:spacing w:after="80" w:line="380" w:lineRule="exact"/>
        <w:rPr>
          <w:rtl/>
        </w:rPr>
      </w:pPr>
      <w:r>
        <w:rPr>
          <w:rtl/>
        </w:rPr>
        <w:tab/>
        <w:t>السيدة نايلة جبر</w:t>
      </w:r>
    </w:p>
    <w:p w:rsidR="007F684E" w:rsidRDefault="007F684E" w:rsidP="00CD64D9">
      <w:pPr>
        <w:pStyle w:val="SingleTxt"/>
        <w:spacing w:after="80" w:line="380" w:lineRule="exact"/>
        <w:rPr>
          <w:rtl/>
        </w:rPr>
      </w:pPr>
      <w:r>
        <w:rPr>
          <w:rtl/>
        </w:rPr>
        <w:tab/>
        <w:t>السيدة فيوليتا نيوباور</w:t>
      </w:r>
    </w:p>
    <w:p w:rsidR="007F684E" w:rsidRDefault="007F684E" w:rsidP="007F684E">
      <w:pPr>
        <w:pStyle w:val="SingleTxt"/>
        <w:rPr>
          <w:rFonts w:hint="cs"/>
          <w:rtl/>
        </w:rPr>
      </w:pPr>
      <w:r>
        <w:rPr>
          <w:rtl/>
        </w:rPr>
        <w:t>4 -</w:t>
      </w:r>
      <w:r>
        <w:rPr>
          <w:rtl/>
        </w:rPr>
        <w:tab/>
        <w:t>وانتخب الفريق العامل لما قبل الدورة السيدة أميلين رئيسة له.</w:t>
      </w:r>
    </w:p>
    <w:p w:rsidR="007F684E" w:rsidRDefault="007F684E" w:rsidP="007F684E">
      <w:pPr>
        <w:pStyle w:val="SingleTxt"/>
        <w:rPr>
          <w:rFonts w:hint="cs"/>
          <w:rtl/>
        </w:rPr>
      </w:pPr>
      <w:r>
        <w:rPr>
          <w:rtl/>
        </w:rPr>
        <w:t>5 -</w:t>
      </w:r>
      <w:r>
        <w:rPr>
          <w:rtl/>
        </w:rPr>
        <w:tab/>
        <w:t xml:space="preserve">وأعد الفريق العامل لما قبل الدورة قوائم بالقضايا والأسئلة التي تتعلق بتقارير بيرو وجمهورية أفريقيا الوسطى والجمهورية </w:t>
      </w:r>
      <w:r w:rsidR="00DA1D06">
        <w:rPr>
          <w:rtl/>
        </w:rPr>
        <w:t>العربية السورية وجورجيا وسوازيل</w:t>
      </w:r>
      <w:r>
        <w:rPr>
          <w:rtl/>
        </w:rPr>
        <w:t xml:space="preserve">ند وليتوانيا وموريتانيا والهند. وفي هذا الصدد، استرشد الفريق العامل لما قبل الدورة بمقرر اللجنة 49/التاسع، الذي قررت اللجنة بموجبه </w:t>
      </w:r>
      <w:r>
        <w:rPr>
          <w:rFonts w:hint="cs"/>
          <w:rtl/>
        </w:rPr>
        <w:t>حصر</w:t>
      </w:r>
      <w:r>
        <w:rPr>
          <w:rtl/>
        </w:rPr>
        <w:t xml:space="preserve"> قوائم القضايا والأسئلة</w:t>
      </w:r>
      <w:r>
        <w:rPr>
          <w:rFonts w:hint="cs"/>
          <w:rtl/>
        </w:rPr>
        <w:t xml:space="preserve"> في</w:t>
      </w:r>
      <w:r>
        <w:rPr>
          <w:rtl/>
        </w:rPr>
        <w:t xml:space="preserve"> 20 سؤالاً. وفي</w:t>
      </w:r>
      <w:r>
        <w:rPr>
          <w:rFonts w:hint="eastAsia"/>
          <w:rtl/>
        </w:rPr>
        <w:t> </w:t>
      </w:r>
      <w:r>
        <w:rPr>
          <w:rFonts w:hint="cs"/>
          <w:rtl/>
        </w:rPr>
        <w:t>الواقع،</w:t>
      </w:r>
      <w:r>
        <w:rPr>
          <w:rtl/>
        </w:rPr>
        <w:t xml:space="preserve"> وبصورة استثنائية، تتضمن بعض قوائم القضايا والأسئلة 22 سؤالاً</w:t>
      </w:r>
      <w:r>
        <w:rPr>
          <w:rFonts w:hint="cs"/>
          <w:rtl/>
        </w:rPr>
        <w:t xml:space="preserve"> ك</w:t>
      </w:r>
      <w:r>
        <w:rPr>
          <w:rtl/>
        </w:rPr>
        <w:t>حد أقصى.</w:t>
      </w:r>
    </w:p>
    <w:p w:rsidR="007F684E" w:rsidRDefault="007F684E" w:rsidP="007F684E">
      <w:pPr>
        <w:pStyle w:val="SingleTxt"/>
        <w:rPr>
          <w:rFonts w:hint="cs"/>
          <w:rtl/>
        </w:rPr>
      </w:pPr>
      <w:r>
        <w:rPr>
          <w:rtl/>
        </w:rPr>
        <w:t>6 -</w:t>
      </w:r>
      <w:r>
        <w:rPr>
          <w:rtl/>
        </w:rPr>
        <w:tab/>
      </w:r>
      <w:r w:rsidRPr="007F684E">
        <w:rPr>
          <w:w w:val="102"/>
          <w:rtl/>
        </w:rPr>
        <w:t>وللمساعدة في إعداد قوائم القضايا والأسئلة، كان معروضاً على الفريق العامل لما</w:t>
      </w:r>
      <w:r w:rsidRPr="007F684E">
        <w:rPr>
          <w:rFonts w:hint="cs"/>
          <w:w w:val="102"/>
          <w:rtl/>
        </w:rPr>
        <w:t> </w:t>
      </w:r>
      <w:r w:rsidRPr="007F684E">
        <w:rPr>
          <w:w w:val="102"/>
          <w:rtl/>
        </w:rPr>
        <w:t>قبل الدورة تقارير الدول الأطراف المذكورة أعلاه، بالإضافة إلى الوثائق الأساسية المقدمة من معظم تلك الدول الأطراف؛ والتوصيات العامة التي اعتمدتها اللجنة؛ والمعلومات الأساسية ومشاريع قوائم القضايا والأسئلة التي أعدتها الأمانة العامة بناء على مقارنة تحليلية بين التقارير الحالية للدول الأطراف ومناقشة اللجنة المتعلقة بتقارير سابقة؛ ومعلومات أخرى ذات صلة</w:t>
      </w:r>
      <w:r w:rsidRPr="007F684E">
        <w:rPr>
          <w:rFonts w:hint="cs"/>
          <w:w w:val="102"/>
          <w:rtl/>
        </w:rPr>
        <w:t>،</w:t>
      </w:r>
      <w:r w:rsidRPr="007F684E">
        <w:rPr>
          <w:w w:val="102"/>
          <w:rtl/>
        </w:rPr>
        <w:t xml:space="preserve"> بما في ذلك الملاحظات الختامية للجنة والهيئات التعاهدية الأخرى، رهناً بمدى أهميتها. ولدى إعداد قوائم القضايا والأسئلة المتعلقة بالتقارير الدورية، أولى الفريق العامل لما</w:t>
      </w:r>
      <w:r w:rsidRPr="007F684E">
        <w:rPr>
          <w:rFonts w:hint="cs"/>
          <w:w w:val="102"/>
          <w:rtl/>
        </w:rPr>
        <w:t> </w:t>
      </w:r>
      <w:r w:rsidRPr="007F684E">
        <w:rPr>
          <w:w w:val="102"/>
          <w:rtl/>
        </w:rPr>
        <w:t>قبل الدورة عناية خاصة لمدى متابعة الدول الأطراف للملاحظات الختامية للجنة على</w:t>
      </w:r>
      <w:r w:rsidRPr="007F684E">
        <w:rPr>
          <w:rFonts w:hint="cs"/>
          <w:w w:val="102"/>
          <w:rtl/>
        </w:rPr>
        <w:t> </w:t>
      </w:r>
      <w:r w:rsidRPr="007F684E">
        <w:rPr>
          <w:w w:val="102"/>
          <w:rtl/>
        </w:rPr>
        <w:t>تقاريرها السابقة</w:t>
      </w:r>
      <w:r>
        <w:rPr>
          <w:rtl/>
        </w:rPr>
        <w:t>.</w:t>
      </w:r>
    </w:p>
    <w:p w:rsidR="007F684E" w:rsidRDefault="007F684E" w:rsidP="007F684E">
      <w:pPr>
        <w:pStyle w:val="SingleTxt"/>
        <w:rPr>
          <w:rtl/>
        </w:rPr>
      </w:pPr>
      <w:r>
        <w:rPr>
          <w:rtl/>
        </w:rPr>
        <w:t>7 -</w:t>
      </w:r>
      <w:r>
        <w:rPr>
          <w:rtl/>
        </w:rPr>
        <w:tab/>
        <w:t>واستفاد الفريق العامل لما قبل الدورة من المعلومات الخطية والشفوية المقدمة من</w:t>
      </w:r>
      <w:r>
        <w:rPr>
          <w:rFonts w:hint="cs"/>
          <w:rtl/>
        </w:rPr>
        <w:t> </w:t>
      </w:r>
      <w:r>
        <w:rPr>
          <w:rtl/>
        </w:rPr>
        <w:t>كيانات منظومة الأمم المتحدة ووكالاتها المتخصصة، ومن المنظمات غير الحكومية.</w:t>
      </w:r>
    </w:p>
    <w:p w:rsidR="007F684E" w:rsidRDefault="007F684E" w:rsidP="007F684E">
      <w:pPr>
        <w:pStyle w:val="SingleTxt"/>
        <w:rPr>
          <w:rtl/>
        </w:rPr>
      </w:pPr>
      <w:r>
        <w:rPr>
          <w:rtl/>
        </w:rPr>
        <w:t>8 -</w:t>
      </w:r>
      <w:r>
        <w:rPr>
          <w:rtl/>
        </w:rPr>
        <w:tab/>
        <w:t>وأ</w:t>
      </w:r>
      <w:r>
        <w:rPr>
          <w:rFonts w:hint="cs"/>
          <w:rtl/>
        </w:rPr>
        <w:t>ُ</w:t>
      </w:r>
      <w:r>
        <w:rPr>
          <w:rtl/>
        </w:rPr>
        <w:t>حيلت قوائم القضايا والأسئلة التي اعتمدها الفريق العامل لما قبل الدورة إلى الدول الأطراف المعنية، وهي ترد في الوثائق التالية:</w:t>
      </w:r>
    </w:p>
    <w:p w:rsidR="007F684E" w:rsidRDefault="007F684E" w:rsidP="007F684E">
      <w:pPr>
        <w:pStyle w:val="SingleTxt"/>
        <w:rPr>
          <w:rFonts w:hint="cs"/>
          <w:rtl/>
        </w:rPr>
      </w:pPr>
      <w:r>
        <w:rPr>
          <w:rFonts w:hint="cs"/>
          <w:rtl/>
        </w:rPr>
        <w:tab/>
      </w:r>
      <w:r>
        <w:rPr>
          <w:rtl/>
        </w:rPr>
        <w:t>(أ)</w:t>
      </w:r>
      <w:r>
        <w:rPr>
          <w:rFonts w:hint="cs"/>
          <w:rtl/>
        </w:rPr>
        <w:tab/>
      </w:r>
      <w:r>
        <w:rPr>
          <w:rtl/>
        </w:rPr>
        <w:t>قائمة القضايا والأسئلة المتعلقة بالتقرير الجامع للتقارير الدورية الأول والثاني حتى الخامس لجمهورية أفريقيا الوسطى (</w:t>
      </w:r>
      <w:hyperlink r:id="rId14" w:history="1">
        <w:r w:rsidRPr="007F684E">
          <w:rPr>
            <w:rStyle w:val="Hyperlink"/>
          </w:rPr>
          <w:t>CEDAW/C/CAF/Q/1-5</w:t>
        </w:r>
      </w:hyperlink>
      <w:r>
        <w:rPr>
          <w:rtl/>
        </w:rPr>
        <w:t>)؛</w:t>
      </w:r>
    </w:p>
    <w:p w:rsidR="007F684E" w:rsidRDefault="007F684E" w:rsidP="007F684E">
      <w:pPr>
        <w:pStyle w:val="SingleTxt"/>
        <w:rPr>
          <w:rtl/>
        </w:rPr>
      </w:pPr>
      <w:r>
        <w:rPr>
          <w:rFonts w:hint="cs"/>
          <w:rtl/>
        </w:rPr>
        <w:tab/>
      </w:r>
      <w:r>
        <w:rPr>
          <w:rtl/>
        </w:rPr>
        <w:t>(ب)</w:t>
      </w:r>
      <w:r>
        <w:rPr>
          <w:rFonts w:hint="cs"/>
          <w:rtl/>
        </w:rPr>
        <w:tab/>
      </w:r>
      <w:r>
        <w:rPr>
          <w:rtl/>
        </w:rPr>
        <w:t>قائمة القضايا والأسئلة المتعلقة بالتقرير الجامع للتقريرين الدوريين الرابع والخامس لجورجيا (</w:t>
      </w:r>
      <w:hyperlink r:id="rId15" w:history="1">
        <w:r w:rsidRPr="007F684E">
          <w:rPr>
            <w:rStyle w:val="Hyperlink"/>
          </w:rPr>
          <w:t>CEDAW/C/GEO/Q/4-5</w:t>
        </w:r>
      </w:hyperlink>
      <w:r>
        <w:rPr>
          <w:rtl/>
        </w:rPr>
        <w:t>)؛</w:t>
      </w:r>
    </w:p>
    <w:p w:rsidR="007F684E" w:rsidRDefault="007F684E" w:rsidP="007F684E">
      <w:pPr>
        <w:pStyle w:val="SingleTxt"/>
        <w:rPr>
          <w:rtl/>
        </w:rPr>
      </w:pPr>
      <w:r>
        <w:rPr>
          <w:rFonts w:hint="cs"/>
          <w:rtl/>
        </w:rPr>
        <w:tab/>
      </w:r>
      <w:r>
        <w:rPr>
          <w:rtl/>
        </w:rPr>
        <w:t>(ج)</w:t>
      </w:r>
      <w:r>
        <w:rPr>
          <w:rFonts w:hint="cs"/>
          <w:rtl/>
        </w:rPr>
        <w:tab/>
      </w:r>
      <w:r>
        <w:rPr>
          <w:rtl/>
        </w:rPr>
        <w:t>قائمة القضايا والأسئلة المتعلقة بالتقرير الجامع للتقريرين الدوريين الرابع والخامس للهند (</w:t>
      </w:r>
      <w:hyperlink r:id="rId16" w:history="1">
        <w:r w:rsidRPr="007F684E">
          <w:rPr>
            <w:rStyle w:val="Hyperlink"/>
          </w:rPr>
          <w:t>CEDAW/C/IND/Q/4-5</w:t>
        </w:r>
      </w:hyperlink>
      <w:r>
        <w:rPr>
          <w:rtl/>
        </w:rPr>
        <w:t>)؛</w:t>
      </w:r>
    </w:p>
    <w:p w:rsidR="007F684E" w:rsidRDefault="007F684E" w:rsidP="007F684E">
      <w:pPr>
        <w:pStyle w:val="SingleTxt"/>
        <w:rPr>
          <w:rtl/>
        </w:rPr>
      </w:pPr>
      <w:r>
        <w:rPr>
          <w:rFonts w:hint="cs"/>
          <w:rtl/>
        </w:rPr>
        <w:tab/>
      </w:r>
      <w:r>
        <w:rPr>
          <w:rtl/>
        </w:rPr>
        <w:t>(د)</w:t>
      </w:r>
      <w:r>
        <w:rPr>
          <w:rFonts w:hint="cs"/>
          <w:rtl/>
        </w:rPr>
        <w:tab/>
      </w:r>
      <w:r w:rsidRPr="007F684E">
        <w:rPr>
          <w:rtl/>
        </w:rPr>
        <w:t>قائمة القضايا والأسئلة المتعلقة بالتقرير الدوري الخامس لليتوانيا (</w:t>
      </w:r>
      <w:hyperlink r:id="rId17" w:history="1">
        <w:r w:rsidRPr="007F684E">
          <w:rPr>
            <w:rStyle w:val="Hyperlink"/>
          </w:rPr>
          <w:t>CEDAW/C/LTU/Q/5</w:t>
        </w:r>
      </w:hyperlink>
      <w:r w:rsidRPr="007F684E">
        <w:rPr>
          <w:rtl/>
        </w:rPr>
        <w:t>)</w:t>
      </w:r>
      <w:r>
        <w:rPr>
          <w:rtl/>
        </w:rPr>
        <w:t>؛</w:t>
      </w:r>
    </w:p>
    <w:p w:rsidR="007F684E" w:rsidRDefault="007F684E" w:rsidP="007F684E">
      <w:pPr>
        <w:pStyle w:val="SingleTxt"/>
        <w:rPr>
          <w:rFonts w:hint="cs"/>
          <w:rtl/>
        </w:rPr>
      </w:pPr>
      <w:r>
        <w:rPr>
          <w:rFonts w:hint="cs"/>
          <w:rtl/>
        </w:rPr>
        <w:tab/>
      </w:r>
      <w:r>
        <w:rPr>
          <w:rtl/>
        </w:rPr>
        <w:t>(هـ)</w:t>
      </w:r>
      <w:r>
        <w:rPr>
          <w:rFonts w:hint="cs"/>
          <w:rtl/>
        </w:rPr>
        <w:tab/>
      </w:r>
      <w:r>
        <w:rPr>
          <w:rtl/>
        </w:rPr>
        <w:t>قائمة القضايا والأسئلة المتعلقة بالتقرير الجامع للتقريرين الدوريين الثاني والثالث لموريتانيا (</w:t>
      </w:r>
      <w:hyperlink r:id="rId18" w:history="1">
        <w:r w:rsidRPr="007F684E">
          <w:rPr>
            <w:rStyle w:val="Hyperlink"/>
          </w:rPr>
          <w:t>CEDAW/C/MRT/Q/2-3</w:t>
        </w:r>
      </w:hyperlink>
      <w:r>
        <w:rPr>
          <w:rtl/>
        </w:rPr>
        <w:t>)؛</w:t>
      </w:r>
    </w:p>
    <w:p w:rsidR="007F684E" w:rsidRDefault="007F684E" w:rsidP="007F684E">
      <w:pPr>
        <w:pStyle w:val="SingleTxt"/>
        <w:rPr>
          <w:rFonts w:hint="cs"/>
          <w:rtl/>
        </w:rPr>
      </w:pPr>
      <w:r>
        <w:rPr>
          <w:rFonts w:hint="cs"/>
          <w:rtl/>
        </w:rPr>
        <w:tab/>
      </w:r>
      <w:r>
        <w:rPr>
          <w:rtl/>
        </w:rPr>
        <w:t>(و)</w:t>
      </w:r>
      <w:r>
        <w:rPr>
          <w:rFonts w:hint="cs"/>
          <w:rtl/>
        </w:rPr>
        <w:tab/>
      </w:r>
      <w:r>
        <w:rPr>
          <w:rtl/>
        </w:rPr>
        <w:t>قائمة القضايا والأسئلة المتعلقة بالتقرير الجامع للتقريرين الدوريين السابع والثامن لبيرو (</w:t>
      </w:r>
      <w:hyperlink r:id="rId19" w:history="1">
        <w:r w:rsidRPr="007F684E">
          <w:rPr>
            <w:rStyle w:val="Hyperlink"/>
          </w:rPr>
          <w:t>CEDAW/C/PER/Q/7-8</w:t>
        </w:r>
      </w:hyperlink>
      <w:r>
        <w:rPr>
          <w:rtl/>
        </w:rPr>
        <w:t>)؛</w:t>
      </w:r>
    </w:p>
    <w:p w:rsidR="007F684E" w:rsidRDefault="007F684E" w:rsidP="007F684E">
      <w:pPr>
        <w:pStyle w:val="SingleTxt"/>
        <w:rPr>
          <w:rtl/>
        </w:rPr>
      </w:pPr>
      <w:r>
        <w:rPr>
          <w:rFonts w:hint="cs"/>
          <w:rtl/>
        </w:rPr>
        <w:tab/>
      </w:r>
      <w:r>
        <w:rPr>
          <w:rtl/>
        </w:rPr>
        <w:t>(ز)</w:t>
      </w:r>
      <w:r>
        <w:rPr>
          <w:rFonts w:hint="cs"/>
          <w:rtl/>
        </w:rPr>
        <w:tab/>
      </w:r>
      <w:r>
        <w:rPr>
          <w:rtl/>
        </w:rPr>
        <w:t>قائمة القضايا والأسئلة المتعلقة بالتقرير الجامع للتقريرين الدوريين الأول والثاني لسوازيلند (</w:t>
      </w:r>
      <w:hyperlink r:id="rId20" w:history="1">
        <w:r w:rsidRPr="007F684E">
          <w:rPr>
            <w:rStyle w:val="Hyperlink"/>
          </w:rPr>
          <w:t>CEDAW/C/SWZ/Q/1-2</w:t>
        </w:r>
      </w:hyperlink>
      <w:r>
        <w:rPr>
          <w:rtl/>
        </w:rPr>
        <w:t>)؛</w:t>
      </w:r>
    </w:p>
    <w:p w:rsidR="007F684E" w:rsidRDefault="007F684E" w:rsidP="007F684E">
      <w:pPr>
        <w:pStyle w:val="SingleTxt"/>
        <w:rPr>
          <w:rtl/>
        </w:rPr>
      </w:pPr>
      <w:r>
        <w:rPr>
          <w:rFonts w:hint="cs"/>
          <w:rtl/>
        </w:rPr>
        <w:tab/>
      </w:r>
      <w:r>
        <w:rPr>
          <w:rtl/>
        </w:rPr>
        <w:t>(ح)</w:t>
      </w:r>
      <w:r>
        <w:rPr>
          <w:rFonts w:hint="cs"/>
          <w:rtl/>
        </w:rPr>
        <w:tab/>
      </w:r>
      <w:r>
        <w:rPr>
          <w:rtl/>
        </w:rPr>
        <w:t>قائمة القضايا والأسئلة المتعلقة بالتقرير الدوري الثاني للجمهورية العربية السورية (</w:t>
      </w:r>
      <w:hyperlink r:id="rId21" w:history="1">
        <w:r w:rsidRPr="007F684E">
          <w:rPr>
            <w:rStyle w:val="Hyperlink"/>
          </w:rPr>
          <w:t>CEDAW/C/SYR/Q/2</w:t>
        </w:r>
      </w:hyperlink>
      <w:r>
        <w:rPr>
          <w:rtl/>
        </w:rPr>
        <w:t>).</w:t>
      </w:r>
    </w:p>
    <w:p w:rsidR="007F684E" w:rsidRDefault="007F684E" w:rsidP="007F684E">
      <w:pPr>
        <w:pStyle w:val="SingleTxt"/>
        <w:rPr>
          <w:rFonts w:hint="cs"/>
          <w:rtl/>
        </w:rPr>
      </w:pPr>
      <w:r>
        <w:rPr>
          <w:rtl/>
        </w:rPr>
        <w:t>9 -</w:t>
      </w:r>
      <w:r>
        <w:rPr>
          <w:rtl/>
        </w:rPr>
        <w:tab/>
        <w:t>ووفقاً لمقررات اللجنة 22/الرابع و</w:t>
      </w:r>
      <w:r w:rsidR="00DA1D06">
        <w:rPr>
          <w:rFonts w:hint="cs"/>
          <w:rtl/>
        </w:rPr>
        <w:t xml:space="preserve"> </w:t>
      </w:r>
      <w:r>
        <w:rPr>
          <w:rtl/>
        </w:rPr>
        <w:t>25/الثاني و</w:t>
      </w:r>
      <w:r w:rsidR="00DA1D06">
        <w:rPr>
          <w:rFonts w:hint="cs"/>
          <w:rtl/>
        </w:rPr>
        <w:t xml:space="preserve"> </w:t>
      </w:r>
      <w:r>
        <w:rPr>
          <w:rtl/>
        </w:rPr>
        <w:t>31/الثالث، جرى التركيز في قوائم القضايا والأسئلة على المواضيع التي تعالجها اتفاقية القضاء على جميع أشكال التمييز ضد</w:t>
      </w:r>
      <w:r>
        <w:rPr>
          <w:rFonts w:hint="cs"/>
          <w:rtl/>
        </w:rPr>
        <w:t> </w:t>
      </w:r>
      <w:r>
        <w:rPr>
          <w:rtl/>
        </w:rPr>
        <w:t>المرأة. وقد شملت هذه الم</w:t>
      </w:r>
      <w:r w:rsidR="00CD64D9">
        <w:rPr>
          <w:rtl/>
        </w:rPr>
        <w:t>واضيع الإطار الدستوري والتشريعي</w:t>
      </w:r>
      <w:r w:rsidR="00CD64D9">
        <w:rPr>
          <w:rFonts w:hint="cs"/>
          <w:rtl/>
        </w:rPr>
        <w:t>؛</w:t>
      </w:r>
      <w:r>
        <w:rPr>
          <w:rtl/>
        </w:rPr>
        <w:t xml:space="preserve"> والمرأة، والسلم والأمن، عند الا</w:t>
      </w:r>
      <w:r>
        <w:rPr>
          <w:rFonts w:hint="cs"/>
          <w:rtl/>
        </w:rPr>
        <w:t>قتضاء</w:t>
      </w:r>
      <w:r>
        <w:rPr>
          <w:rtl/>
        </w:rPr>
        <w:t>؛ والآلية الوطنية للنهوض بالمرأة؛ والقوالب النمطية والممارسات الضارة؛ والعنف ضد المرأة، بما في ذلك العنف العائلي؛ والاتجار بالمرأة واستغلالها في البغاء؛ ومشاركة المرأة في صنع القرار؛ والت</w:t>
      </w:r>
      <w:bookmarkStart w:id="1" w:name="TmpSave"/>
      <w:bookmarkEnd w:id="1"/>
      <w:r>
        <w:rPr>
          <w:rtl/>
        </w:rPr>
        <w:t>عليم والتدريب؛ والعمالة؛ والصحة؛ والاستحقاقات الاجتماعية والاقتصادية؛ والمرأة الريفية؛ وحالة الفئات الضعيفة من النساء، مثل المسنات والنساء ذوات</w:t>
      </w:r>
      <w:r>
        <w:rPr>
          <w:rFonts w:hint="cs"/>
          <w:rtl/>
        </w:rPr>
        <w:t> </w:t>
      </w:r>
      <w:r>
        <w:rPr>
          <w:rtl/>
        </w:rPr>
        <w:t>الإعاقة، ونساء الأقليات العرقية، واللاجئات والمهاجرات؛ ومساواة المرأة بالرجل أمام القانون؛ والزواج والعلاقات الأسرية</w:t>
      </w:r>
      <w:r>
        <w:rPr>
          <w:rFonts w:hint="cs"/>
          <w:rtl/>
        </w:rPr>
        <w:t>.</w:t>
      </w:r>
    </w:p>
    <w:p w:rsidR="007F684E" w:rsidRPr="007F684E" w:rsidRDefault="007F684E" w:rsidP="007F684E">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sectPr w:rsidR="007F684E" w:rsidRPr="007F684E" w:rsidSect="004E5BA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4T19:30:00Z" w:initials="Start">
    <w:p w:rsidR="001669DF" w:rsidRDefault="001669D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NO&gt;&gt;N1353331A&lt;&lt;ODS JOB NO&gt;&gt;</w:t>
      </w:r>
    </w:p>
    <w:p w:rsidR="001669DF" w:rsidRDefault="001669DF">
      <w:pPr>
        <w:pStyle w:val="CommentText"/>
      </w:pPr>
      <w:r>
        <w:t>&lt;&lt;ODS DOC SYMBOL1&gt;&gt;CEDAW/C/PSWG/58/1&lt;&lt;ODS DOC SYMBOL1&gt;&gt;</w:t>
      </w:r>
    </w:p>
    <w:p w:rsidR="001669DF" w:rsidRDefault="001669D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9DF" w:rsidRDefault="001669DF" w:rsidP="004E5BA7">
      <w:r>
        <w:separator/>
      </w:r>
    </w:p>
  </w:endnote>
  <w:endnote w:type="continuationSeparator" w:id="0">
    <w:p w:rsidR="001669DF" w:rsidRDefault="001669DF" w:rsidP="004E5B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669DF" w:rsidTr="004E5BA7">
      <w:tblPrEx>
        <w:tblCellMar>
          <w:top w:w="0" w:type="dxa"/>
          <w:bottom w:w="0" w:type="dxa"/>
        </w:tblCellMar>
      </w:tblPrEx>
      <w:tc>
        <w:tcPr>
          <w:tcW w:w="5033" w:type="dxa"/>
          <w:shd w:val="clear" w:color="auto" w:fill="auto"/>
        </w:tcPr>
        <w:p w:rsidR="001669DF" w:rsidRPr="004E5BA7" w:rsidRDefault="001669DF" w:rsidP="004E5BA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03440">
            <w:rPr>
              <w:w w:val="103"/>
            </w:rPr>
            <w:t>2</w:t>
          </w:r>
          <w:r>
            <w:rPr>
              <w:w w:val="103"/>
            </w:rPr>
            <w:fldChar w:fldCharType="end"/>
          </w:r>
          <w:r>
            <w:rPr>
              <w:w w:val="103"/>
            </w:rPr>
            <w:t>/</w:t>
          </w:r>
          <w:fldSimple w:instr=" NUMPAGES  \* Arabic  \* MERGEFORMAT ">
            <w:r>
              <w:rPr>
                <w:w w:val="103"/>
              </w:rPr>
              <w:t>3</w:t>
            </w:r>
          </w:fldSimple>
        </w:p>
      </w:tc>
      <w:tc>
        <w:tcPr>
          <w:tcW w:w="5033" w:type="dxa"/>
          <w:shd w:val="clear" w:color="auto" w:fill="auto"/>
        </w:tcPr>
        <w:p w:rsidR="001669DF" w:rsidRPr="004E5BA7" w:rsidRDefault="001669DF" w:rsidP="004E5BA7">
          <w:pPr>
            <w:pStyle w:val="Footer"/>
            <w:rPr>
              <w:b w:val="0"/>
              <w:w w:val="103"/>
            </w:rPr>
          </w:pPr>
          <w:fldSimple w:instr=" DOCVARIABLE &quot;FooterJN&quot; \* MERGEFORMAT ">
            <w:r>
              <w:rPr>
                <w:b w:val="0"/>
                <w:w w:val="103"/>
              </w:rPr>
              <w:t>13-53331</w:t>
            </w:r>
          </w:fldSimple>
        </w:p>
      </w:tc>
    </w:tr>
  </w:tbl>
  <w:p w:rsidR="001669DF" w:rsidRPr="004E5BA7" w:rsidRDefault="001669DF" w:rsidP="004E5B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669DF" w:rsidTr="004E5BA7">
      <w:tblPrEx>
        <w:tblCellMar>
          <w:top w:w="0" w:type="dxa"/>
          <w:bottom w:w="0" w:type="dxa"/>
        </w:tblCellMar>
      </w:tblPrEx>
      <w:tc>
        <w:tcPr>
          <w:tcW w:w="5033" w:type="dxa"/>
          <w:shd w:val="clear" w:color="auto" w:fill="auto"/>
        </w:tcPr>
        <w:p w:rsidR="001669DF" w:rsidRPr="004E5BA7" w:rsidRDefault="001669DF" w:rsidP="004E5BA7">
          <w:pPr>
            <w:pStyle w:val="Footer"/>
            <w:jc w:val="right"/>
            <w:rPr>
              <w:b w:val="0"/>
              <w:w w:val="103"/>
            </w:rPr>
          </w:pPr>
          <w:fldSimple w:instr=" DOCVARIABLE &quot;FooterJN&quot; \* MERGEFORMAT ">
            <w:r>
              <w:rPr>
                <w:b w:val="0"/>
                <w:w w:val="103"/>
              </w:rPr>
              <w:t>13-53331</w:t>
            </w:r>
          </w:fldSimple>
        </w:p>
      </w:tc>
      <w:tc>
        <w:tcPr>
          <w:tcW w:w="5033" w:type="dxa"/>
          <w:shd w:val="clear" w:color="auto" w:fill="auto"/>
        </w:tcPr>
        <w:p w:rsidR="001669DF" w:rsidRPr="004E5BA7" w:rsidRDefault="001669DF" w:rsidP="004E5BA7">
          <w:pPr>
            <w:pStyle w:val="Footer"/>
            <w:rPr>
              <w:w w:val="103"/>
            </w:rPr>
          </w:pPr>
          <w:r>
            <w:rPr>
              <w:w w:val="103"/>
            </w:rPr>
            <w:fldChar w:fldCharType="begin"/>
          </w:r>
          <w:r>
            <w:rPr>
              <w:w w:val="103"/>
            </w:rPr>
            <w:instrText xml:space="preserve"> PAGE  \* Arabic  \* MERGEFORMAT </w:instrText>
          </w:r>
          <w:r>
            <w:rPr>
              <w:w w:val="103"/>
            </w:rPr>
            <w:fldChar w:fldCharType="separate"/>
          </w:r>
          <w:r w:rsidR="009826BE">
            <w:rPr>
              <w:w w:val="103"/>
            </w:rPr>
            <w:t>3</w:t>
          </w:r>
          <w:r>
            <w:rPr>
              <w:w w:val="103"/>
            </w:rPr>
            <w:fldChar w:fldCharType="end"/>
          </w:r>
          <w:r>
            <w:rPr>
              <w:w w:val="103"/>
            </w:rPr>
            <w:t>/</w:t>
          </w:r>
          <w:fldSimple w:instr=" NUMPAGES  \* Arabic  \* MERGEFORMAT ">
            <w:r>
              <w:rPr>
                <w:w w:val="103"/>
              </w:rPr>
              <w:t>3</w:t>
            </w:r>
          </w:fldSimple>
        </w:p>
      </w:tc>
    </w:tr>
  </w:tbl>
  <w:p w:rsidR="001669DF" w:rsidRPr="004E5BA7" w:rsidRDefault="001669DF" w:rsidP="004E5BA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1669DF" w:rsidTr="007F684E">
      <w:tblPrEx>
        <w:tblCellMar>
          <w:top w:w="0" w:type="dxa"/>
          <w:bottom w:w="0" w:type="dxa"/>
        </w:tblCellMar>
      </w:tblPrEx>
      <w:trPr>
        <w:jc w:val="right"/>
      </w:trPr>
      <w:tc>
        <w:tcPr>
          <w:tcW w:w="3744" w:type="dxa"/>
        </w:tcPr>
        <w:p w:rsidR="001669DF" w:rsidRDefault="001669DF" w:rsidP="004E5BA7">
          <w:pPr>
            <w:pStyle w:val="Footer"/>
            <w:spacing w:line="240" w:lineRule="atLeast"/>
            <w:rPr>
              <w:rFonts w:cs="Times New Roman"/>
              <w:b w:val="0"/>
              <w:w w:val="103"/>
              <w:sz w:val="20"/>
            </w:rPr>
          </w:pPr>
          <w:r w:rsidRPr="004E5BA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1669DF" w:rsidRDefault="001669DF" w:rsidP="0066419D">
          <w:pPr>
            <w:pStyle w:val="Footer"/>
            <w:jc w:val="right"/>
            <w:rPr>
              <w:rFonts w:cs="Times New Roman"/>
              <w:b w:val="0"/>
              <w:w w:val="103"/>
              <w:sz w:val="20"/>
            </w:rPr>
          </w:pPr>
          <w:r>
            <w:rPr>
              <w:rFonts w:cs="Times New Roman"/>
              <w:b w:val="0"/>
              <w:w w:val="103"/>
              <w:sz w:val="20"/>
            </w:rPr>
            <w:t xml:space="preserve">151113    141113    </w:t>
          </w:r>
          <w:fldSimple w:instr=" DOCVARIABLE &quot;jobn&quot; \* MERGEFORMAT ">
            <w:r>
              <w:rPr>
                <w:rFonts w:cs="Times New Roman"/>
                <w:b w:val="0"/>
                <w:w w:val="103"/>
                <w:sz w:val="20"/>
              </w:rPr>
              <w:t>13-53331 (A)</w:t>
            </w:r>
          </w:fldSimple>
        </w:p>
        <w:p w:rsidR="001669DF" w:rsidRPr="004E5BA7" w:rsidRDefault="001669DF" w:rsidP="004E5BA7">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*1353331*</w:t>
            </w:r>
          </w:fldSimple>
        </w:p>
      </w:tc>
    </w:tr>
  </w:tbl>
  <w:p w:rsidR="001669DF" w:rsidRPr="004E5BA7" w:rsidRDefault="001669DF" w:rsidP="004E5BA7">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9DF" w:rsidRDefault="001669DF" w:rsidP="004E5BA7">
      <w:r>
        <w:separator/>
      </w:r>
    </w:p>
  </w:footnote>
  <w:footnote w:type="continuationSeparator" w:id="0">
    <w:p w:rsidR="001669DF" w:rsidRDefault="001669DF" w:rsidP="004E5B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669DF" w:rsidTr="004E5BA7">
      <w:tblPrEx>
        <w:tblCellMar>
          <w:top w:w="0" w:type="dxa"/>
          <w:bottom w:w="0" w:type="dxa"/>
        </w:tblCellMar>
      </w:tblPrEx>
      <w:trPr>
        <w:trHeight w:hRule="exact" w:val="864"/>
        <w:jc w:val="center"/>
      </w:trPr>
      <w:tc>
        <w:tcPr>
          <w:tcW w:w="4925" w:type="dxa"/>
          <w:shd w:val="clear" w:color="auto" w:fill="auto"/>
          <w:vAlign w:val="bottom"/>
        </w:tcPr>
        <w:p w:rsidR="001669DF" w:rsidRDefault="001669DF" w:rsidP="004E5BA7">
          <w:pPr>
            <w:pStyle w:val="Header"/>
            <w:bidi/>
            <w:jc w:val="right"/>
          </w:pPr>
        </w:p>
      </w:tc>
      <w:tc>
        <w:tcPr>
          <w:tcW w:w="4925" w:type="dxa"/>
          <w:shd w:val="clear" w:color="auto" w:fill="auto"/>
          <w:vAlign w:val="bottom"/>
        </w:tcPr>
        <w:p w:rsidR="001669DF" w:rsidRPr="004E5BA7" w:rsidRDefault="001669DF" w:rsidP="004E5BA7">
          <w:pPr>
            <w:pStyle w:val="Header"/>
            <w:spacing w:after="80"/>
            <w:jc w:val="right"/>
            <w:rPr>
              <w:w w:val="103"/>
            </w:rPr>
          </w:pPr>
          <w:fldSimple w:instr=" DOCVARIABLE sss1  \* MERGEFORMAT ">
            <w:r>
              <w:rPr>
                <w:w w:val="103"/>
              </w:rPr>
              <w:t>CEDAW/C/PSWG/58/1</w:t>
            </w:r>
          </w:fldSimple>
        </w:p>
      </w:tc>
    </w:tr>
  </w:tbl>
  <w:p w:rsidR="001669DF" w:rsidRPr="004E5BA7" w:rsidRDefault="001669DF" w:rsidP="004E5B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669DF" w:rsidTr="004E5BA7">
      <w:tblPrEx>
        <w:tblCellMar>
          <w:top w:w="0" w:type="dxa"/>
          <w:bottom w:w="0" w:type="dxa"/>
        </w:tblCellMar>
      </w:tblPrEx>
      <w:trPr>
        <w:trHeight w:hRule="exact" w:val="864"/>
        <w:jc w:val="center"/>
      </w:trPr>
      <w:tc>
        <w:tcPr>
          <w:tcW w:w="4925" w:type="dxa"/>
          <w:shd w:val="clear" w:color="auto" w:fill="auto"/>
          <w:vAlign w:val="bottom"/>
        </w:tcPr>
        <w:p w:rsidR="001669DF" w:rsidRPr="004E5BA7" w:rsidRDefault="001669DF" w:rsidP="004E5BA7">
          <w:pPr>
            <w:pStyle w:val="Header"/>
            <w:spacing w:after="80"/>
            <w:rPr>
              <w:w w:val="103"/>
            </w:rPr>
          </w:pPr>
          <w:fldSimple w:instr=" DOCVARIABLE sss1  \* MERGEFORMAT ">
            <w:r>
              <w:rPr>
                <w:w w:val="103"/>
              </w:rPr>
              <w:t>CEDAW/C/PSWG/58/1</w:t>
            </w:r>
          </w:fldSimple>
        </w:p>
      </w:tc>
      <w:tc>
        <w:tcPr>
          <w:tcW w:w="4925" w:type="dxa"/>
          <w:shd w:val="clear" w:color="auto" w:fill="auto"/>
          <w:vAlign w:val="bottom"/>
        </w:tcPr>
        <w:p w:rsidR="001669DF" w:rsidRDefault="001669DF" w:rsidP="004E5BA7">
          <w:pPr>
            <w:pStyle w:val="Header"/>
          </w:pPr>
        </w:p>
      </w:tc>
    </w:tr>
  </w:tbl>
  <w:p w:rsidR="001669DF" w:rsidRPr="004E5BA7" w:rsidRDefault="001669DF" w:rsidP="004E5BA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1669DF" w:rsidTr="004E5BA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669DF" w:rsidRDefault="001669DF" w:rsidP="004E5BA7">
          <w:pPr>
            <w:pStyle w:val="Header"/>
            <w:spacing w:after="120"/>
          </w:pPr>
        </w:p>
      </w:tc>
      <w:tc>
        <w:tcPr>
          <w:tcW w:w="1786" w:type="dxa"/>
          <w:tcBorders>
            <w:bottom w:val="single" w:sz="4" w:space="0" w:color="auto"/>
          </w:tcBorders>
          <w:shd w:val="clear" w:color="auto" w:fill="auto"/>
          <w:vAlign w:val="bottom"/>
        </w:tcPr>
        <w:p w:rsidR="001669DF" w:rsidRPr="004E5BA7" w:rsidRDefault="001669DF" w:rsidP="004E5BA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669DF" w:rsidRDefault="001669DF" w:rsidP="004E5BA7">
          <w:pPr>
            <w:pStyle w:val="Header"/>
            <w:spacing w:after="120"/>
          </w:pPr>
        </w:p>
      </w:tc>
      <w:tc>
        <w:tcPr>
          <w:tcW w:w="6523" w:type="dxa"/>
          <w:gridSpan w:val="3"/>
          <w:tcBorders>
            <w:bottom w:val="single" w:sz="4" w:space="0" w:color="auto"/>
          </w:tcBorders>
          <w:shd w:val="clear" w:color="auto" w:fill="auto"/>
          <w:vAlign w:val="bottom"/>
        </w:tcPr>
        <w:p w:rsidR="001669DF" w:rsidRPr="004E5BA7" w:rsidRDefault="001669DF" w:rsidP="004E5BA7">
          <w:pPr>
            <w:spacing w:line="380" w:lineRule="exact"/>
            <w:jc w:val="right"/>
          </w:pPr>
          <w:r>
            <w:rPr>
              <w:sz w:val="40"/>
            </w:rPr>
            <w:t>CEDAW</w:t>
          </w:r>
          <w:r>
            <w:t>/C/PSWG/58/1</w:t>
          </w:r>
        </w:p>
      </w:tc>
    </w:tr>
    <w:tr w:rsidR="001669DF" w:rsidRPr="004E5BA7" w:rsidTr="004E5BA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669DF" w:rsidRDefault="001669DF" w:rsidP="004E5BA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69DF" w:rsidRPr="004E5BA7" w:rsidRDefault="001669DF" w:rsidP="004E5BA7">
          <w:pPr>
            <w:pStyle w:val="Header"/>
            <w:spacing w:before="109"/>
            <w:jc w:val="right"/>
          </w:pPr>
        </w:p>
      </w:tc>
      <w:tc>
        <w:tcPr>
          <w:tcW w:w="5227" w:type="dxa"/>
          <w:gridSpan w:val="3"/>
          <w:tcBorders>
            <w:top w:val="single" w:sz="4" w:space="0" w:color="auto"/>
            <w:bottom w:val="single" w:sz="12" w:space="0" w:color="auto"/>
          </w:tcBorders>
          <w:shd w:val="clear" w:color="auto" w:fill="auto"/>
        </w:tcPr>
        <w:p w:rsidR="001669DF" w:rsidRPr="004E5BA7" w:rsidRDefault="001669DF" w:rsidP="004E5BA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669DF" w:rsidRPr="004E5BA7" w:rsidRDefault="001669DF" w:rsidP="004E5BA7">
          <w:pPr>
            <w:pStyle w:val="Header"/>
            <w:spacing w:before="109"/>
          </w:pPr>
        </w:p>
      </w:tc>
      <w:tc>
        <w:tcPr>
          <w:tcW w:w="3100" w:type="dxa"/>
          <w:gridSpan w:val="2"/>
          <w:tcBorders>
            <w:top w:val="single" w:sz="4" w:space="0" w:color="auto"/>
            <w:bottom w:val="single" w:sz="12" w:space="0" w:color="auto"/>
          </w:tcBorders>
          <w:shd w:val="clear" w:color="auto" w:fill="auto"/>
        </w:tcPr>
        <w:p w:rsidR="001669DF" w:rsidRDefault="001669DF" w:rsidP="004E5BA7">
          <w:pPr>
            <w:bidi w:val="0"/>
            <w:spacing w:before="240" w:line="240" w:lineRule="exact"/>
          </w:pPr>
          <w:r>
            <w:t>Distr.: General</w:t>
          </w:r>
        </w:p>
        <w:p w:rsidR="001669DF" w:rsidRDefault="001669DF" w:rsidP="004E5BA7">
          <w:pPr>
            <w:bidi w:val="0"/>
            <w:spacing w:line="240" w:lineRule="exact"/>
            <w:jc w:val="left"/>
          </w:pPr>
          <w:r>
            <w:t>28 October 2013</w:t>
          </w:r>
        </w:p>
        <w:p w:rsidR="001669DF" w:rsidRDefault="001669DF" w:rsidP="004E5BA7">
          <w:pPr>
            <w:bidi w:val="0"/>
            <w:spacing w:line="240" w:lineRule="exact"/>
            <w:jc w:val="left"/>
          </w:pPr>
          <w:r>
            <w:t>Arabic</w:t>
          </w:r>
        </w:p>
        <w:p w:rsidR="001669DF" w:rsidRPr="004E5BA7" w:rsidRDefault="001669DF" w:rsidP="004E5BA7">
          <w:pPr>
            <w:bidi w:val="0"/>
            <w:spacing w:line="240" w:lineRule="exact"/>
            <w:jc w:val="left"/>
          </w:pPr>
          <w:r>
            <w:t>Original: English</w:t>
          </w:r>
        </w:p>
      </w:tc>
    </w:tr>
  </w:tbl>
  <w:p w:rsidR="001669DF" w:rsidRPr="004E5BA7" w:rsidRDefault="001669DF" w:rsidP="004E5BA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31*"/>
    <w:docVar w:name="CreationDt" w:val="14/11/2013 7:30: PM"/>
    <w:docVar w:name="DocCategory" w:val="Doc"/>
    <w:docVar w:name="DocType" w:val="Final"/>
    <w:docVar w:name="FooterJN" w:val="13-53331"/>
    <w:docVar w:name="jobn" w:val="13-53331 (A)"/>
    <w:docVar w:name="jobnDT" w:val="13-53331 (A)   141113"/>
    <w:docVar w:name="jobnDTDT" w:val="13-53331 (A)   141113   141113"/>
    <w:docVar w:name="JobNo" w:val="1353331A"/>
    <w:docVar w:name="OandT" w:val=" "/>
    <w:docVar w:name="sss1" w:val="CEDAW/C/PSWG/58/1"/>
    <w:docVar w:name="sss2" w:val="-"/>
    <w:docVar w:name="Symbol1" w:val="CEDAW/C/PSWG/58/1"/>
    <w:docVar w:name="Symbol2" w:val="-"/>
  </w:docVars>
  <w:rsids>
    <w:rsidRoot w:val="000C09F4"/>
    <w:rsid w:val="000170D3"/>
    <w:rsid w:val="00017137"/>
    <w:rsid w:val="000311C9"/>
    <w:rsid w:val="00042425"/>
    <w:rsid w:val="00047F6A"/>
    <w:rsid w:val="0006648F"/>
    <w:rsid w:val="00087310"/>
    <w:rsid w:val="0009732C"/>
    <w:rsid w:val="000C09F4"/>
    <w:rsid w:val="000C4EED"/>
    <w:rsid w:val="000D2CEC"/>
    <w:rsid w:val="00101EE8"/>
    <w:rsid w:val="00113349"/>
    <w:rsid w:val="0012522B"/>
    <w:rsid w:val="001519A9"/>
    <w:rsid w:val="001568A8"/>
    <w:rsid w:val="00165F18"/>
    <w:rsid w:val="001669DF"/>
    <w:rsid w:val="001737F8"/>
    <w:rsid w:val="001775EA"/>
    <w:rsid w:val="0018030C"/>
    <w:rsid w:val="00187870"/>
    <w:rsid w:val="00196CD9"/>
    <w:rsid w:val="001B71CC"/>
    <w:rsid w:val="001E5A5A"/>
    <w:rsid w:val="001E5A7A"/>
    <w:rsid w:val="001E6D8B"/>
    <w:rsid w:val="001F6786"/>
    <w:rsid w:val="00236A29"/>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F0573"/>
    <w:rsid w:val="00312162"/>
    <w:rsid w:val="003501D5"/>
    <w:rsid w:val="003676A8"/>
    <w:rsid w:val="00371AC4"/>
    <w:rsid w:val="00376CFA"/>
    <w:rsid w:val="00383A67"/>
    <w:rsid w:val="00383CA8"/>
    <w:rsid w:val="003A65ED"/>
    <w:rsid w:val="003D4612"/>
    <w:rsid w:val="003E26D7"/>
    <w:rsid w:val="003E61A1"/>
    <w:rsid w:val="003F4B8C"/>
    <w:rsid w:val="003F6A40"/>
    <w:rsid w:val="00401BDF"/>
    <w:rsid w:val="00411BBD"/>
    <w:rsid w:val="00415922"/>
    <w:rsid w:val="00423BD7"/>
    <w:rsid w:val="0042757D"/>
    <w:rsid w:val="00430E15"/>
    <w:rsid w:val="00437C14"/>
    <w:rsid w:val="004527C9"/>
    <w:rsid w:val="00453069"/>
    <w:rsid w:val="0048330E"/>
    <w:rsid w:val="00483F5B"/>
    <w:rsid w:val="00490874"/>
    <w:rsid w:val="00494EE2"/>
    <w:rsid w:val="00496E83"/>
    <w:rsid w:val="004A2886"/>
    <w:rsid w:val="004B14A0"/>
    <w:rsid w:val="004B1CBB"/>
    <w:rsid w:val="004D1B0C"/>
    <w:rsid w:val="004E5BA7"/>
    <w:rsid w:val="004F0D2B"/>
    <w:rsid w:val="004F1402"/>
    <w:rsid w:val="004F75CD"/>
    <w:rsid w:val="00503440"/>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564CE"/>
    <w:rsid w:val="00663F64"/>
    <w:rsid w:val="0066419D"/>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6993"/>
    <w:rsid w:val="007A6C4E"/>
    <w:rsid w:val="007A6DD9"/>
    <w:rsid w:val="007B03DD"/>
    <w:rsid w:val="007D60E0"/>
    <w:rsid w:val="007D6B8D"/>
    <w:rsid w:val="007E32B9"/>
    <w:rsid w:val="007F684E"/>
    <w:rsid w:val="0081284F"/>
    <w:rsid w:val="00814843"/>
    <w:rsid w:val="008170DE"/>
    <w:rsid w:val="00824819"/>
    <w:rsid w:val="00830E32"/>
    <w:rsid w:val="00845A14"/>
    <w:rsid w:val="0085331D"/>
    <w:rsid w:val="00853F0F"/>
    <w:rsid w:val="00873A11"/>
    <w:rsid w:val="00873AF9"/>
    <w:rsid w:val="008779F2"/>
    <w:rsid w:val="0088317F"/>
    <w:rsid w:val="00894823"/>
    <w:rsid w:val="008A3FCA"/>
    <w:rsid w:val="008D1C04"/>
    <w:rsid w:val="008F04A0"/>
    <w:rsid w:val="008F419C"/>
    <w:rsid w:val="008F64A7"/>
    <w:rsid w:val="0090012B"/>
    <w:rsid w:val="0090351F"/>
    <w:rsid w:val="00964FA8"/>
    <w:rsid w:val="00970BAD"/>
    <w:rsid w:val="009768D1"/>
    <w:rsid w:val="00981E99"/>
    <w:rsid w:val="009826BE"/>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3F6F"/>
    <w:rsid w:val="00AE5AE2"/>
    <w:rsid w:val="00AF1A53"/>
    <w:rsid w:val="00AF7AC7"/>
    <w:rsid w:val="00B034A3"/>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00EC"/>
    <w:rsid w:val="00C564B0"/>
    <w:rsid w:val="00C6283F"/>
    <w:rsid w:val="00C71487"/>
    <w:rsid w:val="00C814A5"/>
    <w:rsid w:val="00C84B2B"/>
    <w:rsid w:val="00C855F6"/>
    <w:rsid w:val="00C96573"/>
    <w:rsid w:val="00CA4791"/>
    <w:rsid w:val="00CC0CFC"/>
    <w:rsid w:val="00CC2E5D"/>
    <w:rsid w:val="00CD0BB8"/>
    <w:rsid w:val="00CD3849"/>
    <w:rsid w:val="00CD64D9"/>
    <w:rsid w:val="00CE1FE6"/>
    <w:rsid w:val="00CF7384"/>
    <w:rsid w:val="00D2343D"/>
    <w:rsid w:val="00D30EAE"/>
    <w:rsid w:val="00D318F1"/>
    <w:rsid w:val="00D40B0E"/>
    <w:rsid w:val="00D40E3C"/>
    <w:rsid w:val="00D42644"/>
    <w:rsid w:val="00D44FE0"/>
    <w:rsid w:val="00D47636"/>
    <w:rsid w:val="00D54DD2"/>
    <w:rsid w:val="00D66413"/>
    <w:rsid w:val="00DA1D06"/>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1956"/>
    <w:rsid w:val="00EF2E52"/>
    <w:rsid w:val="00F031FB"/>
    <w:rsid w:val="00F32E4A"/>
    <w:rsid w:val="00F36D8C"/>
    <w:rsid w:val="00F53AB7"/>
    <w:rsid w:val="00F93545"/>
    <w:rsid w:val="00F96FBA"/>
    <w:rsid w:val="00FB14D9"/>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E5BA7"/>
    <w:rPr>
      <w:szCs w:val="20"/>
    </w:rPr>
  </w:style>
  <w:style w:type="paragraph" w:styleId="CommentSubject">
    <w:name w:val="annotation subject"/>
    <w:basedOn w:val="CommentText"/>
    <w:next w:val="CommentText"/>
    <w:semiHidden/>
    <w:rsid w:val="004E5BA7"/>
    <w:rPr>
      <w:b/>
      <w:bCs/>
    </w:rPr>
  </w:style>
  <w:style w:type="character" w:styleId="Hyperlink">
    <w:name w:val="Hyperlink"/>
    <w:basedOn w:val="DefaultParagraphFont"/>
    <w:rsid w:val="007F684E"/>
    <w:rPr>
      <w:color w:val="0000FF"/>
      <w:u w:val="none"/>
    </w:rPr>
  </w:style>
  <w:style w:type="character" w:styleId="FollowedHyperlink">
    <w:name w:val="FollowedHyperlink"/>
    <w:basedOn w:val="DefaultParagraphFont"/>
    <w:rsid w:val="007F684E"/>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MRT/Q/2" TargetMode="External"/><Relationship Id="rId3" Type="http://schemas.openxmlformats.org/officeDocument/2006/relationships/webSettings" Target="webSettings.xml"/><Relationship Id="rId21" Type="http://schemas.openxmlformats.org/officeDocument/2006/relationships/hyperlink" Target="http://undocs.org/ar/CEDAW/C/SYR/Q/2"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LTU/Q/5" TargetMode="External"/><Relationship Id="rId2" Type="http://schemas.openxmlformats.org/officeDocument/2006/relationships/settings" Target="settings.xml"/><Relationship Id="rId16" Type="http://schemas.openxmlformats.org/officeDocument/2006/relationships/hyperlink" Target="http://undocs.org/ar/CEDAW/C/IND/Q/4" TargetMode="External"/><Relationship Id="rId20" Type="http://schemas.openxmlformats.org/officeDocument/2006/relationships/hyperlink" Target="http://undocs.org/ar/CEDAW/C/SWZ/Q/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GEO/Q/4"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ar/CEDAW/C/PER/Q/7"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CAF/Q/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669</Words>
  <Characters>3817</Characters>
  <Application>Microsoft Office Outlook</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4478</CharactersWithSpaces>
  <SharedDoc>false</SharedDoc>
  <HLinks>
    <vt:vector size="48" baseType="variant">
      <vt:variant>
        <vt:i4>589888</vt:i4>
      </vt:variant>
      <vt:variant>
        <vt:i4>21</vt:i4>
      </vt:variant>
      <vt:variant>
        <vt:i4>0</vt:i4>
      </vt:variant>
      <vt:variant>
        <vt:i4>5</vt:i4>
      </vt:variant>
      <vt:variant>
        <vt:lpwstr>http://undocs.org/ar/CEDAW/C/SYR/Q/2</vt:lpwstr>
      </vt:variant>
      <vt:variant>
        <vt:lpwstr/>
      </vt:variant>
      <vt:variant>
        <vt:i4>131150</vt:i4>
      </vt:variant>
      <vt:variant>
        <vt:i4>18</vt:i4>
      </vt:variant>
      <vt:variant>
        <vt:i4>0</vt:i4>
      </vt:variant>
      <vt:variant>
        <vt:i4>5</vt:i4>
      </vt:variant>
      <vt:variant>
        <vt:lpwstr>http://undocs.org/ar/CEDAW/C/SWZ/Q/1</vt:lpwstr>
      </vt:variant>
      <vt:variant>
        <vt:lpwstr/>
      </vt:variant>
      <vt:variant>
        <vt:i4>983132</vt:i4>
      </vt:variant>
      <vt:variant>
        <vt:i4>15</vt:i4>
      </vt:variant>
      <vt:variant>
        <vt:i4>0</vt:i4>
      </vt:variant>
      <vt:variant>
        <vt:i4>5</vt:i4>
      </vt:variant>
      <vt:variant>
        <vt:lpwstr>http://undocs.org/ar/CEDAW/C/PER/Q/7</vt:lpwstr>
      </vt:variant>
      <vt:variant>
        <vt:lpwstr/>
      </vt:variant>
      <vt:variant>
        <vt:i4>1114187</vt:i4>
      </vt:variant>
      <vt:variant>
        <vt:i4>12</vt:i4>
      </vt:variant>
      <vt:variant>
        <vt:i4>0</vt:i4>
      </vt:variant>
      <vt:variant>
        <vt:i4>5</vt:i4>
      </vt:variant>
      <vt:variant>
        <vt:lpwstr>http://undocs.org/ar/CEDAW/C/MRT/Q/2</vt:lpwstr>
      </vt:variant>
      <vt:variant>
        <vt:lpwstr/>
      </vt:variant>
      <vt:variant>
        <vt:i4>1441869</vt:i4>
      </vt:variant>
      <vt:variant>
        <vt:i4>9</vt:i4>
      </vt:variant>
      <vt:variant>
        <vt:i4>0</vt:i4>
      </vt:variant>
      <vt:variant>
        <vt:i4>5</vt:i4>
      </vt:variant>
      <vt:variant>
        <vt:lpwstr>http://undocs.org/ar/CEDAW/C/LTU/Q/5</vt:lpwstr>
      </vt:variant>
      <vt:variant>
        <vt:lpwstr/>
      </vt:variant>
      <vt:variant>
        <vt:i4>196695</vt:i4>
      </vt:variant>
      <vt:variant>
        <vt:i4>6</vt:i4>
      </vt:variant>
      <vt:variant>
        <vt:i4>0</vt:i4>
      </vt:variant>
      <vt:variant>
        <vt:i4>5</vt:i4>
      </vt:variant>
      <vt:variant>
        <vt:lpwstr>http://undocs.org/ar/CEDAW/C/IND/Q/4</vt:lpwstr>
      </vt:variant>
      <vt:variant>
        <vt:lpwstr/>
      </vt:variant>
      <vt:variant>
        <vt:i4>393308</vt:i4>
      </vt:variant>
      <vt:variant>
        <vt:i4>3</vt:i4>
      </vt:variant>
      <vt:variant>
        <vt:i4>0</vt:i4>
      </vt:variant>
      <vt:variant>
        <vt:i4>5</vt:i4>
      </vt:variant>
      <vt:variant>
        <vt:lpwstr>http://undocs.org/ar/CEDAW/C/GEO/Q/4</vt:lpwstr>
      </vt:variant>
      <vt:variant>
        <vt:lpwstr/>
      </vt:variant>
      <vt:variant>
        <vt:i4>917592</vt:i4>
      </vt:variant>
      <vt:variant>
        <vt:i4>0</vt:i4>
      </vt:variant>
      <vt:variant>
        <vt:i4>0</vt:i4>
      </vt:variant>
      <vt:variant>
        <vt:i4>5</vt:i4>
      </vt:variant>
      <vt:variant>
        <vt:lpwstr>http://undocs.org/ar/CEDAW/C/CAF/Q/1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Ibrahim Basaly</cp:lastModifiedBy>
  <cp:revision>7</cp:revision>
  <cp:lastPrinted>2013-11-15T13:52:00Z</cp:lastPrinted>
  <dcterms:created xsi:type="dcterms:W3CDTF">2013-11-15T13:50:00Z</dcterms:created>
  <dcterms:modified xsi:type="dcterms:W3CDTF">2013-11-15T14:07:00Z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1353331</vt:lpwstr>
  </property>
  <property fmtid="{D5CDD505-2E9C-101B-9397-08002B2CF9AE}" pid="3" name="Symbol1">
    <vt:lpwstr>CEDAW/C/PSWG/58/1</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3</vt:lpwstr>
  </property>
  <property fmtid="{D5CDD505-2E9C-101B-9397-08002B2CF9AE}" pid="8" name="Operator">
    <vt:lpwstr>باسم</vt:lpwstr>
  </property>
</Properties>
</file>