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4A49D77E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046BE4E" w14:textId="77777777" w:rsidR="002D5AAC" w:rsidRDefault="002D5AAC" w:rsidP="00BC3629"/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74FF9DBC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0D53289D" w14:textId="6EAB64DD" w:rsidR="002D5AAC" w:rsidRDefault="00067D81" w:rsidP="00067D81">
            <w:pPr>
              <w:jc w:val="right"/>
            </w:pPr>
            <w:r w:rsidRPr="00067D81">
              <w:rPr>
                <w:sz w:val="40"/>
              </w:rPr>
              <w:t>CCPR</w:t>
            </w:r>
            <w:r>
              <w:t>/C/135/2/Add.4</w:t>
            </w:r>
          </w:p>
        </w:tc>
      </w:tr>
      <w:tr w:rsidR="002D5AAC" w:rsidRPr="00ED3811" w14:paraId="0D9A5FF8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DDCC90E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BD58228" wp14:editId="78EF1BA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A19CE1D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E6DD7A5" w14:textId="77777777" w:rsidR="002D5AAC" w:rsidRPr="00067D81" w:rsidRDefault="00067D81" w:rsidP="00BC3629">
            <w:pPr>
              <w:spacing w:before="240"/>
              <w:rPr>
                <w:lang w:val="en-US"/>
              </w:rPr>
            </w:pPr>
            <w:r w:rsidRPr="00067D81">
              <w:rPr>
                <w:lang w:val="en-US"/>
              </w:rPr>
              <w:t>Distr.: General</w:t>
            </w:r>
          </w:p>
          <w:p w14:paraId="4341E30E" w14:textId="77777777" w:rsidR="00067D81" w:rsidRPr="00067D81" w:rsidRDefault="00067D81" w:rsidP="00067D81">
            <w:pPr>
              <w:spacing w:line="240" w:lineRule="exact"/>
              <w:rPr>
                <w:lang w:val="en-US"/>
              </w:rPr>
            </w:pPr>
            <w:r w:rsidRPr="00067D81">
              <w:rPr>
                <w:lang w:val="en-US"/>
              </w:rPr>
              <w:t>20 September 2022</w:t>
            </w:r>
          </w:p>
          <w:p w14:paraId="2783439C" w14:textId="77777777" w:rsidR="00067D81" w:rsidRPr="00067D81" w:rsidRDefault="00067D81" w:rsidP="00067D81">
            <w:pPr>
              <w:spacing w:line="240" w:lineRule="exact"/>
              <w:rPr>
                <w:lang w:val="en-US"/>
              </w:rPr>
            </w:pPr>
            <w:r w:rsidRPr="00067D81">
              <w:rPr>
                <w:lang w:val="en-US"/>
              </w:rPr>
              <w:t>Russian</w:t>
            </w:r>
          </w:p>
          <w:p w14:paraId="7B0518EE" w14:textId="3FEB489D" w:rsidR="00067D81" w:rsidRPr="00067D81" w:rsidRDefault="00067D81" w:rsidP="00067D81">
            <w:pPr>
              <w:spacing w:line="240" w:lineRule="exact"/>
              <w:rPr>
                <w:lang w:val="en-US"/>
              </w:rPr>
            </w:pPr>
            <w:r w:rsidRPr="00067D81">
              <w:rPr>
                <w:lang w:val="en-US"/>
              </w:rPr>
              <w:t>Original: English</w:t>
            </w:r>
          </w:p>
        </w:tc>
      </w:tr>
    </w:tbl>
    <w:p w14:paraId="2E0E25DD" w14:textId="77777777" w:rsidR="00067D81" w:rsidRPr="00DB6C6A" w:rsidRDefault="00067D81" w:rsidP="00067D81">
      <w:pPr>
        <w:spacing w:before="120"/>
        <w:rPr>
          <w:b/>
          <w:sz w:val="24"/>
          <w:szCs w:val="24"/>
        </w:rPr>
      </w:pPr>
      <w:r w:rsidRPr="00DB6C6A">
        <w:rPr>
          <w:b/>
          <w:bCs/>
          <w:sz w:val="24"/>
          <w:szCs w:val="24"/>
        </w:rPr>
        <w:t>Комитет по правам человека</w:t>
      </w:r>
    </w:p>
    <w:p w14:paraId="6FCF4C46" w14:textId="6177BBB1" w:rsidR="00067D81" w:rsidRPr="00351094" w:rsidRDefault="00067D81" w:rsidP="00067D81">
      <w:pPr>
        <w:pStyle w:val="HChG"/>
      </w:pPr>
      <w:r>
        <w:tab/>
      </w:r>
      <w:r>
        <w:tab/>
      </w:r>
      <w:r>
        <w:rPr>
          <w:bCs/>
        </w:rPr>
        <w:t>Доклад о последующей деятельности в связи с</w:t>
      </w:r>
      <w:r w:rsidR="00DB6C6A">
        <w:rPr>
          <w:bCs/>
          <w:lang w:val="fr-CH"/>
        </w:rPr>
        <w:t> </w:t>
      </w:r>
      <w:r>
        <w:rPr>
          <w:bCs/>
        </w:rPr>
        <w:t>заключительными замечаниями Комитета по правам человека</w:t>
      </w:r>
      <w:r w:rsidRPr="0095539D">
        <w:rPr>
          <w:b w:val="0"/>
          <w:bCs/>
          <w:sz w:val="20"/>
        </w:rPr>
        <w:footnoteReference w:customMarkFollows="1" w:id="1"/>
        <w:t>*</w:t>
      </w:r>
      <w:bookmarkStart w:id="0" w:name="_Toc506807534"/>
      <w:bookmarkEnd w:id="0"/>
    </w:p>
    <w:p w14:paraId="7EAE1415" w14:textId="77777777" w:rsidR="00067D81" w:rsidRPr="00351094" w:rsidRDefault="00067D81" w:rsidP="00067D81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Добавление</w:t>
      </w:r>
    </w:p>
    <w:p w14:paraId="7745772A" w14:textId="2F4E0C49" w:rsidR="00067D81" w:rsidRDefault="00067D81" w:rsidP="00067D81">
      <w:pPr>
        <w:pStyle w:val="H1G"/>
        <w:rPr>
          <w:bCs/>
        </w:rPr>
      </w:pPr>
      <w:r>
        <w:tab/>
      </w:r>
      <w:r>
        <w:tab/>
      </w:r>
      <w:r>
        <w:rPr>
          <w:bCs/>
        </w:rPr>
        <w:t>Оценка информации о последующей деятельности в связи с</w:t>
      </w:r>
      <w:r w:rsidR="00DB6C6A">
        <w:rPr>
          <w:bCs/>
          <w:lang w:val="fr-CH"/>
        </w:rPr>
        <w:t> </w:t>
      </w:r>
      <w:r>
        <w:rPr>
          <w:bCs/>
        </w:rPr>
        <w:t>заключительными замечаниями по Румынии</w:t>
      </w:r>
    </w:p>
    <w:tbl>
      <w:tblPr>
        <w:tblStyle w:val="ac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5"/>
        <w:gridCol w:w="3685"/>
      </w:tblGrid>
      <w:tr w:rsidR="00A902B6" w:rsidRPr="00A902B6" w14:paraId="76A8924D" w14:textId="77777777" w:rsidTr="009A4878">
        <w:trPr>
          <w:trHeight w:hRule="exact" w:val="113"/>
        </w:trPr>
        <w:tc>
          <w:tcPr>
            <w:tcW w:w="3685" w:type="dxa"/>
            <w:shd w:val="clear" w:color="auto" w:fill="auto"/>
            <w:vAlign w:val="bottom"/>
          </w:tcPr>
          <w:p w14:paraId="7CC89005" w14:textId="77777777" w:rsidR="00A902B6" w:rsidRPr="00A902B6" w:rsidRDefault="00A902B6" w:rsidP="009A4878">
            <w:pPr>
              <w:spacing w:before="80" w:after="120"/>
              <w:ind w:left="28" w:right="113"/>
              <w:rPr>
                <w:i/>
                <w:sz w:val="16"/>
              </w:rPr>
            </w:pPr>
          </w:p>
        </w:tc>
        <w:tc>
          <w:tcPr>
            <w:tcW w:w="3685" w:type="dxa"/>
            <w:shd w:val="clear" w:color="auto" w:fill="auto"/>
            <w:vAlign w:val="bottom"/>
          </w:tcPr>
          <w:p w14:paraId="354A18DC" w14:textId="77777777" w:rsidR="00A902B6" w:rsidRPr="00A902B6" w:rsidRDefault="00A902B6" w:rsidP="009A4878">
            <w:pPr>
              <w:spacing w:before="80" w:after="120"/>
              <w:ind w:left="28" w:right="113"/>
              <w:rPr>
                <w:i/>
                <w:sz w:val="16"/>
              </w:rPr>
            </w:pPr>
          </w:p>
        </w:tc>
      </w:tr>
      <w:tr w:rsidR="00A902B6" w:rsidRPr="00A902B6" w14:paraId="1EB65921" w14:textId="77777777" w:rsidTr="00A902B6">
        <w:tc>
          <w:tcPr>
            <w:tcW w:w="3685" w:type="dxa"/>
            <w:shd w:val="clear" w:color="auto" w:fill="auto"/>
          </w:tcPr>
          <w:p w14:paraId="27B79E77" w14:textId="6CB29095" w:rsidR="00A902B6" w:rsidRPr="00A902B6" w:rsidRDefault="00A902B6" w:rsidP="009A4878">
            <w:pPr>
              <w:spacing w:before="40" w:after="120"/>
              <w:ind w:right="113"/>
            </w:pPr>
            <w:r w:rsidRPr="00A902B6">
              <w:rPr>
                <w:i/>
                <w:iCs/>
              </w:rPr>
              <w:t>Заключительные замечания</w:t>
            </w:r>
            <w:r w:rsidR="009A4878">
              <w:rPr>
                <w:i/>
                <w:iCs/>
              </w:rPr>
              <w:br/>
            </w:r>
            <w:r w:rsidRPr="00A902B6">
              <w:rPr>
                <w:i/>
                <w:iCs/>
              </w:rPr>
              <w:t>(сто двадцать первая сессия):</w:t>
            </w:r>
          </w:p>
        </w:tc>
        <w:tc>
          <w:tcPr>
            <w:tcW w:w="3685" w:type="dxa"/>
            <w:shd w:val="clear" w:color="auto" w:fill="auto"/>
          </w:tcPr>
          <w:p w14:paraId="4A46F1C8" w14:textId="0D7DFF54" w:rsidR="00A902B6" w:rsidRPr="00A902B6" w:rsidRDefault="00EA174C" w:rsidP="009A4878">
            <w:pPr>
              <w:spacing w:before="40" w:after="120"/>
              <w:ind w:right="113"/>
            </w:pPr>
            <w:hyperlink r:id="rId9" w:history="1">
              <w:r w:rsidR="006559CB">
                <w:rPr>
                  <w:rStyle w:val="af1"/>
                </w:rPr>
                <w:t>CCPR/C/ROU/CO/5</w:t>
              </w:r>
            </w:hyperlink>
            <w:r w:rsidR="00A902B6" w:rsidRPr="00A902B6">
              <w:t>, 6 ноября 2017 года</w:t>
            </w:r>
          </w:p>
        </w:tc>
      </w:tr>
      <w:tr w:rsidR="00A902B6" w:rsidRPr="00A902B6" w14:paraId="7BAEAFD8" w14:textId="77777777" w:rsidTr="00A902B6">
        <w:tc>
          <w:tcPr>
            <w:tcW w:w="3685" w:type="dxa"/>
            <w:shd w:val="clear" w:color="auto" w:fill="auto"/>
          </w:tcPr>
          <w:p w14:paraId="548607CD" w14:textId="6B654B20" w:rsidR="00A902B6" w:rsidRPr="00A902B6" w:rsidRDefault="00A902B6" w:rsidP="009A4878">
            <w:pPr>
              <w:spacing w:before="40" w:after="120"/>
              <w:ind w:right="113"/>
            </w:pPr>
            <w:r w:rsidRPr="00A902B6">
              <w:rPr>
                <w:i/>
                <w:iCs/>
              </w:rPr>
              <w:t>Пункты, предусматривающие последующую деятельность:</w:t>
            </w:r>
          </w:p>
        </w:tc>
        <w:tc>
          <w:tcPr>
            <w:tcW w:w="3685" w:type="dxa"/>
            <w:shd w:val="clear" w:color="auto" w:fill="auto"/>
          </w:tcPr>
          <w:p w14:paraId="34E621E2" w14:textId="2F8CF77C" w:rsidR="00A902B6" w:rsidRPr="00A902B6" w:rsidRDefault="00A902B6" w:rsidP="009A4878">
            <w:pPr>
              <w:spacing w:before="40" w:after="120"/>
              <w:ind w:right="113"/>
            </w:pPr>
            <w:r w:rsidRPr="00A902B6">
              <w:t>12, 30 и 42</w:t>
            </w:r>
          </w:p>
        </w:tc>
      </w:tr>
      <w:tr w:rsidR="00A902B6" w:rsidRPr="00A902B6" w14:paraId="4C567E56" w14:textId="77777777" w:rsidTr="00A902B6">
        <w:tc>
          <w:tcPr>
            <w:tcW w:w="3685" w:type="dxa"/>
            <w:shd w:val="clear" w:color="auto" w:fill="auto"/>
          </w:tcPr>
          <w:p w14:paraId="779CDC04" w14:textId="0D3EC58E" w:rsidR="00A902B6" w:rsidRPr="00A902B6" w:rsidRDefault="00A902B6" w:rsidP="009A4878">
            <w:pPr>
              <w:spacing w:before="40" w:after="120"/>
              <w:ind w:right="113"/>
            </w:pPr>
            <w:r w:rsidRPr="00A902B6">
              <w:rPr>
                <w:i/>
                <w:iCs/>
              </w:rPr>
              <w:t>Информация, полученная от государства-участника:</w:t>
            </w:r>
          </w:p>
        </w:tc>
        <w:tc>
          <w:tcPr>
            <w:tcW w:w="3685" w:type="dxa"/>
            <w:shd w:val="clear" w:color="auto" w:fill="auto"/>
          </w:tcPr>
          <w:p w14:paraId="57B16AAE" w14:textId="3A976FE5" w:rsidR="00A902B6" w:rsidRPr="00A902B6" w:rsidRDefault="00EA174C" w:rsidP="009A4878">
            <w:pPr>
              <w:spacing w:before="40" w:after="120"/>
              <w:ind w:right="113"/>
            </w:pPr>
            <w:hyperlink r:id="rId10" w:history="1">
              <w:r w:rsidR="000D15FB" w:rsidRPr="000D15FB">
                <w:rPr>
                  <w:rStyle w:val="af1"/>
                  <w:lang w:val="en-GB"/>
                </w:rPr>
                <w:t>CCPR</w:t>
              </w:r>
              <w:r w:rsidR="000D15FB" w:rsidRPr="000D15FB">
                <w:rPr>
                  <w:rStyle w:val="af1"/>
                </w:rPr>
                <w:t>/</w:t>
              </w:r>
              <w:r w:rsidR="000D15FB" w:rsidRPr="000D15FB">
                <w:rPr>
                  <w:rStyle w:val="af1"/>
                  <w:lang w:val="en-GB"/>
                </w:rPr>
                <w:t>C</w:t>
              </w:r>
              <w:r w:rsidR="000D15FB" w:rsidRPr="000D15FB">
                <w:rPr>
                  <w:rStyle w:val="af1"/>
                </w:rPr>
                <w:t>/</w:t>
              </w:r>
              <w:r w:rsidR="000D15FB" w:rsidRPr="000D15FB">
                <w:rPr>
                  <w:rStyle w:val="af1"/>
                  <w:lang w:val="en-GB"/>
                </w:rPr>
                <w:t>ROU</w:t>
              </w:r>
              <w:r w:rsidR="000D15FB" w:rsidRPr="000D15FB">
                <w:rPr>
                  <w:rStyle w:val="af1"/>
                </w:rPr>
                <w:t>/</w:t>
              </w:r>
              <w:r w:rsidR="000D15FB" w:rsidRPr="000D15FB">
                <w:rPr>
                  <w:rStyle w:val="af1"/>
                  <w:lang w:val="en-GB"/>
                </w:rPr>
                <w:t>FCO</w:t>
              </w:r>
              <w:r w:rsidR="000D15FB" w:rsidRPr="000D15FB">
                <w:rPr>
                  <w:rStyle w:val="af1"/>
                </w:rPr>
                <w:t>/5</w:t>
              </w:r>
            </w:hyperlink>
            <w:r w:rsidR="00A902B6" w:rsidRPr="00A902B6">
              <w:t>, 6 октября 2020 года</w:t>
            </w:r>
          </w:p>
        </w:tc>
      </w:tr>
      <w:tr w:rsidR="00A902B6" w:rsidRPr="00A902B6" w14:paraId="1F267839" w14:textId="77777777" w:rsidTr="009A4878">
        <w:tc>
          <w:tcPr>
            <w:tcW w:w="3685" w:type="dxa"/>
            <w:shd w:val="clear" w:color="auto" w:fill="auto"/>
          </w:tcPr>
          <w:p w14:paraId="2D397D03" w14:textId="2DC85171" w:rsidR="00A902B6" w:rsidRPr="00A902B6" w:rsidRDefault="00A902B6" w:rsidP="009A4878">
            <w:pPr>
              <w:spacing w:before="40" w:after="120"/>
              <w:ind w:right="113"/>
            </w:pPr>
            <w:r w:rsidRPr="00A902B6">
              <w:rPr>
                <w:i/>
                <w:iCs/>
              </w:rPr>
              <w:t>Оценка Комитета:</w:t>
            </w:r>
          </w:p>
        </w:tc>
        <w:tc>
          <w:tcPr>
            <w:tcW w:w="3685" w:type="dxa"/>
            <w:shd w:val="clear" w:color="auto" w:fill="auto"/>
          </w:tcPr>
          <w:p w14:paraId="117DB8C8" w14:textId="19BB177D" w:rsidR="00A902B6" w:rsidRPr="00A902B6" w:rsidRDefault="00A902B6" w:rsidP="009A4878">
            <w:pPr>
              <w:spacing w:before="40" w:after="120"/>
              <w:ind w:right="113"/>
            </w:pPr>
            <w:r w:rsidRPr="00A902B6">
              <w:t>12 [B], 30 [B] [C] и 42 [B]</w:t>
            </w:r>
          </w:p>
        </w:tc>
      </w:tr>
    </w:tbl>
    <w:p w14:paraId="2725081E" w14:textId="5B8A607D" w:rsidR="00067D81" w:rsidRPr="00E419B9" w:rsidRDefault="00067D81" w:rsidP="00067D81">
      <w:pPr>
        <w:pStyle w:val="H1G"/>
      </w:pPr>
      <w:r>
        <w:tab/>
      </w:r>
      <w:r>
        <w:tab/>
      </w:r>
      <w:r>
        <w:tab/>
      </w:r>
      <w:r>
        <w:rPr>
          <w:bCs/>
        </w:rPr>
        <w:t>Пункт 12: Равенство и недискриминация рома</w:t>
      </w:r>
      <w:r w:rsidR="00DA34A0" w:rsidRPr="006718D2">
        <w:rPr>
          <w:rStyle w:val="aa"/>
          <w:b w:val="0"/>
        </w:rPr>
        <w:footnoteReference w:id="2"/>
      </w:r>
    </w:p>
    <w:p w14:paraId="52B523D0" w14:textId="77777777" w:rsidR="00067D81" w:rsidRPr="00351094" w:rsidRDefault="00067D81" w:rsidP="00067D81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Резюме информации, полученной от государства-участника</w:t>
      </w:r>
    </w:p>
    <w:p w14:paraId="0A2BD641" w14:textId="20A0460C" w:rsidR="00067D81" w:rsidRPr="00351094" w:rsidRDefault="00DA34A0" w:rsidP="00067D81">
      <w:pPr>
        <w:pStyle w:val="SingleTxtG"/>
      </w:pPr>
      <w:r>
        <w:tab/>
      </w:r>
      <w:r w:rsidR="00067D81">
        <w:t>Согласно гражданскому праву, выселение осуществляется в соответствии с решением суда; жильцы могут потребовать приостановить выселение. Положение Гражданского кодекса, запрещающее выселение в период с 1 декабря по 1 марта, не применяется в отношении лиц, которые злоупотребляют жильем без права собственности, или тех, кто нарушает мир в коммунальном жилье или серьезно нарушает общественный порядок. Жилища, укрытия и другие созданные из подручных материалов сооружения, возведенные без разрешения на государственной земле, подлежат сносу без предварительного судебного разрешения или других формальностей по решению местной администрации. Решение о сносе может быть оспорено в суде.</w:t>
      </w:r>
    </w:p>
    <w:p w14:paraId="4EC74079" w14:textId="3FABF062" w:rsidR="00067D81" w:rsidRPr="00351094" w:rsidRDefault="00DA34A0" w:rsidP="00067D81">
      <w:pPr>
        <w:pStyle w:val="SingleTxtG"/>
      </w:pPr>
      <w:r>
        <w:tab/>
      </w:r>
      <w:r w:rsidR="00067D81">
        <w:t xml:space="preserve">Согласно поправкам к закону о территориальном планировании и градостроительстве, принятым в 2019 году, неформальные поселения должны выявляться и им должно уделяться приоритетное внимание в рамках политики в области жилья, доступа к инфраструктуре, общественного здравоохранения и личной </w:t>
      </w:r>
      <w:r w:rsidR="00067D81">
        <w:lastRenderedPageBreak/>
        <w:t>безопасности. Если принято решение о сносе, местные власти должны предварительно проконсультироваться с жителями и получить их согласие, прежде чем их переселят в альтернативное жилье или предоставят землю и поддержку для строительства в другом месте. Во многих случаях жители неформальных поселений могут воспользоваться программами социальной помощи.</w:t>
      </w:r>
    </w:p>
    <w:p w14:paraId="4D013906" w14:textId="6FD4EAC4" w:rsidR="00067D81" w:rsidRPr="00351094" w:rsidRDefault="001A1851" w:rsidP="00067D81">
      <w:pPr>
        <w:pStyle w:val="SingleTxtG"/>
      </w:pPr>
      <w:r>
        <w:tab/>
      </w:r>
      <w:r w:rsidR="00067D81">
        <w:t xml:space="preserve">В целях содействия интеграции детей из неблагополучных в социально-экономическом отношении семей в систему общего образования многим семьям предоставляются социальные ваучеры, многие дети получают бесплатные школьные принадлежности и горячее школьное питание. Программа образования, стипендий, ученичества и молодежного предпринимательства Европейского экономического пространства содержит компонент, ориентированный на учащихся из числа рома, и финансирует проекты по инклюзивной школе и образованию, толерантности, мультикультурной среде, борьбе с дискриминацией, демократической гражданственности и подготовке учителей, работающих с детьми из числа рома. Поправка 2019 года к национальному закону об образовании предусматривает обязательное дошкольное образование. В декабре 2021 года Министерство образования и науки завершит реализацию проекта по реформированию дошкольного образования. Проблемы, с которыми сталкиваются дети из неблагополучных общин, также решаются с помощью специализированных проектов, финансируемых структурными фондами Европейского </w:t>
      </w:r>
      <w:r w:rsidR="006718D2">
        <w:t>с</w:t>
      </w:r>
      <w:r w:rsidR="00067D81">
        <w:t>оюза. Рамочное постановление № 6134/2016, запрещающее сегрегацию в школах, включает методики мониторинга и предотвращения сегрегации в школах и меры реагирования в случаях ее обнаружения, а также предусматривает создание Национального комитета по борьбе с сегрегацией и обеспечению инклюзивности образования. Начиная с 2017/18 учебного года окружные школьные инспекции могут изменять конфигурацию школьных округов, чтобы помочь устранить сегрегацию.</w:t>
      </w:r>
    </w:p>
    <w:p w14:paraId="42F57791" w14:textId="563F6154" w:rsidR="00067D81" w:rsidRPr="00351094" w:rsidRDefault="001A1851" w:rsidP="00067D81">
      <w:pPr>
        <w:pStyle w:val="SingleTxtG"/>
      </w:pPr>
      <w:r>
        <w:tab/>
      </w:r>
      <w:r w:rsidR="00067D81">
        <w:t xml:space="preserve">Чрезвычайное постановление Правительства № 18/2017 о медицинском обслуживании населения направлено на обеспечение доступа рома к базовому медицинскому обслуживанию и коммунальным услугам. Действующая на уровне общины группа, состоящая из медсестры и посредника по вопросам здравоохранения, распространяет важную информацию о базовом уходе за детьми, преимуществах системы медицинского страхования, здоровом питании и планировании семьи, облегчает общение с медицинскими работниками и оказывает поддержку наиболее уязвимым лицам в решении медицинских и социальных вопросов. Число посредников по вопросам здравоохранения увеличилось с 391 в 2014 году до 456 в 2019 году, а число общинных медицинских сестер </w:t>
      </w:r>
      <w:r>
        <w:t>—</w:t>
      </w:r>
      <w:r w:rsidR="00067D81">
        <w:t xml:space="preserve"> с 982 в 2014 году до 1694 в 2019 году. Большинство действующих на уровне общины групп получают зарплату от Министерства здравоохранения, что гарантирует устойчивость проекта. Министерство также предоставляет рекомендации по здоровому питанию и физической активности для детей в школах и детских садах. Жители 139</w:t>
      </w:r>
      <w:r>
        <w:t> </w:t>
      </w:r>
      <w:r w:rsidR="00067D81">
        <w:t>маргинализированных общин будут получать специализированные медицинские, социальные и образовательные услуги в рамках проекта, который должен завершиться в 2022 году.</w:t>
      </w:r>
    </w:p>
    <w:p w14:paraId="5DF8CE17" w14:textId="61DE3E76" w:rsidR="00067D81" w:rsidRPr="00351094" w:rsidRDefault="001A1851" w:rsidP="005739AA">
      <w:pPr>
        <w:pStyle w:val="SingleTxtG"/>
      </w:pPr>
      <w:r>
        <w:tab/>
      </w:r>
      <w:r w:rsidR="00067D81">
        <w:t>Оценка Национальной стратегии по интеграции румынских граждан, принадлежащих к меньшинству рома, продолжается. Национальное агентство по делам рома представило рекомендации по государственной политике в отношении интеграции рома на 2021</w:t>
      </w:r>
      <w:r w:rsidR="005739AA" w:rsidRPr="005739AA">
        <w:t>‒</w:t>
      </w:r>
      <w:r w:rsidR="00067D81">
        <w:t>2027 годы, в которых предлагается подход, основанный на базе данных, с упором на ответственность местных органов власти. Национальный совет по борьбе с дискриминацией применил санкции к местным органам власти, которые выселили рома без предоставления им альтернативного жилья, а также к другим органам власти, которые в пресс-релизах ссылались на этническую принадлежность лиц, зарегистрированных как проживающие или имеющие долги по оплате коммунальных услуг.</w:t>
      </w:r>
    </w:p>
    <w:p w14:paraId="2D072F15" w14:textId="77777777" w:rsidR="00067D81" w:rsidRPr="00351094" w:rsidRDefault="00067D81" w:rsidP="005739AA">
      <w:pPr>
        <w:pStyle w:val="H23G"/>
        <w:pageBreakBefore/>
        <w:rPr>
          <w:rFonts w:eastAsiaTheme="minorEastAsia"/>
        </w:rPr>
      </w:pPr>
      <w:r>
        <w:lastRenderedPageBreak/>
        <w:tab/>
      </w:r>
      <w:r>
        <w:tab/>
      </w:r>
      <w:r>
        <w:rPr>
          <w:bCs/>
        </w:rPr>
        <w:t>Оценка Комитета</w:t>
      </w:r>
    </w:p>
    <w:p w14:paraId="07A61398" w14:textId="0E4BD1E4" w:rsidR="00067D81" w:rsidRPr="00351094" w:rsidRDefault="00664075" w:rsidP="00664075">
      <w:pPr>
        <w:pStyle w:val="H56G"/>
      </w:pPr>
      <w:r>
        <w:tab/>
      </w:r>
      <w:r>
        <w:tab/>
      </w:r>
      <w:r w:rsidR="00067D81">
        <w:t>[B]</w:t>
      </w:r>
    </w:p>
    <w:p w14:paraId="094A7554" w14:textId="5885C4BB" w:rsidR="00067D81" w:rsidRPr="00351094" w:rsidRDefault="00664075" w:rsidP="00067D81">
      <w:pPr>
        <w:pStyle w:val="SingleTxtG"/>
      </w:pPr>
      <w:r>
        <w:tab/>
      </w:r>
      <w:r w:rsidR="00067D81">
        <w:t>Комитет приветствует поправки, внесенные в закон о территориальном планировании и градостроительстве, и ряд содержащихся в нем гарантий, в том числе в отношении предварительных консультаций с жителями неформальных поселений в случае сноса</w:t>
      </w:r>
      <w:r w:rsidR="00067D81" w:rsidRPr="009A6A4B">
        <w:t xml:space="preserve"> </w:t>
      </w:r>
      <w:r w:rsidR="00067D81">
        <w:t>таких поселений, их переселения и адресной социальной помощи. Он</w:t>
      </w:r>
      <w:r>
        <w:t> </w:t>
      </w:r>
      <w:r w:rsidR="00067D81">
        <w:t>просит предоставить информацию о реализации этой поправки, в частности о предоставлении надлежащего предварительного уведомления о выселении и о случаях оспаривания в суде постановлений о выселении рома.</w:t>
      </w:r>
    </w:p>
    <w:p w14:paraId="0883D975" w14:textId="0FA92D5F" w:rsidR="00067D81" w:rsidRPr="00351094" w:rsidRDefault="00664075" w:rsidP="00067D81">
      <w:pPr>
        <w:pStyle w:val="SingleTxtG"/>
      </w:pPr>
      <w:r>
        <w:tab/>
      </w:r>
      <w:r w:rsidR="00067D81">
        <w:t>Комитет приветствует информацию о Программе образования, стипендий, ученичества и молодежного предпринимательства, поправке к национальному закону об образовании об обязательном дошкольном образовании и создании Национального комитета по борьбе с сегрегацией и обеспечению инклюзивности образования. Он</w:t>
      </w:r>
      <w:r>
        <w:t> </w:t>
      </w:r>
      <w:r w:rsidR="00067D81">
        <w:t>просит предоставить информацию о ситуации с зачислением детей рома в дошкольные учреждения за отчетный период и о мерах, принятых для предотвращения случаев сегрегации детей рома и мерах реагирования на них, включая изменение конфигурации школьных округов.</w:t>
      </w:r>
    </w:p>
    <w:p w14:paraId="453A0AFC" w14:textId="683E411E" w:rsidR="00067D81" w:rsidRPr="00351094" w:rsidRDefault="00664075" w:rsidP="00067D81">
      <w:pPr>
        <w:pStyle w:val="SingleTxtG"/>
      </w:pPr>
      <w:r>
        <w:tab/>
      </w:r>
      <w:r w:rsidR="00067D81">
        <w:t>Комитет приветствует информацию о чрезвычайном постановлении Правительства № 18/2017 об общинных медицинских сестрах, предоставляемых услугах, увеличении числа медицинских посредников и медсестер и вкладе Министерства здравоохранения в эту работу. Он просит предоставить информацию о влиянии этих мер, в том числе на состояние здоровья и продолжительность жизни рома.</w:t>
      </w:r>
    </w:p>
    <w:p w14:paraId="5EC44933" w14:textId="1ED92562" w:rsidR="00067D81" w:rsidRPr="00351094" w:rsidRDefault="00664075" w:rsidP="00067D81">
      <w:pPr>
        <w:pStyle w:val="SingleTxtG"/>
      </w:pPr>
      <w:r>
        <w:tab/>
      </w:r>
      <w:r w:rsidR="00067D81">
        <w:t>Комитет отмечает текущую оценку Национальной стратегии по интеграции румынских граждан, принадлежащих к меньшинству рома, вынесение Национальным агентством по делам рома рекомендаций по политике в отношении интеграции рома и санкции, наложенные на местные органы власти за дискриминационные действия. Тем</w:t>
      </w:r>
      <w:r>
        <w:t> </w:t>
      </w:r>
      <w:r w:rsidR="00067D81">
        <w:t>не менее он сожалеет об отсутствии конкретной информации об эффективной координации с местными органами власти и комплексной системе сбора данных о дискриминации в отношении рома. Он повторяет свою рекомендацию и просит предоставить информацию о результатах оценки Национальной стратегии и санкциях, наложенных на местные органы власти за дискриминационные действия в отношении рома в течение отчетного периода.</w:t>
      </w:r>
    </w:p>
    <w:p w14:paraId="2B3919B2" w14:textId="77777777" w:rsidR="00067D81" w:rsidRPr="00351094" w:rsidRDefault="00067D81" w:rsidP="00067D81">
      <w:pPr>
        <w:pStyle w:val="H1G"/>
      </w:pPr>
      <w:r>
        <w:tab/>
      </w:r>
      <w:r>
        <w:tab/>
      </w:r>
      <w:r>
        <w:rPr>
          <w:bCs/>
        </w:rPr>
        <w:t>Пункт 30: Неправомерное обращение в государственных учреждениях по уходу</w:t>
      </w:r>
    </w:p>
    <w:p w14:paraId="489B9848" w14:textId="77777777" w:rsidR="00067D81" w:rsidRPr="00351094" w:rsidRDefault="00067D81" w:rsidP="00067D81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Резюме информации, полученной от государства-участника</w:t>
      </w:r>
    </w:p>
    <w:p w14:paraId="142DDB19" w14:textId="4D0C6B9A" w:rsidR="00067D81" w:rsidRPr="00351094" w:rsidRDefault="00131215" w:rsidP="00067D81">
      <w:pPr>
        <w:pStyle w:val="SingleTxtG"/>
      </w:pPr>
      <w:r>
        <w:tab/>
      </w:r>
      <w:r w:rsidR="00067D81">
        <w:t>a)</w:t>
      </w:r>
      <w:r w:rsidR="00067D81">
        <w:tab/>
        <w:t>В 2018 и 2019 годах национальный превентивный механизм, являющийся подразделением Управления Народного адвоката, осуществил более 100 посещений учреждений социального обеспечения, психиатрических больниц и детских домов. Он</w:t>
      </w:r>
      <w:r>
        <w:t> </w:t>
      </w:r>
      <w:r w:rsidR="00067D81">
        <w:t>пришел к выводу о необходимости улучшения материальных условий и правовой защиты их пациентов и постояльцев, о наличии недостатков в оказании медицинской помощи и отсутствии лечения, а также о неполной регистрации мер по ограничению свободы и изоляции.</w:t>
      </w:r>
    </w:p>
    <w:p w14:paraId="3E3B18DC" w14:textId="7088E1D6" w:rsidR="00067D81" w:rsidRPr="00351094" w:rsidRDefault="00131215" w:rsidP="00067D81">
      <w:pPr>
        <w:pStyle w:val="SingleTxtG"/>
      </w:pPr>
      <w:r>
        <w:tab/>
      </w:r>
      <w:r w:rsidR="00067D81">
        <w:t>Национальный совет по мониторингу проводил проверку интернатов и психиатрических больниц на предмет соблюдения прав людей с инвалидностью в ходе 57 посещений в 2018 году и 96 посещений в 2019 году. Его рекомендации включали обеспечение минимальных стандартных условий проживания, устранение переполненности и обучение персонала.</w:t>
      </w:r>
    </w:p>
    <w:p w14:paraId="7C359466" w14:textId="4E4CC85A" w:rsidR="00067D81" w:rsidRPr="00351094" w:rsidRDefault="00131215" w:rsidP="00067D81">
      <w:pPr>
        <w:pStyle w:val="SingleTxtG"/>
      </w:pPr>
      <w:r>
        <w:tab/>
      </w:r>
      <w:r w:rsidR="00067D81">
        <w:t>В 2019 году санитарные инспекторы из окружных управлений общественного здравоохранения провели мониторинг 131 психиатрической больницы и больничного отделения. Они отметили переполненность, ухудшение условий проживания и отсутствие гигиены, а также выписали 115 административных штрафов.</w:t>
      </w:r>
    </w:p>
    <w:p w14:paraId="2E8AFD26" w14:textId="231CEE1F" w:rsidR="00067D81" w:rsidRPr="00351094" w:rsidRDefault="00131215" w:rsidP="00067D81">
      <w:pPr>
        <w:pStyle w:val="SingleTxtG"/>
      </w:pPr>
      <w:r>
        <w:lastRenderedPageBreak/>
        <w:tab/>
      </w:r>
      <w:r w:rsidR="00067D81">
        <w:t xml:space="preserve">Отдел социальной инспекции Министерства труда и социальной защиты проводит оценку, мониторинг и контроль социальных служб для взрослых с инвалидностью. В 2018 году социальные инспекторы оценили 692 службы, предписав 248 мер по исправлению нарушений и </w:t>
      </w:r>
      <w:r w:rsidR="00DF3AF4">
        <w:t>отозвав</w:t>
      </w:r>
      <w:r w:rsidR="00067D81">
        <w:t xml:space="preserve"> 19 лицензий. В период с 1 января по 1</w:t>
      </w:r>
      <w:r>
        <w:t> </w:t>
      </w:r>
      <w:r w:rsidR="00067D81">
        <w:t>октября 2019 года социальные инспекторы оценили 67 служб, предписав 87 мер и предложив один отзыв лицензии. Приказ Министерства № 82/2019 устанавливает минимальные стандарты оказания социальных услуг для людей с инвалидностью и регламентирует мероприятия по развитию навыков независимой жизни и помощи в принятии решений.</w:t>
      </w:r>
    </w:p>
    <w:p w14:paraId="251E6A75" w14:textId="5CF3EE6D" w:rsidR="00067D81" w:rsidRPr="00351094" w:rsidRDefault="00131215" w:rsidP="00067D81">
      <w:pPr>
        <w:pStyle w:val="SingleTxtG"/>
      </w:pPr>
      <w:r>
        <w:tab/>
      </w:r>
      <w:r w:rsidR="00067D81">
        <w:t>b)</w:t>
      </w:r>
      <w:r w:rsidR="00067D81">
        <w:tab/>
        <w:t>Не представлена информация о мерах по обеспечению того, чтобы люди с инвалидностью не подвергались дискриминации при осуществлении своих прав.</w:t>
      </w:r>
    </w:p>
    <w:p w14:paraId="1AE6C134" w14:textId="19013AE2" w:rsidR="00067D81" w:rsidRPr="00351094" w:rsidRDefault="00131215" w:rsidP="009F17E0">
      <w:pPr>
        <w:pStyle w:val="SingleTxtG"/>
      </w:pPr>
      <w:r>
        <w:tab/>
      </w:r>
      <w:r w:rsidR="00067D81">
        <w:t>c)</w:t>
      </w:r>
      <w:r w:rsidR="00067D81">
        <w:tab/>
        <w:t xml:space="preserve">В целях стимулирования деинституционализации в 2018 году постановление Правительства № 69 о чрезвычайном положении установило максимальную вместимость интернатных центров на уровне 50 мест и обязало центры с количеством мест до 50 провести </w:t>
      </w:r>
      <w:r w:rsidR="00DF3AF4">
        <w:t>реструктуризацию</w:t>
      </w:r>
      <w:r w:rsidR="00067D81">
        <w:t>. Постановление Правительства</w:t>
      </w:r>
      <w:r w:rsidR="009F17E0">
        <w:t> </w:t>
      </w:r>
      <w:r w:rsidR="00067D81">
        <w:t>№ 69/2018 предусматривает ежегодное сокращение на 25</w:t>
      </w:r>
      <w:r>
        <w:t xml:space="preserve"> </w:t>
      </w:r>
      <w:r w:rsidR="00067D81">
        <w:t>% финансирования из государственного бюджета для интернатных центров с количеством мест более 50. Новая национальная стратегия (2021</w:t>
      </w:r>
      <w:r w:rsidR="009F17E0" w:rsidRPr="009F17E0">
        <w:t>‒</w:t>
      </w:r>
      <w:r w:rsidR="00067D81">
        <w:t>2027 годы) предусматривает более строгий механизм координации с измеримыми целями и показателями для дальнейшего содействия деинституционализации.</w:t>
      </w:r>
    </w:p>
    <w:p w14:paraId="218EB24C" w14:textId="5F3CA394" w:rsidR="00067D81" w:rsidRPr="00351094" w:rsidRDefault="009F17E0" w:rsidP="00067D81">
      <w:pPr>
        <w:pStyle w:val="SingleTxtG"/>
      </w:pPr>
      <w:r>
        <w:tab/>
      </w:r>
      <w:r w:rsidR="00067D81">
        <w:t>d)</w:t>
      </w:r>
      <w:r w:rsidR="00067D81">
        <w:tab/>
        <w:t xml:space="preserve">Никакой информации об обеспечении того, чтобы любые ограничения были законными, необходимыми и соразмерными индивидуальным обстоятельствам, не представлено, за исключением ссылки на неполную </w:t>
      </w:r>
      <w:r>
        <w:t>регистрацию</w:t>
      </w:r>
      <w:r w:rsidR="00067D81">
        <w:t xml:space="preserve"> мер по ограничению свободы и изоляции, выявленную в ходе посещений национального превентивного механизма (см. пункт a) выше).</w:t>
      </w:r>
    </w:p>
    <w:p w14:paraId="7A5ACF3E" w14:textId="56B5B94C" w:rsidR="00067D81" w:rsidRPr="00351094" w:rsidRDefault="009F17E0" w:rsidP="00067D81">
      <w:pPr>
        <w:pStyle w:val="SingleTxtG"/>
      </w:pPr>
      <w:r>
        <w:tab/>
      </w:r>
      <w:r w:rsidR="00067D81">
        <w:t>e)</w:t>
      </w:r>
      <w:r w:rsidR="00067D81">
        <w:tab/>
        <w:t>13 июля 2020 года Конституционный суд признал неконституционными положения гражданского законодательства о полном лишении правоспособности, поскольку процедура назначения опекуна не включает в себя адекватных гарантий соблюдения основных прав и поскольку такие соглашения периодически не пересматриваются и не учитывают различные степени инвалидности и разнообразие интересов и пожеланий человека с инвалидностью. Суд посчитал, что законодатель должен установить соразмерные меры защиты, отражающие реальность различных степеней инвалидности и их изменение с течением времени.</w:t>
      </w:r>
    </w:p>
    <w:p w14:paraId="08CD823A" w14:textId="77777777" w:rsidR="00067D81" w:rsidRPr="00351094" w:rsidRDefault="00067D81" w:rsidP="00067D81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14:paraId="4F09928F" w14:textId="2D4FDF86" w:rsidR="00067D81" w:rsidRPr="00351094" w:rsidRDefault="009F17E0" w:rsidP="009F17E0">
      <w:pPr>
        <w:pStyle w:val="H56G"/>
      </w:pPr>
      <w:r>
        <w:tab/>
      </w:r>
      <w:r>
        <w:tab/>
      </w:r>
      <w:r w:rsidR="00067D81">
        <w:t xml:space="preserve">[В]: a) и </w:t>
      </w:r>
      <w:r w:rsidR="00ED3811">
        <w:rPr>
          <w:lang w:val="en-US"/>
        </w:rPr>
        <w:t>c</w:t>
      </w:r>
      <w:r w:rsidR="00067D81">
        <w:t xml:space="preserve">) </w:t>
      </w:r>
    </w:p>
    <w:p w14:paraId="3D484739" w14:textId="5413B85F" w:rsidR="00067D81" w:rsidRPr="00351094" w:rsidRDefault="009F17E0" w:rsidP="00067D81">
      <w:pPr>
        <w:pStyle w:val="SingleTxtG"/>
      </w:pPr>
      <w:r>
        <w:tab/>
      </w:r>
      <w:r w:rsidR="00067D81">
        <w:t>Принимая к сведению деятельность по мониторингу, проводимую национальным превентивным механизмом, Национальным советом по мониторингу и социальными инспекторами, Комитет</w:t>
      </w:r>
      <w:r w:rsidR="00DF3AF4">
        <w:t>,</w:t>
      </w:r>
      <w:r w:rsidR="00067D81">
        <w:t xml:space="preserve"> тем не менее</w:t>
      </w:r>
      <w:r w:rsidR="00DF3AF4">
        <w:t>,</w:t>
      </w:r>
      <w:r w:rsidR="00067D81">
        <w:t xml:space="preserve"> сожалеет об отсутствии информации о выполнении рекомендаций, вынесенных этими контрольными органами, по улучшению условий жизни и лечения в государственных учреждениях по уходу. Он повторяет свою рекомендацию и просит предоставить такую информацию.</w:t>
      </w:r>
    </w:p>
    <w:p w14:paraId="18E1364B" w14:textId="1CDAB133" w:rsidR="00067D81" w:rsidRPr="00351094" w:rsidRDefault="009F17E0" w:rsidP="00067D81">
      <w:pPr>
        <w:pStyle w:val="SingleTxtG"/>
      </w:pPr>
      <w:r>
        <w:tab/>
      </w:r>
      <w:r w:rsidR="00067D81">
        <w:t>Комитет приветствует усилия, направленные на деинституционализацию людей с инвалидностью, в том числе путем установления максимальной вместимости интернатных центров и реструктуризации центров. Он также отмечает механизм координации в рамках национальной стратегии на 2021</w:t>
      </w:r>
      <w:r w:rsidRPr="009F17E0">
        <w:t>‒</w:t>
      </w:r>
      <w:r w:rsidR="00067D81">
        <w:t>2027 годы. Тем не менее он сожалеет об отсутствии информации о поддержке на уровне общин, предоставляемой в контексте деинституционализации, и просит предоставить информацию в этом отношении.</w:t>
      </w:r>
    </w:p>
    <w:p w14:paraId="12EC93E5" w14:textId="2F57F7A2" w:rsidR="00067D81" w:rsidRPr="00351094" w:rsidRDefault="009F17E0" w:rsidP="009F17E0">
      <w:pPr>
        <w:pStyle w:val="H56G"/>
      </w:pPr>
      <w:r>
        <w:tab/>
      </w:r>
      <w:r>
        <w:tab/>
      </w:r>
      <w:r w:rsidR="00067D81">
        <w:t>[C]: b), d) и e)</w:t>
      </w:r>
    </w:p>
    <w:p w14:paraId="18F277F5" w14:textId="5CC3C80F" w:rsidR="00067D81" w:rsidRPr="00351094" w:rsidRDefault="009F17E0" w:rsidP="00067D81">
      <w:pPr>
        <w:pStyle w:val="SingleTxtG"/>
      </w:pPr>
      <w:r>
        <w:tab/>
      </w:r>
      <w:r w:rsidR="00067D81">
        <w:t xml:space="preserve">Комитет сожалеет об отсутствии информации о конкретных мерах, принятых для обеспечения того, чтобы люди с инвалидностью не подвергались дискриминации при осуществлении своих прав и чтобы любые ограничения были законными, </w:t>
      </w:r>
      <w:r w:rsidR="00067D81">
        <w:lastRenderedPageBreak/>
        <w:t>необходимыми и соразмерными индивидуальным обстоятельствам и включали гарантии эффективного средства правовой защиты. Он повторяет свои рекомендации.</w:t>
      </w:r>
    </w:p>
    <w:p w14:paraId="28F0BB96" w14:textId="25BCDCAE" w:rsidR="00067D81" w:rsidRPr="00351094" w:rsidRDefault="009F17E0" w:rsidP="00067D81">
      <w:pPr>
        <w:pStyle w:val="SingleTxtG"/>
      </w:pPr>
      <w:r>
        <w:tab/>
      </w:r>
      <w:r w:rsidR="00067D81">
        <w:t>Приветствуя решение Конституционного суда от 13 июля 2020 года, признавшего полное лишение правоспособности неконституционным, Комитет</w:t>
      </w:r>
      <w:r w:rsidR="00354AF0">
        <w:t>,</w:t>
      </w:r>
      <w:r w:rsidR="00067D81">
        <w:t xml:space="preserve"> тем не менее</w:t>
      </w:r>
      <w:r w:rsidR="00354AF0">
        <w:t>,</w:t>
      </w:r>
      <w:r w:rsidR="00067D81">
        <w:t xml:space="preserve"> сожалеет об отсутствии информации о мерах, принятых для внесения поправок в законодательство в этом отношении, и о любых усилиях, предпринятых для восстановления правоспособности людей с инвалидностью. Он повторяет свою рекомендацию и просит предоставить информацию о выполнении решения Конституционного суда, включая любые соразмерные меры защиты, определенные судом.</w:t>
      </w:r>
    </w:p>
    <w:p w14:paraId="36592B35" w14:textId="46CC587E" w:rsidR="00067D81" w:rsidRPr="00351094" w:rsidRDefault="009F17E0" w:rsidP="00067D81">
      <w:pPr>
        <w:pStyle w:val="SingleTxtG"/>
      </w:pPr>
      <w:r>
        <w:tab/>
      </w:r>
      <w:r w:rsidR="00067D81">
        <w:t>Комитет обеспокоен отсутствием информации о конкретных мерах, принятых для укрепления механизмов рассмотрения жалоб людей с инвалидностью и лиц, находящихся в психиатрических учреждениях, для расследования случаев жестокого обращения и привлечения виновных к ответственности, а также для обеспечения независимого представительства людей с инвалидностью в любых разбирательствах по защите их прав. Он повторяет свои рекомендации.</w:t>
      </w:r>
    </w:p>
    <w:p w14:paraId="15DB4F32" w14:textId="77777777" w:rsidR="00067D81" w:rsidRPr="00351094" w:rsidRDefault="00067D81" w:rsidP="00067D81">
      <w:pPr>
        <w:pStyle w:val="H1G"/>
      </w:pPr>
      <w:r>
        <w:tab/>
      </w:r>
      <w:r>
        <w:tab/>
      </w:r>
      <w:r>
        <w:rPr>
          <w:bCs/>
        </w:rPr>
        <w:t>Пункт 42: Защита несовершеннолетних и прав ребенка</w:t>
      </w:r>
    </w:p>
    <w:p w14:paraId="1979FAD2" w14:textId="77777777" w:rsidR="00067D81" w:rsidRPr="00351094" w:rsidRDefault="00067D81" w:rsidP="00067D81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Резюме информации, полученной от государства-участника</w:t>
      </w:r>
    </w:p>
    <w:p w14:paraId="779812F7" w14:textId="3EA9DA61" w:rsidR="00067D81" w:rsidRPr="00351094" w:rsidRDefault="009F17E0" w:rsidP="00067D81">
      <w:pPr>
        <w:pStyle w:val="SingleTxtG"/>
      </w:pPr>
      <w:r>
        <w:tab/>
      </w:r>
      <w:r w:rsidR="00067D81">
        <w:t>Число детей, находящихся в учреждениях интернатного типа, сократилось в период с 2016 по 2019 год. Поправка 2018 года к закону о защите и поощрении прав ребенка распространила исключение на помещение детей в специализированные учреждения на детей в возрасте до 7 лет. В настоящее время закон позволяет помещать их в интернатное учреждение только в том случае, если они имеют серьезные расстройства и нуждаются в уходе в специализированных интернатных учреждениях. Еще одна поправка, которая в настоящее время находится на рассмотрении, распространит исключение на детей с инвалидностью в возрасте до 3 лет. Таким образом, в интернат может быть помещен только ребенок в возрасте от 3 до 7 лет, имеющий полную функциональную инвалидность, ограничения деятельности и ограничения полного участия, для которого не может быть обеспечен доступ к другим видам реабилитации. Если поправка будет принята, она вступит в силу 1 января 2021</w:t>
      </w:r>
      <w:r>
        <w:t> </w:t>
      </w:r>
      <w:r w:rsidR="00067D81">
        <w:t>года.</w:t>
      </w:r>
    </w:p>
    <w:p w14:paraId="201C9547" w14:textId="152BA411" w:rsidR="00067D81" w:rsidRPr="00351094" w:rsidRDefault="009F17E0" w:rsidP="00067D81">
      <w:pPr>
        <w:pStyle w:val="SingleTxtG"/>
      </w:pPr>
      <w:r>
        <w:tab/>
      </w:r>
      <w:r w:rsidR="00067D81">
        <w:t>Национальный орган по правам людей с инвалидностью, детей и вопросам усыновления/удочерения отслеживает ситуацию с насилием в отношении детей и эксплуатацией детского труда. В 2018 и 2019 годах он зарегистрировал 679 случаев эксплуатации детского труда и 71 случай сексуальной эксплуатации детей. Межотраслевые окружные группы, состоящие из представителей Главного управления социальной помощи и защиты детей, полиции, инспекций здравоохранения, образования, труда и неправительственных организаций, осуществляют профилактику путем проведения информационно-просветительских кампаний и обучения, в том числе по вопросам детского труда и торговли людьми. Национальный превентивный механизм посещал детские интернаты. Новый Защитник детей в Управлении Народного адвоката, должность которого была учреждена в соответствии с законом № 9/2018, подготовил специальный доклад о состоянии прав детей за 2019 год и посещал интернаты и опекунские учреждения.</w:t>
      </w:r>
    </w:p>
    <w:p w14:paraId="03978EE7" w14:textId="77777777" w:rsidR="00067D81" w:rsidRPr="00351094" w:rsidRDefault="00067D81" w:rsidP="00067D81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14:paraId="6851D9AE" w14:textId="5D4F4578" w:rsidR="00067D81" w:rsidRPr="00351094" w:rsidRDefault="009F17E0" w:rsidP="009F17E0">
      <w:pPr>
        <w:pStyle w:val="H56G"/>
      </w:pPr>
      <w:r>
        <w:tab/>
      </w:r>
      <w:r>
        <w:tab/>
      </w:r>
      <w:r w:rsidR="00067D81">
        <w:t>[B]</w:t>
      </w:r>
    </w:p>
    <w:p w14:paraId="2718D708" w14:textId="6E27B22B" w:rsidR="00067D81" w:rsidRPr="00351094" w:rsidRDefault="009F17E0" w:rsidP="00067D81">
      <w:pPr>
        <w:pStyle w:val="SingleTxtG"/>
      </w:pPr>
      <w:r>
        <w:tab/>
      </w:r>
      <w:r w:rsidR="00067D81">
        <w:t>Приветствуя сокращение числа детей в интернатных учреждениях и принятые законодательные меры, включая предложенную поправку об ограничении помещения в интернаты детей в возрасте до трех лет, Комитет</w:t>
      </w:r>
      <w:r w:rsidR="00354AF0">
        <w:t>,</w:t>
      </w:r>
      <w:r w:rsidR="00067D81">
        <w:t xml:space="preserve"> тем не менее</w:t>
      </w:r>
      <w:r w:rsidR="00354AF0">
        <w:t>,</w:t>
      </w:r>
      <w:r w:rsidR="00067D81">
        <w:t xml:space="preserve"> сожалеет об отсутствии информации о конкретных мерах, принятых для того, чтобы избежать помещения в интернаты детей из семей с одним родителем, использовать альтернативные семейные решения и обеспечить надлежащие условия жизни и </w:t>
      </w:r>
      <w:r w:rsidR="00067D81">
        <w:lastRenderedPageBreak/>
        <w:t>медицинское обслуживание в интернатных учреждениях. Он повторяет свою рекомендацию в этом отношении.</w:t>
      </w:r>
    </w:p>
    <w:p w14:paraId="7EFE1A2E" w14:textId="500E371D" w:rsidR="00067D81" w:rsidRPr="00351094" w:rsidRDefault="009F17E0" w:rsidP="00067D81">
      <w:pPr>
        <w:pStyle w:val="SingleTxtG"/>
      </w:pPr>
      <w:r>
        <w:tab/>
      </w:r>
      <w:r w:rsidR="00067D81">
        <w:t>Комитет отмечает усилия Национального управления по правам людей с инвалидностью, детей и вопросам усыновления/удочерения и межсекторальных окружных групп по борьбе с эксплуатацией детей, а также создание института Защитника детей. Он просит предоставить дополнительную информацию о влиянии этих мер.</w:t>
      </w:r>
    </w:p>
    <w:p w14:paraId="753F5377" w14:textId="4C6544AD" w:rsidR="00067D81" w:rsidRPr="00351094" w:rsidRDefault="009F17E0" w:rsidP="00067D81">
      <w:pPr>
        <w:pStyle w:val="SingleTxtG"/>
      </w:pPr>
      <w:r>
        <w:tab/>
      </w:r>
      <w:r w:rsidR="00067D81">
        <w:t xml:space="preserve">Отмечая, что был проведен ряд расследований случаев эксплуатации детей, Комитет сожалеет об отсутствии информации о результатах этих расследований, включая назначенные наказания. Он повторяет свою рекомендацию и просит предоставить информацию о любых средствах правовой защиты, предоставляемых жертвам в таких случаях. </w:t>
      </w:r>
    </w:p>
    <w:p w14:paraId="1971E6B5" w14:textId="77777777" w:rsidR="00067D81" w:rsidRPr="00351094" w:rsidRDefault="00067D81" w:rsidP="00067D81">
      <w:pPr>
        <w:pStyle w:val="SingleTxtG"/>
      </w:pPr>
      <w:r>
        <w:rPr>
          <w:b/>
          <w:bCs/>
        </w:rPr>
        <w:t>Рекомендуемые действия</w:t>
      </w:r>
      <w:r>
        <w:t>: следует направить письмо, извещающее государство-участник о прекращении процедуры последующей деятельности. Запрашиваемая информация должна быть включена в следующий периодический доклад государства-участника.</w:t>
      </w:r>
    </w:p>
    <w:p w14:paraId="41AC6593" w14:textId="7283C62B" w:rsidR="00067D81" w:rsidRPr="00351094" w:rsidRDefault="00067D81" w:rsidP="00067D81">
      <w:pPr>
        <w:pStyle w:val="SingleTxtG"/>
      </w:pPr>
      <w:r>
        <w:rPr>
          <w:b/>
          <w:bCs/>
        </w:rPr>
        <w:t>Сроки представления следующего периодического доклада</w:t>
      </w:r>
      <w:r>
        <w:t>: 2027 год (страновой обзор в 2028 году в соответствии с планируемым циклом обзора).</w:t>
      </w:r>
    </w:p>
    <w:p w14:paraId="0DC19E9C" w14:textId="77777777" w:rsidR="00067D81" w:rsidRPr="00351094" w:rsidRDefault="00067D81" w:rsidP="00067D81">
      <w:pPr>
        <w:spacing w:before="240"/>
        <w:jc w:val="center"/>
      </w:pPr>
      <w:r w:rsidRPr="00351094">
        <w:rPr>
          <w:u w:val="single"/>
        </w:rPr>
        <w:tab/>
      </w:r>
      <w:r w:rsidRPr="00351094">
        <w:rPr>
          <w:u w:val="single"/>
        </w:rPr>
        <w:tab/>
      </w:r>
      <w:r w:rsidRPr="00351094">
        <w:rPr>
          <w:u w:val="single"/>
        </w:rPr>
        <w:tab/>
      </w:r>
    </w:p>
    <w:p w14:paraId="002CE85F" w14:textId="77777777" w:rsidR="00381C24" w:rsidRPr="00BF0445" w:rsidRDefault="00381C24" w:rsidP="0075523D"/>
    <w:sectPr w:rsidR="00381C24" w:rsidRPr="00BF0445" w:rsidSect="00067D81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354AED" w14:textId="77777777" w:rsidR="0041712A" w:rsidRPr="00A312BC" w:rsidRDefault="0041712A" w:rsidP="00A312BC"/>
  </w:endnote>
  <w:endnote w:type="continuationSeparator" w:id="0">
    <w:p w14:paraId="11CAC5BA" w14:textId="77777777" w:rsidR="0041712A" w:rsidRPr="00A312BC" w:rsidRDefault="0041712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39CA3" w14:textId="284B1D14" w:rsidR="00067D81" w:rsidRPr="00067D81" w:rsidRDefault="00067D81">
    <w:pPr>
      <w:pStyle w:val="a8"/>
    </w:pPr>
    <w:r w:rsidRPr="00067D81">
      <w:rPr>
        <w:b/>
        <w:sz w:val="18"/>
      </w:rPr>
      <w:fldChar w:fldCharType="begin"/>
    </w:r>
    <w:r w:rsidRPr="00067D81">
      <w:rPr>
        <w:b/>
        <w:sz w:val="18"/>
      </w:rPr>
      <w:instrText xml:space="preserve"> PAGE  \* MERGEFORMAT </w:instrText>
    </w:r>
    <w:r w:rsidRPr="00067D81">
      <w:rPr>
        <w:b/>
        <w:sz w:val="18"/>
      </w:rPr>
      <w:fldChar w:fldCharType="separate"/>
    </w:r>
    <w:r w:rsidRPr="00067D81">
      <w:rPr>
        <w:b/>
        <w:noProof/>
        <w:sz w:val="18"/>
      </w:rPr>
      <w:t>2</w:t>
    </w:r>
    <w:r w:rsidRPr="00067D81">
      <w:rPr>
        <w:b/>
        <w:sz w:val="18"/>
      </w:rPr>
      <w:fldChar w:fldCharType="end"/>
    </w:r>
    <w:r>
      <w:rPr>
        <w:b/>
        <w:sz w:val="18"/>
      </w:rPr>
      <w:tab/>
    </w:r>
    <w:r>
      <w:t>GE.22-14912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5DFBD" w14:textId="26832082" w:rsidR="00067D81" w:rsidRPr="00067D81" w:rsidRDefault="00067D81" w:rsidP="00067D81">
    <w:pPr>
      <w:pStyle w:val="a8"/>
      <w:tabs>
        <w:tab w:val="clear" w:pos="9639"/>
        <w:tab w:val="right" w:pos="9638"/>
      </w:tabs>
      <w:rPr>
        <w:b/>
        <w:sz w:val="18"/>
      </w:rPr>
    </w:pPr>
    <w:r>
      <w:t>GE.22-14912</w:t>
    </w:r>
    <w:r>
      <w:tab/>
    </w:r>
    <w:r w:rsidRPr="00067D81">
      <w:rPr>
        <w:b/>
        <w:sz w:val="18"/>
      </w:rPr>
      <w:fldChar w:fldCharType="begin"/>
    </w:r>
    <w:r w:rsidRPr="00067D81">
      <w:rPr>
        <w:b/>
        <w:sz w:val="18"/>
      </w:rPr>
      <w:instrText xml:space="preserve"> PAGE  \* MERGEFORMAT </w:instrText>
    </w:r>
    <w:r w:rsidRPr="00067D81">
      <w:rPr>
        <w:b/>
        <w:sz w:val="18"/>
      </w:rPr>
      <w:fldChar w:fldCharType="separate"/>
    </w:r>
    <w:r w:rsidRPr="00067D81">
      <w:rPr>
        <w:b/>
        <w:noProof/>
        <w:sz w:val="18"/>
      </w:rPr>
      <w:t>3</w:t>
    </w:r>
    <w:r w:rsidRPr="00067D8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52BC" w14:textId="5797CC6E" w:rsidR="00042B72" w:rsidRPr="00067D81" w:rsidRDefault="00067D81" w:rsidP="00067D81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28E27F1" wp14:editId="01D7F49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22-14912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60228C1" wp14:editId="6D61090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111122  151222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05083A" w14:textId="77777777" w:rsidR="0041712A" w:rsidRPr="001075E9" w:rsidRDefault="0041712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8BFF25D" w14:textId="77777777" w:rsidR="0041712A" w:rsidRDefault="0041712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7EE70DB" w14:textId="18BE9116" w:rsidR="00067D81" w:rsidRPr="00351094" w:rsidRDefault="00067D81" w:rsidP="00067D81">
      <w:pPr>
        <w:pStyle w:val="ad"/>
      </w:pPr>
      <w:r>
        <w:tab/>
        <w:t>*</w:t>
      </w:r>
      <w:r>
        <w:tab/>
        <w:t xml:space="preserve">Принят Комитетом на его </w:t>
      </w:r>
      <w:r w:rsidR="00DA34A0">
        <w:t>сто тридцать пятой</w:t>
      </w:r>
      <w:r>
        <w:t xml:space="preserve"> сессии (27 июня </w:t>
      </w:r>
      <w:r w:rsidR="00DA34A0">
        <w:t>—</w:t>
      </w:r>
      <w:r>
        <w:t xml:space="preserve"> 27 июля 2022 года).</w:t>
      </w:r>
    </w:p>
  </w:footnote>
  <w:footnote w:id="2">
    <w:p w14:paraId="66A47878" w14:textId="04E32431" w:rsidR="00DA34A0" w:rsidRPr="00DA34A0" w:rsidRDefault="00DA34A0">
      <w:pPr>
        <w:pStyle w:val="ad"/>
      </w:pPr>
      <w:r>
        <w:tab/>
      </w:r>
      <w:r>
        <w:rPr>
          <w:rStyle w:val="aa"/>
        </w:rPr>
        <w:footnoteRef/>
      </w:r>
      <w:r>
        <w:tab/>
      </w:r>
      <w:r w:rsidRPr="00DA34A0">
        <w:t xml:space="preserve">Пункты, содержащие рекомендации Комитета, в настоящем документе не воспроизводятся в связи с ограничением объема, установленным в резолюции </w:t>
      </w:r>
      <w:hyperlink r:id="rId1" w:history="1">
        <w:r w:rsidR="006559CB">
          <w:rPr>
            <w:rStyle w:val="af1"/>
          </w:rPr>
          <w:t>68/268</w:t>
        </w:r>
      </w:hyperlink>
      <w:r w:rsidRPr="00DA34A0">
        <w:t xml:space="preserve"> Генеральной Ассамблеи, п.</w:t>
      </w:r>
      <w:r>
        <w:t> </w:t>
      </w:r>
      <w:r w:rsidRPr="00DA34A0">
        <w:t>15.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31A5D" w14:textId="250505DE" w:rsidR="00067D81" w:rsidRPr="00067D81" w:rsidRDefault="00EA174C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CCPR/C/135/2/Add.4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9D17B" w14:textId="53C86226" w:rsidR="00067D81" w:rsidRPr="00067D81" w:rsidRDefault="00EA174C" w:rsidP="00067D81">
    <w:pPr>
      <w:pStyle w:val="a5"/>
      <w:jc w:val="right"/>
    </w:pPr>
    <w:r>
      <w:fldChar w:fldCharType="begin"/>
    </w:r>
    <w:r>
      <w:instrText xml:space="preserve"> TITLE  \* MERGEFORMAT</w:instrText>
    </w:r>
    <w:r>
      <w:instrText xml:space="preserve"> </w:instrText>
    </w:r>
    <w:r>
      <w:fldChar w:fldCharType="separate"/>
    </w:r>
    <w:r>
      <w:t>CCPR/C/135/2/Add.4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12A"/>
    <w:rsid w:val="00033EE1"/>
    <w:rsid w:val="000358F2"/>
    <w:rsid w:val="00042B72"/>
    <w:rsid w:val="000558BD"/>
    <w:rsid w:val="00067D81"/>
    <w:rsid w:val="000B57E7"/>
    <w:rsid w:val="000B6373"/>
    <w:rsid w:val="000D15FB"/>
    <w:rsid w:val="000F09DF"/>
    <w:rsid w:val="000F61B2"/>
    <w:rsid w:val="001075E9"/>
    <w:rsid w:val="00131215"/>
    <w:rsid w:val="00180183"/>
    <w:rsid w:val="0018024D"/>
    <w:rsid w:val="001849F5"/>
    <w:rsid w:val="0018649F"/>
    <w:rsid w:val="00196389"/>
    <w:rsid w:val="001A1851"/>
    <w:rsid w:val="001B3EF6"/>
    <w:rsid w:val="001C41E6"/>
    <w:rsid w:val="001C7A89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54AF0"/>
    <w:rsid w:val="00375F01"/>
    <w:rsid w:val="00381C24"/>
    <w:rsid w:val="003958D0"/>
    <w:rsid w:val="003B00E5"/>
    <w:rsid w:val="00407B78"/>
    <w:rsid w:val="0041712A"/>
    <w:rsid w:val="00424203"/>
    <w:rsid w:val="00452493"/>
    <w:rsid w:val="00454E07"/>
    <w:rsid w:val="00472C5C"/>
    <w:rsid w:val="0049210F"/>
    <w:rsid w:val="004969B2"/>
    <w:rsid w:val="0050108D"/>
    <w:rsid w:val="00513081"/>
    <w:rsid w:val="00517901"/>
    <w:rsid w:val="00526683"/>
    <w:rsid w:val="005709E0"/>
    <w:rsid w:val="00572E19"/>
    <w:rsid w:val="005739AA"/>
    <w:rsid w:val="005961C8"/>
    <w:rsid w:val="005D7914"/>
    <w:rsid w:val="005E2B41"/>
    <w:rsid w:val="005F0B42"/>
    <w:rsid w:val="006559CB"/>
    <w:rsid w:val="00664075"/>
    <w:rsid w:val="00666B97"/>
    <w:rsid w:val="006718D2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A4878"/>
    <w:rsid w:val="009D21FD"/>
    <w:rsid w:val="009F17E0"/>
    <w:rsid w:val="00A14DA8"/>
    <w:rsid w:val="00A312BC"/>
    <w:rsid w:val="00A34D07"/>
    <w:rsid w:val="00A84021"/>
    <w:rsid w:val="00A84D35"/>
    <w:rsid w:val="00A902B6"/>
    <w:rsid w:val="00A917B3"/>
    <w:rsid w:val="00AB4B51"/>
    <w:rsid w:val="00AC69DF"/>
    <w:rsid w:val="00AD6F87"/>
    <w:rsid w:val="00B10CC7"/>
    <w:rsid w:val="00B136DB"/>
    <w:rsid w:val="00B539E7"/>
    <w:rsid w:val="00B62458"/>
    <w:rsid w:val="00BC18B2"/>
    <w:rsid w:val="00BC3629"/>
    <w:rsid w:val="00BD33EE"/>
    <w:rsid w:val="00BF0445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A34A0"/>
    <w:rsid w:val="00DB6C6A"/>
    <w:rsid w:val="00DD78D1"/>
    <w:rsid w:val="00DE32CD"/>
    <w:rsid w:val="00DF3AF4"/>
    <w:rsid w:val="00DF71B9"/>
    <w:rsid w:val="00E005F7"/>
    <w:rsid w:val="00E04AE3"/>
    <w:rsid w:val="00E06BEE"/>
    <w:rsid w:val="00E46656"/>
    <w:rsid w:val="00E73F76"/>
    <w:rsid w:val="00EA174C"/>
    <w:rsid w:val="00EA2C9F"/>
    <w:rsid w:val="00EA420E"/>
    <w:rsid w:val="00ED0BDA"/>
    <w:rsid w:val="00ED3811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CCEE30"/>
  <w15:docId w15:val="{757F7EDD-E6A6-4AE1-9CA6-41CB3D5A6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6559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s://undocs.org/en/CCPR/C/ROU/FCO/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ndocs.org/ru/CCPR/C/ROU/CO/5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undocs.org/ru/A/RES/68/26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FB1258-11AC-4467-BF49-1E87E8712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6</Pages>
  <Words>1919</Words>
  <Characters>15280</Characters>
  <Application>Microsoft Office Word</Application>
  <DocSecurity>0</DocSecurity>
  <Lines>804</Lines>
  <Paragraphs>85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CCPR/C/135/2/Add.4</vt:lpstr>
      <vt:lpstr>A/</vt:lpstr>
      <vt:lpstr>A/</vt:lpstr>
    </vt:vector>
  </TitlesOfParts>
  <Company>DCM</Company>
  <LinksUpToDate>false</LinksUpToDate>
  <CharactersWithSpaces>17114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CCPR/C/135/2/Add.4</dc:title>
  <dc:subject/>
  <dc:creator>Uliana ANTIPOVA</dc:creator>
  <cp:keywords/>
  <cp:lastModifiedBy>Uliana Antipova</cp:lastModifiedBy>
  <cp:revision>3</cp:revision>
  <cp:lastPrinted>2022-12-15T11:12:00Z</cp:lastPrinted>
  <dcterms:created xsi:type="dcterms:W3CDTF">2022-12-15T11:12:00Z</dcterms:created>
  <dcterms:modified xsi:type="dcterms:W3CDTF">2022-12-15T11:12:00Z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