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4A28CB7" w14:textId="77777777" w:rsidTr="005B51C4">
        <w:trPr>
          <w:trHeight w:hRule="exact" w:val="851"/>
        </w:trPr>
        <w:tc>
          <w:tcPr>
            <w:tcW w:w="1274" w:type="dxa"/>
            <w:tcBorders>
              <w:bottom w:val="single" w:sz="4" w:space="0" w:color="auto"/>
            </w:tcBorders>
            <w:shd w:val="clear" w:color="auto" w:fill="auto"/>
          </w:tcPr>
          <w:p w14:paraId="599F3F8A" w14:textId="77777777" w:rsidR="006B3E27" w:rsidRPr="00C175A6" w:rsidRDefault="006B3E27" w:rsidP="0074451E">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D557922"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314EBAF" w14:textId="008BC0C1" w:rsidR="006B3E27" w:rsidRPr="0033185C" w:rsidRDefault="0033185C" w:rsidP="0033185C">
            <w:pPr>
              <w:bidi w:val="0"/>
              <w:rPr>
                <w:szCs w:val="20"/>
              </w:rPr>
            </w:pPr>
            <w:r w:rsidRPr="001A3DA2">
              <w:rPr>
                <w:sz w:val="40"/>
                <w:szCs w:val="20"/>
              </w:rPr>
              <w:t>CCPR</w:t>
            </w:r>
            <w:r w:rsidRPr="001A3DA2">
              <w:rPr>
                <w:szCs w:val="20"/>
              </w:rPr>
              <w:t>/C/</w:t>
            </w:r>
            <w:r w:rsidRPr="0039418C">
              <w:rPr>
                <w:szCs w:val="20"/>
              </w:rPr>
              <w:t>136</w:t>
            </w:r>
            <w:r w:rsidRPr="001A3DA2">
              <w:rPr>
                <w:szCs w:val="20"/>
              </w:rPr>
              <w:t>/</w:t>
            </w:r>
            <w:r w:rsidRPr="0039418C">
              <w:rPr>
                <w:szCs w:val="20"/>
              </w:rPr>
              <w:t>2</w:t>
            </w:r>
            <w:r w:rsidRPr="001A3DA2">
              <w:rPr>
                <w:szCs w:val="20"/>
              </w:rPr>
              <w:t>/Add.</w:t>
            </w:r>
            <w:r w:rsidRPr="0039418C">
              <w:rPr>
                <w:szCs w:val="20"/>
              </w:rPr>
              <w:t>4</w:t>
            </w:r>
          </w:p>
        </w:tc>
      </w:tr>
      <w:tr w:rsidR="006B3E27" w:rsidRPr="00C175A6" w14:paraId="7DC3A7C0" w14:textId="77777777" w:rsidTr="005B51C4">
        <w:trPr>
          <w:trHeight w:hRule="exact" w:val="2835"/>
        </w:trPr>
        <w:tc>
          <w:tcPr>
            <w:tcW w:w="1274" w:type="dxa"/>
            <w:tcBorders>
              <w:top w:val="single" w:sz="4" w:space="0" w:color="auto"/>
              <w:bottom w:val="single" w:sz="12" w:space="0" w:color="auto"/>
            </w:tcBorders>
            <w:shd w:val="clear" w:color="auto" w:fill="auto"/>
          </w:tcPr>
          <w:p w14:paraId="5AFD10C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72BCAE2" wp14:editId="66133DF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979D3B9" w14:textId="77777777" w:rsidR="006B3E27" w:rsidRPr="0039418C" w:rsidRDefault="00ED7442" w:rsidP="00730446">
            <w:pPr>
              <w:spacing w:before="120" w:after="40" w:line="640" w:lineRule="exact"/>
              <w:ind w:left="57"/>
              <w:rPr>
                <w:b/>
                <w:bCs/>
                <w:sz w:val="46"/>
                <w:szCs w:val="46"/>
              </w:rPr>
            </w:pPr>
            <w:r w:rsidRPr="0039418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2468645" w14:textId="27F55B0D" w:rsidR="006B3E27" w:rsidRDefault="0033185C" w:rsidP="004B27E0">
            <w:pPr>
              <w:bidi w:val="0"/>
              <w:spacing w:before="240"/>
              <w:rPr>
                <w:szCs w:val="20"/>
              </w:rPr>
            </w:pPr>
            <w:r>
              <w:rPr>
                <w:szCs w:val="20"/>
              </w:rPr>
              <w:t>Dist</w:t>
            </w:r>
            <w:r w:rsidR="001A3DA2" w:rsidRPr="001A3DA2">
              <w:rPr>
                <w:szCs w:val="20"/>
              </w:rPr>
              <w:t>r.:</w:t>
            </w:r>
            <w:r>
              <w:rPr>
                <w:szCs w:val="20"/>
              </w:rPr>
              <w:t xml:space="preserve"> General</w:t>
            </w:r>
          </w:p>
          <w:p w14:paraId="4819FE47" w14:textId="5863B6CC" w:rsidR="0033185C" w:rsidRDefault="001A3DA2" w:rsidP="0033185C">
            <w:pPr>
              <w:bidi w:val="0"/>
              <w:spacing w:line="240" w:lineRule="exact"/>
              <w:jc w:val="left"/>
              <w:rPr>
                <w:szCs w:val="20"/>
              </w:rPr>
            </w:pPr>
            <w:r w:rsidRPr="0039418C">
              <w:rPr>
                <w:szCs w:val="20"/>
              </w:rPr>
              <w:t>5</w:t>
            </w:r>
            <w:r>
              <w:rPr>
                <w:szCs w:val="20"/>
              </w:rPr>
              <w:t xml:space="preserve"> December </w:t>
            </w:r>
            <w:r w:rsidR="0033185C" w:rsidRPr="0039418C">
              <w:rPr>
                <w:szCs w:val="20"/>
              </w:rPr>
              <w:t>2022</w:t>
            </w:r>
          </w:p>
          <w:p w14:paraId="50052647" w14:textId="77777777" w:rsidR="0033185C" w:rsidRDefault="0033185C" w:rsidP="0033185C">
            <w:pPr>
              <w:bidi w:val="0"/>
              <w:spacing w:line="240" w:lineRule="exact"/>
              <w:jc w:val="left"/>
              <w:rPr>
                <w:szCs w:val="20"/>
              </w:rPr>
            </w:pPr>
            <w:r>
              <w:rPr>
                <w:szCs w:val="20"/>
              </w:rPr>
              <w:t>Arabic</w:t>
            </w:r>
          </w:p>
          <w:p w14:paraId="11BC3ED8" w14:textId="3CEDC15C" w:rsidR="0033185C" w:rsidRPr="0033185C" w:rsidRDefault="0033185C" w:rsidP="0033185C">
            <w:pPr>
              <w:bidi w:val="0"/>
              <w:spacing w:line="240" w:lineRule="exact"/>
              <w:jc w:val="left"/>
              <w:rPr>
                <w:szCs w:val="20"/>
              </w:rPr>
            </w:pPr>
            <w:r>
              <w:rPr>
                <w:szCs w:val="20"/>
              </w:rPr>
              <w:t>Origina</w:t>
            </w:r>
            <w:r w:rsidR="001A3DA2" w:rsidRPr="001A3DA2">
              <w:rPr>
                <w:szCs w:val="20"/>
              </w:rPr>
              <w:t xml:space="preserve">l: </w:t>
            </w:r>
            <w:r>
              <w:rPr>
                <w:szCs w:val="20"/>
              </w:rPr>
              <w:t>English</w:t>
            </w:r>
          </w:p>
        </w:tc>
      </w:tr>
    </w:tbl>
    <w:p w14:paraId="4F524E02" w14:textId="77777777" w:rsidR="001A3DA2" w:rsidRPr="0039418C" w:rsidRDefault="001A3DA2" w:rsidP="001A3DA2">
      <w:pPr>
        <w:pStyle w:val="SingleTxtGA"/>
        <w:spacing w:before="120" w:after="0"/>
        <w:ind w:left="0" w:right="283"/>
        <w:jc w:val="left"/>
        <w:rPr>
          <w:b/>
          <w:bCs/>
          <w:color w:val="000000" w:themeColor="text1"/>
          <w:sz w:val="26"/>
          <w:szCs w:val="26"/>
          <w:lang w:val="ar-SA" w:eastAsia="zh-TW" w:bidi="en-GB"/>
        </w:rPr>
      </w:pPr>
      <w:r w:rsidRPr="0039418C">
        <w:rPr>
          <w:b/>
          <w:bCs/>
          <w:sz w:val="26"/>
          <w:szCs w:val="26"/>
          <w:rtl/>
        </w:rPr>
        <w:t>اللجنة المعنية بحقوق الإنسان</w:t>
      </w:r>
    </w:p>
    <w:p w14:paraId="23878842" w14:textId="3C8C7224" w:rsidR="001A3DA2" w:rsidRPr="0039418C" w:rsidRDefault="001A3DA2" w:rsidP="001A3DA2">
      <w:pPr>
        <w:pStyle w:val="HChGA"/>
        <w:rPr>
          <w:sz w:val="34"/>
          <w:szCs w:val="24"/>
          <w:lang w:val="en-US" w:eastAsia="zh-TW" w:bidi="en-GB"/>
        </w:rPr>
      </w:pPr>
      <w:r w:rsidRPr="0039418C">
        <w:rPr>
          <w:rtl/>
        </w:rPr>
        <w:tab/>
      </w:r>
      <w:r w:rsidRPr="0039418C">
        <w:rPr>
          <w:rtl/>
        </w:rPr>
        <w:tab/>
        <w:t>تقرير عن متابعة الملاحظات الختامية للجنة المعنية بحقوق الإنسان</w:t>
      </w:r>
      <w:bookmarkStart w:id="0" w:name="_Toc506807534"/>
      <w:bookmarkEnd w:id="0"/>
      <w:r w:rsidR="007C5498" w:rsidRPr="0039418C">
        <w:rPr>
          <w:rStyle w:val="FootnoteReference"/>
          <w:sz w:val="26"/>
          <w:szCs w:val="26"/>
          <w:vertAlign w:val="baseline"/>
          <w:rtl/>
          <w:lang w:val="en-US" w:eastAsia="zh-TW"/>
        </w:rPr>
        <w:footnoteReference w:customMarkFollows="1" w:id="1"/>
        <w:t>*</w:t>
      </w:r>
    </w:p>
    <w:p w14:paraId="2183042D" w14:textId="77777777" w:rsidR="001A3DA2" w:rsidRPr="0039418C" w:rsidRDefault="001A3DA2" w:rsidP="009F131A">
      <w:pPr>
        <w:pStyle w:val="H1GA"/>
        <w:rPr>
          <w:szCs w:val="20"/>
          <w:lang w:val="en-US" w:eastAsia="zh-TW" w:bidi="en-GB"/>
        </w:rPr>
      </w:pPr>
      <w:r w:rsidRPr="0039418C">
        <w:rPr>
          <w:rtl/>
        </w:rPr>
        <w:tab/>
      </w:r>
      <w:r w:rsidRPr="0039418C">
        <w:rPr>
          <w:rtl/>
        </w:rPr>
        <w:tab/>
        <w:t>إضافة</w:t>
      </w:r>
    </w:p>
    <w:p w14:paraId="3A43EEAA" w14:textId="77777777" w:rsidR="001A3DA2" w:rsidRPr="0039418C" w:rsidRDefault="001A3DA2" w:rsidP="001A3DA2">
      <w:pPr>
        <w:pStyle w:val="HChGA"/>
        <w:rPr>
          <w:szCs w:val="20"/>
          <w:lang w:val="ar-SA" w:eastAsia="zh-TW" w:bidi="en-GB"/>
        </w:rPr>
      </w:pPr>
      <w:r w:rsidRPr="0039418C">
        <w:rPr>
          <w:rtl/>
        </w:rPr>
        <w:tab/>
      </w:r>
      <w:r w:rsidRPr="0039418C">
        <w:rPr>
          <w:rtl/>
        </w:rPr>
        <w:tab/>
        <w:t>تقييم المعلومات عن متابعة الملاحظات الختامية بشأن فييت نام</w:t>
      </w:r>
    </w:p>
    <w:p w14:paraId="5B27D210" w14:textId="6E6F2145" w:rsidR="001A3DA2" w:rsidRPr="001A3DA2" w:rsidRDefault="001A3DA2" w:rsidP="001A3DA2">
      <w:pPr>
        <w:pStyle w:val="SingleTxtGA"/>
        <w:tabs>
          <w:tab w:val="clear" w:pos="1928"/>
          <w:tab w:val="clear" w:pos="2608"/>
          <w:tab w:val="clear" w:pos="3289"/>
          <w:tab w:val="clear" w:pos="3969"/>
          <w:tab w:val="clear" w:pos="4649"/>
          <w:tab w:val="clear" w:pos="5330"/>
        </w:tabs>
        <w:ind w:left="4649" w:hanging="2721"/>
        <w:rPr>
          <w:rtl/>
        </w:rPr>
      </w:pPr>
      <w:r w:rsidRPr="0039418C">
        <w:rPr>
          <w:rFonts w:eastAsiaTheme="minorEastAsia"/>
          <w:i/>
          <w:iCs/>
          <w:rtl/>
        </w:rPr>
        <w:t>الملاحظات الختامية</w:t>
      </w:r>
      <w:r w:rsidRPr="006C2224">
        <w:rPr>
          <w:rFonts w:eastAsiaTheme="minorEastAsia" w:hint="cs"/>
          <w:rtl/>
        </w:rPr>
        <w:t xml:space="preserve"> </w:t>
      </w:r>
      <w:r w:rsidR="00A92EEF" w:rsidRPr="0039418C">
        <w:rPr>
          <w:rFonts w:eastAsiaTheme="minorEastAsia"/>
          <w:i/>
          <w:iCs/>
          <w:rtl/>
        </w:rPr>
        <w:t>(الدورة 125</w:t>
      </w:r>
      <w:r w:rsidR="00A92EEF" w:rsidRPr="0039418C">
        <w:rPr>
          <w:rFonts w:hint="cs"/>
          <w:i/>
          <w:iCs/>
          <w:rtl/>
        </w:rPr>
        <w:t>)</w:t>
      </w:r>
      <w:r w:rsidR="00A92EEF">
        <w:rPr>
          <w:rFonts w:hint="cs"/>
          <w:rtl/>
        </w:rPr>
        <w:t>:</w:t>
      </w:r>
      <w:r w:rsidR="00A92EEF">
        <w:rPr>
          <w:rtl/>
        </w:rPr>
        <w:tab/>
      </w:r>
      <w:hyperlink r:id="rId9" w:history="1">
        <w:r w:rsidRPr="001A3DA2">
          <w:rPr>
            <w:rStyle w:val="Hyperlink"/>
            <w:lang w:val="en-US"/>
          </w:rPr>
          <w:t>CCPR/C/VNM/CO/</w:t>
        </w:r>
        <w:r w:rsidRPr="0039418C">
          <w:rPr>
            <w:rStyle w:val="Hyperlink"/>
            <w:lang w:val="en-US"/>
          </w:rPr>
          <w:t>3</w:t>
        </w:r>
      </w:hyperlink>
      <w:r w:rsidRPr="001A3DA2">
        <w:rPr>
          <w:rtl/>
        </w:rPr>
        <w:t xml:space="preserve">، </w:t>
      </w:r>
      <w:r w:rsidRPr="0039418C">
        <w:rPr>
          <w:rtl/>
        </w:rPr>
        <w:t>25</w:t>
      </w:r>
      <w:r w:rsidRPr="001A3DA2">
        <w:rPr>
          <w:rtl/>
        </w:rPr>
        <w:t xml:space="preserve"> آذار/مارس </w:t>
      </w:r>
      <w:r w:rsidRPr="0039418C">
        <w:rPr>
          <w:rtl/>
        </w:rPr>
        <w:t>2019</w:t>
      </w:r>
      <w:r>
        <w:rPr>
          <w:rFonts w:hint="cs"/>
          <w:rtl/>
        </w:rPr>
        <w:t>.</w:t>
      </w:r>
    </w:p>
    <w:p w14:paraId="21B295A4" w14:textId="5F79413B" w:rsidR="001A3DA2" w:rsidRPr="001A3DA2" w:rsidRDefault="001A3DA2" w:rsidP="001A3DA2">
      <w:pPr>
        <w:pStyle w:val="SingleTxtGA"/>
        <w:tabs>
          <w:tab w:val="clear" w:pos="1928"/>
          <w:tab w:val="clear" w:pos="2608"/>
          <w:tab w:val="clear" w:pos="3289"/>
          <w:tab w:val="clear" w:pos="3969"/>
          <w:tab w:val="clear" w:pos="4649"/>
          <w:tab w:val="clear" w:pos="5330"/>
        </w:tabs>
        <w:ind w:left="4649" w:hanging="2721"/>
      </w:pPr>
      <w:r w:rsidRPr="0039418C">
        <w:rPr>
          <w:i/>
          <w:iCs/>
          <w:rtl/>
        </w:rPr>
        <w:t>الفقرات موضوع المتابعة:</w:t>
      </w:r>
      <w:r>
        <w:rPr>
          <w:rtl/>
        </w:rPr>
        <w:tab/>
      </w:r>
      <w:r w:rsidRPr="0039418C">
        <w:rPr>
          <w:rtl/>
        </w:rPr>
        <w:t>24</w:t>
      </w:r>
      <w:r w:rsidRPr="001A3DA2">
        <w:rPr>
          <w:rtl/>
        </w:rPr>
        <w:t xml:space="preserve"> و</w:t>
      </w:r>
      <w:r w:rsidRPr="0039418C">
        <w:rPr>
          <w:rtl/>
        </w:rPr>
        <w:t>46</w:t>
      </w:r>
      <w:r w:rsidRPr="001A3DA2">
        <w:rPr>
          <w:rtl/>
        </w:rPr>
        <w:t xml:space="preserve"> و</w:t>
      </w:r>
      <w:r w:rsidRPr="0039418C">
        <w:rPr>
          <w:rtl/>
        </w:rPr>
        <w:t>52</w:t>
      </w:r>
      <w:r w:rsidRPr="001A3DA2">
        <w:rPr>
          <w:rtl/>
        </w:rPr>
        <w:t xml:space="preserve"> </w:t>
      </w:r>
    </w:p>
    <w:p w14:paraId="5B2388A5" w14:textId="488FEB72" w:rsidR="001A3DA2" w:rsidRPr="001A3DA2" w:rsidRDefault="001A3DA2" w:rsidP="001A3DA2">
      <w:pPr>
        <w:pStyle w:val="SingleTxtGA"/>
        <w:tabs>
          <w:tab w:val="clear" w:pos="1928"/>
          <w:tab w:val="clear" w:pos="2608"/>
          <w:tab w:val="clear" w:pos="3289"/>
          <w:tab w:val="clear" w:pos="3969"/>
          <w:tab w:val="clear" w:pos="4649"/>
          <w:tab w:val="clear" w:pos="5330"/>
        </w:tabs>
        <w:ind w:left="4649" w:hanging="2721"/>
      </w:pPr>
      <w:r w:rsidRPr="0039418C">
        <w:rPr>
          <w:i/>
          <w:iCs/>
          <w:rtl/>
        </w:rPr>
        <w:t>المعلومات الواردة من الدولة الطرف:</w:t>
      </w:r>
      <w:r>
        <w:rPr>
          <w:rtl/>
        </w:rPr>
        <w:tab/>
      </w:r>
      <w:hyperlink r:id="rId10" w:history="1">
        <w:r w:rsidRPr="001A3DA2">
          <w:rPr>
            <w:rStyle w:val="Hyperlink"/>
            <w:lang w:val="en-US"/>
          </w:rPr>
          <w:t>CCPR/C/VNM/FCO/</w:t>
        </w:r>
        <w:r w:rsidRPr="0039418C">
          <w:rPr>
            <w:rStyle w:val="Hyperlink"/>
            <w:lang w:val="en-US"/>
          </w:rPr>
          <w:t>3</w:t>
        </w:r>
      </w:hyperlink>
      <w:r w:rsidRPr="001A3DA2">
        <w:rPr>
          <w:rtl/>
        </w:rPr>
        <w:t xml:space="preserve">، </w:t>
      </w:r>
      <w:r w:rsidRPr="0039418C">
        <w:rPr>
          <w:rtl/>
        </w:rPr>
        <w:t>29</w:t>
      </w:r>
      <w:r w:rsidRPr="001A3DA2">
        <w:rPr>
          <w:rtl/>
        </w:rPr>
        <w:t xml:space="preserve"> آذار/مارس </w:t>
      </w:r>
      <w:r w:rsidRPr="0039418C">
        <w:rPr>
          <w:rtl/>
        </w:rPr>
        <w:t>2021</w:t>
      </w:r>
    </w:p>
    <w:p w14:paraId="7D3E1A7F" w14:textId="755059E5" w:rsidR="001A3DA2" w:rsidRPr="001A3DA2" w:rsidRDefault="001A3DA2" w:rsidP="001A3DA2">
      <w:pPr>
        <w:pStyle w:val="SingleTxtGA"/>
        <w:tabs>
          <w:tab w:val="clear" w:pos="1928"/>
          <w:tab w:val="clear" w:pos="2608"/>
          <w:tab w:val="clear" w:pos="3289"/>
          <w:tab w:val="clear" w:pos="3969"/>
          <w:tab w:val="clear" w:pos="4649"/>
          <w:tab w:val="clear" w:pos="5330"/>
        </w:tabs>
        <w:ind w:left="4649" w:hanging="2721"/>
      </w:pPr>
      <w:r w:rsidRPr="0039418C">
        <w:rPr>
          <w:i/>
          <w:iCs/>
          <w:rtl/>
        </w:rPr>
        <w:t>المعلومات الواردة من الجهات المعنية:</w:t>
      </w:r>
      <w:r>
        <w:rPr>
          <w:rtl/>
        </w:rPr>
        <w:tab/>
      </w:r>
      <w:hyperlink r:id="rId11" w:history="1">
        <w:r w:rsidRPr="009F131A">
          <w:rPr>
            <w:rStyle w:val="Hyperlink"/>
            <w:rtl/>
          </w:rPr>
          <w:t>الفدرالية الدولية لرابطات حقوق الإنسان ولجنة فيت نام المعنية بحقوق الإنسان</w:t>
        </w:r>
      </w:hyperlink>
      <w:r w:rsidRPr="001A3DA2">
        <w:rPr>
          <w:rtl/>
        </w:rPr>
        <w:t xml:space="preserve">، </w:t>
      </w:r>
      <w:r w:rsidRPr="0039418C">
        <w:rPr>
          <w:rtl/>
        </w:rPr>
        <w:t>18</w:t>
      </w:r>
      <w:r w:rsidRPr="001A3DA2">
        <w:rPr>
          <w:rtl/>
        </w:rPr>
        <w:t xml:space="preserve"> تموز/يولي</w:t>
      </w:r>
      <w:r w:rsidR="00581A8E">
        <w:rPr>
          <w:rFonts w:hint="cs"/>
          <w:rtl/>
        </w:rPr>
        <w:t>ه</w:t>
      </w:r>
      <w:r w:rsidRPr="001A3DA2">
        <w:rPr>
          <w:rtl/>
        </w:rPr>
        <w:t xml:space="preserve"> </w:t>
      </w:r>
      <w:r w:rsidRPr="0039418C">
        <w:rPr>
          <w:rtl/>
        </w:rPr>
        <w:t>2022</w:t>
      </w:r>
    </w:p>
    <w:p w14:paraId="528B844E" w14:textId="154C3E7E" w:rsidR="001A3DA2" w:rsidRPr="001A3DA2" w:rsidRDefault="001A3DA2" w:rsidP="001A3DA2">
      <w:pPr>
        <w:pStyle w:val="SingleTxtGA"/>
        <w:tabs>
          <w:tab w:val="clear" w:pos="1928"/>
          <w:tab w:val="clear" w:pos="2608"/>
          <w:tab w:val="clear" w:pos="3289"/>
          <w:tab w:val="clear" w:pos="3969"/>
          <w:tab w:val="clear" w:pos="4649"/>
          <w:tab w:val="clear" w:pos="5330"/>
        </w:tabs>
        <w:ind w:left="4649" w:hanging="2721"/>
      </w:pPr>
      <w:r w:rsidRPr="0039418C">
        <w:rPr>
          <w:i/>
          <w:iCs/>
          <w:rtl/>
        </w:rPr>
        <w:t>تقييم اللجنة:</w:t>
      </w:r>
      <w:r>
        <w:rPr>
          <w:rtl/>
        </w:rPr>
        <w:tab/>
      </w:r>
      <w:r w:rsidRPr="0039418C">
        <w:rPr>
          <w:rtl/>
        </w:rPr>
        <w:t>24</w:t>
      </w:r>
      <w:r w:rsidRPr="001A3DA2">
        <w:rPr>
          <w:rtl/>
        </w:rPr>
        <w:t xml:space="preserve"> [جيم][هاء] و</w:t>
      </w:r>
      <w:r w:rsidRPr="0039418C">
        <w:rPr>
          <w:rtl/>
        </w:rPr>
        <w:t>46</w:t>
      </w:r>
      <w:r w:rsidRPr="001A3DA2">
        <w:rPr>
          <w:rtl/>
        </w:rPr>
        <w:t xml:space="preserve"> [هاء] و</w:t>
      </w:r>
      <w:r w:rsidRPr="0039418C">
        <w:rPr>
          <w:rtl/>
        </w:rPr>
        <w:t>52</w:t>
      </w:r>
      <w:r w:rsidRPr="001A3DA2">
        <w:rPr>
          <w:rtl/>
        </w:rPr>
        <w:t xml:space="preserve"> [جيم]</w:t>
      </w:r>
    </w:p>
    <w:p w14:paraId="4D5F7C14" w14:textId="67241DC1" w:rsidR="001A3DA2" w:rsidRPr="0039418C" w:rsidRDefault="001A3DA2" w:rsidP="001A3DA2">
      <w:pPr>
        <w:pStyle w:val="H1GA"/>
        <w:rPr>
          <w:lang w:val="en-US" w:eastAsia="zh-TW" w:bidi="en-GB"/>
        </w:rPr>
      </w:pPr>
      <w:r w:rsidRPr="0039418C">
        <w:rPr>
          <w:rtl/>
        </w:rPr>
        <w:tab/>
      </w:r>
      <w:r w:rsidRPr="0039418C">
        <w:rPr>
          <w:rtl/>
        </w:rPr>
        <w:tab/>
        <w:t>الفقرة 24: عقوبة الإعدام</w:t>
      </w:r>
    </w:p>
    <w:p w14:paraId="6327D9A4" w14:textId="0CFF7C13" w:rsidR="001A3DA2" w:rsidRPr="0039418C" w:rsidRDefault="001A3DA2" w:rsidP="001A3DA2">
      <w:pPr>
        <w:pStyle w:val="SingleTxtGA"/>
        <w:rPr>
          <w:rFonts w:eastAsiaTheme="minorEastAsia"/>
          <w:b/>
          <w:bCs/>
          <w:lang w:val="en-US" w:eastAsia="zh-TW" w:bidi="en-GB"/>
        </w:rPr>
      </w:pPr>
      <w:r w:rsidRPr="0039418C">
        <w:rPr>
          <w:rFonts w:eastAsiaTheme="minorEastAsia"/>
          <w:b/>
          <w:bCs/>
          <w:rtl/>
        </w:rPr>
        <w:t>تجدد اللجنة تأكيد توصيتها بأن تقوم الدولة الطرف بما يلي</w:t>
      </w:r>
      <w:r w:rsidRPr="0039418C">
        <w:rPr>
          <w:rStyle w:val="FootnoteReference"/>
          <w:rFonts w:eastAsiaTheme="minorEastAsia"/>
          <w:b/>
          <w:sz w:val="22"/>
          <w:rtl/>
        </w:rPr>
        <w:t>(</w:t>
      </w:r>
      <w:r w:rsidRPr="0039418C">
        <w:rPr>
          <w:rStyle w:val="FootnoteReference"/>
          <w:rFonts w:eastAsiaTheme="minorEastAsia"/>
          <w:b/>
          <w:sz w:val="22"/>
          <w:lang w:val="en-US"/>
        </w:rPr>
        <w:footnoteReference w:id="2"/>
      </w:r>
      <w:r w:rsidR="007C5498" w:rsidRPr="0039418C">
        <w:rPr>
          <w:rFonts w:eastAsiaTheme="minorEastAsia" w:hint="cs"/>
          <w:b/>
          <w:vertAlign w:val="superscript"/>
          <w:rtl/>
        </w:rPr>
        <w:t>)</w:t>
      </w:r>
      <w:r w:rsidRPr="0039418C">
        <w:rPr>
          <w:rFonts w:eastAsiaTheme="minorEastAsia"/>
          <w:b/>
          <w:bCs/>
          <w:rtl/>
        </w:rPr>
        <w:t>:</w:t>
      </w:r>
    </w:p>
    <w:p w14:paraId="0AD54245" w14:textId="26C21FB5" w:rsidR="001A3DA2" w:rsidRPr="0039418C" w:rsidRDefault="001A3DA2" w:rsidP="001A3DA2">
      <w:pPr>
        <w:pStyle w:val="SingleTxtGA"/>
        <w:rPr>
          <w:rFonts w:eastAsiaTheme="minorEastAsia"/>
          <w:b/>
          <w:bCs/>
          <w:lang w:val="en-US" w:eastAsia="zh-TW" w:bidi="en-GB"/>
        </w:rPr>
      </w:pPr>
      <w:r w:rsidRPr="0039418C">
        <w:rPr>
          <w:rFonts w:eastAsiaTheme="minorEastAsia"/>
          <w:b/>
          <w:rtl/>
        </w:rPr>
        <w:tab/>
        <w:t>(أ)</w:t>
      </w:r>
      <w:r w:rsidRPr="0039418C">
        <w:rPr>
          <w:rFonts w:eastAsiaTheme="minorEastAsia"/>
          <w:bCs/>
          <w:rtl/>
        </w:rPr>
        <w:tab/>
      </w:r>
      <w:r w:rsidRPr="0039418C">
        <w:rPr>
          <w:rFonts w:eastAsiaTheme="minorEastAsia"/>
          <w:b/>
          <w:bCs/>
          <w:rtl/>
        </w:rPr>
        <w:t>النظر في إقرار وقف تطبيق عقوبة الإعدام والتصديق على البروتوكول الاختياري الثاني الملحق بالعهد، الرامي إلى إلغاء عقوبة الإعدام، أو الانضمام إليه؛</w:t>
      </w:r>
      <w:r w:rsidRPr="0039418C">
        <w:rPr>
          <w:rFonts w:eastAsiaTheme="minorEastAsia"/>
          <w:bCs/>
          <w:rtl/>
        </w:rPr>
        <w:t xml:space="preserve"> </w:t>
      </w:r>
    </w:p>
    <w:p w14:paraId="325C14CE" w14:textId="00471CFA" w:rsidR="001A3DA2" w:rsidRPr="0039418C" w:rsidRDefault="001A3DA2" w:rsidP="001A3DA2">
      <w:pPr>
        <w:pStyle w:val="SingleTxtGA"/>
        <w:rPr>
          <w:rFonts w:eastAsiaTheme="minorEastAsia"/>
          <w:b/>
          <w:bCs/>
          <w:lang w:val="en-US" w:eastAsia="zh-TW" w:bidi="en-GB"/>
        </w:rPr>
      </w:pPr>
      <w:r w:rsidRPr="0039418C">
        <w:rPr>
          <w:rFonts w:eastAsiaTheme="minorEastAsia"/>
          <w:b/>
          <w:rtl/>
        </w:rPr>
        <w:tab/>
        <w:t>(ب)</w:t>
      </w:r>
      <w:r w:rsidRPr="0039418C">
        <w:rPr>
          <w:rFonts w:eastAsiaTheme="minorEastAsia"/>
          <w:bCs/>
          <w:rtl/>
        </w:rPr>
        <w:tab/>
      </w:r>
      <w:r w:rsidRPr="0039418C">
        <w:rPr>
          <w:rFonts w:eastAsiaTheme="minorEastAsia"/>
          <w:b/>
          <w:bCs/>
          <w:rtl/>
        </w:rPr>
        <w:t>ريثما يصبح وقف عقوبة الإعدام ساري المفعول، يعدّل قانون العقوبات لمواصلة خفض عدد الجرائم الموجبة لعقوبة الإعدام، مع ضمان عدم الإبقاء على هذه العقوبة إلا في حالة أشد الجرائم خطورة، وهي الجرائم البالغة الخطورة التي تنطوي على القتل العمد؛</w:t>
      </w:r>
    </w:p>
    <w:p w14:paraId="1196DE1B" w14:textId="6ED3D355" w:rsidR="001A3DA2" w:rsidRPr="0039418C" w:rsidRDefault="001A3DA2" w:rsidP="001A3DA2">
      <w:pPr>
        <w:pStyle w:val="SingleTxtGA"/>
        <w:rPr>
          <w:rFonts w:eastAsiaTheme="minorEastAsia"/>
          <w:b/>
          <w:bCs/>
          <w:lang w:val="ar-SA" w:eastAsia="zh-TW" w:bidi="en-GB"/>
        </w:rPr>
      </w:pPr>
      <w:r w:rsidRPr="0039418C">
        <w:rPr>
          <w:rFonts w:eastAsiaTheme="minorEastAsia"/>
          <w:b/>
          <w:rtl/>
        </w:rPr>
        <w:tab/>
        <w:t>(ج)</w:t>
      </w:r>
      <w:r w:rsidRPr="0039418C">
        <w:rPr>
          <w:rFonts w:eastAsiaTheme="minorEastAsia"/>
          <w:b/>
          <w:rtl/>
        </w:rPr>
        <w:tab/>
      </w:r>
      <w:r w:rsidRPr="0039418C">
        <w:rPr>
          <w:rFonts w:eastAsiaTheme="minorEastAsia"/>
          <w:b/>
          <w:bCs/>
          <w:rtl/>
        </w:rPr>
        <w:t>ضمان ألا تكون عقوبة الإعدام إلزامية على أي جريمة؛ فإن فُرضت، فينبغي ألا</w:t>
      </w:r>
      <w:r w:rsidR="007C5498" w:rsidRPr="0039418C">
        <w:rPr>
          <w:rFonts w:eastAsiaTheme="minorEastAsia" w:hint="cs"/>
          <w:b/>
          <w:bCs/>
          <w:rtl/>
        </w:rPr>
        <w:t> </w:t>
      </w:r>
      <w:r w:rsidRPr="0039418C">
        <w:rPr>
          <w:rFonts w:eastAsiaTheme="minorEastAsia"/>
          <w:b/>
          <w:bCs/>
          <w:rtl/>
        </w:rPr>
        <w:t>تخالف أحكام العهد، بما فيها تلك المتعلقة بإجراءات المحاكمة العادلة، وينبغي أن يبلّغ السجناء رهن تنفيذ حكم الإعدام وعائلاتُهم بتاريخ التنفيذ وتوقيته المقرَّرين قبل حلولهما بفترة معقولة؛</w:t>
      </w:r>
      <w:r w:rsidRPr="0039418C">
        <w:rPr>
          <w:rFonts w:eastAsiaTheme="minorEastAsia"/>
          <w:bCs/>
          <w:rtl/>
        </w:rPr>
        <w:t xml:space="preserve"> </w:t>
      </w:r>
    </w:p>
    <w:p w14:paraId="63D37F48" w14:textId="18251BAC" w:rsidR="001A3DA2" w:rsidRPr="0039418C" w:rsidRDefault="001A3DA2" w:rsidP="001A3DA2">
      <w:pPr>
        <w:pStyle w:val="SingleTxtGA"/>
        <w:rPr>
          <w:rFonts w:eastAsiaTheme="minorEastAsia"/>
          <w:b/>
          <w:bCs/>
          <w:lang w:val="ar-SA" w:eastAsia="zh-TW" w:bidi="en-GB"/>
        </w:rPr>
      </w:pPr>
      <w:r w:rsidRPr="0039418C">
        <w:rPr>
          <w:rFonts w:eastAsiaTheme="minorEastAsia"/>
          <w:b/>
          <w:rtl/>
        </w:rPr>
        <w:lastRenderedPageBreak/>
        <w:tab/>
        <w:t>(د)</w:t>
      </w:r>
      <w:r w:rsidRPr="0039418C">
        <w:rPr>
          <w:rFonts w:eastAsiaTheme="minorEastAsia"/>
          <w:bCs/>
          <w:rtl/>
        </w:rPr>
        <w:tab/>
      </w:r>
      <w:r w:rsidRPr="0039418C">
        <w:rPr>
          <w:rFonts w:eastAsiaTheme="minorEastAsia"/>
          <w:b/>
          <w:bCs/>
          <w:rtl/>
        </w:rPr>
        <w:t>ضمان تمتيع السجناء بالعفو أو تخفيف الحكم بالإعدام فعليّ</w:t>
      </w:r>
      <w:r w:rsidR="007C5498" w:rsidRPr="0039418C">
        <w:rPr>
          <w:rFonts w:eastAsiaTheme="minorEastAsia"/>
          <w:b/>
          <w:bCs/>
          <w:rtl/>
        </w:rPr>
        <w:t xml:space="preserve">اً </w:t>
      </w:r>
      <w:r w:rsidRPr="0039418C">
        <w:rPr>
          <w:rFonts w:eastAsiaTheme="minorEastAsia"/>
          <w:b/>
          <w:bCs/>
          <w:rtl/>
        </w:rPr>
        <w:t>في جميع الحالات، بصرف النظر عن الجريمة المرتكبة؛</w:t>
      </w:r>
    </w:p>
    <w:p w14:paraId="43C6E651" w14:textId="20640364" w:rsidR="001A3DA2" w:rsidRPr="0039418C" w:rsidRDefault="001A3DA2" w:rsidP="001A3DA2">
      <w:pPr>
        <w:pStyle w:val="SingleTxtGA"/>
        <w:rPr>
          <w:rFonts w:eastAsiaTheme="minorEastAsia"/>
          <w:b/>
          <w:bCs/>
          <w:lang w:val="ar-SA" w:eastAsia="zh-TW" w:bidi="en-GB"/>
        </w:rPr>
      </w:pPr>
      <w:r w:rsidRPr="0039418C">
        <w:rPr>
          <w:rFonts w:eastAsiaTheme="minorEastAsia"/>
          <w:b/>
          <w:rtl/>
        </w:rPr>
        <w:tab/>
        <w:t>(هـ)</w:t>
      </w:r>
      <w:r w:rsidRPr="0039418C">
        <w:rPr>
          <w:rFonts w:eastAsiaTheme="minorEastAsia"/>
          <w:bCs/>
          <w:rtl/>
        </w:rPr>
        <w:tab/>
      </w:r>
      <w:r w:rsidRPr="0039418C">
        <w:rPr>
          <w:rFonts w:eastAsiaTheme="minorEastAsia"/>
          <w:b/>
          <w:bCs/>
          <w:rtl/>
        </w:rPr>
        <w:t>نشر الأرقام الرسمية عن أحكام الإعدام وحالات تنفيذها، مصنَّفة حسب نوع الجنس والسن والإثنية والدين والجريمة.</w:t>
      </w:r>
    </w:p>
    <w:p w14:paraId="407E8040" w14:textId="77777777" w:rsidR="001A3DA2" w:rsidRPr="0039418C" w:rsidRDefault="001A3DA2" w:rsidP="001A3DA2">
      <w:pPr>
        <w:pStyle w:val="H23GA"/>
        <w:rPr>
          <w:lang w:val="ar-SA" w:eastAsia="zh-TW" w:bidi="en-GB"/>
        </w:rPr>
      </w:pPr>
      <w:r w:rsidRPr="0039418C">
        <w:rPr>
          <w:rtl/>
        </w:rPr>
        <w:tab/>
      </w:r>
      <w:r w:rsidRPr="0039418C">
        <w:rPr>
          <w:rtl/>
        </w:rPr>
        <w:tab/>
        <w:t>ملخص المعلومات الواردة من الدولة الطرف</w:t>
      </w:r>
    </w:p>
    <w:p w14:paraId="500AF463" w14:textId="25BCF19B" w:rsidR="001A3DA2" w:rsidRPr="00581A8E" w:rsidRDefault="001A3DA2" w:rsidP="001A3DA2">
      <w:pPr>
        <w:pStyle w:val="SingleTxtGA"/>
        <w:rPr>
          <w:rFonts w:eastAsiaTheme="minorEastAsia"/>
          <w:lang w:val="en-US" w:eastAsia="zh-TW" w:bidi="en-GB"/>
        </w:rPr>
      </w:pPr>
      <w:r>
        <w:rPr>
          <w:rFonts w:eastAsiaTheme="minorEastAsia"/>
          <w:rtl/>
        </w:rPr>
        <w:tab/>
      </w:r>
      <w:r w:rsidRPr="004C3ECA">
        <w:rPr>
          <w:rFonts w:eastAsiaTheme="minorEastAsia"/>
          <w:spacing w:val="-2"/>
          <w:rtl/>
        </w:rPr>
        <w:t>(أ)</w:t>
      </w:r>
      <w:r w:rsidRPr="004C3ECA">
        <w:rPr>
          <w:rFonts w:eastAsiaTheme="minorEastAsia"/>
          <w:spacing w:val="-2"/>
          <w:rtl/>
        </w:rPr>
        <w:tab/>
        <w:t>تقرر فييت نام الإبقاء على عقوبة الإعدام بالنسبة للجرائم البالغة الخطورة وتعتبرها تدبير</w:t>
      </w:r>
      <w:r w:rsidR="007C5498" w:rsidRPr="004C3ECA">
        <w:rPr>
          <w:rFonts w:eastAsiaTheme="minorEastAsia"/>
          <w:spacing w:val="-2"/>
          <w:rtl/>
        </w:rPr>
        <w:t xml:space="preserve">اً </w:t>
      </w:r>
      <w:r w:rsidRPr="001A3DA2">
        <w:rPr>
          <w:rFonts w:eastAsiaTheme="minorEastAsia"/>
          <w:rtl/>
        </w:rPr>
        <w:t>ضروري</w:t>
      </w:r>
      <w:r w:rsidR="007C5498">
        <w:rPr>
          <w:rFonts w:eastAsiaTheme="minorEastAsia"/>
          <w:rtl/>
        </w:rPr>
        <w:t xml:space="preserve">اً </w:t>
      </w:r>
      <w:r w:rsidRPr="001A3DA2">
        <w:rPr>
          <w:rFonts w:eastAsiaTheme="minorEastAsia"/>
          <w:rtl/>
        </w:rPr>
        <w:t>لردع ارتكاب تلك الجرائم. وقد درست مسألة الإبقاء على عقوبة الإعدام وإلغائها في بلدان أخرى وإمكانية التصديق على البروتوكول الاختياري الثاني الملحق بالعهد والهادف إلى إلغاء عقوبة</w:t>
      </w:r>
      <w:r w:rsidR="006C2224">
        <w:rPr>
          <w:rFonts w:eastAsiaTheme="minorEastAsia" w:hint="cs"/>
          <w:rtl/>
        </w:rPr>
        <w:t> </w:t>
      </w:r>
      <w:r w:rsidRPr="001A3DA2">
        <w:rPr>
          <w:rFonts w:eastAsiaTheme="minorEastAsia"/>
          <w:rtl/>
        </w:rPr>
        <w:t>الإعدام</w:t>
      </w:r>
      <w:r w:rsidR="006C2224">
        <w:rPr>
          <w:rFonts w:eastAsiaTheme="minorEastAsia" w:hint="cs"/>
          <w:rtl/>
        </w:rPr>
        <w:t>؛</w:t>
      </w:r>
    </w:p>
    <w:p w14:paraId="4F4E4B56" w14:textId="14F11935" w:rsidR="001A3DA2" w:rsidRPr="006C2224"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(ب)</w:t>
      </w:r>
      <w:r w:rsidRPr="001A3DA2">
        <w:rPr>
          <w:rFonts w:eastAsiaTheme="minorEastAsia"/>
          <w:rtl/>
        </w:rPr>
        <w:tab/>
        <w:t xml:space="preserve">تتجسد سياسة الحد من تطبيق عقوبة الإعدام في قانون العقوبات المعدل وقانون الإجراءات الجنائية وقانون تنفيذ الأحكام الجنائية. وستُستكمل في عام </w:t>
      </w:r>
      <w:r w:rsidRPr="0039418C">
        <w:rPr>
          <w:rFonts w:eastAsiaTheme="minorEastAsia"/>
          <w:rtl/>
        </w:rPr>
        <w:t>2022</w:t>
      </w:r>
      <w:r w:rsidRPr="001A3DA2">
        <w:rPr>
          <w:rFonts w:eastAsiaTheme="minorEastAsia"/>
          <w:rtl/>
        </w:rPr>
        <w:t xml:space="preserve"> دراسة عن الحد من الجرائم التي يعاقَب عليها بالإعدام</w:t>
      </w:r>
      <w:r w:rsidR="006C2224">
        <w:rPr>
          <w:rFonts w:eastAsiaTheme="minorEastAsia" w:hint="cs"/>
          <w:rtl/>
        </w:rPr>
        <w:t>؛</w:t>
      </w:r>
    </w:p>
    <w:p w14:paraId="09AD0620" w14:textId="151176AC" w:rsidR="001A3DA2" w:rsidRPr="006C2224"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(ج)</w:t>
      </w:r>
      <w:r w:rsidRPr="001A3DA2">
        <w:rPr>
          <w:rFonts w:eastAsiaTheme="minorEastAsia"/>
          <w:rtl/>
        </w:rPr>
        <w:tab/>
        <w:t xml:space="preserve">عقوبة الإعدام ليست إلزامية في تطبيق القانون. ويجب توكيل محامي دفاع للمدعى عليهم بارتكاب جريمة يعاقَب عليها بالسجن </w:t>
      </w:r>
      <w:r w:rsidRPr="0039418C">
        <w:rPr>
          <w:rFonts w:eastAsiaTheme="minorEastAsia"/>
          <w:rtl/>
        </w:rPr>
        <w:t>20</w:t>
      </w:r>
      <w:r w:rsidRPr="001A3DA2">
        <w:rPr>
          <w:rFonts w:eastAsiaTheme="minorEastAsia"/>
          <w:rtl/>
        </w:rPr>
        <w:t xml:space="preserve"> سنة أو بالسجن المؤبد أو بالإعدام كعقوبة قصوى. ويجب إخطار أحد أقارب الشخص المحكوم عليه بالإعدام أو من ينوب عنه بالحكم في غضون ثلاثة أيام. وستدرس فييت نام توصية اللجنة بشأن توجيه إخطار مسبق للسجناء في جناح المحكوم عليهم بالإعدام وستنظر في إدخال تعديلات تشريعية</w:t>
      </w:r>
      <w:r w:rsidR="006C2224">
        <w:rPr>
          <w:rFonts w:eastAsiaTheme="minorEastAsia" w:hint="cs"/>
          <w:rtl/>
        </w:rPr>
        <w:t>؛</w:t>
      </w:r>
    </w:p>
    <w:p w14:paraId="4DD0B1F8" w14:textId="29F40F8B" w:rsidR="001A3DA2" w:rsidRPr="001A3DA2" w:rsidRDefault="001A3DA2" w:rsidP="001A3DA2">
      <w:pPr>
        <w:pStyle w:val="SingleTxtGA"/>
        <w:rPr>
          <w:rFonts w:eastAsiaTheme="minorEastAsia"/>
          <w:lang w:val="en-US" w:eastAsia="zh-TW"/>
        </w:rPr>
      </w:pPr>
      <w:r>
        <w:rPr>
          <w:rFonts w:eastAsiaTheme="minorEastAsia"/>
          <w:rtl/>
        </w:rPr>
        <w:tab/>
      </w:r>
      <w:r w:rsidRPr="001A3DA2">
        <w:rPr>
          <w:rFonts w:eastAsiaTheme="minorEastAsia"/>
          <w:rtl/>
        </w:rPr>
        <w:t>(د)</w:t>
      </w:r>
      <w:r w:rsidRPr="001A3DA2">
        <w:rPr>
          <w:rFonts w:eastAsiaTheme="minorEastAsia"/>
          <w:rtl/>
        </w:rPr>
        <w:tab/>
      </w:r>
      <w:r w:rsidRPr="004C3ECA">
        <w:rPr>
          <w:rFonts w:eastAsiaTheme="minorEastAsia"/>
          <w:spacing w:val="-2"/>
          <w:rtl/>
        </w:rPr>
        <w:t xml:space="preserve">يستعرض رئيس قضاة محكمة الشعب العليا أو المدعي العام لدى النيابة الشعبية العليا </w:t>
      </w:r>
      <w:r w:rsidRPr="001A3DA2">
        <w:rPr>
          <w:rFonts w:eastAsiaTheme="minorEastAsia"/>
          <w:rtl/>
        </w:rPr>
        <w:t xml:space="preserve">جميع أحكام الإعدام، بمقتضى المادة </w:t>
      </w:r>
      <w:r w:rsidRPr="0039418C">
        <w:rPr>
          <w:rFonts w:eastAsiaTheme="minorEastAsia"/>
          <w:rtl/>
        </w:rPr>
        <w:t>367</w:t>
      </w:r>
      <w:r w:rsidRPr="001A3DA2">
        <w:rPr>
          <w:rFonts w:eastAsiaTheme="minorEastAsia"/>
          <w:rtl/>
        </w:rPr>
        <w:t xml:space="preserve"> من قانون الإجراءات الجنائية. ويحق للشخص المحكوم عليه التماس التمتيع بظروف التخفيف. وقد</w:t>
      </w:r>
      <w:r w:rsidR="006C2224">
        <w:rPr>
          <w:rFonts w:eastAsiaTheme="minorEastAsia"/>
          <w:rtl/>
        </w:rPr>
        <w:t xml:space="preserve"> </w:t>
      </w:r>
      <w:r w:rsidRPr="001A3DA2">
        <w:rPr>
          <w:rFonts w:eastAsiaTheme="minorEastAsia"/>
          <w:rtl/>
        </w:rPr>
        <w:t>خُفف العديد من الأحكام بتحويل حكم الإعدام إلى السجن</w:t>
      </w:r>
      <w:r>
        <w:rPr>
          <w:rFonts w:eastAsiaTheme="minorEastAsia" w:hint="cs"/>
          <w:rtl/>
        </w:rPr>
        <w:t> </w:t>
      </w:r>
      <w:r w:rsidRPr="001A3DA2">
        <w:rPr>
          <w:rFonts w:eastAsiaTheme="minorEastAsia"/>
          <w:rtl/>
        </w:rPr>
        <w:t>المؤبد</w:t>
      </w:r>
      <w:r w:rsidR="006C2224">
        <w:rPr>
          <w:rFonts w:eastAsiaTheme="minorEastAsia" w:hint="cs"/>
          <w:rtl/>
        </w:rPr>
        <w:t>؛</w:t>
      </w:r>
    </w:p>
    <w:p w14:paraId="5A4867B6" w14:textId="3D8381F9" w:rsidR="001A3DA2" w:rsidRPr="001A3DA2"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(هـ)</w:t>
      </w:r>
      <w:r w:rsidRPr="001A3DA2">
        <w:rPr>
          <w:rFonts w:eastAsiaTheme="minorEastAsia"/>
          <w:rtl/>
        </w:rPr>
        <w:tab/>
        <w:t>نشرت البيانات المتعلقة بأحكام الإعدام وفق</w:t>
      </w:r>
      <w:r w:rsidR="007C5498">
        <w:rPr>
          <w:rFonts w:eastAsiaTheme="minorEastAsia"/>
          <w:rtl/>
        </w:rPr>
        <w:t xml:space="preserve">اً </w:t>
      </w:r>
      <w:r w:rsidRPr="001A3DA2">
        <w:rPr>
          <w:rFonts w:eastAsiaTheme="minorEastAsia"/>
          <w:rtl/>
        </w:rPr>
        <w:t xml:space="preserve">للقانون. </w:t>
      </w:r>
    </w:p>
    <w:p w14:paraId="26BF8B2F" w14:textId="77777777" w:rsidR="001A3DA2" w:rsidRPr="0039418C" w:rsidRDefault="001A3DA2" w:rsidP="001A3DA2">
      <w:pPr>
        <w:pStyle w:val="H23GA"/>
        <w:rPr>
          <w:lang w:val="en-US" w:eastAsia="zh-TW" w:bidi="en-GB"/>
        </w:rPr>
      </w:pPr>
      <w:r w:rsidRPr="0039418C">
        <w:rPr>
          <w:rtl/>
        </w:rPr>
        <w:tab/>
      </w:r>
      <w:r w:rsidRPr="0039418C">
        <w:rPr>
          <w:rtl/>
        </w:rPr>
        <w:tab/>
        <w:t>ملخص المعلومات الواردة من جهات معنية</w:t>
      </w:r>
    </w:p>
    <w:p w14:paraId="1D4B4A4A" w14:textId="77777777" w:rsidR="001A3DA2" w:rsidRPr="0039418C" w:rsidRDefault="001A3DA2" w:rsidP="001A3DA2">
      <w:pPr>
        <w:pStyle w:val="H4GA"/>
        <w:rPr>
          <w:lang w:val="ar-SA" w:eastAsia="zh-TW" w:bidi="en-GB"/>
        </w:rPr>
      </w:pPr>
      <w:r w:rsidRPr="0039418C">
        <w:rPr>
          <w:rtl/>
        </w:rPr>
        <w:tab/>
      </w:r>
      <w:r w:rsidRPr="0039418C">
        <w:rPr>
          <w:rtl/>
        </w:rPr>
        <w:tab/>
        <w:t>الفدرالية الدولية لرابطات حقوق الإنسان ولجنة فيت نام المعنية بحقوق الإنسان</w:t>
      </w:r>
    </w:p>
    <w:p w14:paraId="6C6DC5E8" w14:textId="548A1CC1" w:rsidR="001A3DA2" w:rsidRPr="001A3DA2" w:rsidRDefault="001A3DA2" w:rsidP="001A3DA2">
      <w:pPr>
        <w:pStyle w:val="SingleTxtGA"/>
        <w:rPr>
          <w:rFonts w:eastAsiaTheme="minorEastAsia"/>
          <w:rtl/>
          <w:lang w:val="en-US" w:eastAsia="zh-TW"/>
        </w:rPr>
      </w:pPr>
      <w:r>
        <w:rPr>
          <w:rFonts w:eastAsiaTheme="minorEastAsia"/>
          <w:rtl/>
        </w:rPr>
        <w:tab/>
      </w:r>
      <w:r w:rsidRPr="001A3DA2">
        <w:rPr>
          <w:rFonts w:eastAsiaTheme="minorEastAsia"/>
          <w:rtl/>
        </w:rPr>
        <w:t>(أ)</w:t>
      </w:r>
      <w:r w:rsidRPr="001A3DA2">
        <w:rPr>
          <w:rFonts w:eastAsiaTheme="minorEastAsia"/>
          <w:rtl/>
        </w:rPr>
        <w:tab/>
        <w:t xml:space="preserve">لم تقرّ فييت نام وقف العمل بعقوبة الإعدام. وامتنعت عن التصويت على القرار الذي اعتمدته الجمعية العامة في </w:t>
      </w:r>
      <w:r w:rsidRPr="0039418C">
        <w:rPr>
          <w:rFonts w:eastAsiaTheme="minorEastAsia"/>
          <w:rtl/>
        </w:rPr>
        <w:t>16</w:t>
      </w:r>
      <w:r w:rsidRPr="001A3DA2">
        <w:rPr>
          <w:rFonts w:eastAsiaTheme="minorEastAsia"/>
          <w:rtl/>
        </w:rPr>
        <w:t xml:space="preserve"> كانون الأول/ديسمبر </w:t>
      </w:r>
      <w:r w:rsidRPr="0039418C">
        <w:rPr>
          <w:rFonts w:eastAsiaTheme="minorEastAsia"/>
          <w:rtl/>
        </w:rPr>
        <w:t>2020</w:t>
      </w:r>
      <w:r w:rsidRPr="001A3DA2">
        <w:rPr>
          <w:rFonts w:eastAsiaTheme="minorEastAsia"/>
          <w:rtl/>
        </w:rPr>
        <w:t xml:space="preserve"> بشأن وقف العمل بعقوبة الإعدام (القرار</w:t>
      </w:r>
      <w:r w:rsidR="006C2224">
        <w:rPr>
          <w:rFonts w:eastAsiaTheme="minorEastAsia" w:hint="cs"/>
          <w:rtl/>
        </w:rPr>
        <w:t> </w:t>
      </w:r>
      <w:r w:rsidRPr="0039418C">
        <w:rPr>
          <w:rFonts w:eastAsiaTheme="minorEastAsia"/>
          <w:rtl/>
        </w:rPr>
        <w:t>75</w:t>
      </w:r>
      <w:r w:rsidRPr="001A3DA2">
        <w:rPr>
          <w:rFonts w:eastAsiaTheme="minorEastAsia"/>
          <w:rtl/>
        </w:rPr>
        <w:t>/</w:t>
      </w:r>
      <w:r w:rsidRPr="0039418C">
        <w:rPr>
          <w:rFonts w:eastAsiaTheme="minorEastAsia"/>
          <w:rtl/>
        </w:rPr>
        <w:t>183</w:t>
      </w:r>
      <w:r w:rsidRPr="001A3DA2">
        <w:rPr>
          <w:rFonts w:eastAsiaTheme="minorEastAsia"/>
          <w:rtl/>
        </w:rPr>
        <w:t xml:space="preserve">). وفي الفترة ما بين </w:t>
      </w:r>
      <w:r w:rsidRPr="0039418C">
        <w:rPr>
          <w:rFonts w:eastAsiaTheme="minorEastAsia"/>
          <w:rtl/>
        </w:rPr>
        <w:t>1</w:t>
      </w:r>
      <w:r w:rsidRPr="001A3DA2">
        <w:rPr>
          <w:rFonts w:eastAsiaTheme="minorEastAsia"/>
          <w:rtl/>
        </w:rPr>
        <w:t xml:space="preserve"> تشرين الأول</w:t>
      </w:r>
      <w:r w:rsidR="00581A8E">
        <w:rPr>
          <w:rFonts w:eastAsiaTheme="minorEastAsia" w:hint="cs"/>
          <w:rtl/>
        </w:rPr>
        <w:t>/أكتوبر</w:t>
      </w:r>
      <w:r w:rsidRPr="001A3DA2">
        <w:rPr>
          <w:rFonts w:eastAsiaTheme="minorEastAsia"/>
          <w:rtl/>
        </w:rPr>
        <w:t xml:space="preserve"> </w:t>
      </w:r>
      <w:r w:rsidRPr="0039418C">
        <w:rPr>
          <w:rFonts w:eastAsiaTheme="minorEastAsia"/>
          <w:rtl/>
        </w:rPr>
        <w:t>2020</w:t>
      </w:r>
      <w:r w:rsidRPr="001A3DA2">
        <w:rPr>
          <w:rFonts w:eastAsiaTheme="minorEastAsia"/>
          <w:rtl/>
        </w:rPr>
        <w:t xml:space="preserve"> و</w:t>
      </w:r>
      <w:r w:rsidRPr="0039418C">
        <w:rPr>
          <w:rFonts w:eastAsiaTheme="minorEastAsia"/>
          <w:rtl/>
        </w:rPr>
        <w:t>31</w:t>
      </w:r>
      <w:r w:rsidRPr="001A3DA2">
        <w:rPr>
          <w:rFonts w:eastAsiaTheme="minorEastAsia"/>
          <w:rtl/>
        </w:rPr>
        <w:t xml:space="preserve"> تموز</w:t>
      </w:r>
      <w:r w:rsidR="00581A8E">
        <w:rPr>
          <w:rFonts w:eastAsiaTheme="minorEastAsia" w:hint="cs"/>
          <w:rtl/>
        </w:rPr>
        <w:t>/يوليه</w:t>
      </w:r>
      <w:r w:rsidRPr="001A3DA2">
        <w:rPr>
          <w:rFonts w:eastAsiaTheme="minorEastAsia"/>
          <w:rtl/>
        </w:rPr>
        <w:t xml:space="preserve"> </w:t>
      </w:r>
      <w:r w:rsidRPr="0039418C">
        <w:rPr>
          <w:rFonts w:eastAsiaTheme="minorEastAsia"/>
          <w:rtl/>
        </w:rPr>
        <w:t>2021</w:t>
      </w:r>
      <w:r w:rsidRPr="001A3DA2">
        <w:rPr>
          <w:rFonts w:eastAsiaTheme="minorEastAsia"/>
          <w:rtl/>
        </w:rPr>
        <w:t xml:space="preserve">، ارتفع عدد أحكام الإعدام بنسبة </w:t>
      </w:r>
      <w:r w:rsidRPr="0039418C">
        <w:rPr>
          <w:rFonts w:eastAsiaTheme="minorEastAsia"/>
          <w:rtl/>
        </w:rPr>
        <w:t>34</w:t>
      </w:r>
      <w:r w:rsidRPr="001A3DA2">
        <w:rPr>
          <w:rFonts w:eastAsiaTheme="minorEastAsia"/>
          <w:rtl/>
        </w:rPr>
        <w:t xml:space="preserve"> بالمائة أي بزيادة </w:t>
      </w:r>
      <w:r w:rsidRPr="0039418C">
        <w:rPr>
          <w:rFonts w:eastAsiaTheme="minorEastAsia"/>
          <w:rtl/>
        </w:rPr>
        <w:t>440</w:t>
      </w:r>
      <w:r w:rsidRPr="001A3DA2">
        <w:rPr>
          <w:rFonts w:eastAsiaTheme="minorEastAsia"/>
          <w:rtl/>
        </w:rPr>
        <w:t xml:space="preserve"> حكم</w:t>
      </w:r>
      <w:r w:rsidR="007C5498">
        <w:rPr>
          <w:rFonts w:eastAsiaTheme="minorEastAsia"/>
          <w:rtl/>
        </w:rPr>
        <w:t xml:space="preserve">اً </w:t>
      </w:r>
      <w:r w:rsidRPr="001A3DA2">
        <w:rPr>
          <w:rFonts w:eastAsiaTheme="minorEastAsia"/>
          <w:rtl/>
        </w:rPr>
        <w:t xml:space="preserve">بالإعدام مقارنة بعام </w:t>
      </w:r>
      <w:r w:rsidRPr="0039418C">
        <w:rPr>
          <w:rFonts w:eastAsiaTheme="minorEastAsia"/>
          <w:rtl/>
        </w:rPr>
        <w:t>2019</w:t>
      </w:r>
      <w:r w:rsidRPr="001A3DA2">
        <w:rPr>
          <w:rFonts w:eastAsiaTheme="minorEastAsia"/>
          <w:rtl/>
        </w:rPr>
        <w:t>. وتفيد التقارير باكتظاظ أجنحة السجناء المحكوم عليهم بالإعدام</w:t>
      </w:r>
      <w:r w:rsidR="00A20150">
        <w:rPr>
          <w:rFonts w:eastAsiaTheme="minorEastAsia" w:hint="cs"/>
          <w:rtl/>
        </w:rPr>
        <w:t>؛</w:t>
      </w:r>
    </w:p>
    <w:p w14:paraId="4A4E4AFE" w14:textId="33669A62" w:rsidR="001A3DA2" w:rsidRPr="001A3DA2"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(ب)</w:t>
      </w:r>
      <w:r w:rsidRPr="001A3DA2">
        <w:rPr>
          <w:rFonts w:eastAsiaTheme="minorEastAsia"/>
          <w:rtl/>
        </w:rPr>
        <w:tab/>
        <w:t>تطبَّق عقوبة الإعدام على جرائم لا تُعتبر أشد الجرائم خطورة. فلا تزال عقوبة الإعدام تطبَّق على ست جرائم تمس بالأمن القومي واردة في قانون العقوبات، من بينها الخيانة العظمى والتجسس، شأنها في ذلك شأن إنشاء منظمة أو الانضمام إليها بقصد الإطاحة بالحكومة</w:t>
      </w:r>
      <w:r w:rsidR="00A20150">
        <w:rPr>
          <w:rFonts w:eastAsiaTheme="minorEastAsia" w:hint="cs"/>
          <w:rtl/>
        </w:rPr>
        <w:t>؛</w:t>
      </w:r>
    </w:p>
    <w:p w14:paraId="389FD9E6" w14:textId="7D333C49" w:rsidR="001A3DA2" w:rsidRPr="00A20150"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(ج)</w:t>
      </w:r>
      <w:r w:rsidRPr="001A3DA2">
        <w:rPr>
          <w:rFonts w:eastAsiaTheme="minorEastAsia"/>
          <w:rtl/>
        </w:rPr>
        <w:tab/>
        <w:t>يتواصل عدم مراعاة الأصول القانونية الواجبة وعدم الشفافية على نحو منهجي فيما</w:t>
      </w:r>
      <w:r w:rsidR="007C5498">
        <w:rPr>
          <w:rFonts w:eastAsiaTheme="minorEastAsia" w:hint="cs"/>
          <w:rtl/>
        </w:rPr>
        <w:t> </w:t>
      </w:r>
      <w:r w:rsidRPr="001A3DA2">
        <w:rPr>
          <w:rFonts w:eastAsiaTheme="minorEastAsia"/>
          <w:rtl/>
        </w:rPr>
        <w:t>يتعلق بأحكام الإعدام وعمليات الإعدام وظروف السجن للسجناء المحكوم عليهم بالإعدام</w:t>
      </w:r>
      <w:r w:rsidR="00A20150">
        <w:rPr>
          <w:rFonts w:eastAsiaTheme="minorEastAsia" w:hint="cs"/>
          <w:rtl/>
        </w:rPr>
        <w:t>؛</w:t>
      </w:r>
    </w:p>
    <w:p w14:paraId="67772E69" w14:textId="1BB35CC4" w:rsidR="001A3DA2" w:rsidRPr="00A20150"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(د)</w:t>
      </w:r>
      <w:r w:rsidRPr="001A3DA2">
        <w:rPr>
          <w:rFonts w:eastAsiaTheme="minorEastAsia"/>
          <w:rtl/>
        </w:rPr>
        <w:tab/>
        <w:t>لم تُقَّدم أي معلومات</w:t>
      </w:r>
      <w:r w:rsidR="00A20150">
        <w:rPr>
          <w:rFonts w:eastAsiaTheme="minorEastAsia" w:hint="cs"/>
          <w:rtl/>
        </w:rPr>
        <w:t>؛</w:t>
      </w:r>
    </w:p>
    <w:p w14:paraId="48D59785" w14:textId="61B97CB7" w:rsidR="001A3DA2" w:rsidRPr="00581A8E" w:rsidRDefault="001A3DA2" w:rsidP="001A3DA2">
      <w:pPr>
        <w:pStyle w:val="SingleTxtGA"/>
        <w:rPr>
          <w:rFonts w:eastAsiaTheme="minorEastAsia"/>
          <w:lang w:val="en-US" w:eastAsia="zh-TW" w:bidi="en-GB"/>
        </w:rPr>
      </w:pPr>
      <w:r>
        <w:rPr>
          <w:rFonts w:eastAsiaTheme="minorEastAsia"/>
          <w:rtl/>
        </w:rPr>
        <w:lastRenderedPageBreak/>
        <w:tab/>
      </w:r>
      <w:r w:rsidRPr="001A3DA2">
        <w:rPr>
          <w:rFonts w:eastAsiaTheme="minorEastAsia"/>
          <w:rtl/>
        </w:rPr>
        <w:t>(هـ)</w:t>
      </w:r>
      <w:r w:rsidRPr="001A3DA2">
        <w:rPr>
          <w:rFonts w:eastAsiaTheme="minorEastAsia"/>
          <w:rtl/>
        </w:rPr>
        <w:tab/>
        <w:t>لا تزال المعلومات عن أحكام الإعدام وعمليات الإعدام سر</w:t>
      </w:r>
      <w:r w:rsidR="007C5498">
        <w:rPr>
          <w:rFonts w:eastAsiaTheme="minorEastAsia"/>
          <w:rtl/>
        </w:rPr>
        <w:t xml:space="preserve">اً </w:t>
      </w:r>
      <w:r w:rsidRPr="001A3DA2">
        <w:rPr>
          <w:rFonts w:eastAsiaTheme="minorEastAsia"/>
          <w:rtl/>
        </w:rPr>
        <w:t xml:space="preserve">من أسرار الدولة بموجب قانون أسرار الدولة لعام </w:t>
      </w:r>
      <w:r w:rsidRPr="0039418C">
        <w:rPr>
          <w:rFonts w:eastAsiaTheme="minorEastAsia"/>
          <w:rtl/>
        </w:rPr>
        <w:t>2018</w:t>
      </w:r>
      <w:r w:rsidRPr="001A3DA2">
        <w:rPr>
          <w:rFonts w:eastAsiaTheme="minorEastAsia"/>
          <w:rtl/>
        </w:rPr>
        <w:t>.</w:t>
      </w:r>
    </w:p>
    <w:p w14:paraId="3F83857A" w14:textId="4522AD92" w:rsidR="001A3DA2" w:rsidRPr="0039418C" w:rsidRDefault="001A3DA2" w:rsidP="001A3DA2">
      <w:pPr>
        <w:pStyle w:val="H23GA"/>
        <w:rPr>
          <w:lang w:val="en-US" w:eastAsia="zh-TW" w:bidi="en-GB"/>
        </w:rPr>
      </w:pPr>
      <w:r w:rsidRPr="0039418C">
        <w:rPr>
          <w:rtl/>
        </w:rPr>
        <w:tab/>
      </w:r>
      <w:r w:rsidRPr="0039418C">
        <w:rPr>
          <w:rtl/>
        </w:rPr>
        <w:tab/>
        <w:t>تقييم اللجنة</w:t>
      </w:r>
    </w:p>
    <w:p w14:paraId="33A46945" w14:textId="3B9CC836" w:rsidR="001A3DA2" w:rsidRPr="001A3DA2" w:rsidRDefault="001A3DA2" w:rsidP="001A3DA2">
      <w:pPr>
        <w:pStyle w:val="SingleTxtGA"/>
        <w:rPr>
          <w:rFonts w:eastAsiaTheme="minorEastAsia"/>
          <w:lang w:val="ar-SA" w:eastAsia="zh-TW" w:bidi="en-GB"/>
        </w:rPr>
      </w:pPr>
      <w:r w:rsidRPr="001A3DA2">
        <w:rPr>
          <w:rFonts w:eastAsiaTheme="minorEastAsia"/>
          <w:rtl/>
        </w:rPr>
        <w:t>[جيم]: (أ) و(ب)</w:t>
      </w:r>
    </w:p>
    <w:p w14:paraId="45674EA3" w14:textId="256361E6" w:rsidR="001A3DA2" w:rsidRPr="001A3DA2" w:rsidRDefault="001A3DA2" w:rsidP="001A3DA2">
      <w:pPr>
        <w:pStyle w:val="SingleTxtGA"/>
        <w:rPr>
          <w:rFonts w:eastAsiaTheme="minorEastAsia"/>
          <w:lang w:val="en-US" w:eastAsia="zh-TW"/>
        </w:rPr>
      </w:pPr>
      <w:r>
        <w:rPr>
          <w:rFonts w:eastAsiaTheme="minorEastAsia"/>
          <w:rtl/>
        </w:rPr>
        <w:tab/>
      </w:r>
      <w:r w:rsidRPr="001A3DA2">
        <w:rPr>
          <w:rFonts w:eastAsiaTheme="minorEastAsia"/>
          <w:rtl/>
        </w:rPr>
        <w:t>تحيط اللجنة علم</w:t>
      </w:r>
      <w:r w:rsidR="007C5498">
        <w:rPr>
          <w:rFonts w:eastAsiaTheme="minorEastAsia"/>
          <w:rtl/>
        </w:rPr>
        <w:t xml:space="preserve">اً </w:t>
      </w:r>
      <w:r w:rsidRPr="001A3DA2">
        <w:rPr>
          <w:rFonts w:eastAsiaTheme="minorEastAsia"/>
          <w:rtl/>
        </w:rPr>
        <w:t xml:space="preserve">بالدراسات التي أجريت بشأن الإبقاء على عقوبة الإعدام وإلغائها وإمكانية التصديق على البروتوكول الاختياري الثاني الملحق بالعهد والهادف إلى إلغاء عقوبة الإعدام، إلا أن القلق لا يزال يساورها إزاء التقارير الواردة بشأن زيادة عدد أحكام الإعدام وتزايد السجناء المحكوم عليهم بالإعدام في السنوات الأخيرة. وتعيد اللجنة تأكيد توصيتها. </w:t>
      </w:r>
    </w:p>
    <w:p w14:paraId="2740A380" w14:textId="16C90EF7" w:rsidR="001A3DA2" w:rsidRPr="001A3DA2" w:rsidDel="004129DA"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كما تحيط اللجنة علم</w:t>
      </w:r>
      <w:r w:rsidR="007C5498">
        <w:rPr>
          <w:rFonts w:eastAsiaTheme="minorEastAsia"/>
          <w:rtl/>
        </w:rPr>
        <w:t xml:space="preserve">اً </w:t>
      </w:r>
      <w:r w:rsidRPr="001A3DA2">
        <w:rPr>
          <w:rFonts w:eastAsiaTheme="minorEastAsia"/>
          <w:rtl/>
        </w:rPr>
        <w:t>بسياسة الدولة الطرف الرامية إلى الحد من الجرائم التي يعاقب عليها بعقوبة الإعدام وبالدراسة الجارية في هذا الصدد، إلا أنها تأسف لعدم وجود معلومات عن تدني عدد هذه الجرائم وعن اتخاذ أي تدابير لكفالة عدم تطبيق عقوبة الإعدام إلا على الجرائم البالغة الخطورة التي تنطوي على القتل العمد.</w:t>
      </w:r>
    </w:p>
    <w:p w14:paraId="75CD28A2" w14:textId="333CD6B8" w:rsidR="001A3DA2" w:rsidRPr="001A3DA2" w:rsidRDefault="001A3DA2" w:rsidP="001A3DA2">
      <w:pPr>
        <w:pStyle w:val="SingleTxtGA"/>
        <w:rPr>
          <w:rFonts w:eastAsiaTheme="minorEastAsia"/>
          <w:lang w:val="ar-SA" w:eastAsia="zh-TW" w:bidi="en-GB"/>
        </w:rPr>
      </w:pPr>
      <w:r w:rsidRPr="001A3DA2">
        <w:rPr>
          <w:rFonts w:eastAsiaTheme="minorEastAsia"/>
          <w:rtl/>
        </w:rPr>
        <w:t>[هاء]: (ج) و(د) و(ه)</w:t>
      </w:r>
    </w:p>
    <w:p w14:paraId="5A9CC576" w14:textId="7E8E7672"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تلاحظ اللجنة أن عقوبة الإعدام ليست حكم</w:t>
      </w:r>
      <w:r w:rsidR="007C5498">
        <w:rPr>
          <w:rFonts w:eastAsiaTheme="minorEastAsia"/>
          <w:rtl/>
        </w:rPr>
        <w:t xml:space="preserve">اً </w:t>
      </w:r>
      <w:r w:rsidRPr="001A3DA2">
        <w:rPr>
          <w:rFonts w:eastAsiaTheme="minorEastAsia"/>
          <w:rtl/>
        </w:rPr>
        <w:t>إلزامي</w:t>
      </w:r>
      <w:r w:rsidR="007C5498">
        <w:rPr>
          <w:rFonts w:eastAsiaTheme="minorEastAsia"/>
          <w:rtl/>
        </w:rPr>
        <w:t xml:space="preserve">اً </w:t>
      </w:r>
      <w:r w:rsidRPr="001A3DA2">
        <w:rPr>
          <w:rFonts w:eastAsiaTheme="minorEastAsia"/>
          <w:rtl/>
        </w:rPr>
        <w:t>على أي جرائم، إلا أن</w:t>
      </w:r>
      <w:r w:rsidR="006C2224">
        <w:rPr>
          <w:rFonts w:eastAsiaTheme="minorEastAsia"/>
          <w:rtl/>
        </w:rPr>
        <w:t xml:space="preserve"> </w:t>
      </w:r>
      <w:r w:rsidRPr="001A3DA2">
        <w:rPr>
          <w:rFonts w:eastAsiaTheme="minorEastAsia"/>
          <w:rtl/>
        </w:rPr>
        <w:t>القلق لا يزال يساورها إزاء التقارير الواردة بشأن عدم الاحترام المنتظم لضمانات مراعاة الأصول القانونية الواجبة في قضايا عقوبة الإعدام. وتؤكد اللجنة مجدد</w:t>
      </w:r>
      <w:r w:rsidR="007C5498">
        <w:rPr>
          <w:rFonts w:eastAsiaTheme="minorEastAsia"/>
          <w:rtl/>
        </w:rPr>
        <w:t xml:space="preserve">اً </w:t>
      </w:r>
      <w:r w:rsidRPr="001A3DA2">
        <w:rPr>
          <w:rFonts w:eastAsiaTheme="minorEastAsia"/>
          <w:rtl/>
        </w:rPr>
        <w:t>توصيتها وتطلب إفادتها بمزيد من المعلومات عن خطة دراسة وإدخال تعديلات تشريعية بشأن إخطار السجناء المحكوم عليهم بالإعدام مسبق</w:t>
      </w:r>
      <w:r w:rsidR="007C5498">
        <w:rPr>
          <w:rFonts w:eastAsiaTheme="minorEastAsia"/>
          <w:rtl/>
        </w:rPr>
        <w:t xml:space="preserve">اً </w:t>
      </w:r>
      <w:r w:rsidRPr="001A3DA2">
        <w:rPr>
          <w:rFonts w:eastAsiaTheme="minorEastAsia"/>
          <w:rtl/>
        </w:rPr>
        <w:t xml:space="preserve">بتنفيذ الإعدام. </w:t>
      </w:r>
    </w:p>
    <w:p w14:paraId="4B502E63" w14:textId="3CFF79D6"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كما تأسف اللجنة لعدم وجود معلومات محددة عن التدابير المتخذة لتمتيع السجناء بالتخفيف فعلي</w:t>
      </w:r>
      <w:r w:rsidR="007C5498">
        <w:rPr>
          <w:rFonts w:eastAsiaTheme="minorEastAsia"/>
          <w:rtl/>
        </w:rPr>
        <w:t xml:space="preserve">اً </w:t>
      </w:r>
      <w:r w:rsidRPr="001A3DA2">
        <w:rPr>
          <w:rFonts w:eastAsiaTheme="minorEastAsia"/>
          <w:rtl/>
        </w:rPr>
        <w:t>في جميع الحالات، لا سيما في ضوء التقارير الواردة عن زيادة عدد أحكام الإعدام وتزايد عدد السجناء في جناح المحكوم عليهم بالإعدام. وتؤكد اللجنة مجدد</w:t>
      </w:r>
      <w:r w:rsidR="007C5498">
        <w:rPr>
          <w:rFonts w:eastAsiaTheme="minorEastAsia"/>
          <w:rtl/>
        </w:rPr>
        <w:t xml:space="preserve">اً </w:t>
      </w:r>
      <w:r w:rsidRPr="001A3DA2">
        <w:rPr>
          <w:rFonts w:eastAsiaTheme="minorEastAsia"/>
          <w:rtl/>
        </w:rPr>
        <w:t xml:space="preserve">توصيتها وتطلب إفادتها بمعلومات عن عدد الأحكام المخفَّفة خلال الفترة المشمولة بالتقرير. </w:t>
      </w:r>
    </w:p>
    <w:p w14:paraId="5E1062BB" w14:textId="6B645B44"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وأحاطت اللجنة علم</w:t>
      </w:r>
      <w:r w:rsidR="007C5498">
        <w:rPr>
          <w:rFonts w:eastAsiaTheme="minorEastAsia"/>
          <w:rtl/>
        </w:rPr>
        <w:t xml:space="preserve">اً </w:t>
      </w:r>
      <w:r w:rsidRPr="001A3DA2">
        <w:rPr>
          <w:rFonts w:eastAsiaTheme="minorEastAsia"/>
          <w:rtl/>
        </w:rPr>
        <w:t>ببيان الدولة الطرف، ولكنها تلقت ادعاءات أن البيانات الرسمية المتعلقة بأحكام الإعدام لا تزال غير متاحة لعامة الجمهور. وعليه، تعيد اللجنة تأكيد توصيتها.</w:t>
      </w:r>
    </w:p>
    <w:p w14:paraId="35A886D0" w14:textId="3758579E" w:rsidR="001A3DA2" w:rsidRPr="0039418C" w:rsidRDefault="001A3DA2" w:rsidP="00A20150">
      <w:pPr>
        <w:pStyle w:val="H1GA"/>
        <w:rPr>
          <w:lang w:val="ar-SA" w:eastAsia="zh-TW" w:bidi="en-GB"/>
        </w:rPr>
      </w:pPr>
      <w:r w:rsidRPr="0039418C">
        <w:rPr>
          <w:rtl/>
        </w:rPr>
        <w:tab/>
      </w:r>
      <w:r w:rsidRPr="0039418C">
        <w:rPr>
          <w:rtl/>
        </w:rPr>
        <w:tab/>
        <w:t>الفقرة 46: حرية التعبير</w:t>
      </w:r>
    </w:p>
    <w:p w14:paraId="1D489C1A" w14:textId="30AE04ED" w:rsidR="001A3DA2" w:rsidRPr="0039418C" w:rsidRDefault="001A3DA2" w:rsidP="001A3DA2">
      <w:pPr>
        <w:pStyle w:val="SingleTxtGA"/>
        <w:rPr>
          <w:rFonts w:eastAsiaTheme="minorEastAsia"/>
          <w:b/>
          <w:bCs/>
          <w:lang w:val="ar-SA" w:eastAsia="zh-TW" w:bidi="en-GB"/>
        </w:rPr>
      </w:pPr>
      <w:r w:rsidRPr="0039418C">
        <w:rPr>
          <w:rFonts w:eastAsiaTheme="minorEastAsia"/>
          <w:b/>
          <w:bCs/>
          <w:rtl/>
        </w:rPr>
        <w:tab/>
        <w:t>ينبغي للدولة الطرف أن تتخذ على سبيل الاستعجال جميع الإجراءات اللازمة، بما فيها تنقيح التشريعات، لوضع حد لانتهاكات الحق في حرية التعبير خارج شبكة الإنترنت وفيها، وضمان ألا</w:t>
      </w:r>
      <w:r w:rsidR="007C5498" w:rsidRPr="0039418C">
        <w:rPr>
          <w:rFonts w:eastAsiaTheme="minorEastAsia" w:hint="cs"/>
          <w:b/>
          <w:bCs/>
          <w:rtl/>
        </w:rPr>
        <w:t> </w:t>
      </w:r>
      <w:r w:rsidRPr="0039418C">
        <w:rPr>
          <w:rFonts w:eastAsiaTheme="minorEastAsia"/>
          <w:b/>
          <w:bCs/>
          <w:rtl/>
        </w:rPr>
        <w:t>تتجاوز القيودُ المفروضة التقييدات المحددة بدقة في المادة 19 من العهد، مع مراعاة تعليق اللجنة العام رقم 34(2011) بشأن حرية الرأي وحرية التعبير.</w:t>
      </w:r>
      <w:r w:rsidRPr="0039418C">
        <w:rPr>
          <w:rFonts w:eastAsiaTheme="minorEastAsia"/>
          <w:bCs/>
          <w:rtl/>
        </w:rPr>
        <w:t xml:space="preserve"> </w:t>
      </w:r>
      <w:r w:rsidRPr="0039418C">
        <w:rPr>
          <w:rFonts w:eastAsiaTheme="minorEastAsia"/>
          <w:b/>
          <w:bCs/>
          <w:rtl/>
        </w:rPr>
        <w:t>وينبغي لها أيضاً أن تشجع تعدد وسائل الإعلام التي يمكنها أن تعمل بمنأى عن تدخل الدولة بدون مسوّغ.</w:t>
      </w:r>
    </w:p>
    <w:p w14:paraId="05995050" w14:textId="77777777" w:rsidR="001A3DA2" w:rsidRPr="0039418C" w:rsidRDefault="001A3DA2" w:rsidP="001A3DA2">
      <w:pPr>
        <w:pStyle w:val="H23GA"/>
        <w:rPr>
          <w:lang w:val="ar-SA" w:eastAsia="zh-TW" w:bidi="en-GB"/>
        </w:rPr>
      </w:pPr>
      <w:r w:rsidRPr="0039418C">
        <w:rPr>
          <w:rtl/>
        </w:rPr>
        <w:tab/>
      </w:r>
      <w:r w:rsidRPr="0039418C">
        <w:rPr>
          <w:rtl/>
        </w:rPr>
        <w:tab/>
        <w:t>ملخص المعلومات الواردة من الدولة الطرف</w:t>
      </w:r>
    </w:p>
    <w:p w14:paraId="65AACFBF" w14:textId="761341D1"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أصدرت الحكومة المرسوم رقم </w:t>
      </w:r>
      <w:r w:rsidRPr="0039418C">
        <w:rPr>
          <w:rFonts w:eastAsiaTheme="minorEastAsia"/>
        </w:rPr>
        <w:t>119</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الذي ينص على جواز تغريم الأشخاص الذين يعرقلون أنشطة الصحافة بصورة غير قانونية أو ترتيب المسؤولية الجنائية عن ذلك عليهم. </w:t>
      </w:r>
      <w:r w:rsidRPr="00581A8E">
        <w:rPr>
          <w:rFonts w:eastAsiaTheme="minorEastAsia"/>
          <w:spacing w:val="-4"/>
          <w:rtl/>
        </w:rPr>
        <w:t>وأدخلت</w:t>
      </w:r>
      <w:r w:rsidR="00581A8E" w:rsidRPr="00581A8E">
        <w:rPr>
          <w:rFonts w:eastAsiaTheme="minorEastAsia" w:hint="cs"/>
          <w:spacing w:val="-4"/>
          <w:rtl/>
        </w:rPr>
        <w:t> </w:t>
      </w:r>
      <w:r w:rsidRPr="00581A8E">
        <w:rPr>
          <w:rFonts w:eastAsiaTheme="minorEastAsia"/>
          <w:spacing w:val="-4"/>
          <w:rtl/>
        </w:rPr>
        <w:t xml:space="preserve">تحسينات على قوانينها وأنظمتها المتعلقة بالأمن السيبراني وأصدرت المرسوم </w:t>
      </w:r>
      <w:r w:rsidRPr="0039418C">
        <w:rPr>
          <w:rFonts w:eastAsiaTheme="minorEastAsia"/>
          <w:spacing w:val="-4"/>
        </w:rPr>
        <w:t>15</w:t>
      </w:r>
      <w:r w:rsidRPr="00581A8E">
        <w:rPr>
          <w:rFonts w:eastAsiaTheme="minorEastAsia"/>
          <w:spacing w:val="-4"/>
        </w:rPr>
        <w:t>/</w:t>
      </w:r>
      <w:r w:rsidRPr="0039418C">
        <w:rPr>
          <w:rFonts w:eastAsiaTheme="minorEastAsia"/>
          <w:spacing w:val="-4"/>
        </w:rPr>
        <w:t>2020</w:t>
      </w:r>
      <w:r w:rsidRPr="00581A8E">
        <w:rPr>
          <w:rFonts w:eastAsiaTheme="minorEastAsia"/>
          <w:spacing w:val="-4"/>
        </w:rPr>
        <w:t>/ND-CP</w:t>
      </w:r>
      <w:r w:rsidRPr="001A3DA2">
        <w:rPr>
          <w:rFonts w:eastAsiaTheme="minorEastAsia"/>
          <w:rtl/>
        </w:rPr>
        <w:t xml:space="preserve"> </w:t>
      </w:r>
      <w:r w:rsidRPr="001A3DA2">
        <w:rPr>
          <w:rFonts w:eastAsiaTheme="minorEastAsia"/>
          <w:rtl/>
        </w:rPr>
        <w:lastRenderedPageBreak/>
        <w:t>الذي ينظم استخدام خدمات شبكات التواصل الاجتماعي وأمن المعلومات الإلكتروني. وهي تنظر في تعديل المرسوم</w:t>
      </w:r>
      <w:r w:rsidR="004769D8" w:rsidRPr="0039418C">
        <w:t>72</w:t>
      </w:r>
      <w:r w:rsidR="004769D8" w:rsidRPr="009E789E">
        <w:t>/</w:t>
      </w:r>
      <w:r w:rsidR="004769D8" w:rsidRPr="0039418C">
        <w:t>2013</w:t>
      </w:r>
      <w:r w:rsidR="004769D8" w:rsidRPr="009E789E">
        <w:t xml:space="preserve">/ND-CP </w:t>
      </w:r>
      <w:r w:rsidR="004769D8">
        <w:rPr>
          <w:rFonts w:eastAsiaTheme="minorEastAsia" w:hint="cs"/>
          <w:rtl/>
        </w:rPr>
        <w:t xml:space="preserve"> </w:t>
      </w:r>
      <w:r w:rsidRPr="001A3DA2">
        <w:rPr>
          <w:rFonts w:eastAsiaTheme="minorEastAsia"/>
          <w:rtl/>
        </w:rPr>
        <w:t>بشأن الإدارة الفعالة لشبكة الإنترنت والمعلومات الإلكترونية.</w:t>
      </w:r>
    </w:p>
    <w:p w14:paraId="64F0C58D" w14:textId="400C5741"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وفي عام </w:t>
      </w:r>
      <w:r w:rsidRPr="0039418C">
        <w:rPr>
          <w:rFonts w:eastAsiaTheme="minorEastAsia"/>
          <w:rtl/>
        </w:rPr>
        <w:t>2020</w:t>
      </w:r>
      <w:r w:rsidRPr="001A3DA2">
        <w:rPr>
          <w:rFonts w:eastAsiaTheme="minorEastAsia"/>
          <w:rtl/>
        </w:rPr>
        <w:t xml:space="preserve">، كان هناك </w:t>
      </w:r>
      <w:r w:rsidRPr="0039418C">
        <w:rPr>
          <w:rFonts w:eastAsiaTheme="minorEastAsia"/>
          <w:rtl/>
        </w:rPr>
        <w:t>87</w:t>
      </w:r>
      <w:r w:rsidRPr="001A3DA2">
        <w:rPr>
          <w:rFonts w:eastAsiaTheme="minorEastAsia"/>
          <w:rtl/>
        </w:rPr>
        <w:t xml:space="preserve"> قناة إذاعية و</w:t>
      </w:r>
      <w:r w:rsidRPr="0039418C">
        <w:rPr>
          <w:rFonts w:eastAsiaTheme="minorEastAsia"/>
          <w:rtl/>
        </w:rPr>
        <w:t>196</w:t>
      </w:r>
      <w:r w:rsidRPr="001A3DA2">
        <w:rPr>
          <w:rFonts w:eastAsiaTheme="minorEastAsia"/>
          <w:rtl/>
        </w:rPr>
        <w:t xml:space="preserve"> قناة تلفزيونية و</w:t>
      </w:r>
      <w:r w:rsidRPr="0039418C">
        <w:rPr>
          <w:rFonts w:eastAsiaTheme="minorEastAsia"/>
          <w:rtl/>
        </w:rPr>
        <w:t>68</w:t>
      </w:r>
      <w:r w:rsidRPr="001A3DA2">
        <w:rPr>
          <w:rFonts w:eastAsiaTheme="minorEastAsia"/>
          <w:rtl/>
        </w:rPr>
        <w:t xml:space="preserve"> مليون مستخدم لشبكة الإنترنت. وغطت القنوات الإذاعية والتلفزيونية دورات الجمعية الوطنية مباشرة. </w:t>
      </w:r>
    </w:p>
    <w:p w14:paraId="03D79309" w14:textId="6F0C4AC3" w:rsidR="001A3DA2" w:rsidRPr="001A3DA2"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وزُوّد الجمهور، خلال جائحة مرض فيروس كورونا (كوفيد-</w:t>
      </w:r>
      <w:r w:rsidRPr="0039418C">
        <w:rPr>
          <w:rFonts w:eastAsiaTheme="minorEastAsia"/>
          <w:rtl/>
        </w:rPr>
        <w:t>19</w:t>
      </w:r>
      <w:r w:rsidRPr="001A3DA2">
        <w:rPr>
          <w:rFonts w:eastAsiaTheme="minorEastAsia"/>
          <w:rtl/>
        </w:rPr>
        <w:t>)، بمعلومات عن تدابير الحجر الصحي وطرق العدوى وسبل العلاج وأُتيح الاتصال بشبكة الإنترنت مجان</w:t>
      </w:r>
      <w:r w:rsidR="007C5498">
        <w:rPr>
          <w:rFonts w:eastAsiaTheme="minorEastAsia"/>
          <w:rtl/>
        </w:rPr>
        <w:t xml:space="preserve">اً </w:t>
      </w:r>
      <w:r w:rsidRPr="001A3DA2">
        <w:rPr>
          <w:rFonts w:eastAsiaTheme="minorEastAsia"/>
          <w:rtl/>
        </w:rPr>
        <w:t>في أماكن الحجر الصحي. وتعالَج أي إساءة استعمال للحق في حرية التعبير طبق</w:t>
      </w:r>
      <w:r w:rsidR="007C5498">
        <w:rPr>
          <w:rFonts w:eastAsiaTheme="minorEastAsia"/>
          <w:rtl/>
        </w:rPr>
        <w:t xml:space="preserve">اً </w:t>
      </w:r>
      <w:r w:rsidRPr="001A3DA2">
        <w:rPr>
          <w:rFonts w:eastAsiaTheme="minorEastAsia"/>
          <w:rtl/>
        </w:rPr>
        <w:t>لأحكام القانون. وقد أساءت بعض المنظمات والأفراد استعمال الحق في حرية التعبير بالتحريض على أعمال الشغب أو الإرهاب العنيف. وفي هذا الصدد، ينص القانون الجنائي على آلية لردع إساءة استعمال الحقوق.</w:t>
      </w:r>
    </w:p>
    <w:p w14:paraId="00306776" w14:textId="1E09C266"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وقدمت فييت نام معلومات كافية إلى الفريق العامل المعني بالاحتجاز التعسفي فيما يتعلق بقضية نغوين نغوك نهو كوينه. </w:t>
      </w:r>
    </w:p>
    <w:p w14:paraId="5BFDCD44" w14:textId="77777777" w:rsidR="001A3DA2" w:rsidRPr="0039418C" w:rsidRDefault="001A3DA2" w:rsidP="001A3DA2">
      <w:pPr>
        <w:pStyle w:val="H23GA"/>
        <w:rPr>
          <w:lang w:val="ar-SA" w:eastAsia="zh-TW" w:bidi="en-GB"/>
        </w:rPr>
      </w:pPr>
      <w:r w:rsidRPr="0039418C">
        <w:rPr>
          <w:rtl/>
        </w:rPr>
        <w:tab/>
      </w:r>
      <w:r w:rsidRPr="0039418C">
        <w:rPr>
          <w:rtl/>
        </w:rPr>
        <w:tab/>
        <w:t>ملخص المعلومات الواردة من جهات معنية</w:t>
      </w:r>
    </w:p>
    <w:p w14:paraId="32B89AC6" w14:textId="77777777" w:rsidR="001A3DA2" w:rsidRPr="0039418C" w:rsidRDefault="001A3DA2" w:rsidP="001A3DA2">
      <w:pPr>
        <w:pStyle w:val="H4GA"/>
        <w:rPr>
          <w:lang w:val="ar-SA" w:eastAsia="zh-TW" w:bidi="en-GB"/>
        </w:rPr>
      </w:pPr>
      <w:r w:rsidRPr="0039418C">
        <w:rPr>
          <w:rtl/>
        </w:rPr>
        <w:tab/>
      </w:r>
      <w:r w:rsidRPr="0039418C">
        <w:rPr>
          <w:rtl/>
        </w:rPr>
        <w:tab/>
        <w:t xml:space="preserve">الفدرالية الدولية لرابطات حقوق الإنسان ولجنة فيت نام المعنية بحقوق الإنسان </w:t>
      </w:r>
    </w:p>
    <w:p w14:paraId="6F166376" w14:textId="7E9FFF5A" w:rsidR="001A3DA2" w:rsidRPr="001A3DA2" w:rsidRDefault="001A3DA2" w:rsidP="001A3DA2">
      <w:pPr>
        <w:pStyle w:val="SingleTxtGA"/>
        <w:rPr>
          <w:rFonts w:eastAsiaTheme="minorEastAsia"/>
          <w:lang w:val="en-US" w:eastAsia="zh-TW"/>
        </w:rPr>
      </w:pPr>
      <w:r>
        <w:rPr>
          <w:rFonts w:eastAsiaTheme="minorEastAsia"/>
          <w:rtl/>
        </w:rPr>
        <w:tab/>
      </w:r>
      <w:r w:rsidRPr="001A3DA2">
        <w:rPr>
          <w:rFonts w:eastAsiaTheme="minorEastAsia"/>
          <w:rtl/>
        </w:rPr>
        <w:t xml:space="preserve">اعتُمدت قوانين جديدة تقيد حرية التعبير، وهي المرسوم </w:t>
      </w:r>
      <w:r w:rsidRPr="0039418C">
        <w:rPr>
          <w:rFonts w:eastAsiaTheme="minorEastAsia"/>
        </w:rPr>
        <w:t>119</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المتعلق بالعقوبات على المخالفات الإدارية في الأنشطة الصحفية والنشر، والمرسوم </w:t>
      </w:r>
      <w:r w:rsidRPr="0039418C">
        <w:rPr>
          <w:rFonts w:eastAsiaTheme="minorEastAsia"/>
        </w:rPr>
        <w:t>15</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المتعلق بالعقوبات على المخالفات الإدارية في مجال الاتصالات السلكية واللاسلكية والخدمات البريدية وتكنولوجيا المعلومات. ويعاقَب بموجب هذه المراسيم على نشر الأخبار والصور والمعلومات التي يُدّعى أنها ليست في مصلحة البلد أو تسيء إلى الأمة أو لأشخاص مشهورين أو أبطال وطنيين. وفي نيسان/أبريل </w:t>
      </w:r>
      <w:r w:rsidRPr="0039418C">
        <w:rPr>
          <w:rFonts w:eastAsiaTheme="minorEastAsia"/>
          <w:rtl/>
        </w:rPr>
        <w:t>2022</w:t>
      </w:r>
      <w:r w:rsidRPr="001A3DA2">
        <w:rPr>
          <w:rFonts w:eastAsiaTheme="minorEastAsia"/>
          <w:rtl/>
        </w:rPr>
        <w:t xml:space="preserve">، انكبت الحكومة على تعديل المرسوم </w:t>
      </w:r>
      <w:r w:rsidRPr="0039418C">
        <w:rPr>
          <w:rFonts w:eastAsiaTheme="minorEastAsia"/>
        </w:rPr>
        <w:t>72</w:t>
      </w:r>
      <w:r w:rsidRPr="001A3DA2">
        <w:rPr>
          <w:rFonts w:eastAsiaTheme="minorEastAsia"/>
        </w:rPr>
        <w:t>/</w:t>
      </w:r>
      <w:r w:rsidRPr="0039418C">
        <w:rPr>
          <w:rFonts w:eastAsiaTheme="minorEastAsia"/>
        </w:rPr>
        <w:t>2013</w:t>
      </w:r>
      <w:r w:rsidRPr="001A3DA2">
        <w:rPr>
          <w:rFonts w:eastAsiaTheme="minorEastAsia"/>
        </w:rPr>
        <w:t>-ND-CP</w:t>
      </w:r>
      <w:r w:rsidR="006C2224">
        <w:rPr>
          <w:rFonts w:eastAsiaTheme="minorEastAsia"/>
          <w:rtl/>
        </w:rPr>
        <w:t xml:space="preserve"> </w:t>
      </w:r>
      <w:r w:rsidRPr="001A3DA2">
        <w:rPr>
          <w:rFonts w:eastAsiaTheme="minorEastAsia"/>
          <w:rtl/>
        </w:rPr>
        <w:t xml:space="preserve">لفرض مزيد من القيود على حرية الكلام في شبكة الإنترنت، بطرق منها مطالبة شركات وسائل التواصل الاجتماعي بإزالة المحتوى الذي تعتبره غير قانوني في غضون </w:t>
      </w:r>
      <w:r w:rsidRPr="0039418C">
        <w:rPr>
          <w:rFonts w:eastAsiaTheme="minorEastAsia"/>
          <w:rtl/>
        </w:rPr>
        <w:t>24</w:t>
      </w:r>
      <w:r w:rsidRPr="001A3DA2">
        <w:rPr>
          <w:rFonts w:eastAsiaTheme="minorEastAsia"/>
          <w:rtl/>
        </w:rPr>
        <w:t xml:space="preserve"> ساعة. ولا تزال الحكومة تفرض رقابة على وسائط الإعلام، ولا يزال قانون الصحافة يقيّد حرية الصحافة.</w:t>
      </w:r>
      <w:r w:rsidRPr="001A3DA2">
        <w:rPr>
          <w:rFonts w:eastAsiaTheme="minorEastAsia"/>
          <w:lang w:val="en-US" w:eastAsia="zh-TW"/>
        </w:rPr>
        <w:t xml:space="preserve"> </w:t>
      </w:r>
    </w:p>
    <w:p w14:paraId="48F29549" w14:textId="77777777" w:rsidR="001A3DA2" w:rsidRPr="0039418C" w:rsidRDefault="001A3DA2" w:rsidP="001A3DA2">
      <w:pPr>
        <w:pStyle w:val="H23GA"/>
        <w:rPr>
          <w:lang w:val="ar-SA" w:eastAsia="zh-TW" w:bidi="en-GB"/>
        </w:rPr>
      </w:pPr>
      <w:r w:rsidRPr="0039418C">
        <w:rPr>
          <w:rtl/>
        </w:rPr>
        <w:tab/>
      </w:r>
      <w:r w:rsidRPr="0039418C">
        <w:rPr>
          <w:rtl/>
        </w:rPr>
        <w:tab/>
        <w:t>تقييم اللجنة</w:t>
      </w:r>
    </w:p>
    <w:p w14:paraId="1D55EF42" w14:textId="42FF38A3" w:rsidR="001A3DA2" w:rsidRPr="001A3DA2" w:rsidRDefault="00A20150" w:rsidP="001A3DA2">
      <w:pPr>
        <w:pStyle w:val="SingleTxtGA"/>
        <w:rPr>
          <w:rFonts w:eastAsiaTheme="minorEastAsia"/>
          <w:lang w:val="ar-SA" w:eastAsia="zh-TW" w:bidi="en-GB"/>
        </w:rPr>
      </w:pPr>
      <w:r>
        <w:rPr>
          <w:rFonts w:eastAsiaTheme="minorEastAsia" w:hint="cs"/>
          <w:rtl/>
        </w:rPr>
        <w:t>[هاء]</w:t>
      </w:r>
    </w:p>
    <w:p w14:paraId="04C8735F" w14:textId="58539466"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تحيط اللجنة علم</w:t>
      </w:r>
      <w:r w:rsidR="007C5498">
        <w:rPr>
          <w:rFonts w:eastAsiaTheme="minorEastAsia"/>
          <w:rtl/>
        </w:rPr>
        <w:t xml:space="preserve">اً </w:t>
      </w:r>
      <w:r w:rsidRPr="001A3DA2">
        <w:rPr>
          <w:rFonts w:eastAsiaTheme="minorEastAsia"/>
          <w:rtl/>
        </w:rPr>
        <w:t>بالمعلومات التي قدمتها الدولة الطرف بشأن التدابير التشريعية المتخذة لتنفيذ توصيات اللجنة، إلا أن القلق لا يزال يساورها إزاء التقارير التي تفيد، على النقيض من ذلك، بأن اعتماد المرسومين</w:t>
      </w:r>
      <w:r w:rsidRPr="001A3DA2">
        <w:rPr>
          <w:rFonts w:eastAsiaTheme="minorEastAsia"/>
          <w:lang w:val="en-US"/>
        </w:rPr>
        <w:t xml:space="preserve"> </w:t>
      </w:r>
      <w:r w:rsidRPr="0039418C">
        <w:rPr>
          <w:rFonts w:eastAsiaTheme="minorEastAsia"/>
        </w:rPr>
        <w:t>119</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و</w:t>
      </w:r>
      <w:r w:rsidRPr="0039418C">
        <w:rPr>
          <w:rFonts w:eastAsiaTheme="minorEastAsia"/>
        </w:rPr>
        <w:t>15</w:t>
      </w:r>
      <w:r w:rsidRPr="001A3DA2">
        <w:rPr>
          <w:rFonts w:eastAsiaTheme="minorEastAsia"/>
        </w:rPr>
        <w:t>/</w:t>
      </w:r>
      <w:r w:rsidRPr="0039418C">
        <w:rPr>
          <w:rFonts w:eastAsiaTheme="minorEastAsia"/>
        </w:rPr>
        <w:t>2020</w:t>
      </w:r>
      <w:r w:rsidRPr="001A3DA2">
        <w:rPr>
          <w:rFonts w:eastAsiaTheme="minorEastAsia"/>
        </w:rPr>
        <w:t>/ND-CP</w:t>
      </w:r>
      <w:r w:rsidR="001921B1">
        <w:rPr>
          <w:rFonts w:eastAsiaTheme="minorEastAsia" w:hint="cs"/>
          <w:rtl/>
        </w:rPr>
        <w:t xml:space="preserve"> </w:t>
      </w:r>
      <w:r w:rsidRPr="001A3DA2">
        <w:rPr>
          <w:rFonts w:eastAsiaTheme="minorEastAsia"/>
          <w:rtl/>
        </w:rPr>
        <w:t>يزيد من تقييد الحق في حرية التعبير. وتحيط اللجنة علم</w:t>
      </w:r>
      <w:r w:rsidR="007C5498">
        <w:rPr>
          <w:rFonts w:eastAsiaTheme="minorEastAsia"/>
          <w:rtl/>
        </w:rPr>
        <w:t xml:space="preserve">اً </w:t>
      </w:r>
      <w:r w:rsidRPr="001A3DA2">
        <w:rPr>
          <w:rFonts w:eastAsiaTheme="minorEastAsia"/>
          <w:rtl/>
        </w:rPr>
        <w:t>أيض</w:t>
      </w:r>
      <w:r w:rsidR="007C5498">
        <w:rPr>
          <w:rFonts w:eastAsiaTheme="minorEastAsia"/>
          <w:rtl/>
        </w:rPr>
        <w:t xml:space="preserve">اً </w:t>
      </w:r>
      <w:r w:rsidRPr="001A3DA2">
        <w:rPr>
          <w:rFonts w:eastAsiaTheme="minorEastAsia"/>
          <w:rtl/>
        </w:rPr>
        <w:t>بالمعلومات المتعلقة بعدد القنوات الإذاعية والتلفزيونية ومستخدمي الإنترنت، إلا أنها تأسف لعدم وجود معلومات محددة عن الخطوات المتخذة لتعزيز تعددية وسائط الإعلام وإبقائها في منأى</w:t>
      </w:r>
      <w:r w:rsidR="001921B1">
        <w:rPr>
          <w:rFonts w:eastAsiaTheme="minorEastAsia" w:hint="cs"/>
          <w:rtl/>
        </w:rPr>
        <w:t> </w:t>
      </w:r>
      <w:r w:rsidRPr="001A3DA2">
        <w:rPr>
          <w:rFonts w:eastAsiaTheme="minorEastAsia"/>
          <w:rtl/>
        </w:rPr>
        <w:t>عن تدخل الدولة. وفي هذا الصدد، تعيد تأكيد توصيتها وتطلب إفادتها بمزيد من المعلومات عن التدابير المتخذة لمواءمة المرسومين</w:t>
      </w:r>
      <w:r w:rsidRPr="0039418C">
        <w:rPr>
          <w:rFonts w:eastAsiaTheme="minorEastAsia"/>
        </w:rPr>
        <w:t>119</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و</w:t>
      </w:r>
      <w:r w:rsidRPr="0039418C">
        <w:rPr>
          <w:rFonts w:eastAsiaTheme="minorEastAsia"/>
        </w:rPr>
        <w:t>15</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وأي تعديل متوخى للمرسوم </w:t>
      </w:r>
      <w:r w:rsidRPr="0039418C">
        <w:rPr>
          <w:rFonts w:eastAsiaTheme="minorEastAsia"/>
        </w:rPr>
        <w:t>72</w:t>
      </w:r>
      <w:r w:rsidRPr="001A3DA2">
        <w:rPr>
          <w:rFonts w:eastAsiaTheme="minorEastAsia"/>
        </w:rPr>
        <w:t>/</w:t>
      </w:r>
      <w:r w:rsidRPr="0039418C">
        <w:rPr>
          <w:rFonts w:eastAsiaTheme="minorEastAsia"/>
        </w:rPr>
        <w:t>2013</w:t>
      </w:r>
      <w:r w:rsidRPr="001A3DA2">
        <w:rPr>
          <w:rFonts w:eastAsiaTheme="minorEastAsia"/>
        </w:rPr>
        <w:t>/ND-CP</w:t>
      </w:r>
      <w:r w:rsidRPr="001A3DA2">
        <w:rPr>
          <w:rFonts w:eastAsiaTheme="minorEastAsia"/>
          <w:rtl/>
        </w:rPr>
        <w:t xml:space="preserve"> مع أحكام العهد.</w:t>
      </w:r>
    </w:p>
    <w:p w14:paraId="18FEC66D" w14:textId="161C31B7" w:rsidR="001A3DA2" w:rsidRPr="0039418C" w:rsidRDefault="001A3DA2" w:rsidP="001A3DA2">
      <w:pPr>
        <w:pStyle w:val="H1GA"/>
        <w:rPr>
          <w:lang w:val="ar-SA" w:eastAsia="zh-TW" w:bidi="en-GB"/>
        </w:rPr>
      </w:pPr>
      <w:r w:rsidRPr="0039418C">
        <w:rPr>
          <w:rtl/>
        </w:rPr>
        <w:lastRenderedPageBreak/>
        <w:tab/>
      </w:r>
      <w:r w:rsidRPr="0039418C">
        <w:rPr>
          <w:rtl/>
        </w:rPr>
        <w:tab/>
        <w:t>الفقرة 52: المدافعون عن حقوق الإنسان</w:t>
      </w:r>
    </w:p>
    <w:p w14:paraId="010EFEF2" w14:textId="57B885A0" w:rsidR="001A3DA2" w:rsidRPr="0039418C" w:rsidRDefault="001A3DA2" w:rsidP="001A3DA2">
      <w:pPr>
        <w:pStyle w:val="SingleTxtGA"/>
        <w:rPr>
          <w:rFonts w:eastAsiaTheme="minorEastAsia"/>
          <w:b/>
          <w:bCs/>
          <w:lang w:val="en-US" w:eastAsia="zh-TW" w:bidi="en-GB"/>
        </w:rPr>
      </w:pPr>
      <w:r w:rsidRPr="0039418C">
        <w:rPr>
          <w:rFonts w:eastAsiaTheme="minorEastAsia"/>
          <w:b/>
          <w:bCs/>
          <w:rtl/>
        </w:rPr>
        <w:tab/>
        <w:t>ينبغي للدولة الطرف أن توفر للمدافعين عن حقوق الإنسان ولغيرهم من الجهات الفاعلة في المجتمع المدني الحماية من التهديد والتخويف والاعتداء الجسدي، وأن تحقق مع مرتكبي تلك الأفعال وتقاضيهم عليها وتدينهم بها.</w:t>
      </w:r>
      <w:r w:rsidRPr="0039418C">
        <w:rPr>
          <w:rFonts w:eastAsiaTheme="minorEastAsia"/>
          <w:bCs/>
          <w:rtl/>
        </w:rPr>
        <w:t xml:space="preserve"> </w:t>
      </w:r>
      <w:r w:rsidRPr="0039418C">
        <w:rPr>
          <w:rFonts w:eastAsiaTheme="minorEastAsia"/>
          <w:b/>
          <w:bCs/>
          <w:rtl/>
        </w:rPr>
        <w:t>كما ينبغي لها أن تسمح لهم بحرية التصرف اللازمة للاضطلاع بأنشطتهم، بما فيها التعامل مع الأمم المتحدة، دون خوف من قيود أو انتقام.</w:t>
      </w:r>
    </w:p>
    <w:p w14:paraId="375737FF" w14:textId="77777777" w:rsidR="001A3DA2" w:rsidRPr="0039418C" w:rsidRDefault="001A3DA2" w:rsidP="001A3DA2">
      <w:pPr>
        <w:pStyle w:val="H23GA"/>
        <w:rPr>
          <w:lang w:val="ar-SA" w:eastAsia="zh-TW" w:bidi="en-GB"/>
        </w:rPr>
      </w:pPr>
      <w:r w:rsidRPr="0039418C">
        <w:rPr>
          <w:rtl/>
        </w:rPr>
        <w:tab/>
      </w:r>
      <w:r w:rsidRPr="0039418C">
        <w:rPr>
          <w:rtl/>
        </w:rPr>
        <w:tab/>
        <w:t>ملخص المعلومات الواردة من الدولة الطرف</w:t>
      </w:r>
    </w:p>
    <w:p w14:paraId="280C0050" w14:textId="03647FAF"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لا يجوز تقييد الحق في حرية التعبير والتجمع وتكوين الجمعيات والتنقل والتظاهر إلا على النحو المنصوص عليه في المادة </w:t>
      </w:r>
      <w:r w:rsidRPr="0039418C">
        <w:rPr>
          <w:rFonts w:eastAsiaTheme="minorEastAsia"/>
          <w:rtl/>
        </w:rPr>
        <w:t>14</w:t>
      </w:r>
      <w:r w:rsidRPr="001A3DA2">
        <w:rPr>
          <w:rFonts w:eastAsiaTheme="minorEastAsia"/>
          <w:rtl/>
        </w:rPr>
        <w:t>(</w:t>
      </w:r>
      <w:r w:rsidRPr="0039418C">
        <w:rPr>
          <w:rFonts w:eastAsiaTheme="minorEastAsia"/>
          <w:rtl/>
        </w:rPr>
        <w:t>2</w:t>
      </w:r>
      <w:r w:rsidRPr="001A3DA2">
        <w:rPr>
          <w:rFonts w:eastAsiaTheme="minorEastAsia"/>
          <w:rtl/>
        </w:rPr>
        <w:t xml:space="preserve">) من دستور عام </w:t>
      </w:r>
      <w:r w:rsidRPr="0039418C">
        <w:rPr>
          <w:rFonts w:eastAsiaTheme="minorEastAsia"/>
          <w:rtl/>
        </w:rPr>
        <w:t>2013</w:t>
      </w:r>
      <w:r w:rsidRPr="001A3DA2">
        <w:rPr>
          <w:rFonts w:eastAsiaTheme="minorEastAsia"/>
          <w:rtl/>
        </w:rPr>
        <w:t>. ولا يجوز تهديد أحد أو تخويفه أو</w:t>
      </w:r>
      <w:r w:rsidR="007C5498">
        <w:rPr>
          <w:rFonts w:eastAsiaTheme="minorEastAsia" w:hint="cs"/>
          <w:rtl/>
        </w:rPr>
        <w:t> </w:t>
      </w:r>
      <w:r w:rsidRPr="001A3DA2">
        <w:rPr>
          <w:rFonts w:eastAsiaTheme="minorEastAsia"/>
          <w:rtl/>
        </w:rPr>
        <w:t>الاعتداء عليه بسبب اتصاله بالأمم المتحدة أو تعاونه معها. وفيما يتعلق بأنشطة المنظمات غير الحكومية الأجنبية، تجري صياغة مرسوم جديد ليحل محل المرسوم</w:t>
      </w:r>
      <w:r w:rsidR="00F479F4">
        <w:rPr>
          <w:rFonts w:eastAsiaTheme="minorEastAsia" w:hint="cs"/>
          <w:rtl/>
        </w:rPr>
        <w:t xml:space="preserve"> </w:t>
      </w:r>
      <w:r w:rsidRPr="0039418C">
        <w:rPr>
          <w:rFonts w:eastAsiaTheme="minorEastAsia"/>
        </w:rPr>
        <w:t>12</w:t>
      </w:r>
      <w:r w:rsidRPr="001A3DA2">
        <w:rPr>
          <w:rFonts w:eastAsiaTheme="minorEastAsia"/>
        </w:rPr>
        <w:t>/</w:t>
      </w:r>
      <w:r w:rsidRPr="0039418C">
        <w:rPr>
          <w:rFonts w:eastAsiaTheme="minorEastAsia"/>
        </w:rPr>
        <w:t>2012</w:t>
      </w:r>
      <w:r w:rsidRPr="001A3DA2">
        <w:rPr>
          <w:rFonts w:eastAsiaTheme="minorEastAsia"/>
        </w:rPr>
        <w:t>/ND-CP</w:t>
      </w:r>
      <w:r w:rsidRPr="001A3DA2">
        <w:rPr>
          <w:rFonts w:eastAsiaTheme="minorEastAsia"/>
          <w:rtl/>
        </w:rPr>
        <w:t>.</w:t>
      </w:r>
    </w:p>
    <w:p w14:paraId="6F74D7B9" w14:textId="6654DA90"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ولا تحظر فيتنام سوى التجمعات غير القانونية التي تزعزع الأمن والنظام العامين أو تنتهك حقوق الآخرين، مثل تجمع </w:t>
      </w:r>
      <w:r w:rsidRPr="0039418C">
        <w:rPr>
          <w:rFonts w:eastAsiaTheme="minorEastAsia"/>
          <w:rtl/>
        </w:rPr>
        <w:t>2018</w:t>
      </w:r>
      <w:r w:rsidRPr="001A3DA2">
        <w:rPr>
          <w:rFonts w:eastAsiaTheme="minorEastAsia"/>
          <w:rtl/>
        </w:rPr>
        <w:t xml:space="preserve"> في مقاطعة بينه ثوان. ويُلقى القبض على الأفراد الذين يخالفون القانون، بمن فيهم من يرتكب جرائم تتعلق بالأمن القومي، ويجرى التحقيق معهم وملاحقتهم قضائي</w:t>
      </w:r>
      <w:r w:rsidR="007C5498">
        <w:rPr>
          <w:rFonts w:eastAsiaTheme="minorEastAsia"/>
          <w:rtl/>
        </w:rPr>
        <w:t xml:space="preserve">اً </w:t>
      </w:r>
      <w:r w:rsidRPr="001A3DA2">
        <w:rPr>
          <w:rFonts w:eastAsiaTheme="minorEastAsia"/>
          <w:rtl/>
        </w:rPr>
        <w:t>ومحاكمتهم والاستماع إليهم وفق</w:t>
      </w:r>
      <w:r w:rsidR="007C5498">
        <w:rPr>
          <w:rFonts w:eastAsiaTheme="minorEastAsia"/>
          <w:rtl/>
        </w:rPr>
        <w:t xml:space="preserve">اً </w:t>
      </w:r>
      <w:r w:rsidRPr="001A3DA2">
        <w:rPr>
          <w:rFonts w:eastAsiaTheme="minorEastAsia"/>
          <w:rtl/>
        </w:rPr>
        <w:t>لأحكام القانون وطبق</w:t>
      </w:r>
      <w:r w:rsidR="007C5498">
        <w:rPr>
          <w:rFonts w:eastAsiaTheme="minorEastAsia"/>
          <w:rtl/>
        </w:rPr>
        <w:t xml:space="preserve">اً </w:t>
      </w:r>
      <w:r w:rsidRPr="001A3DA2">
        <w:rPr>
          <w:rFonts w:eastAsiaTheme="minorEastAsia"/>
          <w:rtl/>
        </w:rPr>
        <w:t xml:space="preserve">للإجراءات الوطنية وبمقتضى المادة </w:t>
      </w:r>
      <w:r w:rsidRPr="0039418C">
        <w:rPr>
          <w:rFonts w:eastAsiaTheme="minorEastAsia"/>
          <w:rtl/>
        </w:rPr>
        <w:t>26</w:t>
      </w:r>
      <w:r w:rsidRPr="001A3DA2">
        <w:rPr>
          <w:rFonts w:eastAsiaTheme="minorEastAsia"/>
          <w:rtl/>
        </w:rPr>
        <w:t xml:space="preserve"> من العهد. </w:t>
      </w:r>
    </w:p>
    <w:p w14:paraId="7084CC2A" w14:textId="77777777" w:rsidR="001A3DA2" w:rsidRPr="0039418C" w:rsidRDefault="001A3DA2" w:rsidP="001A3DA2">
      <w:pPr>
        <w:pStyle w:val="H23GA"/>
        <w:rPr>
          <w:lang w:val="ar-SA" w:eastAsia="zh-TW" w:bidi="en-GB"/>
        </w:rPr>
      </w:pPr>
      <w:r w:rsidRPr="0039418C">
        <w:rPr>
          <w:rtl/>
        </w:rPr>
        <w:tab/>
      </w:r>
      <w:r w:rsidRPr="0039418C">
        <w:rPr>
          <w:rtl/>
        </w:rPr>
        <w:tab/>
        <w:t>ملخص المعلومات الواردة من جهات معنية</w:t>
      </w:r>
    </w:p>
    <w:p w14:paraId="3199601E" w14:textId="77777777" w:rsidR="001A3DA2" w:rsidRPr="0039418C" w:rsidRDefault="001A3DA2" w:rsidP="001A3DA2">
      <w:pPr>
        <w:pStyle w:val="H4GA"/>
        <w:rPr>
          <w:lang w:val="ar-SA" w:eastAsia="zh-TW" w:bidi="en-GB"/>
        </w:rPr>
      </w:pPr>
      <w:r w:rsidRPr="0039418C">
        <w:rPr>
          <w:rtl/>
        </w:rPr>
        <w:tab/>
      </w:r>
      <w:r w:rsidRPr="0039418C">
        <w:rPr>
          <w:rtl/>
        </w:rPr>
        <w:tab/>
        <w:t>الفدرالية الدولية لرابطات حقوق الإنسان ولجنة فيت نام المعنية بحقوق الإنسان</w:t>
      </w:r>
    </w:p>
    <w:p w14:paraId="64093849" w14:textId="6845790A" w:rsidR="001A3DA2" w:rsidRPr="001A3DA2" w:rsidRDefault="001A3DA2" w:rsidP="001A3DA2">
      <w:pPr>
        <w:pStyle w:val="SingleTxtGA"/>
        <w:rPr>
          <w:rFonts w:eastAsiaTheme="minorEastAsia"/>
          <w:lang w:val="ar-SA" w:eastAsia="zh-TW" w:bidi="en-GB"/>
        </w:rPr>
      </w:pPr>
      <w:r>
        <w:rPr>
          <w:rFonts w:eastAsiaTheme="minorEastAsia"/>
          <w:rtl/>
        </w:rPr>
        <w:tab/>
      </w:r>
      <w:r w:rsidRPr="001A3DA2">
        <w:rPr>
          <w:rFonts w:eastAsiaTheme="minorEastAsia"/>
          <w:rtl/>
        </w:rPr>
        <w:t xml:space="preserve">تواصل الحكومة نهج سياسة التخويف والتهديد والاعتداءات البدنية والاعتقال التعسفي والسجن إزاء المدافعين عن حقوق الإنسان. ففي الفترة ما بين نيسان/أبريل </w:t>
      </w:r>
      <w:r w:rsidRPr="0039418C">
        <w:rPr>
          <w:rFonts w:eastAsiaTheme="minorEastAsia"/>
          <w:rtl/>
        </w:rPr>
        <w:t>2019</w:t>
      </w:r>
      <w:r w:rsidRPr="001A3DA2">
        <w:rPr>
          <w:rFonts w:eastAsiaTheme="minorEastAsia"/>
          <w:rtl/>
        </w:rPr>
        <w:t xml:space="preserve"> وتموز/يولي</w:t>
      </w:r>
      <w:r w:rsidR="00F479F4">
        <w:rPr>
          <w:rFonts w:eastAsiaTheme="minorEastAsia" w:hint="cs"/>
          <w:rtl/>
        </w:rPr>
        <w:t>ه</w:t>
      </w:r>
      <w:r w:rsidRPr="001A3DA2">
        <w:rPr>
          <w:rFonts w:eastAsiaTheme="minorEastAsia"/>
          <w:rtl/>
        </w:rPr>
        <w:t xml:space="preserve"> </w:t>
      </w:r>
      <w:r w:rsidRPr="0039418C">
        <w:rPr>
          <w:rFonts w:eastAsiaTheme="minorEastAsia"/>
          <w:rtl/>
        </w:rPr>
        <w:t>2022</w:t>
      </w:r>
      <w:r w:rsidRPr="001A3DA2">
        <w:rPr>
          <w:rFonts w:eastAsiaTheme="minorEastAsia"/>
          <w:rtl/>
        </w:rPr>
        <w:t xml:space="preserve">، ألقي القبض على ما لا يقل عن </w:t>
      </w:r>
      <w:r w:rsidRPr="0039418C">
        <w:rPr>
          <w:rFonts w:eastAsiaTheme="minorEastAsia"/>
          <w:rtl/>
        </w:rPr>
        <w:t>95</w:t>
      </w:r>
      <w:r w:rsidRPr="001A3DA2">
        <w:rPr>
          <w:rFonts w:eastAsiaTheme="minorEastAsia"/>
          <w:rtl/>
        </w:rPr>
        <w:t xml:space="preserve"> ناشط</w:t>
      </w:r>
      <w:r w:rsidR="007C5498">
        <w:rPr>
          <w:rFonts w:eastAsiaTheme="minorEastAsia"/>
          <w:rtl/>
        </w:rPr>
        <w:t xml:space="preserve">اً </w:t>
      </w:r>
      <w:r w:rsidRPr="001A3DA2">
        <w:rPr>
          <w:rFonts w:eastAsiaTheme="minorEastAsia"/>
          <w:rtl/>
        </w:rPr>
        <w:t>ومنتقد</w:t>
      </w:r>
      <w:r w:rsidR="007C5498">
        <w:rPr>
          <w:rFonts w:eastAsiaTheme="minorEastAsia"/>
          <w:rtl/>
        </w:rPr>
        <w:t xml:space="preserve">اً </w:t>
      </w:r>
      <w:r w:rsidRPr="001A3DA2">
        <w:rPr>
          <w:rFonts w:eastAsiaTheme="minorEastAsia"/>
          <w:rtl/>
        </w:rPr>
        <w:t>للحكومة ومدافع</w:t>
      </w:r>
      <w:r w:rsidR="007C5498">
        <w:rPr>
          <w:rFonts w:eastAsiaTheme="minorEastAsia"/>
          <w:rtl/>
        </w:rPr>
        <w:t xml:space="preserve">اً </w:t>
      </w:r>
      <w:r w:rsidRPr="001A3DA2">
        <w:rPr>
          <w:rFonts w:eastAsiaTheme="minorEastAsia"/>
          <w:rtl/>
        </w:rPr>
        <w:t xml:space="preserve">عن حقوق الإنسان، وصدرت أحكام بالسجن تصل مدتها إلى </w:t>
      </w:r>
      <w:r w:rsidRPr="0039418C">
        <w:rPr>
          <w:rFonts w:eastAsiaTheme="minorEastAsia"/>
          <w:rtl/>
        </w:rPr>
        <w:t>15</w:t>
      </w:r>
      <w:r w:rsidRPr="001A3DA2">
        <w:rPr>
          <w:rFonts w:eastAsiaTheme="minorEastAsia"/>
          <w:rtl/>
        </w:rPr>
        <w:t xml:space="preserve"> عام</w:t>
      </w:r>
      <w:r w:rsidR="007C5498">
        <w:rPr>
          <w:rFonts w:eastAsiaTheme="minorEastAsia"/>
          <w:rtl/>
        </w:rPr>
        <w:t xml:space="preserve">اً </w:t>
      </w:r>
      <w:r w:rsidRPr="001A3DA2">
        <w:rPr>
          <w:rFonts w:eastAsiaTheme="minorEastAsia"/>
          <w:rtl/>
        </w:rPr>
        <w:t xml:space="preserve">في حق </w:t>
      </w:r>
      <w:r w:rsidRPr="0039418C">
        <w:rPr>
          <w:rFonts w:eastAsiaTheme="minorEastAsia"/>
          <w:rtl/>
        </w:rPr>
        <w:t>113</w:t>
      </w:r>
      <w:r w:rsidRPr="001A3DA2">
        <w:rPr>
          <w:rFonts w:eastAsiaTheme="minorEastAsia"/>
          <w:rtl/>
        </w:rPr>
        <w:t xml:space="preserve"> شخص</w:t>
      </w:r>
      <w:r w:rsidR="007C5498">
        <w:rPr>
          <w:rFonts w:eastAsiaTheme="minorEastAsia"/>
          <w:rtl/>
        </w:rPr>
        <w:t xml:space="preserve">اً. </w:t>
      </w:r>
      <w:r w:rsidRPr="001A3DA2">
        <w:rPr>
          <w:rFonts w:eastAsiaTheme="minorEastAsia"/>
          <w:rtl/>
        </w:rPr>
        <w:t xml:space="preserve">ولا يزال معظمهم محتجزين بمقتضى أحكام الأمن القومي المنصوص عليها في القانون الجنائي. ومنذ كانون الثاني/يناير </w:t>
      </w:r>
      <w:r w:rsidRPr="0039418C">
        <w:rPr>
          <w:rFonts w:eastAsiaTheme="minorEastAsia"/>
          <w:rtl/>
        </w:rPr>
        <w:t>2022</w:t>
      </w:r>
      <w:r w:rsidRPr="001A3DA2">
        <w:rPr>
          <w:rFonts w:eastAsiaTheme="minorEastAsia"/>
          <w:rtl/>
        </w:rPr>
        <w:t>، صدرت أحكام على أربعة مدافعين بارزين عن الحقوق البيئية - ماي فان لواي، وباخ هونغ دونغ، ودونغ دينه باخ، ونغاي ثو خانه - بالسجن مدةً تتراوح بين سنتين وخمس سنوات بتهمة التهرب الضريبي، والتي غالب</w:t>
      </w:r>
      <w:r w:rsidR="007C5498">
        <w:rPr>
          <w:rFonts w:eastAsiaTheme="minorEastAsia"/>
          <w:rtl/>
        </w:rPr>
        <w:t xml:space="preserve">اً </w:t>
      </w:r>
      <w:r w:rsidRPr="001A3DA2">
        <w:rPr>
          <w:rFonts w:eastAsiaTheme="minorEastAsia"/>
          <w:rtl/>
        </w:rPr>
        <w:t>ما</w:t>
      </w:r>
      <w:r w:rsidR="007C5498">
        <w:rPr>
          <w:rFonts w:eastAsiaTheme="minorEastAsia" w:hint="cs"/>
          <w:rtl/>
        </w:rPr>
        <w:t> </w:t>
      </w:r>
      <w:r w:rsidRPr="001A3DA2">
        <w:rPr>
          <w:rFonts w:eastAsiaTheme="minorEastAsia"/>
          <w:rtl/>
        </w:rPr>
        <w:t xml:space="preserve">تُستخدم لتكميم أفواه المنتقدين. وحُرم دونغ دينه باخ من الاتصال بمحاميه أثناء احتجازه، ولم يُسمح لأسرته بحضور جلسة المحكمة، كما تجاهلت المحكمة الأدلة التي قدمها محاموه. </w:t>
      </w:r>
    </w:p>
    <w:p w14:paraId="50C13D1B" w14:textId="2C995C55" w:rsidR="001A3DA2" w:rsidRPr="001A3DA2" w:rsidRDefault="001A3DA2" w:rsidP="001A3DA2">
      <w:pPr>
        <w:pStyle w:val="SingleTxtGA"/>
        <w:rPr>
          <w:rFonts w:eastAsiaTheme="minorEastAsia"/>
          <w:lang w:val="en-US" w:eastAsia="zh-TW" w:bidi="en-GB"/>
        </w:rPr>
      </w:pPr>
      <w:r>
        <w:rPr>
          <w:rFonts w:eastAsiaTheme="minorEastAsia"/>
          <w:rtl/>
        </w:rPr>
        <w:tab/>
      </w:r>
      <w:r w:rsidRPr="001A3DA2">
        <w:rPr>
          <w:rFonts w:eastAsiaTheme="minorEastAsia"/>
          <w:rtl/>
        </w:rPr>
        <w:t>وكثير</w:t>
      </w:r>
      <w:r w:rsidR="007C5498">
        <w:rPr>
          <w:rFonts w:eastAsiaTheme="minorEastAsia"/>
          <w:rtl/>
        </w:rPr>
        <w:t xml:space="preserve">اً </w:t>
      </w:r>
      <w:r w:rsidRPr="001A3DA2">
        <w:rPr>
          <w:rFonts w:eastAsiaTheme="minorEastAsia"/>
          <w:rtl/>
        </w:rPr>
        <w:t xml:space="preserve">ما يتعرض المدافعون عن حقوق الإنسان والجهات الفاعلة في المجتمع المدني للمضايقة بسبب تعاملهم مع هيئات دولية. ففي تشرين الثاني/نوفمبر </w:t>
      </w:r>
      <w:r w:rsidRPr="0039418C">
        <w:rPr>
          <w:rFonts w:eastAsiaTheme="minorEastAsia"/>
          <w:rtl/>
        </w:rPr>
        <w:t>2019</w:t>
      </w:r>
      <w:r w:rsidRPr="001A3DA2">
        <w:rPr>
          <w:rFonts w:eastAsiaTheme="minorEastAsia"/>
          <w:rtl/>
        </w:rPr>
        <w:t>، صدر حكم على الصحفي المستقل فام</w:t>
      </w:r>
      <w:r w:rsidR="004769D8">
        <w:rPr>
          <w:rFonts w:eastAsiaTheme="minorEastAsia" w:hint="cs"/>
          <w:rtl/>
        </w:rPr>
        <w:t> </w:t>
      </w:r>
      <w:r w:rsidRPr="001A3DA2">
        <w:rPr>
          <w:rFonts w:eastAsiaTheme="minorEastAsia"/>
          <w:rtl/>
        </w:rPr>
        <w:t xml:space="preserve">تشي دونغ بالسجن </w:t>
      </w:r>
      <w:r w:rsidRPr="0039418C">
        <w:rPr>
          <w:rFonts w:eastAsiaTheme="minorEastAsia"/>
          <w:rtl/>
        </w:rPr>
        <w:t>15</w:t>
      </w:r>
      <w:r w:rsidRPr="001A3DA2">
        <w:rPr>
          <w:rFonts w:eastAsiaTheme="minorEastAsia"/>
          <w:rtl/>
        </w:rPr>
        <w:t xml:space="preserve"> عام</w:t>
      </w:r>
      <w:r w:rsidR="007C5498">
        <w:rPr>
          <w:rFonts w:eastAsiaTheme="minorEastAsia"/>
          <w:rtl/>
        </w:rPr>
        <w:t xml:space="preserve">اً </w:t>
      </w:r>
      <w:r w:rsidRPr="001A3DA2">
        <w:rPr>
          <w:rFonts w:eastAsiaTheme="minorEastAsia"/>
          <w:rtl/>
        </w:rPr>
        <w:t>بتهمة كتابة مقالات "معادية للدولة" والتعاون مع وسائل إعلام أجنبية لتقديم معلومات مغلوطة عقب توجيه نداء إلى البرلمان الأوروبي بشأن اتفاقية التجارة الحرة بين الاتحاد</w:t>
      </w:r>
      <w:r w:rsidR="004769D8">
        <w:rPr>
          <w:rFonts w:eastAsiaTheme="minorEastAsia" w:hint="cs"/>
          <w:rtl/>
        </w:rPr>
        <w:t> </w:t>
      </w:r>
      <w:r w:rsidRPr="001A3DA2">
        <w:rPr>
          <w:rFonts w:eastAsiaTheme="minorEastAsia"/>
          <w:rtl/>
        </w:rPr>
        <w:t>الأوروبي وفيت نام.</w:t>
      </w:r>
    </w:p>
    <w:p w14:paraId="205226ED" w14:textId="6C2A30DC" w:rsidR="001A3DA2" w:rsidRPr="001A3DA2" w:rsidRDefault="001A3DA2" w:rsidP="001A3DA2">
      <w:pPr>
        <w:pStyle w:val="SingleTxtGA"/>
        <w:rPr>
          <w:rFonts w:eastAsiaTheme="minorEastAsia"/>
          <w:rtl/>
          <w:lang w:val="en-US" w:eastAsia="zh-TW"/>
        </w:rPr>
      </w:pPr>
      <w:r>
        <w:rPr>
          <w:rFonts w:eastAsiaTheme="minorEastAsia"/>
          <w:rtl/>
        </w:rPr>
        <w:tab/>
      </w:r>
      <w:r w:rsidRPr="001A3DA2">
        <w:rPr>
          <w:rFonts w:eastAsiaTheme="minorEastAsia"/>
          <w:rtl/>
        </w:rPr>
        <w:t>وقد فاقم المرسومان الجديدان (</w:t>
      </w:r>
      <w:r w:rsidRPr="0039418C">
        <w:rPr>
          <w:rFonts w:eastAsiaTheme="minorEastAsia"/>
        </w:rPr>
        <w:t>80</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و</w:t>
      </w:r>
      <w:r w:rsidRPr="0039418C">
        <w:rPr>
          <w:rFonts w:eastAsiaTheme="minorEastAsia"/>
        </w:rPr>
        <w:t>56</w:t>
      </w:r>
      <w:r w:rsidRPr="001A3DA2">
        <w:rPr>
          <w:rFonts w:eastAsiaTheme="minorEastAsia"/>
        </w:rPr>
        <w:t>/</w:t>
      </w:r>
      <w:r w:rsidRPr="0039418C">
        <w:rPr>
          <w:rFonts w:eastAsiaTheme="minorEastAsia"/>
        </w:rPr>
        <w:t>2020</w:t>
      </w:r>
      <w:r w:rsidRPr="001A3DA2">
        <w:rPr>
          <w:rFonts w:eastAsiaTheme="minorEastAsia"/>
        </w:rPr>
        <w:t>/ND-CP</w:t>
      </w:r>
      <w:r w:rsidRPr="001A3DA2">
        <w:rPr>
          <w:rFonts w:eastAsiaTheme="minorEastAsia"/>
          <w:rtl/>
        </w:rPr>
        <w:t xml:space="preserve">) من تقييد أنشطة المجتمع المدني، بوضعهما شروطاً مرهقة بشكل غير معقول فيما يتعلق بإعداد التقارير وتسجيل التمويل والمشاريع والاجتماعات وغير ذلك من الأنشطة العامة، لا سيما فيما يتعلق بالمسائل المتصلة بحقوق الإنسان. وفرض قرار رئيس الوزراء </w:t>
      </w:r>
      <w:r w:rsidRPr="0039418C">
        <w:rPr>
          <w:rFonts w:eastAsiaTheme="minorEastAsia"/>
        </w:rPr>
        <w:t>06</w:t>
      </w:r>
      <w:r w:rsidRPr="001A3DA2">
        <w:rPr>
          <w:rFonts w:eastAsiaTheme="minorEastAsia"/>
        </w:rPr>
        <w:t>/</w:t>
      </w:r>
      <w:r w:rsidRPr="0039418C">
        <w:rPr>
          <w:rFonts w:eastAsiaTheme="minorEastAsia"/>
        </w:rPr>
        <w:t>2020</w:t>
      </w:r>
      <w:r w:rsidRPr="001A3DA2">
        <w:rPr>
          <w:rFonts w:eastAsiaTheme="minorEastAsia"/>
        </w:rPr>
        <w:t>/QD-Ttg</w:t>
      </w:r>
      <w:r w:rsidRPr="001A3DA2">
        <w:rPr>
          <w:rFonts w:eastAsiaTheme="minorEastAsia"/>
          <w:rtl/>
        </w:rPr>
        <w:t xml:space="preserve"> المؤرخ </w:t>
      </w:r>
      <w:r w:rsidRPr="0039418C">
        <w:rPr>
          <w:rFonts w:eastAsiaTheme="minorEastAsia"/>
          <w:rtl/>
        </w:rPr>
        <w:t>21</w:t>
      </w:r>
      <w:r w:rsidRPr="001A3DA2">
        <w:rPr>
          <w:rFonts w:eastAsiaTheme="minorEastAsia"/>
          <w:rtl/>
        </w:rPr>
        <w:t xml:space="preserve"> </w:t>
      </w:r>
      <w:r w:rsidR="00F479F4">
        <w:rPr>
          <w:rFonts w:eastAsiaTheme="minorEastAsia" w:hint="cs"/>
          <w:rtl/>
        </w:rPr>
        <w:t>شباط/</w:t>
      </w:r>
      <w:r w:rsidRPr="001A3DA2">
        <w:rPr>
          <w:rFonts w:eastAsiaTheme="minorEastAsia"/>
          <w:rtl/>
        </w:rPr>
        <w:t xml:space="preserve">فبراير </w:t>
      </w:r>
      <w:r w:rsidRPr="0039418C">
        <w:rPr>
          <w:rFonts w:eastAsiaTheme="minorEastAsia"/>
          <w:rtl/>
        </w:rPr>
        <w:t>2020</w:t>
      </w:r>
      <w:r w:rsidRPr="001A3DA2">
        <w:rPr>
          <w:rFonts w:eastAsiaTheme="minorEastAsia"/>
          <w:rtl/>
        </w:rPr>
        <w:t xml:space="preserve"> شروط</w:t>
      </w:r>
      <w:r w:rsidR="007C5498">
        <w:rPr>
          <w:rFonts w:eastAsiaTheme="minorEastAsia"/>
          <w:rtl/>
        </w:rPr>
        <w:t xml:space="preserve">اً </w:t>
      </w:r>
      <w:r w:rsidRPr="001A3DA2">
        <w:rPr>
          <w:rFonts w:eastAsiaTheme="minorEastAsia"/>
          <w:rtl/>
        </w:rPr>
        <w:t>جديدة بشأن تنظيم المؤتمرات الدولية حول قضايا مثل حرية الدين وحقوق الإنسان.</w:t>
      </w:r>
    </w:p>
    <w:p w14:paraId="0AAC1E14" w14:textId="77777777" w:rsidR="001A3DA2" w:rsidRPr="0039418C" w:rsidRDefault="001A3DA2" w:rsidP="001A3DA2">
      <w:pPr>
        <w:pStyle w:val="H23GA"/>
        <w:rPr>
          <w:lang w:val="en-US" w:eastAsia="zh-TW" w:bidi="en-GB"/>
        </w:rPr>
      </w:pPr>
      <w:r w:rsidRPr="0039418C">
        <w:rPr>
          <w:rtl/>
        </w:rPr>
        <w:lastRenderedPageBreak/>
        <w:tab/>
      </w:r>
      <w:r w:rsidRPr="0039418C">
        <w:rPr>
          <w:rtl/>
        </w:rPr>
        <w:tab/>
        <w:t>تقييم اللجنة</w:t>
      </w:r>
    </w:p>
    <w:p w14:paraId="080A9FCA" w14:textId="77777777" w:rsidR="001A3DA2" w:rsidRPr="001A3DA2" w:rsidRDefault="001A3DA2" w:rsidP="001A3DA2">
      <w:pPr>
        <w:pStyle w:val="SingleTxtGA"/>
        <w:rPr>
          <w:rFonts w:eastAsiaTheme="minorEastAsia"/>
          <w:lang w:val="ar-SA" w:eastAsia="zh-TW" w:bidi="en-GB"/>
        </w:rPr>
      </w:pPr>
      <w:r w:rsidRPr="001A3DA2">
        <w:rPr>
          <w:rFonts w:eastAsiaTheme="minorEastAsia"/>
          <w:rtl/>
        </w:rPr>
        <w:t>[جيم]</w:t>
      </w:r>
    </w:p>
    <w:p w14:paraId="1AA0B68B" w14:textId="2C18E353" w:rsidR="001A3DA2" w:rsidRPr="001A3DA2" w:rsidRDefault="001A3DA2" w:rsidP="001A3DA2">
      <w:pPr>
        <w:pStyle w:val="SingleTxtGA"/>
        <w:rPr>
          <w:rFonts w:eastAsiaTheme="minorEastAsia"/>
          <w:lang w:val="en-US" w:eastAsia="zh-TW"/>
        </w:rPr>
      </w:pPr>
      <w:r>
        <w:rPr>
          <w:rFonts w:eastAsiaTheme="minorEastAsia"/>
          <w:rtl/>
        </w:rPr>
        <w:tab/>
      </w:r>
      <w:r w:rsidRPr="001A3DA2">
        <w:rPr>
          <w:rFonts w:eastAsiaTheme="minorEastAsia"/>
          <w:rtl/>
        </w:rPr>
        <w:t xml:space="preserve">تحيط اللجنة علماً بالمعلومات المقدمة، بما فيها تلك المتعلقة بالقانون الجارية صياغته بشأن المنظمات غير الحكومية الأجنبية، إلا أنها تأسف لعدم وجود معلومات محددة عن التدابير المتخذة لضمان حماية المدافعين عن حقوق الإنسان والجهات الفاعلة في المجتمع المدني. وتعيد اللجنة تأكيد توصيتها وتطلب مزيداً من المعلومات عما يلي: (أ) القضايا المتعلقة بأربعة مدافعين عن حقوق البيئة، </w:t>
      </w:r>
      <w:r w:rsidRPr="001A3DA2">
        <w:rPr>
          <w:rFonts w:eastAsiaTheme="minorEastAsia"/>
          <w:spacing w:val="-4"/>
          <w:rtl/>
        </w:rPr>
        <w:t xml:space="preserve">وهم: ماي فان لواي، وباخ هونغ دونغ، ودونغ دينه باخ، ونغاي ثو خان، بما فيها القضايا المتعلقة باحترام ضمانات المحاكمة العادلة في دعاواهم؛ (ب) توافق المرسومين </w:t>
      </w:r>
      <w:r w:rsidRPr="0039418C">
        <w:rPr>
          <w:rFonts w:eastAsiaTheme="minorEastAsia"/>
          <w:spacing w:val="-4"/>
        </w:rPr>
        <w:t>80</w:t>
      </w:r>
      <w:r w:rsidRPr="001A3DA2">
        <w:rPr>
          <w:rFonts w:eastAsiaTheme="minorEastAsia"/>
          <w:spacing w:val="-4"/>
        </w:rPr>
        <w:t>/</w:t>
      </w:r>
      <w:r w:rsidRPr="0039418C">
        <w:rPr>
          <w:rFonts w:eastAsiaTheme="minorEastAsia"/>
          <w:spacing w:val="-4"/>
        </w:rPr>
        <w:t>2020</w:t>
      </w:r>
      <w:r w:rsidRPr="001A3DA2">
        <w:rPr>
          <w:rFonts w:eastAsiaTheme="minorEastAsia"/>
          <w:spacing w:val="-4"/>
        </w:rPr>
        <w:t>/ND-CP</w:t>
      </w:r>
      <w:r w:rsidR="006C2224">
        <w:rPr>
          <w:rFonts w:eastAsiaTheme="minorEastAsia"/>
          <w:spacing w:val="-4"/>
          <w:rtl/>
        </w:rPr>
        <w:t xml:space="preserve"> </w:t>
      </w:r>
      <w:r w:rsidRPr="001A3DA2">
        <w:rPr>
          <w:rFonts w:eastAsiaTheme="minorEastAsia"/>
          <w:spacing w:val="-4"/>
          <w:rtl/>
        </w:rPr>
        <w:t>و</w:t>
      </w:r>
      <w:r w:rsidRPr="0039418C">
        <w:rPr>
          <w:rFonts w:eastAsiaTheme="minorEastAsia"/>
          <w:spacing w:val="-4"/>
        </w:rPr>
        <w:t>56</w:t>
      </w:r>
      <w:r w:rsidRPr="001A3DA2">
        <w:rPr>
          <w:rFonts w:eastAsiaTheme="minorEastAsia"/>
          <w:spacing w:val="-4"/>
        </w:rPr>
        <w:t>/</w:t>
      </w:r>
      <w:r w:rsidRPr="0039418C">
        <w:rPr>
          <w:rFonts w:eastAsiaTheme="minorEastAsia"/>
          <w:spacing w:val="-4"/>
        </w:rPr>
        <w:t>2020</w:t>
      </w:r>
      <w:r w:rsidRPr="001A3DA2">
        <w:rPr>
          <w:rFonts w:eastAsiaTheme="minorEastAsia"/>
          <w:spacing w:val="-4"/>
        </w:rPr>
        <w:t>/ND-CP</w:t>
      </w:r>
      <w:r>
        <w:rPr>
          <w:rFonts w:eastAsiaTheme="minorEastAsia" w:hint="cs"/>
          <w:rtl/>
        </w:rPr>
        <w:t xml:space="preserve"> </w:t>
      </w:r>
      <w:r w:rsidRPr="001A3DA2">
        <w:rPr>
          <w:rFonts w:eastAsiaTheme="minorEastAsia"/>
          <w:rtl/>
        </w:rPr>
        <w:t xml:space="preserve">وقرار رئيس الوزراء </w:t>
      </w:r>
      <w:r w:rsidRPr="0039418C">
        <w:rPr>
          <w:rFonts w:eastAsiaTheme="minorEastAsia"/>
        </w:rPr>
        <w:t>06</w:t>
      </w:r>
      <w:r w:rsidRPr="001A3DA2">
        <w:rPr>
          <w:rFonts w:eastAsiaTheme="minorEastAsia"/>
        </w:rPr>
        <w:t>/</w:t>
      </w:r>
      <w:r w:rsidRPr="0039418C">
        <w:rPr>
          <w:rFonts w:eastAsiaTheme="minorEastAsia"/>
        </w:rPr>
        <w:t>2020</w:t>
      </w:r>
      <w:r w:rsidRPr="001A3DA2">
        <w:rPr>
          <w:rFonts w:eastAsiaTheme="minorEastAsia"/>
        </w:rPr>
        <w:t>/QD-Ttg</w:t>
      </w:r>
      <w:r w:rsidRPr="001A3DA2">
        <w:rPr>
          <w:rFonts w:eastAsiaTheme="minorEastAsia"/>
          <w:rtl/>
        </w:rPr>
        <w:t xml:space="preserve"> مع مواد العهد، لا سيما المادة </w:t>
      </w:r>
      <w:r w:rsidRPr="0039418C">
        <w:rPr>
          <w:rFonts w:eastAsiaTheme="minorEastAsia"/>
          <w:rtl/>
        </w:rPr>
        <w:t>22</w:t>
      </w:r>
      <w:r w:rsidRPr="001A3DA2">
        <w:rPr>
          <w:rFonts w:eastAsiaTheme="minorEastAsia"/>
          <w:rtl/>
        </w:rPr>
        <w:t xml:space="preserve"> منه. </w:t>
      </w:r>
    </w:p>
    <w:p w14:paraId="2287A1C7" w14:textId="77777777" w:rsidR="001A3DA2" w:rsidRPr="001A3DA2" w:rsidRDefault="001A3DA2" w:rsidP="001A3DA2">
      <w:pPr>
        <w:pStyle w:val="SingleTxtGA"/>
        <w:rPr>
          <w:rFonts w:eastAsiaTheme="minorEastAsia"/>
          <w:lang w:val="ar-SA" w:eastAsia="zh-TW" w:bidi="en-GB"/>
        </w:rPr>
      </w:pPr>
      <w:r w:rsidRPr="0039418C">
        <w:rPr>
          <w:rFonts w:eastAsiaTheme="minorEastAsia"/>
          <w:b/>
          <w:bCs/>
          <w:rtl/>
        </w:rPr>
        <w:t>الإجراء الموصى به:</w:t>
      </w:r>
      <w:r w:rsidRPr="001A3DA2">
        <w:rPr>
          <w:rFonts w:eastAsiaTheme="minorEastAsia"/>
          <w:rtl/>
        </w:rPr>
        <w:t xml:space="preserve"> ينبغي توجيه رسالة إلى الدولة الطرف تبلَّغ بموجبها بوقف إجراء المتابعة. وينبغي إدراج المعلومات المطلوبة في تقرير الدولة الطرف الدوري المقبل.</w:t>
      </w:r>
    </w:p>
    <w:p w14:paraId="760E86A5" w14:textId="37B13F12" w:rsidR="001A3DA2" w:rsidRPr="001A3DA2" w:rsidRDefault="001A3DA2" w:rsidP="001A3DA2">
      <w:pPr>
        <w:pStyle w:val="SingleTxtGA"/>
        <w:rPr>
          <w:rFonts w:eastAsiaTheme="minorEastAsia"/>
          <w:lang w:val="ar-SA" w:eastAsia="zh-TW" w:bidi="en-GB"/>
        </w:rPr>
      </w:pPr>
      <w:r w:rsidRPr="0039418C">
        <w:rPr>
          <w:rFonts w:eastAsiaTheme="minorEastAsia"/>
          <w:b/>
          <w:bCs/>
          <w:rtl/>
        </w:rPr>
        <w:t>التاريخ المحدد لتقديم التقرير الدوري المقبل:</w:t>
      </w:r>
      <w:r w:rsidRPr="001A3DA2">
        <w:rPr>
          <w:rFonts w:eastAsiaTheme="minorEastAsia"/>
          <w:rtl/>
        </w:rPr>
        <w:t xml:space="preserve"> </w:t>
      </w:r>
      <w:r w:rsidRPr="0039418C">
        <w:rPr>
          <w:rFonts w:eastAsiaTheme="minorEastAsia"/>
          <w:rtl/>
        </w:rPr>
        <w:t>29</w:t>
      </w:r>
      <w:r w:rsidRPr="001A3DA2">
        <w:rPr>
          <w:rFonts w:eastAsiaTheme="minorEastAsia"/>
          <w:rtl/>
        </w:rPr>
        <w:t xml:space="preserve"> آذار/مارس </w:t>
      </w:r>
      <w:r w:rsidRPr="0039418C">
        <w:rPr>
          <w:rFonts w:eastAsiaTheme="minorEastAsia"/>
          <w:rtl/>
        </w:rPr>
        <w:t>2023</w:t>
      </w:r>
      <w:r w:rsidRPr="001A3DA2">
        <w:rPr>
          <w:rFonts w:eastAsiaTheme="minorEastAsia"/>
          <w:rtl/>
        </w:rPr>
        <w:t>.</w:t>
      </w:r>
    </w:p>
    <w:p w14:paraId="56E4F963" w14:textId="26505617" w:rsidR="001A3DA2" w:rsidRPr="001A3DA2" w:rsidRDefault="001A3DA2" w:rsidP="001A3DA2">
      <w:pPr>
        <w:pStyle w:val="SingleTxtGA"/>
        <w:jc w:val="center"/>
        <w:rPr>
          <w:u w:val="single"/>
          <w:rtl/>
        </w:rPr>
      </w:pPr>
      <w:r>
        <w:rPr>
          <w:u w:val="single"/>
          <w:rtl/>
        </w:rPr>
        <w:tab/>
      </w:r>
      <w:r>
        <w:rPr>
          <w:u w:val="single"/>
          <w:rtl/>
        </w:rPr>
        <w:tab/>
      </w:r>
      <w:r>
        <w:rPr>
          <w:u w:val="single"/>
          <w:rtl/>
        </w:rPr>
        <w:tab/>
      </w:r>
    </w:p>
    <w:sectPr w:rsidR="001A3DA2" w:rsidRPr="001A3DA2" w:rsidSect="0033185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9AB1E" w14:textId="77777777" w:rsidR="00A77F1D" w:rsidRPr="002901D9" w:rsidRDefault="00A77F1D" w:rsidP="00DC4D4B">
      <w:pPr>
        <w:spacing w:after="60" w:line="240" w:lineRule="auto"/>
        <w:ind w:left="57"/>
        <w:rPr>
          <w:i/>
          <w:iCs/>
        </w:rPr>
      </w:pPr>
      <w:r>
        <w:rPr>
          <w:rFonts w:hint="cs"/>
          <w:i/>
          <w:iCs/>
          <w:rtl/>
        </w:rPr>
        <w:t>الحواشي</w:t>
      </w:r>
    </w:p>
  </w:endnote>
  <w:endnote w:type="continuationSeparator" w:id="0">
    <w:p w14:paraId="38769530" w14:textId="77777777" w:rsidR="00A77F1D" w:rsidRDefault="00A77F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3374" w14:textId="5C9F2F88" w:rsidR="0074451E" w:rsidRPr="0074451E" w:rsidRDefault="0074451E" w:rsidP="0074451E">
    <w:pPr>
      <w:pStyle w:val="Footer"/>
      <w:tabs>
        <w:tab w:val="right" w:pos="9638"/>
      </w:tabs>
      <w:rPr>
        <w:b/>
        <w:sz w:val="18"/>
        <w:lang w:val="en-US"/>
      </w:rPr>
    </w:pPr>
    <w:r>
      <w:rPr>
        <w:lang w:val="en-US"/>
      </w:rPr>
      <w:t>GE.22-25662</w:t>
    </w:r>
    <w:r>
      <w:rPr>
        <w:lang w:val="en-US"/>
      </w:rPr>
      <w:tab/>
    </w:r>
    <w:r w:rsidRPr="0074451E">
      <w:rPr>
        <w:b/>
        <w:sz w:val="18"/>
        <w:lang w:val="en-US"/>
      </w:rPr>
      <w:fldChar w:fldCharType="begin"/>
    </w:r>
    <w:r w:rsidRPr="0074451E">
      <w:rPr>
        <w:b/>
        <w:sz w:val="18"/>
        <w:lang w:val="en-US"/>
      </w:rPr>
      <w:instrText xml:space="preserve"> PAGE  \* MERGEFORMAT </w:instrText>
    </w:r>
    <w:r w:rsidRPr="0074451E">
      <w:rPr>
        <w:b/>
        <w:sz w:val="18"/>
        <w:lang w:val="en-US"/>
      </w:rPr>
      <w:fldChar w:fldCharType="separate"/>
    </w:r>
    <w:r w:rsidRPr="0074451E">
      <w:rPr>
        <w:b/>
        <w:noProof/>
        <w:sz w:val="18"/>
        <w:lang w:val="en-US"/>
      </w:rPr>
      <w:t>2</w:t>
    </w:r>
    <w:r w:rsidRPr="0074451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27E4" w14:textId="5A38F5F0" w:rsidR="006959B0" w:rsidRPr="0074451E" w:rsidRDefault="0074451E" w:rsidP="0074451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GE.22-25662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7C012" w14:textId="1D0C9FD9" w:rsidR="00DE50B1" w:rsidRPr="0074451E" w:rsidRDefault="0074451E" w:rsidP="0074451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AD5E6CF" wp14:editId="5211A92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22-25662 (A)</w:t>
    </w:r>
    <w:r>
      <w:rPr>
        <w:noProof/>
        <w:sz w:val="20"/>
        <w:lang w:val="en-US"/>
      </w:rPr>
      <w:drawing>
        <wp:anchor distT="0" distB="0" distL="114300" distR="114300" simplePos="0" relativeHeight="251659264" behindDoc="0" locked="0" layoutInCell="1" allowOverlap="1" wp14:anchorId="30DDF4E9" wp14:editId="5F282A6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DA605" w14:textId="77777777" w:rsidR="00A77F1D" w:rsidRPr="008A49D2" w:rsidRDefault="00A77F1D"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0D6B6D7" w14:textId="77777777" w:rsidR="00A77F1D" w:rsidRDefault="00A77F1D" w:rsidP="00656392">
      <w:pPr>
        <w:spacing w:line="240" w:lineRule="auto"/>
      </w:pPr>
      <w:r>
        <w:continuationSeparator/>
      </w:r>
    </w:p>
  </w:footnote>
  <w:footnote w:id="1">
    <w:p w14:paraId="172901D8" w14:textId="6BFDFDDA" w:rsidR="007C5498" w:rsidRPr="007C5498" w:rsidRDefault="007C5498" w:rsidP="007C5498">
      <w:pPr>
        <w:pStyle w:val="FootnoteText1"/>
        <w:rPr>
          <w:rFonts w:eastAsiaTheme="minorEastAsia"/>
          <w:rtl/>
        </w:rPr>
      </w:pPr>
      <w:r w:rsidRPr="007C5498">
        <w:rPr>
          <w:sz w:val="22"/>
          <w:szCs w:val="22"/>
          <w:rtl/>
        </w:rPr>
        <w:t>*</w:t>
      </w:r>
      <w:r>
        <w:rPr>
          <w:rtl/>
        </w:rPr>
        <w:tab/>
      </w:r>
      <w:r w:rsidRPr="007C5498">
        <w:rPr>
          <w:rFonts w:eastAsiaTheme="minorEastAsia"/>
          <w:rtl/>
        </w:rPr>
        <w:t xml:space="preserve">اعتمدتها اللجنة في دورتها </w:t>
      </w:r>
      <w:r w:rsidRPr="0039418C">
        <w:rPr>
          <w:rFonts w:eastAsiaTheme="minorEastAsia"/>
          <w:rtl/>
        </w:rPr>
        <w:t>136</w:t>
      </w:r>
      <w:r w:rsidRPr="007C5498">
        <w:rPr>
          <w:rFonts w:eastAsiaTheme="minorEastAsia"/>
          <w:rtl/>
        </w:rPr>
        <w:t xml:space="preserve"> (</w:t>
      </w:r>
      <w:r w:rsidRPr="0039418C">
        <w:rPr>
          <w:rFonts w:eastAsiaTheme="minorEastAsia"/>
          <w:rtl/>
        </w:rPr>
        <w:t>10</w:t>
      </w:r>
      <w:r w:rsidRPr="007C5498">
        <w:rPr>
          <w:rFonts w:eastAsiaTheme="minorEastAsia"/>
          <w:rtl/>
        </w:rPr>
        <w:t xml:space="preserve"> تشرين الأول/أكتوبر -</w:t>
      </w:r>
      <w:r w:rsidRPr="004769D8">
        <w:rPr>
          <w:rFonts w:eastAsiaTheme="minorEastAsia" w:hint="cs"/>
          <w:rtl/>
        </w:rPr>
        <w:t xml:space="preserve"> </w:t>
      </w:r>
      <w:r w:rsidRPr="0039418C">
        <w:rPr>
          <w:rFonts w:eastAsiaTheme="minorEastAsia"/>
          <w:rtl/>
        </w:rPr>
        <w:t>4</w:t>
      </w:r>
      <w:r w:rsidRPr="007C5498">
        <w:rPr>
          <w:rFonts w:eastAsiaTheme="minorEastAsia"/>
          <w:rtl/>
        </w:rPr>
        <w:t xml:space="preserve"> تشرين الثاني/نوفمبر </w:t>
      </w:r>
      <w:r w:rsidRPr="0039418C">
        <w:rPr>
          <w:rFonts w:eastAsiaTheme="minorEastAsia"/>
          <w:rtl/>
        </w:rPr>
        <w:t>2022</w:t>
      </w:r>
      <w:r w:rsidRPr="007C5498">
        <w:rPr>
          <w:rFonts w:eastAsiaTheme="minorEastAsia"/>
          <w:rtl/>
        </w:rPr>
        <w:t>).</w:t>
      </w:r>
    </w:p>
  </w:footnote>
  <w:footnote w:id="2">
    <w:p w14:paraId="0B2A2040" w14:textId="0036037E" w:rsidR="001A3DA2" w:rsidRPr="007C5498" w:rsidRDefault="007C5498" w:rsidP="007C5498">
      <w:pPr>
        <w:pStyle w:val="FootnoteText1"/>
        <w:textDirection w:val="tbRlV"/>
        <w:rPr>
          <w:rFonts w:eastAsiaTheme="minorEastAsia"/>
          <w:lang w:val="ar-SA" w:eastAsia="zh-TW" w:bidi="en-GB"/>
        </w:rPr>
      </w:pPr>
      <w:r w:rsidRPr="007C5498">
        <w:rPr>
          <w:rFonts w:eastAsiaTheme="minorEastAsia" w:hint="cs"/>
          <w:rtl/>
        </w:rPr>
        <w:t>(</w:t>
      </w:r>
      <w:r w:rsidR="001A3DA2" w:rsidRPr="0039418C">
        <w:rPr>
          <w:rStyle w:val="FootnoteReference"/>
          <w:rFonts w:eastAsiaTheme="minorEastAsia"/>
          <w:vertAlign w:val="baseline"/>
        </w:rPr>
        <w:footnoteRef/>
      </w:r>
      <w:r w:rsidRPr="007C5498">
        <w:rPr>
          <w:rFonts w:eastAsiaTheme="minorEastAsia" w:hint="cs"/>
          <w:rtl/>
        </w:rPr>
        <w:t>)</w:t>
      </w:r>
      <w:r w:rsidR="001A3DA2" w:rsidRPr="007C5498">
        <w:rPr>
          <w:rFonts w:eastAsiaTheme="minorEastAsia"/>
          <w:rtl/>
        </w:rPr>
        <w:tab/>
      </w:r>
      <w:hyperlink r:id="rId1" w:history="1">
        <w:r w:rsidR="001A3DA2" w:rsidRPr="007C5498">
          <w:rPr>
            <w:rStyle w:val="Hyperlink"/>
            <w:rFonts w:eastAsiaTheme="minorEastAsia"/>
          </w:rPr>
          <w:t>CCPR/CO/</w:t>
        </w:r>
        <w:r w:rsidR="001A3DA2" w:rsidRPr="0039418C">
          <w:rPr>
            <w:rStyle w:val="Hyperlink"/>
            <w:rFonts w:eastAsiaTheme="minorEastAsia"/>
          </w:rPr>
          <w:t>75</w:t>
        </w:r>
        <w:r w:rsidR="001A3DA2" w:rsidRPr="007C5498">
          <w:rPr>
            <w:rStyle w:val="Hyperlink"/>
            <w:rFonts w:eastAsiaTheme="minorEastAsia"/>
          </w:rPr>
          <w:t>/VNM</w:t>
        </w:r>
      </w:hyperlink>
      <w:r w:rsidR="001A3DA2" w:rsidRPr="007C5498">
        <w:rPr>
          <w:rFonts w:eastAsiaTheme="minorEastAsia"/>
          <w:rtl/>
        </w:rPr>
        <w:t xml:space="preserve">، </w:t>
      </w:r>
      <w:r w:rsidR="001A3DA2" w:rsidRPr="007C5498">
        <w:rPr>
          <w:rtl/>
        </w:rPr>
        <w:t>الفقرة</w:t>
      </w:r>
      <w:r w:rsidR="001A3DA2" w:rsidRPr="007C5498">
        <w:rPr>
          <w:rFonts w:eastAsiaTheme="minorEastAsia"/>
          <w:rtl/>
        </w:rPr>
        <w:t xml:space="preserve"> </w:t>
      </w:r>
      <w:r w:rsidR="001A3DA2" w:rsidRPr="0039418C">
        <w:rPr>
          <w:rFonts w:eastAsiaTheme="minorEastAsia"/>
          <w:rtl/>
        </w:rPr>
        <w:t>7</w:t>
      </w:r>
      <w:r w:rsidR="001A3DA2" w:rsidRPr="007C5498">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285C" w14:textId="72D16063" w:rsidR="0074451E" w:rsidRPr="0074451E" w:rsidRDefault="0074451E" w:rsidP="0074451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659D">
      <w:t>CCPR/C/136/2/Add.4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87D48" w14:textId="70CDDAA4" w:rsidR="0074451E" w:rsidRPr="0074451E" w:rsidRDefault="0074451E" w:rsidP="0074451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D659D">
      <w:t>CCPR/C/136/2/Add.4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62490446">
    <w:abstractNumId w:val="15"/>
  </w:num>
  <w:num w:numId="2" w16cid:durableId="898902982">
    <w:abstractNumId w:val="12"/>
  </w:num>
  <w:num w:numId="3" w16cid:durableId="2086681107">
    <w:abstractNumId w:val="2"/>
  </w:num>
  <w:num w:numId="4" w16cid:durableId="338313872">
    <w:abstractNumId w:val="11"/>
  </w:num>
  <w:num w:numId="5" w16cid:durableId="1601790350">
    <w:abstractNumId w:val="8"/>
  </w:num>
  <w:num w:numId="6" w16cid:durableId="2070686291">
    <w:abstractNumId w:val="5"/>
  </w:num>
  <w:num w:numId="7" w16cid:durableId="358434519">
    <w:abstractNumId w:val="17"/>
  </w:num>
  <w:num w:numId="8" w16cid:durableId="15087722">
    <w:abstractNumId w:val="2"/>
  </w:num>
  <w:num w:numId="9" w16cid:durableId="1918318135">
    <w:abstractNumId w:val="11"/>
  </w:num>
  <w:num w:numId="10" w16cid:durableId="2129928497">
    <w:abstractNumId w:val="5"/>
  </w:num>
  <w:num w:numId="11" w16cid:durableId="671756991">
    <w:abstractNumId w:val="17"/>
  </w:num>
  <w:num w:numId="12" w16cid:durableId="711687849">
    <w:abstractNumId w:val="2"/>
  </w:num>
  <w:num w:numId="13" w16cid:durableId="2129398286">
    <w:abstractNumId w:val="11"/>
  </w:num>
  <w:num w:numId="14" w16cid:durableId="880558948">
    <w:abstractNumId w:val="8"/>
  </w:num>
  <w:num w:numId="15" w16cid:durableId="440999456">
    <w:abstractNumId w:val="5"/>
  </w:num>
  <w:num w:numId="16" w16cid:durableId="656423791">
    <w:abstractNumId w:val="17"/>
  </w:num>
  <w:num w:numId="17" w16cid:durableId="796141026">
    <w:abstractNumId w:val="4"/>
  </w:num>
  <w:num w:numId="18" w16cid:durableId="865752096">
    <w:abstractNumId w:val="3"/>
  </w:num>
  <w:num w:numId="19" w16cid:durableId="1498109820">
    <w:abstractNumId w:val="16"/>
  </w:num>
  <w:num w:numId="20" w16cid:durableId="1036127065">
    <w:abstractNumId w:val="13"/>
  </w:num>
  <w:num w:numId="21" w16cid:durableId="99877768">
    <w:abstractNumId w:val="1"/>
  </w:num>
  <w:num w:numId="22" w16cid:durableId="2005282833">
    <w:abstractNumId w:val="14"/>
  </w:num>
  <w:num w:numId="23" w16cid:durableId="324237623">
    <w:abstractNumId w:val="0"/>
  </w:num>
  <w:num w:numId="24" w16cid:durableId="387731427">
    <w:abstractNumId w:val="9"/>
  </w:num>
  <w:num w:numId="25" w16cid:durableId="31919175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3287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582458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4451605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46566054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011176354">
    <w:abstractNumId w:val="7"/>
  </w:num>
  <w:num w:numId="31" w16cid:durableId="117893074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13675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F1D"/>
    <w:rsid w:val="000076D5"/>
    <w:rsid w:val="00043663"/>
    <w:rsid w:val="000437B8"/>
    <w:rsid w:val="000505CF"/>
    <w:rsid w:val="000D701C"/>
    <w:rsid w:val="000E2A71"/>
    <w:rsid w:val="00145577"/>
    <w:rsid w:val="00160263"/>
    <w:rsid w:val="00181F96"/>
    <w:rsid w:val="001872B1"/>
    <w:rsid w:val="001921B1"/>
    <w:rsid w:val="001A1371"/>
    <w:rsid w:val="001A3DA2"/>
    <w:rsid w:val="001B043F"/>
    <w:rsid w:val="001B346A"/>
    <w:rsid w:val="001D659D"/>
    <w:rsid w:val="001E1CAD"/>
    <w:rsid w:val="001E290D"/>
    <w:rsid w:val="002144FA"/>
    <w:rsid w:val="0023469A"/>
    <w:rsid w:val="00243C8A"/>
    <w:rsid w:val="00267A0E"/>
    <w:rsid w:val="002901D9"/>
    <w:rsid w:val="002976C2"/>
    <w:rsid w:val="003068BC"/>
    <w:rsid w:val="003260FF"/>
    <w:rsid w:val="0033185C"/>
    <w:rsid w:val="00343D95"/>
    <w:rsid w:val="00363A18"/>
    <w:rsid w:val="00374341"/>
    <w:rsid w:val="0039418C"/>
    <w:rsid w:val="003B4237"/>
    <w:rsid w:val="003D1062"/>
    <w:rsid w:val="00402051"/>
    <w:rsid w:val="00420D7B"/>
    <w:rsid w:val="00450B21"/>
    <w:rsid w:val="00453B63"/>
    <w:rsid w:val="00455780"/>
    <w:rsid w:val="0046323F"/>
    <w:rsid w:val="004769D8"/>
    <w:rsid w:val="004B0A1C"/>
    <w:rsid w:val="004B27E0"/>
    <w:rsid w:val="004C3ECA"/>
    <w:rsid w:val="004D298E"/>
    <w:rsid w:val="005044B3"/>
    <w:rsid w:val="00517BC9"/>
    <w:rsid w:val="0054472E"/>
    <w:rsid w:val="005662A9"/>
    <w:rsid w:val="00581A8E"/>
    <w:rsid w:val="005827D4"/>
    <w:rsid w:val="0058508B"/>
    <w:rsid w:val="0059622A"/>
    <w:rsid w:val="005B51C4"/>
    <w:rsid w:val="005C0061"/>
    <w:rsid w:val="005C5878"/>
    <w:rsid w:val="005C7CEA"/>
    <w:rsid w:val="005D3C0B"/>
    <w:rsid w:val="005E5217"/>
    <w:rsid w:val="005F0FA4"/>
    <w:rsid w:val="005F30EE"/>
    <w:rsid w:val="005F5271"/>
    <w:rsid w:val="0060473A"/>
    <w:rsid w:val="00606BFE"/>
    <w:rsid w:val="00617024"/>
    <w:rsid w:val="00621120"/>
    <w:rsid w:val="00652221"/>
    <w:rsid w:val="00656392"/>
    <w:rsid w:val="006645EC"/>
    <w:rsid w:val="0068781D"/>
    <w:rsid w:val="006959B0"/>
    <w:rsid w:val="006B3E27"/>
    <w:rsid w:val="006B6507"/>
    <w:rsid w:val="006C104C"/>
    <w:rsid w:val="006C2224"/>
    <w:rsid w:val="006C632E"/>
    <w:rsid w:val="00717FB3"/>
    <w:rsid w:val="00730446"/>
    <w:rsid w:val="00733704"/>
    <w:rsid w:val="0074451E"/>
    <w:rsid w:val="0078071A"/>
    <w:rsid w:val="00787022"/>
    <w:rsid w:val="00787E1E"/>
    <w:rsid w:val="007C5498"/>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9F131A"/>
    <w:rsid w:val="00A03700"/>
    <w:rsid w:val="00A053F2"/>
    <w:rsid w:val="00A12B37"/>
    <w:rsid w:val="00A20150"/>
    <w:rsid w:val="00A54828"/>
    <w:rsid w:val="00A77F1D"/>
    <w:rsid w:val="00A92EEF"/>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479F4"/>
    <w:rsid w:val="00F763B4"/>
    <w:rsid w:val="00F900C3"/>
    <w:rsid w:val="00FC6EDD"/>
    <w:rsid w:val="00FD46E2"/>
    <w:rsid w:val="00FE502A"/>
    <w:rsid w:val="00FF0D3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96F6AE"/>
  <w15:docId w15:val="{E9347469-70DA-4F15-BB5E-F7EE02AD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1A3DA2"/>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1A3DA2"/>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1A3DA2"/>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rsid w:val="001A3DA2"/>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SingleTxtG">
    <w:name w:val="_ Single Txt_G"/>
    <w:basedOn w:val="Normal"/>
    <w:rsid w:val="001A3DA2"/>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1A3DA2"/>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1A3DA2"/>
    <w:rPr>
      <w:rFonts w:ascii="Times New Roman" w:eastAsia="SimSun" w:hAnsiTheme="minorHAnsi" w:cs="Traditional Arabic"/>
      <w:sz w:val="18"/>
      <w:szCs w:val="30"/>
      <w:lang w:val="en-GB" w:eastAsia="zh-CN"/>
    </w:rPr>
  </w:style>
  <w:style w:type="character" w:styleId="FootnoteReference">
    <w:name w:val="footnote reference"/>
    <w:aliases w:val="4_G"/>
    <w:rsid w:val="001A3DA2"/>
    <w:rPr>
      <w:rFonts w:ascii="Times New Roman" w:hAnsi="Times New Roman"/>
      <w:sz w:val="18"/>
      <w:vertAlign w:val="superscript"/>
    </w:rPr>
  </w:style>
  <w:style w:type="character" w:styleId="UnresolvedMention">
    <w:name w:val="Unresolved Mention"/>
    <w:basedOn w:val="DefaultParagraphFont"/>
    <w:uiPriority w:val="99"/>
    <w:semiHidden/>
    <w:unhideWhenUsed/>
    <w:rsid w:val="001A3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VNM%2f49195&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VNM/FCO/3" TargetMode="External"/><Relationship Id="rId4" Type="http://schemas.openxmlformats.org/officeDocument/2006/relationships/settings" Target="settings.xml"/><Relationship Id="rId9" Type="http://schemas.openxmlformats.org/officeDocument/2006/relationships/hyperlink" Target="https://undocs.org/ar/CCPR/C/VNM/CO/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CPR/CO/75/VN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1907</Words>
  <Characters>10683</Characters>
  <Application>Microsoft Office Word</Application>
  <DocSecurity>0</DocSecurity>
  <Lines>172</Lines>
  <Paragraphs>60</Paragraphs>
  <ScaleCrop>false</ScaleCrop>
  <HeadingPairs>
    <vt:vector size="2" baseType="variant">
      <vt:variant>
        <vt:lpstr>Title</vt:lpstr>
      </vt:variant>
      <vt:variant>
        <vt:i4>1</vt:i4>
      </vt:variant>
    </vt:vector>
  </HeadingPairs>
  <TitlesOfParts>
    <vt:vector size="1" baseType="lpstr">
      <vt:lpstr>CCPR/C/136/2/Add.4</vt:lpstr>
    </vt:vector>
  </TitlesOfParts>
  <Company>DCM</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CCPR/C/136/2/Add.4</dc:title>
  <dc:subject>GE.2225662(A)</dc:subject>
  <dc:creator>Muntaha BUHNAM - </dc:creator>
  <cp:keywords>GE.2258757(A)</cp:keywords>
  <dc:description>Distr.: General
5 December 2022
Arabic
Original: English</dc:description>
  <cp:lastModifiedBy>Jamila Chedad</cp:lastModifiedBy>
  <cp:revision>3</cp:revision>
  <cp:lastPrinted>2023-02-08T13:40:00Z</cp:lastPrinted>
  <dcterms:created xsi:type="dcterms:W3CDTF">2023-02-08T13:40:00Z</dcterms:created>
  <dcterms:modified xsi:type="dcterms:W3CDTF">2023-02-08T13:40:00Z</dcterms:modified>
  <cp:category>Finale</cp:category>
</cp:coreProperties>
</file>