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79.2pt;margin-top:684.65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46229</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E/1990/5/Add.44</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 xml:space="preserve">9 December </w:t>
            </w:r>
            <w:r>
              <w:rPr>
                <w:lang w:val="en-US"/>
              </w:rPr>
              <w:fldChar w:fldCharType="end"/>
            </w:r>
            <w:r>
              <w:rPr>
                <w:lang w:val="en-US"/>
              </w:rPr>
              <w:t>1999</w:t>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Original:  SPANISH</w:t>
            </w:r>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Основная сессия 1999 года</w:t>
      </w:r>
    </w:p>
    <w:p w:rsidR="00000000" w:rsidRDefault="00000000"/>
    <w:p w:rsidR="00000000" w:rsidRDefault="00000000">
      <w:pPr>
        <w:jc w:val="center"/>
      </w:pPr>
      <w:r>
        <w:t>ОСУЩЕСТВЛЕНИЕ МЕЖДУНАРОДНОГО ПАКТА ОБ ЭКОНОМИЧЕСКИХ,</w:t>
      </w:r>
    </w:p>
    <w:p w:rsidR="00000000" w:rsidRDefault="00000000">
      <w:pPr>
        <w:jc w:val="center"/>
      </w:pPr>
      <w:r>
        <w:t>СОЦИАЛЬНЫХ И КУЛЬТУРНЫХ ПРАВАХ</w:t>
      </w:r>
    </w:p>
    <w:p w:rsidR="00000000" w:rsidRDefault="00000000">
      <w:pPr>
        <w:jc w:val="center"/>
      </w:pPr>
    </w:p>
    <w:p w:rsidR="00000000" w:rsidRDefault="00000000">
      <w:pPr>
        <w:jc w:val="center"/>
      </w:pPr>
      <w:r>
        <w:t>Первоначальные доклады, представляемые государствами-участниками</w:t>
      </w:r>
    </w:p>
    <w:p w:rsidR="00000000" w:rsidRDefault="00000000">
      <w:pPr>
        <w:jc w:val="center"/>
      </w:pPr>
      <w:r>
        <w:t>в соответствии со статьями 16 и 17 Пакта</w:t>
      </w:r>
    </w:p>
    <w:p w:rsidR="00000000" w:rsidRDefault="00000000">
      <w:pPr>
        <w:jc w:val="center"/>
      </w:pPr>
    </w:p>
    <w:p w:rsidR="00000000" w:rsidRDefault="00000000">
      <w:pPr>
        <w:pStyle w:val="Heading7"/>
        <w:spacing w:line="288" w:lineRule="auto"/>
      </w:pPr>
      <w:r>
        <w:t>Добавление</w:t>
      </w:r>
    </w:p>
    <w:p w:rsidR="00000000" w:rsidRDefault="00000000">
      <w:pPr>
        <w:pStyle w:val="Heading7"/>
        <w:spacing w:line="288" w:lineRule="auto"/>
      </w:pPr>
    </w:p>
    <w:p w:rsidR="00000000" w:rsidRDefault="00000000">
      <w:pPr>
        <w:jc w:val="center"/>
      </w:pPr>
      <w:r>
        <w:t>БОЛИВИЯ</w:t>
      </w:r>
      <w:r>
        <w:rPr>
          <w:rStyle w:val="FootnoteReference"/>
        </w:rPr>
        <w:footnoteReference w:customMarkFollows="1" w:id="1"/>
        <w:t>*</w:t>
      </w:r>
      <w:r>
        <w:t xml:space="preserve">  </w:t>
      </w:r>
      <w:r>
        <w:rPr>
          <w:rStyle w:val="FootnoteReference"/>
        </w:rPr>
        <w:footnoteReference w:customMarkFollows="1" w:id="2"/>
        <w:t>**</w:t>
      </w:r>
    </w:p>
    <w:p w:rsidR="00000000" w:rsidRDefault="00000000">
      <w:pPr>
        <w:jc w:val="center"/>
      </w:pPr>
    </w:p>
    <w:p w:rsidR="00000000" w:rsidRDefault="00000000">
      <w:pPr>
        <w:jc w:val="right"/>
      </w:pPr>
      <w:r>
        <w:t>(14 июля 1999 года)</w:t>
      </w:r>
    </w:p>
    <w:p w:rsidR="00000000" w:rsidRDefault="00000000">
      <w:pPr>
        <w:jc w:val="right"/>
      </w:pPr>
    </w:p>
    <w:p w:rsidR="00000000" w:rsidRDefault="00000000">
      <w:pPr>
        <w:jc w:val="center"/>
      </w:pPr>
      <w:r>
        <w:br w:type="page"/>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6237"/>
          <w:tab w:val="left" w:leader="dot" w:pos="7173"/>
          <w:tab w:val="center" w:pos="8039"/>
          <w:tab w:val="center" w:pos="9122"/>
        </w:tabs>
      </w:pPr>
      <w:r>
        <w:t>I.</w:t>
      </w:r>
      <w:r>
        <w:tab/>
        <w:t xml:space="preserve">ОБЩИЕ СВЕДЕНИЯ </w:t>
      </w:r>
      <w:r>
        <w:tab/>
      </w:r>
      <w:r>
        <w:tab/>
        <w:t>1 – 59</w:t>
      </w:r>
      <w:r>
        <w:tab/>
      </w:r>
      <w:r>
        <w:rPr>
          <w:lang w:val="en-US"/>
        </w:rPr>
        <w:t>3</w:t>
      </w:r>
    </w:p>
    <w:p w:rsidR="00000000" w:rsidRDefault="00000000">
      <w:pPr>
        <w:tabs>
          <w:tab w:val="clear" w:pos="6237"/>
          <w:tab w:val="left" w:leader="dot" w:pos="7173"/>
          <w:tab w:val="center" w:pos="8039"/>
          <w:tab w:val="center" w:pos="9122"/>
        </w:tabs>
      </w:pPr>
    </w:p>
    <w:p w:rsidR="00000000" w:rsidRDefault="00000000">
      <w:pPr>
        <w:tabs>
          <w:tab w:val="clear" w:pos="6237"/>
          <w:tab w:val="left" w:leader="dot" w:pos="7173"/>
          <w:tab w:val="center" w:pos="8039"/>
          <w:tab w:val="center" w:pos="9122"/>
        </w:tabs>
        <w:rPr>
          <w:lang w:val="en-US"/>
        </w:rPr>
      </w:pPr>
      <w:r>
        <w:tab/>
        <w:t>A.</w:t>
      </w:r>
      <w:r>
        <w:tab/>
        <w:t xml:space="preserve">Краткая информация о стране </w:t>
      </w:r>
      <w:r>
        <w:tab/>
      </w:r>
      <w:r>
        <w:tab/>
        <w:t>1 – 28</w:t>
      </w:r>
      <w:r>
        <w:tab/>
      </w:r>
      <w:r>
        <w:rPr>
          <w:lang w:val="en-US"/>
        </w:rPr>
        <w:t>3</w:t>
      </w:r>
    </w:p>
    <w:p w:rsidR="00000000" w:rsidRDefault="00000000">
      <w:pPr>
        <w:tabs>
          <w:tab w:val="clear" w:pos="6237"/>
          <w:tab w:val="left" w:leader="dot" w:pos="7173"/>
          <w:tab w:val="center" w:pos="8039"/>
          <w:tab w:val="center" w:pos="9122"/>
        </w:tabs>
      </w:pPr>
    </w:p>
    <w:p w:rsidR="00000000" w:rsidRDefault="00000000">
      <w:pPr>
        <w:tabs>
          <w:tab w:val="clear" w:pos="6237"/>
          <w:tab w:val="left" w:leader="dot" w:pos="7173"/>
          <w:tab w:val="center" w:pos="8039"/>
          <w:tab w:val="center" w:pos="9122"/>
        </w:tabs>
      </w:pPr>
      <w:r>
        <w:tab/>
        <w:t>B.</w:t>
      </w:r>
      <w:r>
        <w:tab/>
        <w:t xml:space="preserve">Информирование населения и популяризация Пакта и </w:t>
      </w:r>
    </w:p>
    <w:p w:rsidR="00000000" w:rsidRDefault="00000000">
      <w:pPr>
        <w:tabs>
          <w:tab w:val="clear" w:pos="6237"/>
          <w:tab w:val="left" w:leader="dot" w:pos="7173"/>
          <w:tab w:val="center" w:pos="8039"/>
          <w:tab w:val="center" w:pos="9122"/>
        </w:tabs>
        <w:rPr>
          <w:lang w:val="en-US"/>
        </w:rPr>
      </w:pPr>
      <w:r>
        <w:tab/>
      </w:r>
      <w:r>
        <w:tab/>
        <w:t xml:space="preserve">национальных докладов в Комитет </w:t>
      </w:r>
      <w:r>
        <w:tab/>
      </w:r>
      <w:r>
        <w:tab/>
        <w:t>29 – 32</w:t>
      </w:r>
      <w:r>
        <w:tab/>
      </w:r>
      <w:r>
        <w:rPr>
          <w:lang w:val="en-US"/>
        </w:rPr>
        <w:t>7</w:t>
      </w:r>
    </w:p>
    <w:p w:rsidR="00000000" w:rsidRDefault="00000000">
      <w:pPr>
        <w:tabs>
          <w:tab w:val="clear" w:pos="6237"/>
          <w:tab w:val="left" w:leader="dot" w:pos="7173"/>
          <w:tab w:val="center" w:pos="8039"/>
          <w:tab w:val="center" w:pos="9122"/>
        </w:tabs>
      </w:pPr>
    </w:p>
    <w:p w:rsidR="00000000" w:rsidRDefault="00000000">
      <w:pPr>
        <w:tabs>
          <w:tab w:val="clear" w:pos="6237"/>
          <w:tab w:val="left" w:leader="dot" w:pos="7173"/>
          <w:tab w:val="center" w:pos="8039"/>
          <w:tab w:val="center" w:pos="9122"/>
        </w:tabs>
        <w:rPr>
          <w:lang w:val="en-US"/>
        </w:rPr>
      </w:pPr>
      <w:r>
        <w:tab/>
        <w:t>C.</w:t>
      </w:r>
      <w:r>
        <w:tab/>
        <w:t xml:space="preserve">Правовой статус и конкретное применение Пакта </w:t>
      </w:r>
      <w:r>
        <w:tab/>
      </w:r>
      <w:r>
        <w:tab/>
        <w:t>33 – 43</w:t>
      </w:r>
      <w:r>
        <w:tab/>
      </w:r>
      <w:r>
        <w:rPr>
          <w:lang w:val="en-US"/>
        </w:rPr>
        <w:t>8</w:t>
      </w:r>
    </w:p>
    <w:p w:rsidR="00000000" w:rsidRDefault="00000000">
      <w:pPr>
        <w:pStyle w:val="FootnoteText"/>
        <w:tabs>
          <w:tab w:val="clear" w:pos="2268"/>
          <w:tab w:val="clear" w:pos="6237"/>
          <w:tab w:val="left" w:leader="dot" w:pos="7173"/>
          <w:tab w:val="center" w:pos="8039"/>
          <w:tab w:val="center" w:pos="9122"/>
        </w:tabs>
        <w:spacing w:line="288" w:lineRule="auto"/>
      </w:pPr>
    </w:p>
    <w:p w:rsidR="00000000" w:rsidRDefault="00000000">
      <w:pPr>
        <w:pStyle w:val="FootnoteText"/>
        <w:tabs>
          <w:tab w:val="clear" w:pos="2268"/>
          <w:tab w:val="clear" w:pos="6237"/>
          <w:tab w:val="left" w:leader="dot" w:pos="7173"/>
          <w:tab w:val="center" w:pos="8039"/>
          <w:tab w:val="center" w:pos="9122"/>
        </w:tabs>
        <w:spacing w:line="288" w:lineRule="auto"/>
      </w:pPr>
      <w:r>
        <w:tab/>
        <w:t>D.</w:t>
      </w:r>
      <w:r>
        <w:tab/>
        <w:t xml:space="preserve">Роль международного сотрудничества в процессе </w:t>
      </w:r>
    </w:p>
    <w:p w:rsidR="00000000" w:rsidRDefault="00000000">
      <w:pPr>
        <w:pStyle w:val="FootnoteText"/>
        <w:tabs>
          <w:tab w:val="clear" w:pos="2268"/>
          <w:tab w:val="clear" w:pos="6237"/>
          <w:tab w:val="left" w:leader="dot" w:pos="7173"/>
          <w:tab w:val="center" w:pos="8039"/>
          <w:tab w:val="center" w:pos="9122"/>
        </w:tabs>
        <w:spacing w:line="288" w:lineRule="auto"/>
        <w:rPr>
          <w:lang w:val="en-US"/>
        </w:rPr>
      </w:pPr>
      <w:r>
        <w:tab/>
      </w:r>
      <w:r>
        <w:tab/>
        <w:t xml:space="preserve">применения Пакта </w:t>
      </w:r>
      <w:r>
        <w:tab/>
      </w:r>
      <w:r>
        <w:tab/>
        <w:t>44 – 59</w:t>
      </w:r>
      <w:r>
        <w:tab/>
      </w:r>
      <w:r>
        <w:rPr>
          <w:lang w:val="en-US"/>
        </w:rPr>
        <w:t>10</w:t>
      </w:r>
    </w:p>
    <w:p w:rsidR="00000000" w:rsidRDefault="00000000">
      <w:pPr>
        <w:pStyle w:val="FootnoteText"/>
        <w:tabs>
          <w:tab w:val="clear" w:pos="2268"/>
          <w:tab w:val="clear" w:pos="6237"/>
          <w:tab w:val="left" w:leader="dot" w:pos="7173"/>
          <w:tab w:val="center" w:pos="8039"/>
          <w:tab w:val="center" w:pos="9122"/>
        </w:tabs>
        <w:spacing w:line="288" w:lineRule="auto"/>
      </w:pPr>
    </w:p>
    <w:p w:rsidR="00000000" w:rsidRDefault="00000000">
      <w:pPr>
        <w:pStyle w:val="FootnoteText"/>
        <w:tabs>
          <w:tab w:val="clear" w:pos="6237"/>
          <w:tab w:val="left" w:leader="dot" w:pos="7173"/>
          <w:tab w:val="center" w:pos="8039"/>
          <w:tab w:val="center" w:pos="9122"/>
        </w:tabs>
        <w:spacing w:line="288" w:lineRule="auto"/>
        <w:rPr>
          <w:lang w:val="en-US"/>
        </w:rPr>
      </w:pPr>
      <w:r>
        <w:t>II.</w:t>
      </w:r>
      <w:r>
        <w:tab/>
        <w:t xml:space="preserve">ОБЩИЕ ПОЛОЖЕНИЯ </w:t>
      </w:r>
      <w:r>
        <w:tab/>
      </w:r>
      <w:r>
        <w:tab/>
        <w:t>60 – 63</w:t>
      </w:r>
      <w:r>
        <w:tab/>
      </w:r>
      <w:r>
        <w:rPr>
          <w:lang w:val="en-US"/>
        </w:rPr>
        <w:t>13</w:t>
      </w:r>
    </w:p>
    <w:p w:rsidR="00000000" w:rsidRDefault="00000000">
      <w:pPr>
        <w:pStyle w:val="FootnoteText"/>
        <w:tabs>
          <w:tab w:val="clear" w:pos="6237"/>
          <w:tab w:val="left" w:leader="dot" w:pos="7173"/>
          <w:tab w:val="center" w:pos="8039"/>
          <w:tab w:val="center" w:pos="9122"/>
        </w:tabs>
        <w:spacing w:line="288" w:lineRule="auto"/>
      </w:pPr>
    </w:p>
    <w:p w:rsidR="00000000" w:rsidRDefault="00000000">
      <w:pPr>
        <w:tabs>
          <w:tab w:val="clear" w:pos="1701"/>
          <w:tab w:val="clear" w:pos="2268"/>
          <w:tab w:val="clear" w:pos="6237"/>
          <w:tab w:val="left" w:leader="dot" w:pos="7173"/>
          <w:tab w:val="center" w:pos="8039"/>
          <w:tab w:val="center" w:pos="9122"/>
        </w:tabs>
        <w:rPr>
          <w:lang w:val="en-US"/>
        </w:rPr>
      </w:pPr>
      <w:r>
        <w:tab/>
        <w:t>A.</w:t>
      </w:r>
      <w:r>
        <w:tab/>
        <w:t xml:space="preserve">Статья 1 </w:t>
      </w:r>
      <w:r>
        <w:tab/>
      </w:r>
      <w:r>
        <w:tab/>
        <w:t>60</w:t>
      </w:r>
      <w:r>
        <w:tab/>
      </w:r>
      <w:r>
        <w:rPr>
          <w:lang w:val="en-US"/>
        </w:rPr>
        <w:t>13</w:t>
      </w:r>
    </w:p>
    <w:p w:rsidR="00000000" w:rsidRDefault="00000000">
      <w:pPr>
        <w:tabs>
          <w:tab w:val="clear" w:pos="1701"/>
          <w:tab w:val="clear" w:pos="2268"/>
          <w:tab w:val="clear" w:pos="6237"/>
          <w:tab w:val="left" w:leader="dot" w:pos="7173"/>
          <w:tab w:val="center" w:pos="8039"/>
          <w:tab w:val="center" w:pos="9122"/>
        </w:tabs>
        <w:rPr>
          <w:lang w:val="en-US"/>
        </w:rPr>
      </w:pPr>
      <w:r>
        <w:tab/>
        <w:t>B.</w:t>
      </w:r>
      <w:r>
        <w:tab/>
        <w:t xml:space="preserve">Статья 2 </w:t>
      </w:r>
      <w:r>
        <w:tab/>
      </w:r>
      <w:r>
        <w:tab/>
        <w:t>61 - 63</w:t>
      </w:r>
      <w:r>
        <w:rPr>
          <w:lang w:val="en-US"/>
        </w:rPr>
        <w:tab/>
        <w:t>14</w:t>
      </w:r>
    </w:p>
    <w:p w:rsidR="00000000" w:rsidRDefault="00000000">
      <w:pPr>
        <w:tabs>
          <w:tab w:val="clear" w:pos="1701"/>
          <w:tab w:val="clear" w:pos="2268"/>
          <w:tab w:val="clear" w:pos="6237"/>
          <w:tab w:val="left" w:leader="dot" w:pos="7173"/>
          <w:tab w:val="center" w:pos="8039"/>
          <w:tab w:val="center" w:pos="9122"/>
        </w:tabs>
      </w:pPr>
    </w:p>
    <w:p w:rsidR="00000000" w:rsidRDefault="00000000">
      <w:pPr>
        <w:tabs>
          <w:tab w:val="clear" w:pos="1701"/>
          <w:tab w:val="clear" w:pos="2268"/>
          <w:tab w:val="clear" w:pos="6237"/>
          <w:tab w:val="left" w:leader="dot" w:pos="7173"/>
          <w:tab w:val="center" w:pos="8039"/>
          <w:tab w:val="center" w:pos="9122"/>
        </w:tabs>
        <w:rPr>
          <w:lang w:val="en-US"/>
        </w:rPr>
      </w:pPr>
      <w:r>
        <w:t>III.</w:t>
      </w:r>
      <w:r>
        <w:tab/>
        <w:t xml:space="preserve">ПОЛОЖЕНИЯ, КАСАЮЩИЕСЯ КОНКРЕТНЫХ ПРАВ </w:t>
      </w:r>
      <w:r>
        <w:tab/>
      </w:r>
      <w:r>
        <w:tab/>
        <w:t>64 - 511</w:t>
      </w:r>
      <w:r>
        <w:rPr>
          <w:lang w:val="en-US"/>
        </w:rPr>
        <w:tab/>
        <w:t>14</w:t>
      </w:r>
    </w:p>
    <w:p w:rsidR="00000000" w:rsidRDefault="00000000">
      <w:pPr>
        <w:tabs>
          <w:tab w:val="clear" w:pos="1701"/>
          <w:tab w:val="clear" w:pos="2268"/>
          <w:tab w:val="clear" w:pos="6237"/>
          <w:tab w:val="left" w:leader="dot" w:pos="7173"/>
          <w:tab w:val="center" w:pos="8039"/>
          <w:tab w:val="center" w:pos="9122"/>
        </w:tabs>
      </w:pPr>
    </w:p>
    <w:p w:rsidR="00000000" w:rsidRDefault="00000000">
      <w:pPr>
        <w:tabs>
          <w:tab w:val="clear" w:pos="1701"/>
          <w:tab w:val="clear" w:pos="2268"/>
          <w:tab w:val="clear" w:pos="6237"/>
          <w:tab w:val="left" w:leader="dot" w:pos="7173"/>
          <w:tab w:val="center" w:pos="8039"/>
          <w:tab w:val="center" w:pos="9122"/>
        </w:tabs>
        <w:rPr>
          <w:lang w:val="en-US"/>
        </w:rPr>
      </w:pPr>
      <w:r>
        <w:tab/>
        <w:t>A.</w:t>
      </w:r>
      <w:r>
        <w:tab/>
        <w:t xml:space="preserve">Статья 6 </w:t>
      </w:r>
      <w:r>
        <w:tab/>
      </w:r>
      <w:r>
        <w:tab/>
        <w:t>64 - 98</w:t>
      </w:r>
      <w:r>
        <w:tab/>
      </w:r>
      <w:r>
        <w:rPr>
          <w:lang w:val="en-US"/>
        </w:rPr>
        <w:t>14</w:t>
      </w:r>
    </w:p>
    <w:p w:rsidR="00000000" w:rsidRDefault="00000000">
      <w:pPr>
        <w:tabs>
          <w:tab w:val="clear" w:pos="1701"/>
          <w:tab w:val="clear" w:pos="2268"/>
          <w:tab w:val="clear" w:pos="6237"/>
          <w:tab w:val="left" w:leader="dot" w:pos="7173"/>
          <w:tab w:val="center" w:pos="8039"/>
          <w:tab w:val="center" w:pos="9122"/>
        </w:tabs>
        <w:rPr>
          <w:lang w:val="en-US"/>
        </w:rPr>
      </w:pPr>
      <w:r>
        <w:tab/>
        <w:t>B.</w:t>
      </w:r>
      <w:r>
        <w:tab/>
        <w:t xml:space="preserve">Статья 7 </w:t>
      </w:r>
      <w:r>
        <w:tab/>
      </w:r>
      <w:r>
        <w:tab/>
        <w:t>99 – 126</w:t>
      </w:r>
      <w:r>
        <w:tab/>
      </w:r>
      <w:r>
        <w:rPr>
          <w:lang w:val="en-US"/>
        </w:rPr>
        <w:t>26</w:t>
      </w:r>
    </w:p>
    <w:p w:rsidR="00000000" w:rsidRDefault="00000000">
      <w:pPr>
        <w:tabs>
          <w:tab w:val="clear" w:pos="1701"/>
          <w:tab w:val="clear" w:pos="2268"/>
          <w:tab w:val="clear" w:pos="6237"/>
          <w:tab w:val="left" w:leader="dot" w:pos="7173"/>
          <w:tab w:val="center" w:pos="8039"/>
          <w:tab w:val="center" w:pos="9122"/>
        </w:tabs>
        <w:rPr>
          <w:lang w:val="en-US"/>
        </w:rPr>
      </w:pPr>
      <w:r>
        <w:tab/>
        <w:t>C.</w:t>
      </w:r>
      <w:r>
        <w:tab/>
        <w:t xml:space="preserve">Статья 8 </w:t>
      </w:r>
      <w:r>
        <w:tab/>
      </w:r>
      <w:r>
        <w:tab/>
        <w:t>127 – 137</w:t>
      </w:r>
      <w:r>
        <w:tab/>
      </w:r>
      <w:r>
        <w:rPr>
          <w:lang w:val="en-US"/>
        </w:rPr>
        <w:t>34</w:t>
      </w:r>
    </w:p>
    <w:p w:rsidR="00000000" w:rsidRDefault="00000000">
      <w:pPr>
        <w:tabs>
          <w:tab w:val="clear" w:pos="1701"/>
          <w:tab w:val="clear" w:pos="2268"/>
          <w:tab w:val="clear" w:pos="6237"/>
          <w:tab w:val="left" w:leader="dot" w:pos="7173"/>
          <w:tab w:val="center" w:pos="8039"/>
          <w:tab w:val="center" w:pos="9122"/>
        </w:tabs>
        <w:rPr>
          <w:lang w:val="en-US"/>
        </w:rPr>
      </w:pPr>
      <w:r>
        <w:tab/>
        <w:t>D.</w:t>
      </w:r>
      <w:r>
        <w:tab/>
        <w:t xml:space="preserve">Статья 9 </w:t>
      </w:r>
      <w:r>
        <w:tab/>
      </w:r>
      <w:r>
        <w:tab/>
        <w:t>138 – 193</w:t>
      </w:r>
      <w:r>
        <w:tab/>
      </w:r>
      <w:r>
        <w:rPr>
          <w:lang w:val="en-US"/>
        </w:rPr>
        <w:t>36</w:t>
      </w:r>
    </w:p>
    <w:p w:rsidR="00000000" w:rsidRDefault="00000000">
      <w:pPr>
        <w:tabs>
          <w:tab w:val="clear" w:pos="1701"/>
          <w:tab w:val="clear" w:pos="2268"/>
          <w:tab w:val="clear" w:pos="6237"/>
          <w:tab w:val="left" w:leader="dot" w:pos="7173"/>
          <w:tab w:val="center" w:pos="8039"/>
          <w:tab w:val="center" w:pos="9122"/>
        </w:tabs>
        <w:rPr>
          <w:lang w:val="en-US"/>
        </w:rPr>
      </w:pPr>
      <w:r>
        <w:tab/>
        <w:t>E.</w:t>
      </w:r>
      <w:r>
        <w:tab/>
        <w:t xml:space="preserve">Статья 10 </w:t>
      </w:r>
      <w:r>
        <w:tab/>
      </w:r>
      <w:r>
        <w:tab/>
        <w:t>194 – 272</w:t>
      </w:r>
      <w:r>
        <w:tab/>
      </w:r>
      <w:r>
        <w:rPr>
          <w:lang w:val="en-US"/>
        </w:rPr>
        <w:t>51</w:t>
      </w:r>
    </w:p>
    <w:p w:rsidR="00000000" w:rsidRDefault="00000000">
      <w:pPr>
        <w:tabs>
          <w:tab w:val="clear" w:pos="1701"/>
          <w:tab w:val="clear" w:pos="2268"/>
          <w:tab w:val="clear" w:pos="6237"/>
          <w:tab w:val="left" w:leader="dot" w:pos="7173"/>
          <w:tab w:val="center" w:pos="8039"/>
          <w:tab w:val="center" w:pos="9122"/>
        </w:tabs>
        <w:rPr>
          <w:lang w:val="en-US"/>
        </w:rPr>
      </w:pPr>
      <w:r>
        <w:tab/>
        <w:t>F.</w:t>
      </w:r>
      <w:r>
        <w:tab/>
        <w:t xml:space="preserve">Статья 11 </w:t>
      </w:r>
      <w:r>
        <w:tab/>
      </w:r>
      <w:r>
        <w:tab/>
        <w:t>273 – 372</w:t>
      </w:r>
      <w:r>
        <w:tab/>
      </w:r>
      <w:r>
        <w:rPr>
          <w:lang w:val="en-US"/>
        </w:rPr>
        <w:t>68</w:t>
      </w:r>
    </w:p>
    <w:p w:rsidR="00000000" w:rsidRDefault="00000000">
      <w:pPr>
        <w:tabs>
          <w:tab w:val="clear" w:pos="1701"/>
          <w:tab w:val="clear" w:pos="2268"/>
          <w:tab w:val="clear" w:pos="6237"/>
          <w:tab w:val="left" w:leader="dot" w:pos="7173"/>
          <w:tab w:val="center" w:pos="8039"/>
          <w:tab w:val="center" w:pos="9122"/>
        </w:tabs>
        <w:rPr>
          <w:lang w:val="en-US"/>
        </w:rPr>
      </w:pPr>
      <w:r>
        <w:tab/>
        <w:t>G.</w:t>
      </w:r>
      <w:r>
        <w:tab/>
        <w:t xml:space="preserve">Статья 12 </w:t>
      </w:r>
      <w:r>
        <w:tab/>
      </w:r>
      <w:r>
        <w:tab/>
        <w:t>373 – 436</w:t>
      </w:r>
      <w:r>
        <w:tab/>
      </w:r>
      <w:r>
        <w:rPr>
          <w:lang w:val="en-US"/>
        </w:rPr>
        <w:t>93</w:t>
      </w:r>
    </w:p>
    <w:p w:rsidR="00000000" w:rsidRDefault="00000000">
      <w:pPr>
        <w:tabs>
          <w:tab w:val="clear" w:pos="1701"/>
          <w:tab w:val="clear" w:pos="2268"/>
          <w:tab w:val="clear" w:pos="6237"/>
          <w:tab w:val="left" w:leader="dot" w:pos="7173"/>
          <w:tab w:val="center" w:pos="8039"/>
          <w:tab w:val="center" w:pos="9122"/>
        </w:tabs>
        <w:rPr>
          <w:lang w:val="en-US"/>
        </w:rPr>
      </w:pPr>
      <w:r>
        <w:tab/>
        <w:t>H.</w:t>
      </w:r>
      <w:r>
        <w:tab/>
        <w:t xml:space="preserve">Статья 13 </w:t>
      </w:r>
      <w:r>
        <w:tab/>
      </w:r>
      <w:r>
        <w:tab/>
        <w:t>437 – 469</w:t>
      </w:r>
      <w:r>
        <w:tab/>
      </w:r>
      <w:r>
        <w:rPr>
          <w:lang w:val="en-US"/>
        </w:rPr>
        <w:t>114</w:t>
      </w:r>
    </w:p>
    <w:p w:rsidR="00000000" w:rsidRDefault="00000000">
      <w:pPr>
        <w:tabs>
          <w:tab w:val="clear" w:pos="1701"/>
          <w:tab w:val="clear" w:pos="2268"/>
          <w:tab w:val="clear" w:pos="6237"/>
          <w:tab w:val="left" w:leader="dot" w:pos="7173"/>
          <w:tab w:val="center" w:pos="8039"/>
          <w:tab w:val="center" w:pos="9122"/>
        </w:tabs>
        <w:rPr>
          <w:lang w:val="en-US"/>
        </w:rPr>
      </w:pPr>
      <w:r>
        <w:tab/>
        <w:t>I.</w:t>
      </w:r>
      <w:r>
        <w:tab/>
        <w:t xml:space="preserve">Статья 14 </w:t>
      </w:r>
      <w:r>
        <w:tab/>
      </w:r>
      <w:r>
        <w:tab/>
        <w:t>470</w:t>
      </w:r>
      <w:r>
        <w:tab/>
      </w:r>
      <w:r>
        <w:rPr>
          <w:lang w:val="en-US"/>
        </w:rPr>
        <w:t>123</w:t>
      </w:r>
    </w:p>
    <w:p w:rsidR="00000000" w:rsidRDefault="00000000">
      <w:pPr>
        <w:tabs>
          <w:tab w:val="clear" w:pos="1701"/>
          <w:tab w:val="clear" w:pos="2268"/>
          <w:tab w:val="clear" w:pos="6237"/>
          <w:tab w:val="left" w:leader="dot" w:pos="7173"/>
          <w:tab w:val="center" w:pos="8039"/>
          <w:tab w:val="center" w:pos="9122"/>
        </w:tabs>
        <w:rPr>
          <w:lang w:val="en-US"/>
        </w:rPr>
      </w:pPr>
      <w:r>
        <w:tab/>
        <w:t>J.</w:t>
      </w:r>
      <w:r>
        <w:tab/>
        <w:t xml:space="preserve">Статья 15 </w:t>
      </w:r>
      <w:r>
        <w:tab/>
      </w:r>
      <w:r>
        <w:tab/>
        <w:t>471 – 511</w:t>
      </w:r>
      <w:r>
        <w:tab/>
      </w:r>
      <w:r>
        <w:rPr>
          <w:lang w:val="en-US"/>
        </w:rPr>
        <w:t>123</w:t>
      </w:r>
    </w:p>
    <w:p w:rsidR="00000000" w:rsidRDefault="00000000">
      <w:pPr>
        <w:tabs>
          <w:tab w:val="clear" w:pos="1701"/>
          <w:tab w:val="clear" w:pos="2268"/>
          <w:tab w:val="clear" w:pos="6237"/>
          <w:tab w:val="left" w:leader="dot" w:pos="7173"/>
          <w:tab w:val="center" w:pos="8039"/>
          <w:tab w:val="center" w:pos="9122"/>
        </w:tabs>
      </w:pPr>
    </w:p>
    <w:p w:rsidR="00000000" w:rsidRDefault="00000000">
      <w:pPr>
        <w:pStyle w:val="FootnoteText"/>
        <w:tabs>
          <w:tab w:val="clear" w:pos="6237"/>
          <w:tab w:val="left" w:pos="1701"/>
          <w:tab w:val="left" w:pos="2268"/>
          <w:tab w:val="center" w:pos="8039"/>
          <w:tab w:val="center" w:pos="9122"/>
        </w:tabs>
        <w:spacing w:line="288" w:lineRule="auto"/>
        <w:jc w:val="center"/>
      </w:pPr>
      <w:r>
        <w:br w:type="page"/>
      </w:r>
      <w:r>
        <w:rPr>
          <w:b/>
        </w:rPr>
        <w:t>I.</w:t>
      </w:r>
      <w:r>
        <w:rPr>
          <w:b/>
        </w:rPr>
        <w:tab/>
        <w:t>ОБЩИЕ СВЕДЕНИЯ</w:t>
      </w:r>
    </w:p>
    <w:p w:rsidR="00000000" w:rsidRDefault="00000000">
      <w:pPr>
        <w:pStyle w:val="FootnoteText"/>
        <w:tabs>
          <w:tab w:val="clear" w:pos="6237"/>
          <w:tab w:val="left" w:pos="1701"/>
          <w:tab w:val="left" w:pos="2268"/>
          <w:tab w:val="center" w:pos="8039"/>
          <w:tab w:val="center" w:pos="9122"/>
        </w:tabs>
        <w:spacing w:line="288" w:lineRule="auto"/>
        <w:jc w:val="center"/>
      </w:pPr>
    </w:p>
    <w:p w:rsidR="00000000" w:rsidRDefault="00000000">
      <w:pPr>
        <w:pStyle w:val="FootnoteText"/>
        <w:tabs>
          <w:tab w:val="clear" w:pos="6237"/>
          <w:tab w:val="left" w:pos="1701"/>
          <w:tab w:val="left" w:pos="2268"/>
          <w:tab w:val="center" w:pos="8039"/>
          <w:tab w:val="center" w:pos="9122"/>
        </w:tabs>
        <w:spacing w:line="288" w:lineRule="auto"/>
        <w:jc w:val="center"/>
        <w:rPr>
          <w:b/>
          <w:u w:val="single"/>
        </w:rPr>
      </w:pPr>
      <w:r>
        <w:rPr>
          <w:b/>
        </w:rPr>
        <w:t>А.</w:t>
      </w:r>
      <w:r>
        <w:rPr>
          <w:b/>
        </w:rPr>
        <w:tab/>
      </w:r>
      <w:r>
        <w:rPr>
          <w:b/>
          <w:u w:val="single"/>
        </w:rPr>
        <w:t>Краткая информация о стране</w:t>
      </w:r>
    </w:p>
    <w:p w:rsidR="00000000" w:rsidRDefault="00000000">
      <w:pPr>
        <w:pStyle w:val="FootnoteText"/>
        <w:tabs>
          <w:tab w:val="clear" w:pos="6237"/>
          <w:tab w:val="left" w:pos="1701"/>
          <w:tab w:val="left" w:pos="2268"/>
          <w:tab w:val="center" w:pos="8039"/>
          <w:tab w:val="center" w:pos="9122"/>
        </w:tabs>
        <w:spacing w:line="288" w:lineRule="auto"/>
        <w:jc w:val="center"/>
        <w:rPr>
          <w:b/>
          <w:u w:val="single"/>
        </w:rPr>
      </w:pPr>
    </w:p>
    <w:p w:rsidR="00000000" w:rsidRDefault="00000000">
      <w:pPr>
        <w:pStyle w:val="FootnoteText"/>
        <w:tabs>
          <w:tab w:val="clear" w:pos="6237"/>
          <w:tab w:val="left" w:pos="1701"/>
          <w:tab w:val="left" w:pos="2268"/>
          <w:tab w:val="center" w:pos="8039"/>
          <w:tab w:val="center" w:pos="9122"/>
        </w:tabs>
        <w:spacing w:line="288" w:lineRule="auto"/>
        <w:jc w:val="center"/>
        <w:rPr>
          <w:b/>
        </w:rPr>
      </w:pPr>
      <w:r>
        <w:rPr>
          <w:b/>
        </w:rPr>
        <w:t>1.</w:t>
      </w:r>
      <w:r>
        <w:rPr>
          <w:b/>
        </w:rPr>
        <w:tab/>
        <w:t>Страна и население</w:t>
      </w:r>
    </w:p>
    <w:p w:rsidR="00000000" w:rsidRDefault="00000000">
      <w:pPr>
        <w:pStyle w:val="FootnoteText"/>
        <w:tabs>
          <w:tab w:val="clear" w:pos="6237"/>
          <w:tab w:val="left" w:pos="1701"/>
          <w:tab w:val="left" w:pos="2268"/>
          <w:tab w:val="center" w:pos="8039"/>
          <w:tab w:val="center" w:pos="9122"/>
        </w:tabs>
        <w:spacing w:line="288" w:lineRule="auto"/>
        <w:jc w:val="center"/>
        <w:rPr>
          <w:b/>
        </w:rPr>
      </w:pPr>
    </w:p>
    <w:p w:rsidR="00000000" w:rsidRDefault="00000000">
      <w:pPr>
        <w:pStyle w:val="FootnoteText"/>
        <w:tabs>
          <w:tab w:val="clear" w:pos="6237"/>
          <w:tab w:val="left" w:pos="1701"/>
          <w:tab w:val="left" w:pos="2268"/>
          <w:tab w:val="center" w:pos="8039"/>
          <w:tab w:val="center" w:pos="9122"/>
        </w:tabs>
        <w:spacing w:line="288" w:lineRule="auto"/>
      </w:pPr>
      <w:r>
        <w:t>1.</w:t>
      </w:r>
      <w:r>
        <w:tab/>
        <w:t>Боливия расположена в центральной части Южной Америки и граничит на севере и востоке с Бразилией, на юге с Аргентиной, на западе с Перу, на юго-востоке с Парагваем и на юго-западе с Чили.   Площадь территории страны составляет 1 098 581 кв. км (Национальный статистический институт, 1999 год).</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pPr>
      <w:r>
        <w:t>2.</w:t>
      </w:r>
      <w:r>
        <w:tab/>
        <w:t>В Боливии выделяют три основных географических зоны:  Анды, которые занимают 28% территории страны, предгорья Анд, расположенные между плоскогорьем и равнинами на востоке страны, на долю которых приходится 30% территории Боливии, а также равнины, составляющие 59% территории Боливии (Национальный статистический институт, 1999 год).</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pPr>
      <w:r>
        <w:t>3.</w:t>
      </w:r>
      <w:r>
        <w:tab/>
        <w:t>Общая численность населения достигает 8 137 113 человек, из которых 50,2% приходится на долю женщин и 49,8% - мужчин.  Сельское население составляет 58%, а городское - 42% жителей Боливии (Национальный статистический институт, 1999 год).  Коренное население страны, которое включает в себя 36 различных народностей, составляет приблизительно 69% от общей численности населения Боливии и абсолютное большинство среди жителей сельских районов страны (Национальная перепись населения 1992 года).</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pPr>
      <w:r>
        <w:t>4.</w:t>
      </w:r>
      <w:r>
        <w:tab/>
        <w:t>Официальным языком является испанский, но в районе Анд более всего распространены языки кечуа и аймара, а на восточных равнинах страны широко распространен, в частности, язык тупи-гуарани.</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pPr>
      <w:r>
        <w:t>5.</w:t>
      </w:r>
      <w:r>
        <w:tab/>
        <w:t>В соответствии со статьей 3 Политической конституции признается и поддерживается католичество, но при этом гарантируется право на публичное отправление любого другого культа.</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jc w:val="center"/>
      </w:pPr>
      <w:r>
        <w:rPr>
          <w:b/>
        </w:rPr>
        <w:t>2.</w:t>
      </w:r>
      <w:r>
        <w:rPr>
          <w:b/>
        </w:rPr>
        <w:tab/>
        <w:t>Общеполитическое устройство</w:t>
      </w:r>
    </w:p>
    <w:p w:rsidR="00000000" w:rsidRDefault="00000000">
      <w:pPr>
        <w:pStyle w:val="FootnoteText"/>
        <w:tabs>
          <w:tab w:val="clear" w:pos="6237"/>
          <w:tab w:val="left" w:pos="1701"/>
          <w:tab w:val="left" w:pos="2268"/>
          <w:tab w:val="center" w:pos="8039"/>
          <w:tab w:val="center" w:pos="9122"/>
        </w:tabs>
        <w:spacing w:line="288" w:lineRule="auto"/>
        <w:jc w:val="center"/>
      </w:pPr>
    </w:p>
    <w:p w:rsidR="00000000" w:rsidRDefault="00000000">
      <w:pPr>
        <w:pStyle w:val="FootnoteText"/>
        <w:tabs>
          <w:tab w:val="clear" w:pos="6237"/>
          <w:tab w:val="left" w:pos="1701"/>
          <w:tab w:val="left" w:pos="2268"/>
          <w:tab w:val="center" w:pos="8039"/>
          <w:tab w:val="center" w:pos="9122"/>
        </w:tabs>
        <w:spacing w:line="288" w:lineRule="auto"/>
      </w:pPr>
      <w:r>
        <w:t>6.</w:t>
      </w:r>
      <w:r>
        <w:tab/>
        <w:t xml:space="preserve">Свободная, независимая и суверенная Республика Боливия была создана 6 августа 1825 года в качестве унитарной республики, избравшей представительную демократическую форму правления, а первая Политическая конституция Боливии была принята 19 ноября 1826 года.  </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pPr>
      <w:r>
        <w:t>7.</w:t>
      </w:r>
      <w:r>
        <w:tab/>
        <w:t>Важной вехой в истории конституционного строительства Боливии стала Конституция 1938 года, в которой были закреплены положения, непосредственно касающиеся таких сфер, как семья (брак, семья и материнство), культура (образование, автономный статус государственных университетов), социальная жизнь (труд, социальное обеспечение).  Кроме того, в этой Конституции был закреплен институт хабеас корпус в качестве гарантии возможности предстать перед судебными органами для любых лиц, которые считают, что они подвергаются неправомерному или незаконному преследованию, задержанию, судопроизводству или заключению.</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pPr>
      <w:r>
        <w:t>8.</w:t>
      </w:r>
      <w:r>
        <w:tab/>
        <w:t>Кроме того, важное значение имела Политическая конституции Боливии 1967 года, поскольку в ней была закреплена процедура ампаро, направленная на борьбу с любыми незаконными деяниями или упущениями со стороны государственных служащих или частных лиц, которые ограничивают или отменяют права и гарантии граждан, признаваемые в Конституции и законах страны, или несут в себе угрозу их ограничения или отмены.  Процедура ампаро носит более широкий характер, чем хабеас корпус, так как  обеспечивает защиту всех прав, закрепленных в Основном законе и действующих нормативных актах.</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pPr>
      <w:r>
        <w:t>9.</w:t>
      </w:r>
      <w:r>
        <w:tab/>
        <w:t>В заключение следует сказать о действующей в настоящее время Конституции от 6 февраля 1995 года.  В ее основу положены следующие принципы:  Боливия является унитарной республикой, основанной на системе представительной демократии, а суверенитет народа базируется на классическом разделении властей на три ветви:  законодательную, исполнительную и судебную.</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pPr>
      <w:r>
        <w:t>10.</w:t>
      </w:r>
      <w:r>
        <w:tab/>
        <w:t>Орган законодательной власти состоит из двух палат:  Палата депутатов (130 членов) и Сената (27 членов), что в общей сложности составляет 157 законодателей.  Конституция страны предусматривает учреждение поста Народного защитника, который действует на основании Закона № 1818 в качестве верховного уполномоченного Национального конгресса.</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pPr>
        <w:pStyle w:val="FootnoteText"/>
        <w:tabs>
          <w:tab w:val="clear" w:pos="6237"/>
          <w:tab w:val="left" w:pos="1701"/>
          <w:tab w:val="left" w:pos="2268"/>
          <w:tab w:val="center" w:pos="8039"/>
          <w:tab w:val="center" w:pos="9122"/>
        </w:tabs>
        <w:spacing w:line="288" w:lineRule="auto"/>
      </w:pPr>
      <w:r>
        <w:t>11.</w:t>
      </w:r>
      <w:r>
        <w:tab/>
        <w:t>Исполнительная власть представлена президентом Республики и государственными министрами.  Нормативная основа функционирования этой важной ветви государственной власти закреплена в Законе о структуре исполнительных органов, Законе № 1788, а также в Указах-постановлениях № 24855 и 25055.</w:t>
      </w:r>
    </w:p>
    <w:p w:rsidR="00000000" w:rsidRDefault="00000000">
      <w:pPr>
        <w:pStyle w:val="FootnoteText"/>
        <w:tabs>
          <w:tab w:val="clear" w:pos="6237"/>
          <w:tab w:val="left" w:pos="1701"/>
          <w:tab w:val="left" w:pos="2268"/>
          <w:tab w:val="center" w:pos="8039"/>
          <w:tab w:val="center" w:pos="9122"/>
        </w:tabs>
        <w:spacing w:line="288" w:lineRule="auto"/>
      </w:pPr>
    </w:p>
    <w:p w:rsidR="00000000" w:rsidRDefault="00000000">
      <w:r>
        <w:t>12.</w:t>
      </w:r>
      <w:r>
        <w:tab/>
        <w:t>В соответствии с новыми принципами, содержащимися в Политической конституции Боливии, в состав судебной власти входят Верховный суд, окружные суды, районные судьи и судьи первой инстанции по различным делам;  а также Судебный совет и Конституционный суд.</w:t>
      </w:r>
    </w:p>
    <w:p w:rsidR="00000000" w:rsidRDefault="00000000"/>
    <w:p w:rsidR="00000000" w:rsidRDefault="00000000">
      <w:r>
        <w:t>13.</w:t>
      </w:r>
      <w:r>
        <w:tab/>
        <w:t>Кроме того, существуют муниципальные органы власти.  В каждой муниципии действует алькальд и муниципальный совет.  В настоящее время, после принятия нового Закона о самоуправлении, создан Совет по надзору.</w:t>
      </w:r>
    </w:p>
    <w:p w:rsidR="00000000" w:rsidRDefault="00000000"/>
    <w:p w:rsidR="00000000" w:rsidRDefault="00000000">
      <w:pPr>
        <w:pStyle w:val="10"/>
      </w:pPr>
      <w:r>
        <w:t>3.</w:t>
      </w:r>
      <w:r>
        <w:tab/>
        <w:t>Показатели в сферах экономики, социальной жизни и культуры</w:t>
      </w:r>
    </w:p>
    <w:p w:rsidR="00000000" w:rsidRDefault="00000000">
      <w:pPr>
        <w:rPr>
          <w:b/>
        </w:rPr>
      </w:pPr>
    </w:p>
    <w:p w:rsidR="00000000" w:rsidRDefault="00000000">
      <w:r>
        <w:t>14.</w:t>
      </w:r>
      <w:r>
        <w:tab/>
        <w:t>Размер валового национального продукта (ВНП) составляет 8 568 млн. долл. США, а доход на душу населения – 1 078 долл. США.  Согласно данным за 1998 год, годовые темпы инфляции составили 4,39%.  Годовой торговый баланс составляет 295,87 млн. долл. США (Национальный статистический институт, 1999 год).  Объем внешнего долга в 1998 году был равен 4 384,50 млн. долл. США.  В крупных городах безработица достигает 10,01% (Национальный статистический институт, 1997 год).  Показатель неграмотности находится на уровне 13,76% (Национальный статистический институт, 1998 год).</w:t>
      </w:r>
    </w:p>
    <w:p w:rsidR="00000000" w:rsidRDefault="00000000"/>
    <w:p w:rsidR="00000000" w:rsidRDefault="00000000">
      <w:pPr>
        <w:pStyle w:val="10"/>
      </w:pPr>
      <w:r>
        <w:t>4.</w:t>
      </w:r>
      <w:r>
        <w:tab/>
        <w:t>Общеправовая основа защиты прав человека</w:t>
      </w:r>
    </w:p>
    <w:p w:rsidR="00000000" w:rsidRDefault="00000000">
      <w:pPr>
        <w:rPr>
          <w:b/>
        </w:rPr>
      </w:pPr>
    </w:p>
    <w:p w:rsidR="00000000" w:rsidRDefault="00000000">
      <w:r>
        <w:t>15.</w:t>
      </w:r>
      <w:r>
        <w:tab/>
        <w:t xml:space="preserve">Следует отметить создание поста Народного защитника, в задачи которого в соответствии с Конституцией страны входит защита, поощрение и пропаганда прав человека. </w:t>
      </w:r>
    </w:p>
    <w:p w:rsidR="00000000" w:rsidRDefault="00000000"/>
    <w:p w:rsidR="00000000" w:rsidRDefault="00000000">
      <w:r>
        <w:t>16.</w:t>
      </w:r>
      <w:r>
        <w:tab/>
        <w:t>Цель Государственной прокуратуры состоит в обеспечении и отправления правосудия, в защите законности, а также интересов государства и общества.</w:t>
      </w:r>
    </w:p>
    <w:p w:rsidR="00000000" w:rsidRDefault="00000000"/>
    <w:p w:rsidR="00000000" w:rsidRDefault="00000000">
      <w:r>
        <w:t>17.</w:t>
      </w:r>
      <w:r>
        <w:tab/>
        <w:t>Работники Государственной адвокатуры и назначаемые защитники оказывают помощь обвиняемым по уголовным делам, которые не располагают достаточными средствами для оплаты услуг адвоката.</w:t>
      </w:r>
    </w:p>
    <w:p w:rsidR="00000000" w:rsidRDefault="00000000"/>
    <w:p w:rsidR="00000000" w:rsidRDefault="00000000">
      <w:r>
        <w:t>18.</w:t>
      </w:r>
      <w:r>
        <w:tab/>
        <w:t>Случаи нарушения  прав находятся в непосредственной юрисдикции судов, что следует из обязательства государства по расследованию, преследованию и устранению любых нарушений прав человека, которые закреплены в подписанных и ратифицированных Боливией договорах.</w:t>
      </w:r>
    </w:p>
    <w:p w:rsidR="00000000" w:rsidRDefault="00000000"/>
    <w:p w:rsidR="00000000" w:rsidRDefault="00000000">
      <w:r>
        <w:t>19.</w:t>
      </w:r>
      <w:r>
        <w:tab/>
        <w:t>Жалобы на нарушения прав человека направляются в Комиссию по правам человека Палаты депутатов Национального конгресса.  Важные функции выполняет Постоянная ассамблея по правам человека Боливии.</w:t>
      </w:r>
    </w:p>
    <w:p w:rsidR="00000000" w:rsidRDefault="00000000"/>
    <w:p w:rsidR="00000000" w:rsidRDefault="00000000">
      <w:r>
        <w:t>20.</w:t>
      </w:r>
      <w:r>
        <w:tab/>
        <w:t>Министерство юстиции и по правам человека в настоящее время создало в наиболее проблемных частях территории страны отделы прав человека.  Они были созданы в тропическом регионе Кочабамба, а именно в населенных пунктах:  Чиморе, Этерасама, Ивиргарсама и Було-Було.  В состав каждого такого отдела входят профессиональный адвокат, дипломированный врач, помощник по юридическим вопросам и водитель-пропагандист.</w:t>
      </w:r>
    </w:p>
    <w:p w:rsidR="00000000" w:rsidRDefault="00000000"/>
    <w:p w:rsidR="00000000" w:rsidRDefault="00000000">
      <w:r>
        <w:t>21.</w:t>
      </w:r>
      <w:r>
        <w:tab/>
        <w:t>Приоритетное значение это министерство уделяет положению индейских и коренных народов, содействие которым оказывается посредством трех отделов прав человека, созданных в недавнее время при поддержке правительства Швейцарии.  Эта помощь была предоставлена через Агентство по сотрудничеству в целях развития, КОСУДЕ.  Вышеупомянутые отделы созданы в населенных пунктах Чальяпата, провинция Авароа в департаменте Оруро, Монтеагудо, провинция Эрнандо-Силес в департаменте Чукисака, а также Риберальта, провинция Вака-Диес в департаменте Бени.  Основная задача этих отделов состоит в поощрении и защите прав человека.</w:t>
      </w:r>
    </w:p>
    <w:p w:rsidR="00000000" w:rsidRDefault="00000000"/>
    <w:p w:rsidR="00000000" w:rsidRDefault="00000000">
      <w:r>
        <w:t>22.</w:t>
      </w:r>
      <w:r>
        <w:tab/>
        <w:t>Особое значение работники этих отделов уделяют деятельности по поощрению и пропаганде экономических, социальных и культурных прав.  Кроме того, они получают жалобы на нарушения, расследуют эти жалобы и в случае необходимости передают их по принадлежности в Государственную прокуратуру, суды или Комиссию по правам человека Палаты депутатов Национального конгресса.</w:t>
      </w:r>
    </w:p>
    <w:p w:rsidR="00000000" w:rsidRDefault="00000000"/>
    <w:p w:rsidR="00000000" w:rsidRDefault="00000000">
      <w:r>
        <w:t>23.</w:t>
      </w:r>
      <w:r>
        <w:tab/>
        <w:t>Посредством трех вышеупомянутых отделов прав человека ставится задача обеспечить первоочередное оказание помощи наиболее уязвимым категориям населения, а именно:  женщинам, детям и престарелым.  Кроме того, деятельность этих отделов сможет способствовать урегулированию конфликтов посредством процедуры примирения.</w:t>
      </w:r>
    </w:p>
    <w:p w:rsidR="00000000" w:rsidRDefault="00000000"/>
    <w:p w:rsidR="00000000" w:rsidRDefault="00000000">
      <w:r>
        <w:t>24.</w:t>
      </w:r>
      <w:r>
        <w:tab/>
        <w:t>В состав каждого из этих отделов входят профессиональный адвокат, который оказывает юридическую помощь, а также врач, который, при необходимости, регистрирует телесные повреждения, полученные потерпевшим в случае нарушения права на личную неприкосновенность, но параллельно с этим занимается оказанием медицинской помощи населению, выполняя функции своего рода "семейного доктора".</w:t>
      </w:r>
    </w:p>
    <w:p w:rsidR="00000000" w:rsidRDefault="00000000"/>
    <w:p w:rsidR="00000000" w:rsidRDefault="00000000">
      <w:r>
        <w:t>25.</w:t>
      </w:r>
      <w:r>
        <w:tab/>
        <w:t>С июня 1999 года министерство юстиции и прав человека осуществляет и развивает всесторонний и многоотраслевой проект по "Поощрению и защите прав человека".  Это делается при техническом и финансовом содействии со стороны Управления Верховного Комиссара Организация Объединенных Наций по правам человека и Программы развития Организация Объединенных Наций.  Что касается темы настоящего доклада, то в рамках этого проекта затрагиваются права коренных народов, права детей и семьи, а также права женщин.</w:t>
      </w:r>
    </w:p>
    <w:p w:rsidR="00000000" w:rsidRDefault="00000000"/>
    <w:p w:rsidR="00000000" w:rsidRDefault="00000000">
      <w:pPr>
        <w:rPr>
          <w:b/>
        </w:rPr>
      </w:pPr>
      <w:r>
        <w:t>26.</w:t>
      </w:r>
      <w:r>
        <w:tab/>
        <w:t>В распоряжении лица, считающего, что какое-либо из его прав человека нарушено, находятся следующие средства защиты:</w:t>
      </w:r>
    </w:p>
    <w:p w:rsidR="00000000" w:rsidRDefault="00000000">
      <w:pPr>
        <w:rPr>
          <w:b/>
        </w:rPr>
      </w:pPr>
    </w:p>
    <w:p w:rsidR="00000000" w:rsidRDefault="00000000">
      <w:r>
        <w:rPr>
          <w:b/>
        </w:rPr>
        <w:tab/>
      </w:r>
      <w:r>
        <w:rPr>
          <w:lang w:val="en-US"/>
        </w:rPr>
        <w:t>a)</w:t>
      </w:r>
      <w:r>
        <w:rPr>
          <w:lang w:val="en-US"/>
        </w:rPr>
        <w:tab/>
      </w:r>
      <w:r>
        <w:t>закрепленный в Конституции механизм ампаро и процедура хабеас корпус;</w:t>
      </w:r>
    </w:p>
    <w:p w:rsidR="00000000" w:rsidRDefault="00000000"/>
    <w:p w:rsidR="00000000" w:rsidRDefault="00000000">
      <w:r>
        <w:rPr>
          <w:lang w:val="en-US"/>
        </w:rPr>
        <w:tab/>
        <w:t>b)</w:t>
      </w:r>
      <w:r>
        <w:rPr>
          <w:lang w:val="en-US"/>
        </w:rPr>
        <w:tab/>
        <w:t xml:space="preserve">возможность подать </w:t>
      </w:r>
      <w:r>
        <w:t>жалобу Народному защитнику;</w:t>
      </w:r>
    </w:p>
    <w:p w:rsidR="00000000" w:rsidRDefault="00000000"/>
    <w:p w:rsidR="00000000" w:rsidRDefault="00000000">
      <w:r>
        <w:tab/>
        <w:t>c)</w:t>
      </w:r>
      <w:r>
        <w:tab/>
        <w:t>возможность подать жалобу в судебные органы.  В этом случае параллельно с уголовным делом возбуждается гражданский иск для возмещения нанесенного ущерба.</w:t>
      </w:r>
    </w:p>
    <w:p w:rsidR="00000000" w:rsidRDefault="00000000">
      <w:pPr>
        <w:rPr>
          <w:lang w:val="en-US"/>
        </w:rPr>
      </w:pPr>
    </w:p>
    <w:p w:rsidR="00000000" w:rsidRDefault="00000000">
      <w:r>
        <w:t>27.</w:t>
      </w:r>
      <w:r>
        <w:tab/>
        <w:t>В Политической конституции Боливии (1995 года) непосредственно рассматриваются социальные права (право на труд, профсоюзные права, право на социальное обеспечение, право на здоровье), культурные права (право на образование), а также права семьи (право на защиту интересов семьи и право на детство).  Кроме того, в Конституции закреплено право на жизнь, на личную неприкосновенность, на свободу личности, а также наиболее важные судебные гарантии.</w:t>
      </w:r>
    </w:p>
    <w:p w:rsidR="00000000" w:rsidRDefault="00000000"/>
    <w:p w:rsidR="00000000" w:rsidRDefault="00000000">
      <w:r>
        <w:t>28.</w:t>
      </w:r>
      <w:r>
        <w:tab/>
        <w:t>На договоры о правах человека можно ссылаться в судебных органах, в государственной прокуратуре и при посредничестве Канцелярии Народного защитника.  Конституция Боливии не определяет внутренней иерархии этих договоров и гласит, что они должны быть ратифицированы посредством закона, в результате чего они также приобретают статус закона.  Таким образом, в судебных органах на них можно ссылаться как на национальные нормативные акты.  Однако в этой области мало прецедентов и нет какой-либо юриспруденции, которая свидетельствовала бы об автоматическом применении договоров о правах человека.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pPr>
        <w:pStyle w:val="BodyText"/>
        <w:spacing w:line="288" w:lineRule="auto"/>
        <w:jc w:val="center"/>
        <w:rPr>
          <w:u w:val="single"/>
        </w:rPr>
      </w:pPr>
      <w:r>
        <w:t>В.</w:t>
      </w:r>
      <w:r>
        <w:tab/>
      </w:r>
      <w:r>
        <w:rPr>
          <w:u w:val="single"/>
        </w:rPr>
        <w:t>Информирование населения и популяризация Пакта</w:t>
      </w:r>
    </w:p>
    <w:p w:rsidR="00000000" w:rsidRDefault="00000000">
      <w:pPr>
        <w:pStyle w:val="BodyText"/>
        <w:spacing w:line="288" w:lineRule="auto"/>
        <w:jc w:val="center"/>
      </w:pPr>
      <w:r>
        <w:rPr>
          <w:u w:val="single"/>
        </w:rPr>
        <w:t>и национальных докладов в Комитет</w:t>
      </w:r>
    </w:p>
    <w:p w:rsidR="00000000" w:rsidRDefault="00000000">
      <w:pPr>
        <w:pStyle w:val="BodyText"/>
        <w:spacing w:line="288" w:lineRule="auto"/>
      </w:pPr>
    </w:p>
    <w:p w:rsidR="00000000" w:rsidRDefault="00000000">
      <w:r>
        <w:t>29.</w:t>
      </w:r>
      <w:r>
        <w:tab/>
        <w:t>Международный пакт об экономических, социальных и культурных правах был ратифицирован Боливией на основании декрета-закона.  На этом основании и в связи с тем, что он не носит характера закона, этот Пакт не был опубликован в правительственном вестнике "Гасета офисьаль", являющемся официальным органом для информирования всего населения Боливии, а также не был переведен на другие местные языки.</w:t>
      </w:r>
    </w:p>
    <w:p w:rsidR="00000000" w:rsidRDefault="00000000"/>
    <w:p w:rsidR="00000000" w:rsidRDefault="00000000">
      <w:r>
        <w:t>30.</w:t>
      </w:r>
      <w:r>
        <w:tab/>
        <w:t>Проект "Поощрение и защита прав человека", осуществляемый министерством юстиции и по правам человека при финансовой и технической поддержке со стороны Организации Объединенных Наций, в частности, имеет целью содействовать приданию этому Пакту силы закона Боливии, создать механизм для распространения текста Пакта, а также для включения его положений в законы и соответствующие программы в различных сферах и в интересах разных слоев населения.</w:t>
      </w:r>
    </w:p>
    <w:p w:rsidR="00000000" w:rsidRDefault="00000000"/>
    <w:p w:rsidR="00000000" w:rsidRDefault="00000000">
      <w:r>
        <w:t>31.</w:t>
      </w:r>
      <w:r>
        <w:tab/>
        <w:t>В подготовке настоящего доклада приняли участие следующие органы:  Министерство юстиции и по правам человека;  Министерство просвещения, культуры и спорта;  Министерство труда и по вопросам микропредприятий;  Министерство иностранных дел и культа;  Министерство устойчивого развития и планирования;  Министерство по вопросам жилья и коммунальных услуг;  Министерство здравоохранения и социального обеспечения;  Министерство по вопросам животноводства, сельского хозяйства и развития сельских районов страны;  Аналитическое управление по вопросам экономической политики (УДАПЕ);  Национальный статистический институт (НСИ).</w:t>
      </w:r>
    </w:p>
    <w:p w:rsidR="00000000" w:rsidRDefault="00000000"/>
    <w:p w:rsidR="00000000" w:rsidRDefault="00000000">
      <w:r>
        <w:t>32.</w:t>
      </w:r>
      <w:r>
        <w:tab/>
        <w:t>Население Боливии пока не имеет возможности ознакомиться с текстом данного доклада, поскольку работа над ним закончена лишь в недавнее время.  В проводившихся в этой связи дискуссиях приняли участие в основном правительственные органы, ответственные за соответствующие сферы и имеющие постоянный контакт с общественными организациями.</w:t>
      </w:r>
    </w:p>
    <w:p w:rsidR="00000000" w:rsidRDefault="00000000"/>
    <w:p w:rsidR="00000000" w:rsidRDefault="00000000">
      <w:pPr>
        <w:pStyle w:val="Heading1"/>
        <w:jc w:val="center"/>
      </w:pPr>
      <w:r>
        <w:t>С.</w:t>
      </w:r>
      <w:r>
        <w:tab/>
      </w:r>
      <w:r>
        <w:rPr>
          <w:u w:val="single"/>
        </w:rPr>
        <w:t>Правовой статус и конкретное применение Пакта</w:t>
      </w:r>
    </w:p>
    <w:p w:rsidR="00000000" w:rsidRDefault="00000000">
      <w:pPr>
        <w:pStyle w:val="Heading1"/>
      </w:pPr>
    </w:p>
    <w:p w:rsidR="00000000" w:rsidRDefault="00000000">
      <w:r>
        <w:t>33.</w:t>
      </w:r>
      <w:r>
        <w:tab/>
        <w:t>Согласно статье 1 Конституции, Боливия является многоэтнической и многокультурной страной;  в статье 171 Конституции закреплены экономические, социальные и культурные права коренных народов.</w:t>
      </w:r>
    </w:p>
    <w:p w:rsidR="00000000" w:rsidRDefault="00000000"/>
    <w:p w:rsidR="00000000" w:rsidRDefault="00000000">
      <w:r>
        <w:t>34.</w:t>
      </w:r>
      <w:r>
        <w:tab/>
        <w:t>Закон № 1551 об общественном самоуправлении признает, поощряет и укрепляет этот процесс, привлекая к нему на равной основе общины коренных народов.</w:t>
      </w:r>
    </w:p>
    <w:p w:rsidR="00000000" w:rsidRDefault="00000000"/>
    <w:p w:rsidR="00000000" w:rsidRDefault="00000000">
      <w:r>
        <w:t>35.</w:t>
      </w:r>
      <w:r>
        <w:tab/>
        <w:t>В Законе № 1565 о реформе системы образования предусматривается право граждан страны на всеобщее и бесплатное образование с учетом культурного многообразия и на двуязычной основе.  Посредством Советов по вопросам образования коренных народов их представители участвуют в планировании и оценке образовательного процесса.</w:t>
      </w:r>
    </w:p>
    <w:p w:rsidR="00000000" w:rsidRDefault="00000000"/>
    <w:p w:rsidR="00000000" w:rsidRDefault="00000000">
      <w:r>
        <w:t>36.</w:t>
      </w:r>
      <w:r>
        <w:tab/>
        <w:t>Созданы государственные органы, которые занимаются рассмотрением  проблем коренных народов, семьи, несовершеннолетних, а также гендерных вопросов.</w:t>
      </w:r>
    </w:p>
    <w:p w:rsidR="00000000" w:rsidRDefault="00000000"/>
    <w:p w:rsidR="00000000" w:rsidRDefault="00000000">
      <w:r>
        <w:t>37.</w:t>
      </w:r>
      <w:r>
        <w:tab/>
        <w:t>Пакт был подписан и ратифицирован на основании указа в 1982 году, и в настоящее время предпринимаются необходимые действия для придания ему силы закона.</w:t>
      </w:r>
    </w:p>
    <w:p w:rsidR="00000000" w:rsidRDefault="00000000"/>
    <w:p w:rsidR="00000000" w:rsidRDefault="00000000">
      <w:r>
        <w:t>38.</w:t>
      </w:r>
      <w:r>
        <w:tab/>
        <w:t>Национальные суды не применяют положений Пакта непосредственно, поскольку ни государственные органы, ни гражданское общество не располагают необходимым опытом.  Некоторые правительственные органы учитывают положения Пакта при разработке своих программ.</w:t>
      </w:r>
    </w:p>
    <w:p w:rsidR="00000000" w:rsidRDefault="00000000"/>
    <w:p w:rsidR="00000000" w:rsidRDefault="00000000">
      <w:r>
        <w:t>39.</w:t>
      </w:r>
      <w:r>
        <w:tab/>
        <w:t>В Конституции Боливии закреплены следующие права:  право на труд, права семьи и несовершеннолетних, право на социальное обеспечение, на образование, на здравоохранение, а также право коренных народов и крестьян на землю.</w:t>
      </w:r>
    </w:p>
    <w:p w:rsidR="00000000" w:rsidRDefault="00000000"/>
    <w:p w:rsidR="00000000" w:rsidRDefault="00000000">
      <w:r>
        <w:t>40.</w:t>
      </w:r>
      <w:r>
        <w:tab/>
        <w:t>Обеспечение соответствующих прав возложено на органы судебной власти, включая Верховный суд, окружные суды и соответствующих судей, хотя на практике в этом процессе возникают определенные трудности, о которых уже говорилось выше.  Кроме того, в административной сфере соответствующими вопросами ведают различные министерства.</w:t>
      </w:r>
    </w:p>
    <w:p w:rsidR="00000000" w:rsidRDefault="00000000"/>
    <w:p w:rsidR="00000000" w:rsidRDefault="00000000">
      <w:r>
        <w:t>41.</w:t>
      </w:r>
      <w:r>
        <w:tab/>
        <w:t>На борьбу с дискриминацией направлены следующие положения национального законодательства:</w:t>
      </w:r>
    </w:p>
    <w:p w:rsidR="00000000" w:rsidRDefault="00000000">
      <w:pPr>
        <w:ind w:left="567" w:hanging="567"/>
      </w:pPr>
    </w:p>
    <w:p w:rsidR="00000000" w:rsidRDefault="00000000">
      <w:pPr>
        <w:ind w:left="567" w:hanging="567"/>
      </w:pPr>
      <w:r>
        <w:tab/>
        <w:t>ратификация посредством Закона № 1257 1991 года Конвенции № 169 МОТ о коренных народах и народах, ведущих племенной образ жизни в независимых странах;</w:t>
      </w:r>
    </w:p>
    <w:p w:rsidR="00000000" w:rsidRDefault="00000000">
      <w:pPr>
        <w:ind w:left="567" w:hanging="567"/>
      </w:pPr>
    </w:p>
    <w:p w:rsidR="00000000" w:rsidRDefault="00000000">
      <w:pPr>
        <w:ind w:left="567" w:hanging="567"/>
      </w:pPr>
      <w:r>
        <w:tab/>
        <w:t>ратификация посредством Закона № 1152 1990 года Конвенции о правах ребенка;</w:t>
      </w:r>
    </w:p>
    <w:p w:rsidR="00000000" w:rsidRDefault="00000000">
      <w:pPr>
        <w:ind w:left="567" w:hanging="567"/>
      </w:pPr>
    </w:p>
    <w:p w:rsidR="00000000" w:rsidRDefault="00000000">
      <w:pPr>
        <w:ind w:left="567" w:hanging="567"/>
      </w:pPr>
      <w:r>
        <w:tab/>
        <w:t>ратификация посредством Закона № 1100 1992 года Конвенции о ликвидации всех форм дискриминации в отношении женщин;</w:t>
      </w:r>
    </w:p>
    <w:p w:rsidR="00000000" w:rsidRDefault="00000000">
      <w:pPr>
        <w:ind w:left="567" w:hanging="567"/>
      </w:pPr>
    </w:p>
    <w:p w:rsidR="00000000" w:rsidRDefault="00000000">
      <w:pPr>
        <w:ind w:left="567" w:hanging="567"/>
      </w:pPr>
      <w:r>
        <w:tab/>
        <w:t>ратификация посредством Закона № 1599 1994 года Межамериканской конвенции о предотвращении и искоренении насилия в отношении женщин и наказании за него;</w:t>
      </w:r>
    </w:p>
    <w:p w:rsidR="00000000" w:rsidRDefault="00000000">
      <w:pPr>
        <w:ind w:left="567" w:hanging="567"/>
      </w:pPr>
    </w:p>
    <w:p w:rsidR="00000000" w:rsidRDefault="00000000">
      <w:pPr>
        <w:ind w:left="567" w:hanging="567"/>
      </w:pPr>
      <w:r>
        <w:tab/>
        <w:t>Политическая конституция Боливии, Закон № 1585, статьи 1, 6 и 171;</w:t>
      </w:r>
    </w:p>
    <w:p w:rsidR="00000000" w:rsidRDefault="00000000">
      <w:pPr>
        <w:ind w:left="567" w:hanging="567"/>
      </w:pPr>
    </w:p>
    <w:p w:rsidR="00000000" w:rsidRDefault="00000000">
      <w:pPr>
        <w:ind w:left="567" w:hanging="567"/>
      </w:pPr>
      <w:r>
        <w:tab/>
        <w:t>Закон № 1674 1995 года о борьбе с насилием в семьях и в быту;</w:t>
      </w:r>
    </w:p>
    <w:p w:rsidR="00000000" w:rsidRDefault="00000000">
      <w:pPr>
        <w:ind w:left="567" w:hanging="567"/>
      </w:pPr>
    </w:p>
    <w:p w:rsidR="00000000" w:rsidRDefault="00000000">
      <w:pPr>
        <w:ind w:left="567" w:hanging="567"/>
      </w:pPr>
      <w:r>
        <w:tab/>
        <w:t>учреждение поста Народного защитника посредством Закона № 1818 1997 года;</w:t>
      </w:r>
    </w:p>
    <w:p w:rsidR="00000000" w:rsidRDefault="00000000">
      <w:pPr>
        <w:ind w:left="567" w:hanging="567"/>
      </w:pPr>
    </w:p>
    <w:p w:rsidR="00000000" w:rsidRDefault="00000000">
      <w:pPr>
        <w:ind w:left="567" w:hanging="567"/>
      </w:pPr>
      <w:r>
        <w:tab/>
        <w:t>Указ № 24864 от 17 октября 1997 года о равенстве возможностей для мужчин и женщин.</w:t>
      </w:r>
    </w:p>
    <w:p w:rsidR="00000000" w:rsidRDefault="00000000">
      <w:pPr>
        <w:pStyle w:val="BodyText"/>
        <w:spacing w:line="288" w:lineRule="auto"/>
      </w:pPr>
    </w:p>
    <w:p w:rsidR="00000000" w:rsidRDefault="00000000">
      <w:pPr>
        <w:pStyle w:val="BodyText"/>
        <w:spacing w:line="288" w:lineRule="auto"/>
        <w:rPr>
          <w:b w:val="0"/>
        </w:rPr>
      </w:pPr>
      <w:r>
        <w:rPr>
          <w:b w:val="0"/>
        </w:rPr>
        <w:t>42.</w:t>
      </w:r>
      <w:r>
        <w:rPr>
          <w:b w:val="0"/>
        </w:rPr>
        <w:tab/>
        <w:t>В связи с ратификацией Пакта поправки были внесены в следующие нормативные акты:</w:t>
      </w:r>
    </w:p>
    <w:p w:rsidR="00000000" w:rsidRDefault="00000000">
      <w:pPr>
        <w:ind w:left="567" w:hanging="567"/>
      </w:pPr>
    </w:p>
    <w:p w:rsidR="00000000" w:rsidRDefault="00000000">
      <w:pPr>
        <w:ind w:left="567" w:hanging="567"/>
      </w:pPr>
      <w:r>
        <w:tab/>
        <w:t>Закон № 1760 1997 года об упрощенном производстве по гражданским и семейным делам;</w:t>
      </w:r>
    </w:p>
    <w:p w:rsidR="00000000" w:rsidRDefault="00000000">
      <w:pPr>
        <w:ind w:left="567" w:hanging="567"/>
      </w:pPr>
    </w:p>
    <w:p w:rsidR="00000000" w:rsidRDefault="00000000">
      <w:pPr>
        <w:ind w:left="567" w:hanging="567"/>
      </w:pPr>
      <w:r>
        <w:tab/>
        <w:t>Закон № 1970 1999 года, Уголовно-процессуальный кодекс;</w:t>
      </w:r>
    </w:p>
    <w:p w:rsidR="00000000" w:rsidRDefault="00000000">
      <w:pPr>
        <w:ind w:left="567" w:hanging="567"/>
      </w:pPr>
    </w:p>
    <w:p w:rsidR="00000000" w:rsidRDefault="00000000">
      <w:pPr>
        <w:ind w:left="567" w:hanging="567"/>
      </w:pPr>
      <w:r>
        <w:tab/>
        <w:t>Закон № 1768 1997 года о поправках к Уголовному кодексу;</w:t>
      </w:r>
    </w:p>
    <w:p w:rsidR="00000000" w:rsidRDefault="00000000">
      <w:pPr>
        <w:ind w:left="567" w:hanging="567"/>
      </w:pPr>
    </w:p>
    <w:p w:rsidR="00000000" w:rsidRDefault="00000000">
      <w:pPr>
        <w:ind w:left="567" w:hanging="567"/>
      </w:pPr>
      <w:r>
        <w:tab/>
        <w:t>Закон № 1685 1996 года о клятвенном обязательстве не препятствовать отправлению уголовного правосудия;</w:t>
      </w:r>
    </w:p>
    <w:p w:rsidR="00000000" w:rsidRDefault="00000000">
      <w:pPr>
        <w:ind w:left="567" w:hanging="567"/>
      </w:pPr>
    </w:p>
    <w:p w:rsidR="00000000" w:rsidRDefault="00000000">
      <w:pPr>
        <w:ind w:left="567" w:hanging="567"/>
      </w:pPr>
      <w:r>
        <w:tab/>
        <w:t>Закон № 1602 1997 года об отмене лишения свободы и телесных наказаний за невыполнение имущественных обязательств;</w:t>
      </w:r>
    </w:p>
    <w:p w:rsidR="00000000" w:rsidRDefault="00000000">
      <w:pPr>
        <w:ind w:left="567" w:hanging="567"/>
      </w:pPr>
    </w:p>
    <w:p w:rsidR="00000000" w:rsidRDefault="00000000">
      <w:pPr>
        <w:ind w:left="567" w:hanging="567"/>
      </w:pPr>
      <w:r>
        <w:tab/>
        <w:t>Закон № 1776 1997 года об арбитражных процедурах и механизме примирения;</w:t>
      </w:r>
    </w:p>
    <w:p w:rsidR="00000000" w:rsidRDefault="00000000">
      <w:pPr>
        <w:ind w:left="567" w:hanging="567"/>
      </w:pPr>
    </w:p>
    <w:p w:rsidR="00000000" w:rsidRDefault="00000000">
      <w:pPr>
        <w:ind w:left="567" w:hanging="567"/>
      </w:pPr>
      <w:r>
        <w:tab/>
        <w:t>Закон № 1817 1997 года о Судебном совете;</w:t>
      </w:r>
    </w:p>
    <w:p w:rsidR="00000000" w:rsidRDefault="00000000">
      <w:pPr>
        <w:ind w:left="567" w:hanging="567"/>
      </w:pPr>
    </w:p>
    <w:p w:rsidR="00000000" w:rsidRDefault="00000000">
      <w:pPr>
        <w:ind w:left="567" w:hanging="567"/>
      </w:pPr>
      <w:r>
        <w:tab/>
        <w:t>Закон № 1836 1998 года о Конституционном суде;</w:t>
      </w:r>
    </w:p>
    <w:p w:rsidR="00000000" w:rsidRDefault="00000000">
      <w:pPr>
        <w:ind w:left="567" w:hanging="567"/>
      </w:pPr>
    </w:p>
    <w:p w:rsidR="00000000" w:rsidRDefault="00000000">
      <w:pPr>
        <w:ind w:left="567" w:hanging="567"/>
      </w:pPr>
      <w:r>
        <w:tab/>
        <w:t>Указ № 1776 1997 года о создании Государственной адвокатуры.</w:t>
      </w:r>
    </w:p>
    <w:p w:rsidR="00000000" w:rsidRDefault="00000000"/>
    <w:p w:rsidR="00000000" w:rsidRDefault="00000000">
      <w:r>
        <w:t>43.</w:t>
      </w:r>
      <w:r>
        <w:tab/>
        <w:t>Национальные правовые нормы не предусматривают никакой дискриминации в отношении неграждан (статья 6 Конституции).</w:t>
      </w:r>
    </w:p>
    <w:p w:rsidR="00000000" w:rsidRDefault="00000000">
      <w:pPr>
        <w:jc w:val="center"/>
        <w:rPr>
          <w:b/>
          <w:lang w:val="en-US"/>
        </w:rPr>
      </w:pPr>
    </w:p>
    <w:p w:rsidR="00000000" w:rsidRDefault="00000000">
      <w:pPr>
        <w:jc w:val="center"/>
        <w:rPr>
          <w:b/>
          <w:u w:val="single"/>
        </w:rPr>
      </w:pPr>
      <w:r>
        <w:rPr>
          <w:b/>
          <w:lang w:val="en-US"/>
        </w:rPr>
        <w:t>D</w:t>
      </w:r>
      <w:r>
        <w:rPr>
          <w:b/>
        </w:rPr>
        <w:t>.</w:t>
      </w:r>
      <w:r>
        <w:rPr>
          <w:b/>
        </w:rPr>
        <w:tab/>
      </w:r>
      <w:r>
        <w:rPr>
          <w:b/>
          <w:u w:val="single"/>
        </w:rPr>
        <w:t>Роль международного сотрудничества в процессе применения Пакта</w:t>
      </w:r>
    </w:p>
    <w:p w:rsidR="00000000" w:rsidRDefault="00000000">
      <w:pPr>
        <w:pStyle w:val="FootnoteText"/>
        <w:spacing w:line="288" w:lineRule="auto"/>
      </w:pPr>
    </w:p>
    <w:p w:rsidR="00000000" w:rsidRDefault="00000000">
      <w:pPr>
        <w:pStyle w:val="FootnoteText"/>
        <w:spacing w:line="288" w:lineRule="auto"/>
      </w:pPr>
      <w:r>
        <w:t>44.</w:t>
      </w:r>
      <w:r>
        <w:tab/>
        <w:t>Международная помощь в области медицинского страхования (статья 9) оказывается в рамках технического и финансового сотрудничества.  Иностранные средства по линии сотрудничества в области здравоохранения поступают в виде пожертвований или кредитов.  Боливия широко сотрудничает на двусторонней основе, в частности с Европейским союзом, Соединенными Штатами, Японией и скандинавскими странами.  Международная помощь в вопросах здравоохранения оказывается посредством таких организаций, как Панамериканская организация здравоохранения/Всемирная организация здравоохранения (ПОЗ/ВОЗ), ЮНИСЕФ, ЮСЭЙД, различные НПО и т.д.</w:t>
      </w:r>
    </w:p>
    <w:p w:rsidR="00000000" w:rsidRDefault="00000000">
      <w:pPr>
        <w:pStyle w:val="FootnoteText"/>
        <w:spacing w:line="288" w:lineRule="auto"/>
      </w:pPr>
    </w:p>
    <w:p w:rsidR="00000000" w:rsidRDefault="00000000">
      <w:pPr>
        <w:pStyle w:val="FootnoteText"/>
        <w:spacing w:line="288" w:lineRule="auto"/>
      </w:pPr>
      <w:r>
        <w:t>45.</w:t>
      </w:r>
      <w:r>
        <w:tab/>
        <w:t>Наиболее значительная международная помощь, оказываемая в связи со статьей 10, предоставляется ЮНИСЕФ.</w:t>
      </w:r>
    </w:p>
    <w:p w:rsidR="00000000" w:rsidRDefault="00000000">
      <w:pPr>
        <w:pStyle w:val="FootnoteText"/>
        <w:spacing w:line="288" w:lineRule="auto"/>
      </w:pPr>
    </w:p>
    <w:p w:rsidR="00000000" w:rsidRDefault="00000000">
      <w:pPr>
        <w:pStyle w:val="FootnoteText"/>
        <w:spacing w:line="288" w:lineRule="auto"/>
      </w:pPr>
      <w:r>
        <w:t>46.</w:t>
      </w:r>
      <w:r>
        <w:tab/>
        <w:t>С начала осуществления реформы системы образования международная помощь направлена прежде всего на финансирование ее проведения, а также на развитие профессионально-технического и высшего образования.  Эта помощь оказывается посредством Организации латиноамериканских государств (ОЛАГ), Организации Объединенных Наций по вопросам образования, науки и культуры (ЮНЕСКО), Организации американских государств (ОАГ), Соглашения "Андрес Бельо" об интеграции стран Андского региона в сфере образования, науки и культуры и других организаций.  Приоритетное внимание решению задач в сфере образования уделяют Шведское агентство по международному сотрудничеству в области техники и экономики, правительство Нидерландов и такие многосторонние организации, как Межамериканский банк развития, Всемирный банк, а также ЮНИСЕФ.</w:t>
      </w:r>
    </w:p>
    <w:p w:rsidR="00000000" w:rsidRDefault="00000000">
      <w:pPr>
        <w:pStyle w:val="FootnoteText"/>
        <w:spacing w:line="288" w:lineRule="auto"/>
      </w:pPr>
    </w:p>
    <w:p w:rsidR="00000000" w:rsidRDefault="00000000">
      <w:pPr>
        <w:pStyle w:val="FootnoteText"/>
        <w:spacing w:line="288" w:lineRule="auto"/>
      </w:pPr>
      <w:r>
        <w:t>47.</w:t>
      </w:r>
      <w:r>
        <w:tab/>
        <w:t>Что касается выделеяемых ресурсов, то в последнем докладе по внешнему финансированию в Боливии, подготовленном Управлением по вопросам государственных инвестиций и внешнего финансирования, сказано, что в сфере образования разработан пакет из 33 проектов, на которые в рамках внешнего финансирования выделено немногим более 212 млн. долл. США, из которых на конец 1997 года было израсходовано 37%.</w:t>
      </w:r>
    </w:p>
    <w:p w:rsidR="00000000" w:rsidRDefault="00000000"/>
    <w:p w:rsidR="00000000" w:rsidRDefault="00000000">
      <w:r>
        <w:t>48.</w:t>
      </w:r>
      <w:r>
        <w:tab/>
        <w:t>Для дополнения этой общей картины можно выделить также некоторые особенности будущего развития, в основе которых лежит Оперативный план действий, предусматривающий увеличение расходов в период 1998-2002 годов в рамках Программы государственных инвестиций.  Что касается сферы образования, то такие ассигнования запланированы в объеме 72 млн. долл. США на 1998 год при среднегодовом уровне в размере 110 млн. долл. США на вышеупомянутый четырехлетний период.</w:t>
      </w:r>
    </w:p>
    <w:p w:rsidR="00000000" w:rsidRDefault="00000000"/>
    <w:p w:rsidR="00000000" w:rsidRDefault="00000000">
      <w:r>
        <w:t>49.</w:t>
      </w:r>
      <w:r>
        <w:tab/>
        <w:t>В связи со статьей 15 содействие оказывают следующие многосторонние организации по сотрудничеству:  ОАГ, Исполнительный секретариат Соглашения "Андрес Бельо", Латиноамериканская программа по науке и технике в целях развития, ЮНЕСКО и другие.</w:t>
      </w:r>
    </w:p>
    <w:p w:rsidR="00000000" w:rsidRDefault="00000000"/>
    <w:p w:rsidR="00000000" w:rsidRDefault="00000000">
      <w:r>
        <w:t>50.</w:t>
      </w:r>
      <w:r>
        <w:tab/>
        <w:t>Согласно закону компетенцией в вопросах ведения переговоров и заключения договоров относительно внешнего финансирования и технического сотрудничества, оказывающих влияние на состояние государственных финансов, обладает министерство финансов.</w:t>
      </w:r>
    </w:p>
    <w:p w:rsidR="00000000" w:rsidRDefault="00000000"/>
    <w:p w:rsidR="00000000" w:rsidRDefault="00000000">
      <w:r>
        <w:t>51.</w:t>
      </w:r>
      <w:r>
        <w:tab/>
        <w:t>Боливия получает техническую помощь на сумму приблизительно в 700 млн. долл. США в год, что составляет около 10% ВВП и более 50% от экспортных поступлений.  Бóльшую часть этой помощи предоставляют многосторонние организации, на долю которых приходится и основная часть внешнего долга Боливии.</w:t>
      </w:r>
    </w:p>
    <w:p w:rsidR="00000000" w:rsidRDefault="00000000"/>
    <w:p w:rsidR="00000000" w:rsidRDefault="00000000">
      <w:r>
        <w:t>52.</w:t>
      </w:r>
      <w:r>
        <w:tab/>
        <w:t>В последние годы получаемая Боливией помощь имела следующую структуру:  61% </w:t>
      </w:r>
      <w:r>
        <w:noBreakHyphen/>
        <w:t xml:space="preserve"> инвестиционные проекты, 20% - независимое техническое сотрудничество, 8% - содействие поддержанию платежного баланса, 6,5% - техническое сотрудничество, оказываемое в связи с инвестиционными проектами, 4,2% - продовольственная помощь и 0,3% - чрезвычайная помощь.  Более 55% такой помощи поступает в виде кредитов, а оставшаяся часть - как субсидии или безвозмездная помощь.</w:t>
      </w:r>
    </w:p>
    <w:p w:rsidR="00000000" w:rsidRDefault="00000000"/>
    <w:p w:rsidR="00000000" w:rsidRDefault="00000000">
      <w:r>
        <w:t>53.</w:t>
      </w:r>
      <w:r>
        <w:tab/>
        <w:t>Основными донорами являются:  18% - Межамериканский банк развития, 15% - Андская корпорация в интересах развития, 14% - Соединенные Штаты Америки, 9,5% - Всемирный банк, 8% - Германия, 4,2% - Нидерланды, 4,2% - Италия и 4,2% - Япония.  Кроме того, относительно важными партнерами в рамках сотрудничества являются Швейцария и Бельгия.</w:t>
      </w:r>
    </w:p>
    <w:p w:rsidR="00000000" w:rsidRDefault="00000000"/>
    <w:p w:rsidR="00000000" w:rsidRDefault="00000000">
      <w:r>
        <w:t>54.</w:t>
      </w:r>
      <w:r>
        <w:tab/>
        <w:t>В разбивке по секторам структура сотрудничества в последние годы носит приблизительно следующий характер:  16% - управление экономикой, 13% - транспорт, 11% - региональное развитие, 10% – внешняя торговля, 9% - природные ресурсы, 8% - сельское хозяйство, 8% - социальное развитие, 6% - здравоохранение, 6% - энергетика, а остальное приходится на другие сектора, получающие ассигнования.</w:t>
      </w:r>
    </w:p>
    <w:p w:rsidR="00000000" w:rsidRDefault="00000000"/>
    <w:p w:rsidR="00000000" w:rsidRDefault="00000000">
      <w:r>
        <w:t>55.</w:t>
      </w:r>
      <w:r>
        <w:tab/>
        <w:t>В сфере здравоохранения сотрудничество направлено прежде всего на следующие аспекты, перечисленные по степени важности в порядке убывания:  оказание первичной медико-санитарной помощи (77%), программы и планирование деятельности в сфере здравоохранения (14%), вакцинация и лечение заболеваний (8%), функционирование больниц и клиник (1%) и планирование семьи (0,4%).</w:t>
      </w:r>
    </w:p>
    <w:p w:rsidR="00000000" w:rsidRDefault="00000000"/>
    <w:p w:rsidR="00000000" w:rsidRDefault="00000000">
      <w:r>
        <w:t>56.</w:t>
      </w:r>
      <w:r>
        <w:tab/>
        <w:t>Что касается сотрудничества в сфере образования, то здесь ассигнования осуществляются по следующим основным направлениям:  27% - профессионально-техническое обучение и подготовка, 22% - разработка программ и планирование, 18% - начальное образование, 14% - неформальное образование, 10% – среднее образование.  Объем международного сотрудничества в области образования за пятилетний период 1990-1995 годов оценивается в размере 20 млн. долл. США, хотя следует отметить, что этот показатель резко увеличился, достигнув в одном лишь 1994 году 10 млн. долл. США, что составило 14% от всего объема международного сотрудничества.  На цели образования было выделено 1,8 млн. долл. США в 1991 году, 6,4 млн. долл. США в 1993 году и 19,7 млн. долл. США в 1994 году (</w:t>
      </w:r>
      <w:r>
        <w:rPr>
          <w:lang w:val="en-US"/>
        </w:rPr>
        <w:t>UNAS</w:t>
      </w:r>
      <w:r>
        <w:t>).</w:t>
      </w:r>
    </w:p>
    <w:p w:rsidR="00000000" w:rsidRDefault="00000000"/>
    <w:p w:rsidR="00000000" w:rsidRDefault="00000000">
      <w:r>
        <w:t>57.</w:t>
      </w:r>
      <w:r>
        <w:tab/>
        <w:t>Одним из основных направлений международного сотрудничества являются водоснабжение и санитария.  На эти цели в 1992 году было выделено 35 млн. долл. США, в 1993 году 41 млн. долл. США и в 1994 году 41,2 млн. долл. США, т.е. за эти три года общая сумма предоставленной помощи достигла 117,6 млн. долл. США (Национальное управление по обеспечению санитарно-гигиенических условий – ДИНАСБА).  Значительная часть этих средств была выделена посредством Национального фонда по развитию сельских районов (НФРСР) и Фонда по исследованиям в области санитарии (ФИС).</w:t>
      </w:r>
    </w:p>
    <w:p w:rsidR="00000000" w:rsidRDefault="00000000"/>
    <w:p w:rsidR="00000000" w:rsidRDefault="00000000">
      <w:r>
        <w:t>58.</w:t>
      </w:r>
      <w:r>
        <w:tab/>
        <w:t>На международном уровне содействие Боливии в интересах развития коренных народов оказывали следующие стороны:  Королевство Дания (ДАНИДА) в размере 5 млн. долл. США;  Программа развития Организации Объединенных Наций (ПРООН) в размере 100 000 долл. США;  Шведское агентство по международному развитию (ШАМР) в размере 500 000 долл. США;  Германское агентство по техническому сотрудничеству (ГАТС) в размере 1.5 млн. долл. США и Нидерландское агентство по сотрудничеству в размере 80 000 долл. США.  Общая сумма предоставленной помощи достигла 7 680 000 долл. США (программы Управления по этническим вопросам – Отдел министерства по делам индейских и коренных народов (САЕ-ВАЙПО, 1997-1999 годы).</w:t>
      </w:r>
    </w:p>
    <w:p w:rsidR="00000000" w:rsidRDefault="00000000"/>
    <w:p w:rsidR="00000000" w:rsidRDefault="00000000">
      <w:r>
        <w:t>59.</w:t>
      </w:r>
      <w:r>
        <w:tab/>
        <w:t>На цели обеспечения гендерного равноправия Боливия начиная с 1992 года получает помощь из следующих источников:  ШАМР, Королевства Нидерландов, ЮНФПА, ВОЗ/ПОЗ, МБР и, в некоторых случаях, ЮНИСЕФ, Канады, посольства Германии и ГАТС.  Общая сумма полученной таким образом помощи достигает приблизительно 1,6 млн. долл. США.</w:t>
      </w:r>
    </w:p>
    <w:p w:rsidR="00000000" w:rsidRDefault="00000000">
      <w:pPr>
        <w:rPr>
          <w:lang w:val="en-US"/>
        </w:rPr>
      </w:pPr>
    </w:p>
    <w:p w:rsidR="00000000" w:rsidRDefault="00000000">
      <w:pPr>
        <w:jc w:val="center"/>
        <w:rPr>
          <w:b/>
        </w:rPr>
      </w:pPr>
      <w:r>
        <w:rPr>
          <w:b/>
          <w:lang w:val="en-US"/>
        </w:rPr>
        <w:t>II</w:t>
      </w:r>
      <w:r>
        <w:rPr>
          <w:b/>
        </w:rPr>
        <w:t>.  ОБЩИЕ ПОЛОЖЕНИЯ</w:t>
      </w:r>
    </w:p>
    <w:p w:rsidR="00000000" w:rsidRDefault="00000000">
      <w:pPr>
        <w:jc w:val="center"/>
        <w:rPr>
          <w:b/>
        </w:rPr>
      </w:pPr>
    </w:p>
    <w:p w:rsidR="00000000" w:rsidRDefault="00000000">
      <w:pPr>
        <w:jc w:val="center"/>
        <w:rPr>
          <w:b/>
          <w:u w:val="single"/>
          <w:lang w:val="en-US"/>
        </w:rPr>
      </w:pPr>
      <w:r>
        <w:rPr>
          <w:b/>
        </w:rPr>
        <w:t>А.</w:t>
      </w:r>
      <w:r>
        <w:rPr>
          <w:b/>
        </w:rPr>
        <w:tab/>
      </w:r>
      <w:r>
        <w:rPr>
          <w:b/>
          <w:u w:val="single"/>
        </w:rPr>
        <w:t>Статья 1</w:t>
      </w:r>
    </w:p>
    <w:p w:rsidR="00000000" w:rsidRDefault="00000000">
      <w:pPr>
        <w:jc w:val="center"/>
        <w:rPr>
          <w:b/>
          <w:u w:val="single"/>
          <w:lang w:val="en-US"/>
        </w:rPr>
      </w:pPr>
    </w:p>
    <w:p w:rsidR="00000000" w:rsidRDefault="00000000">
      <w:r>
        <w:t>60.</w:t>
      </w:r>
      <w:r>
        <w:tab/>
        <w:t>Статья 1 Политической конституции Боливии гласит, что – это свободная, независимая, суверенная, многоэтническая и многокультурная страна, созданная как унитарная Республика, избравшая представительную демократическую форму правления, основанную на единстве и солидарности всех боливийцев.</w:t>
      </w:r>
    </w:p>
    <w:p w:rsidR="00000000" w:rsidRDefault="00000000"/>
    <w:p w:rsidR="00000000" w:rsidRDefault="00000000">
      <w:pPr>
        <w:jc w:val="center"/>
        <w:rPr>
          <w:b/>
          <w:u w:val="single"/>
        </w:rPr>
      </w:pPr>
      <w:r>
        <w:rPr>
          <w:b/>
        </w:rPr>
        <w:t>В.</w:t>
      </w:r>
      <w:r>
        <w:rPr>
          <w:b/>
        </w:rPr>
        <w:tab/>
      </w:r>
      <w:r>
        <w:rPr>
          <w:b/>
          <w:u w:val="single"/>
        </w:rPr>
        <w:t>Статья 2</w:t>
      </w:r>
    </w:p>
    <w:p w:rsidR="00000000" w:rsidRDefault="00000000">
      <w:pPr>
        <w:jc w:val="center"/>
        <w:rPr>
          <w:b/>
          <w:u w:val="single"/>
        </w:rPr>
      </w:pPr>
    </w:p>
    <w:p w:rsidR="00000000" w:rsidRDefault="00000000">
      <w:r>
        <w:t>61.</w:t>
      </w:r>
      <w:r>
        <w:tab/>
        <w:t>Все права, закрепленные в Пакте, предоставляются иностранцам с момента прибытия в страну на законном основании или установления там домицилия, в связи с чем не существует никаких различий или дискриминации в применении этих прав.</w:t>
      </w:r>
    </w:p>
    <w:p w:rsidR="00000000" w:rsidRDefault="00000000"/>
    <w:p w:rsidR="00000000" w:rsidRDefault="00000000">
      <w:r>
        <w:t>62.</w:t>
      </w:r>
      <w:r>
        <w:tab/>
        <w:t>Что касается ликвидации всех форм дискриминации, то Боливия является одной из стран, где в последние годы достигнут значительный прогресс в законодательной регламентации положения аборигенных и коренных народов, примером чего служит Конвенция № 169 МОТ, ставшая законом Республики.</w:t>
      </w:r>
    </w:p>
    <w:p w:rsidR="00000000" w:rsidRDefault="00000000"/>
    <w:p w:rsidR="00000000" w:rsidRDefault="00000000">
      <w:r>
        <w:t>63.</w:t>
      </w:r>
      <w:r>
        <w:tab/>
        <w:t>Что касается сотрудничества, то Боливия выступает в качестве получателя помощи, а не донора.  Получаемые в рамках такого сотрудничества средства направляются прежде всего на решение проблем структурного характера, связанных с нищетой и недостаточным экономическим развитием, а также на укрепление государства.  Стабильность демократической системы, основывающейся на создании высокоразвитого государства, вкупе со стабильной экономикой является главной задачей направления средств по линии сотрудничества, а также рассматривается в качестве основы для улучшения экономических, социальных и культурных условий жизни боливийцев.</w:t>
      </w:r>
    </w:p>
    <w:p w:rsidR="00000000" w:rsidRDefault="00000000"/>
    <w:p w:rsidR="00000000" w:rsidRDefault="00000000">
      <w:pPr>
        <w:jc w:val="center"/>
        <w:rPr>
          <w:b/>
        </w:rPr>
      </w:pPr>
      <w:r>
        <w:rPr>
          <w:b/>
        </w:rPr>
        <w:t>III.  ПОЛОЖЕНИЯ, КАСАЮЩИЕСЯ КОНКРЕТНЫХ ПРАВ</w:t>
      </w:r>
    </w:p>
    <w:p w:rsidR="00000000" w:rsidRDefault="00000000">
      <w:pPr>
        <w:jc w:val="center"/>
        <w:rPr>
          <w:b/>
        </w:rPr>
      </w:pPr>
    </w:p>
    <w:p w:rsidR="00000000" w:rsidRDefault="00000000">
      <w:pPr>
        <w:jc w:val="center"/>
        <w:rPr>
          <w:b/>
          <w:u w:val="single"/>
        </w:rPr>
      </w:pPr>
      <w:r>
        <w:rPr>
          <w:b/>
        </w:rPr>
        <w:t>А.</w:t>
      </w:r>
      <w:r>
        <w:rPr>
          <w:b/>
        </w:rPr>
        <w:tab/>
      </w:r>
      <w:r>
        <w:rPr>
          <w:b/>
          <w:u w:val="single"/>
        </w:rPr>
        <w:t>Статья 6</w:t>
      </w:r>
    </w:p>
    <w:p w:rsidR="00000000" w:rsidRDefault="00000000">
      <w:pPr>
        <w:jc w:val="center"/>
        <w:rPr>
          <w:b/>
          <w:u w:val="single"/>
        </w:rPr>
      </w:pPr>
    </w:p>
    <w:p w:rsidR="00000000" w:rsidRDefault="00000000">
      <w:r>
        <w:rPr>
          <w:u w:val="single"/>
        </w:rPr>
        <w:t>Руководящие принципы, пункт 2 а) статьи 6 Пакта</w:t>
      </w:r>
      <w:r>
        <w:rPr>
          <w:rStyle w:val="FootnoteReference"/>
        </w:rPr>
        <w:footnoteReference w:customMarkFollows="1" w:id="3"/>
        <w:sym w:font="Symbol" w:char="F02A"/>
      </w:r>
    </w:p>
    <w:p w:rsidR="00000000" w:rsidRDefault="00000000"/>
    <w:p w:rsidR="00000000" w:rsidRDefault="00000000">
      <w:r>
        <w:t>64.</w:t>
      </w:r>
      <w:r>
        <w:tab/>
        <w:t>Главной проблемой для Боливии является нищета, которая неразрывно связана с такими вопросами, как возможность трудоустройства и получения доходов жителями страны.</w:t>
      </w:r>
    </w:p>
    <w:p w:rsidR="00000000" w:rsidRDefault="00000000"/>
    <w:p w:rsidR="00000000" w:rsidRDefault="00000000">
      <w:r>
        <w:t>65.</w:t>
      </w:r>
      <w:r>
        <w:tab/>
        <w:t>И в городах, и в сельской местности процесс создания новых рабочих мест отстает от темпов безработицы, что является следствием незначительного экономического роста в Боливии, вызванного экономическим кризисом в Азии.  Кроме того, южные районы страны испытывают неблагоприятное воздействие "Эль-Ниньо", где это климатическое явление вызвало резкое снижение производства сельскохозяйственной продукции, сказавшись на положении значительной части крестьянского населения.</w:t>
      </w:r>
    </w:p>
    <w:p w:rsidR="00000000" w:rsidRDefault="00000000"/>
    <w:p w:rsidR="00000000" w:rsidRDefault="00000000">
      <w:r>
        <w:t>66.</w:t>
      </w:r>
      <w:r>
        <w:tab/>
        <w:t>В основных городах Боливии удалось добиться снижения показателя распространения нищеты с 53% жителей в 1989 году до 48% в 1994 году и 46% в 1998 году.  В значительной степени эти сдвиги обусловлены увеличением дохода семьи в расчете на душу населения на 17% за этот период.  Это обеспечивается за счет того, что теперь больше членов домохозяйств выходят на рынок труда, и это способствует решению проблемы несправедливого распределения богатства.</w:t>
      </w:r>
    </w:p>
    <w:p w:rsidR="00000000" w:rsidRDefault="00000000"/>
    <w:p w:rsidR="00000000" w:rsidRDefault="00000000">
      <w:r>
        <w:t>67.</w:t>
      </w:r>
      <w:r>
        <w:tab/>
        <w:t>В сельских районах коэффициент участия в трудовой деятельности выше, чем в крупных городах, что обусловлено ранним началом трудовой деятельности подростками обоего пола, но прежде всего женщинами, которые составляют приблизительно 80% рабочей силы в сельском хозяйстве по сравнению с 50% в крупных городах.</w:t>
      </w:r>
    </w:p>
    <w:p w:rsidR="00000000" w:rsidRDefault="00000000"/>
    <w:p w:rsidR="00000000" w:rsidRDefault="00000000">
      <w:r>
        <w:t>68.</w:t>
      </w:r>
      <w:r>
        <w:tab/>
        <w:t>В приложении № 1 можно ознакомиться с тенденциями в области трудоустройства в период с 1989 по 1997 год для населения страны в целом и в разбивке по полу.  Общий показатель официальной безработицы за рассматриваемый период сократился с 10,4% до 4,4%.  При этом следует отметить, что в начале этого периода безработица была более распространена среди женщин, но после этого начала просматриваться тенденция к более быстрому снижению официального показателя безработицы для женщин в 1989</w:t>
      </w:r>
      <w:r>
        <w:noBreakHyphen/>
        <w:t>1997 годах.</w:t>
      </w:r>
    </w:p>
    <w:p w:rsidR="00000000" w:rsidRDefault="00000000"/>
    <w:p w:rsidR="00000000" w:rsidRDefault="00000000">
      <w:r>
        <w:t>69.</w:t>
      </w:r>
      <w:r>
        <w:tab/>
        <w:t>Хотя в Боливии отмечаются низкие показатели официальной безработицы, структуру занятости нельзя считать удовлетворительной, так как широко распространена неполная занятость, находящаяся на уровне 10%.  В 1997 году неполностью занятыми были 127 000 человек.</w:t>
      </w:r>
    </w:p>
    <w:p w:rsidR="00000000" w:rsidRDefault="00000000"/>
    <w:p w:rsidR="00000000" w:rsidRDefault="00000000">
      <w:r>
        <w:t>70.</w:t>
      </w:r>
      <w:r>
        <w:tab/>
        <w:t>Проводимые обследования не позволяют выделить запрошенную информацию в разбивке по отдельным группам населения, в силу чего данные представлены в целом и в разбивке по полу.</w:t>
      </w:r>
    </w:p>
    <w:p w:rsidR="00000000" w:rsidRDefault="00000000"/>
    <w:p w:rsidR="00000000" w:rsidRDefault="00000000">
      <w:r>
        <w:rPr>
          <w:u w:val="single"/>
        </w:rPr>
        <w:t>Пункт 2 b</w:t>
      </w:r>
      <w:r>
        <w:t>)</w:t>
      </w:r>
    </w:p>
    <w:p w:rsidR="00000000" w:rsidRDefault="00000000"/>
    <w:p w:rsidR="00000000" w:rsidRDefault="00000000">
      <w:r>
        <w:t>71.</w:t>
      </w:r>
      <w:r>
        <w:tab/>
        <w:t>Экономическая стабильность служит залогом ускорения роста и более справедливого распределения доходов, равно как и движителем устойчивого развития в целях расширения возможностей населения, решения проблем занятости и получения доходов, содействуя таким образом эффективной борьбе с нищетой.  Объединение усилий всех непосредственно заинтересованных сторон (государство, предприниматели, городские и сельские трудящиеся, крестьяне, представители коренных и индейских народов) в интересах развития производства поможет обеспечить координацию всего комплекса политических и оперативных мероприятий, направленных на преодоление существующих трудностей и реализацию активной политики экономического роста.</w:t>
      </w:r>
    </w:p>
    <w:p w:rsidR="00000000" w:rsidRDefault="00000000"/>
    <w:p w:rsidR="00000000" w:rsidRDefault="00000000">
      <w:r>
        <w:t>72.</w:t>
      </w:r>
      <w:r>
        <w:tab/>
        <w:t>С этой целью министерство труда и по делам микропредприятий в соответствии с возложенными на него задачами и функциями, а также действующим законодательством в настоящее время осуществляет проект, направленный на уменьшение текучести рабочей силы за счет подписания межучрежденческого соглашения с государственными и частными профессионально-техническими заведениями, с тем чтобы организованная согласно договоренности с МОТ биржа труда обеспечивала трудоустройство всех лиц, прошедших подготовку в этих профессионально-технических заведениях.</w:t>
      </w:r>
    </w:p>
    <w:p w:rsidR="00000000" w:rsidRDefault="00000000"/>
    <w:p w:rsidR="00000000" w:rsidRDefault="00000000">
      <w:r>
        <w:t>73.</w:t>
      </w:r>
      <w:r>
        <w:tab/>
        <w:t xml:space="preserve">В свою очередь, следуя возложенным на него задачам, Управление по делам микропредприятий занимается поощрением и укреплением таких предприятий на национальном уровне в интересах создания как дополнительных возможностей для этих предприятий, так и новых рабочих мест. </w:t>
      </w:r>
    </w:p>
    <w:p w:rsidR="00000000" w:rsidRDefault="00000000"/>
    <w:p w:rsidR="00000000" w:rsidRDefault="00000000">
      <w:r>
        <w:rPr>
          <w:u w:val="single"/>
        </w:rPr>
        <w:t>Пункт 2 с</w:t>
      </w:r>
      <w:r>
        <w:t>)</w:t>
      </w:r>
    </w:p>
    <w:p w:rsidR="00000000" w:rsidRDefault="00000000">
      <w:pPr>
        <w:rPr>
          <w:lang w:val="en-US"/>
        </w:rPr>
      </w:pPr>
    </w:p>
    <w:p w:rsidR="00000000" w:rsidRDefault="00000000">
      <w:r>
        <w:t>74.</w:t>
      </w:r>
      <w:r>
        <w:tab/>
        <w:t>В целях обеспечения большей производительности и отдачи труда вышеупомянутое министерство регламентировало продолжительность полного рабочего дня на всех государственных и частных предприятиях (по предварительному соглашению сторон), с тем чтобы предоставить работникам возможность получения профессионально-технической подготовки, повышения своих доходов и решения других задач.</w:t>
      </w:r>
    </w:p>
    <w:p w:rsidR="00000000" w:rsidRDefault="00000000"/>
    <w:p w:rsidR="00000000" w:rsidRDefault="00000000">
      <w:r>
        <w:t>75.</w:t>
      </w:r>
      <w:r>
        <w:tab/>
        <w:t>Эти программы профессионально-технической подготовки осуществляются в двух сферах:</w:t>
      </w:r>
    </w:p>
    <w:p w:rsidR="00000000" w:rsidRDefault="00000000">
      <w:pPr>
        <w:ind w:left="567"/>
        <w:rPr>
          <w:b/>
        </w:rPr>
      </w:pPr>
    </w:p>
    <w:p w:rsidR="00000000" w:rsidRDefault="00000000">
      <w:pPr>
        <w:ind w:left="567"/>
      </w:pPr>
      <w:r>
        <w:rPr>
          <w:b/>
        </w:rPr>
        <w:t>1.</w:t>
      </w:r>
      <w:r>
        <w:rPr>
          <w:b/>
        </w:rPr>
        <w:tab/>
        <w:t>в государственной</w:t>
      </w:r>
      <w:r>
        <w:t>:  УДАТЕЛ, децентрализованный орган министерства  труда и по делам микропредприятий, поощряет профессионально-техническую подготовку трудящихся, служащих, работников микропредприятий и населения в целом.</w:t>
      </w:r>
    </w:p>
    <w:p w:rsidR="00000000" w:rsidRDefault="00000000">
      <w:pPr>
        <w:ind w:left="567"/>
        <w:rPr>
          <w:b/>
        </w:rPr>
      </w:pPr>
    </w:p>
    <w:p w:rsidR="00000000" w:rsidRDefault="00000000">
      <w:pPr>
        <w:ind w:left="567"/>
      </w:pPr>
      <w:r>
        <w:rPr>
          <w:b/>
        </w:rPr>
        <w:t>2.</w:t>
      </w:r>
      <w:r>
        <w:rPr>
          <w:b/>
        </w:rPr>
        <w:tab/>
        <w:t>в частной</w:t>
      </w:r>
      <w:r>
        <w:t>:  ИНФОКАЛЬ, ИДЕПРО и другие организации занимаются профессионально-технической подготовкой трудящихся, служащих, работников микропредприятий и населения в целом.</w:t>
      </w:r>
    </w:p>
    <w:p w:rsidR="00000000" w:rsidRDefault="00000000"/>
    <w:p w:rsidR="00000000" w:rsidRDefault="00000000">
      <w:r>
        <w:t>76.</w:t>
      </w:r>
      <w:r>
        <w:tab/>
        <w:t>С учетом этих особенностей министерство труда и по делам микропредприятий осуществляет подготовку межучрежденческого соглашения с частными профессионально-техническими заведениями с целью обеспечения трудоустройства прошедших профессиональную подготовку работников через свой департамент на национальной бирже труда.  Дополнительная информация представлена на диапозитивах в приложении 1.</w:t>
      </w:r>
    </w:p>
    <w:p w:rsidR="00000000" w:rsidRDefault="00000000">
      <w:pPr>
        <w:rPr>
          <w:u w:val="single"/>
        </w:rPr>
      </w:pPr>
    </w:p>
    <w:p w:rsidR="00000000" w:rsidRDefault="00000000">
      <w:r>
        <w:rPr>
          <w:u w:val="single"/>
        </w:rPr>
        <w:t>Пункт 2 d</w:t>
      </w:r>
      <w:r>
        <w:t>)</w:t>
      </w:r>
    </w:p>
    <w:p w:rsidR="00000000" w:rsidRDefault="00000000"/>
    <w:p w:rsidR="00000000" w:rsidRDefault="00000000">
      <w:r>
        <w:t>77.</w:t>
      </w:r>
      <w:r>
        <w:tab/>
        <w:t>В числе действующих законодательных положений можно упомянуть:  Политическую конституцию, Общий закон о труде, Декрет о регламентации рабочего времени, Указ № 21060 и Указ № 22407 (расширительный).  Эти нормативные акты гарантируют каждому гражданину право на труд, на свободу ассоциации, профсоюзные права, не допуская таким образом ограничений политических и экономических свобод личности.</w:t>
      </w:r>
    </w:p>
    <w:p w:rsidR="00000000" w:rsidRDefault="00000000"/>
    <w:p w:rsidR="00000000" w:rsidRDefault="00000000">
      <w:pPr>
        <w:pStyle w:val="Heading2"/>
        <w:rPr>
          <w:u w:val="none"/>
        </w:rPr>
      </w:pPr>
      <w:r>
        <w:t>Пункт 2</w:t>
      </w:r>
      <w:r>
        <w:rPr>
          <w:lang w:val="en-US"/>
        </w:rPr>
        <w:t xml:space="preserve"> f</w:t>
      </w:r>
      <w:r>
        <w:rPr>
          <w:u w:val="none"/>
        </w:rPr>
        <w:t>)</w:t>
      </w:r>
    </w:p>
    <w:p w:rsidR="00000000" w:rsidRDefault="00000000"/>
    <w:p w:rsidR="00000000" w:rsidRDefault="00000000">
      <w:r>
        <w:t>78.</w:t>
      </w:r>
      <w:r>
        <w:tab/>
        <w:t>Основным препятствием на пути достижения этих целей служит нехватка экономических ресурсов для реализации программ в области занятости.</w:t>
      </w:r>
    </w:p>
    <w:p w:rsidR="00000000" w:rsidRDefault="00000000"/>
    <w:p w:rsidR="00000000" w:rsidRDefault="00000000">
      <w:r>
        <w:rPr>
          <w:u w:val="single"/>
        </w:rPr>
        <w:t>Пункт 3 а</w:t>
      </w:r>
      <w:r>
        <w:t>)</w:t>
      </w:r>
    </w:p>
    <w:p w:rsidR="00000000" w:rsidRDefault="00000000"/>
    <w:p w:rsidR="00000000" w:rsidRDefault="00000000">
      <w:r>
        <w:t>79.</w:t>
      </w:r>
      <w:r>
        <w:tab/>
        <w:t>Начиная с 50-х годов МОТ осуществляет свою деятельность по поощрению равенства возможностей и обращения, а также принципа недискриминации.  В этой связи Международная конференция труда приняла различные конвенции, которые правительство Боливии считает особенно важными для улучшения положения трудящихся женщин, а именно:</w:t>
      </w:r>
    </w:p>
    <w:p w:rsidR="00000000" w:rsidRDefault="00000000"/>
    <w:p w:rsidR="00000000" w:rsidRDefault="00000000">
      <w:r>
        <w:tab/>
        <w:t>а)</w:t>
      </w:r>
      <w:r>
        <w:tab/>
        <w:t>Конвенцию № 111 о дискриминации в области труда и занятости 1958 года;</w:t>
      </w:r>
    </w:p>
    <w:p w:rsidR="00000000" w:rsidRDefault="00000000"/>
    <w:p w:rsidR="00000000" w:rsidRDefault="00000000">
      <w:r>
        <w:tab/>
        <w:t>b)</w:t>
      </w:r>
      <w:r>
        <w:tab/>
        <w:t>Конвенцию № 100 о равном вознаграждении мужчин и женщин за труд равной ценности 1951 года;</w:t>
      </w:r>
    </w:p>
    <w:p w:rsidR="00000000" w:rsidRDefault="00000000"/>
    <w:p w:rsidR="00000000" w:rsidRDefault="00000000">
      <w:r>
        <w:tab/>
        <w:t>с)</w:t>
      </w:r>
      <w:r>
        <w:tab/>
        <w:t>Конвенцию № 156 о трудящихся с семейными обязанностями 1981 года;</w:t>
      </w:r>
    </w:p>
    <w:p w:rsidR="00000000" w:rsidRDefault="00000000"/>
    <w:p w:rsidR="00000000" w:rsidRDefault="00000000">
      <w:r>
        <w:tab/>
        <w:t>d)</w:t>
      </w:r>
      <w:r>
        <w:tab/>
        <w:t>Конвенцию № 142 о развитии людских ресурсов 1975 года.</w:t>
      </w:r>
    </w:p>
    <w:p w:rsidR="00000000" w:rsidRDefault="00000000"/>
    <w:p w:rsidR="00000000" w:rsidRDefault="00000000">
      <w:r>
        <w:t>80.</w:t>
      </w:r>
      <w:r>
        <w:tab/>
        <w:t>Боливия ратифицировала Конвенцию о ликвидации всех форм дискриминации в отношении женщин посредством Закона № 1100 1989 года, провозгласив обязательными общепринятые принципы и меры, направленные на обеспечение женщинам равных прав во всех областях развития, в частности в политической, социальной, экономической и культурной сферах, исходя из признания того, что такая дискриминация препятствует равноправию.</w:t>
      </w:r>
    </w:p>
    <w:p w:rsidR="00000000" w:rsidRDefault="00000000"/>
    <w:p w:rsidR="00000000" w:rsidRDefault="00000000">
      <w:r>
        <w:t>81.</w:t>
      </w:r>
      <w:r>
        <w:tab/>
        <w:t>Принятие обязательства по осуществлению действенных мер в целях искоренения процессов отстранения женщин от участия в жизни общества потребовало создать правовую основу для поощрения более полной реализации вышеупомянутой Конвенции.  Исходя из этого Управление по вопросам пола, поколений и семьи заключило на основании Указа о равенстве возможностей мужчин и женщин за октябрь 1997 года стратегический союз с представительными органами власти, международными и общественными организациями в целях создания временного комитета по продвижению факультативного протокола к вышеупомянутой Конвенции.  Этому комитету поручено добиваться более полного осознания общественностью важности этого договора, предоставления Конвенции равного статуса с международными договорами, предусматривающими налаживание контактов и координацию деятельности в интересах принятия этого факультативного протокола, который будет вынесен на обсуждение следующей сессии Генеральной Ассамблеи ООН для одобрения и его открытия для подписания.</w:t>
      </w:r>
    </w:p>
    <w:p w:rsidR="00000000" w:rsidRDefault="00000000"/>
    <w:p w:rsidR="00000000" w:rsidRDefault="00000000">
      <w:r>
        <w:t>82.</w:t>
      </w:r>
      <w:r>
        <w:tab/>
        <w:t>Конвенция № 156 вместе с Рекомендацией № 168, а также Конвенции № 100 и № 111 представляют собой три основополагающих международных договора, которые обеспечивают действенное равенство обращения и возможностей для мужчин и женщин в сфере труда.  Согласно нормативным положениям Конвенции № 156 и мужчины, и женщины должны обладать возможностью осуществлять свое право на трудоустройство без дискриминации по признаку семейных обязанностей и, "насколько это возможно, не создавая противоречий между работой и семейными обязанностями".</w:t>
      </w:r>
    </w:p>
    <w:p w:rsidR="00000000" w:rsidRDefault="00000000"/>
    <w:p w:rsidR="00000000" w:rsidRDefault="00000000">
      <w:r>
        <w:t>83.</w:t>
      </w:r>
      <w:r>
        <w:tab/>
        <w:t>Анализ вышеупомянутых конвенций имеет основополагающее значение для определения возможности обеспечения действительно равного обращения и возможностей для мужчин и женщин в сфере труда.  В этой связи важно оценить вклад, который женщины своим трудом делают в экономику страны на двух уровнях:  во</w:t>
      </w:r>
      <w:r>
        <w:noBreakHyphen/>
        <w:t>первых, в рамках создания и увеличения валового внутреннего продукта, что предполагает производство товаров и услуг, реализуемых на рынке, и, во</w:t>
      </w:r>
      <w:r>
        <w:noBreakHyphen/>
        <w:t>вторых, посредством производства или создания товаров и услуг, не реализуемых на рынке, а предназначенных для семейного потребления, но по этой причине не теряющих своего значения для экономического роста и развития.  Одной из основных проблем, с которыми женщины сталкиваются в этой сфере, является их чрезмерная загруженность домашней работой.</w:t>
      </w:r>
    </w:p>
    <w:p w:rsidR="00000000" w:rsidRDefault="00000000">
      <w:pPr>
        <w:rPr>
          <w:lang w:val="en-US"/>
        </w:rPr>
      </w:pPr>
    </w:p>
    <w:p w:rsidR="00000000" w:rsidRDefault="00000000">
      <w:r>
        <w:rPr>
          <w:lang w:val="en-US"/>
        </w:rPr>
        <w:t>84.</w:t>
      </w:r>
      <w:r>
        <w:rPr>
          <w:lang w:val="en-US"/>
        </w:rPr>
        <w:tab/>
      </w:r>
      <w:r>
        <w:t>Недостаточно справедливое распределение обязанностей по уходу за детьми и выполнению домашних работ является одной из основных причин неравноправия мужчин и женщин на рынке труда, прежде всего в городах.  По данным национальной переписи населения и жилого фонда за 1992 год, 60% женщин трудоспособного возраста посвящают все свое время и силы домашней работе и уходу за детьми, что не обеспечивает им ни общественного положения, ни финансовой независимости.</w:t>
      </w:r>
    </w:p>
    <w:p w:rsidR="00000000" w:rsidRDefault="00000000"/>
    <w:p w:rsidR="00000000" w:rsidRDefault="00000000">
      <w:r>
        <w:t>85.</w:t>
      </w:r>
      <w:r>
        <w:tab/>
        <w:t>Кроме того, действующий в настоящее время Общий закон о труде признает за женщиной лишь ограниченную трудоспособность, возлагая на них главную ответственность за заботу о семье.  В этой связи данный закон о труде предусматривает особую защиту женщин и специальное обращение с ними.  Эти положения, предусматривающие защиту женщин, на практике ее не обеспечивают, а приводят лишь к еще большей дискриминации на рынке труда.  Управление по вопросам пола разработало законопроект о внесении поправок в Общий закон о труде, основными аспектами которого станут равноправие на рабочем месте для женщин и защита материнства.</w:t>
      </w:r>
    </w:p>
    <w:p w:rsidR="00000000" w:rsidRDefault="00000000"/>
    <w:p w:rsidR="00000000" w:rsidRDefault="00000000">
      <w:r>
        <w:t>86.</w:t>
      </w:r>
      <w:r>
        <w:tab/>
        <w:t>Для обеспечения равного обращения в сфере труда вполне можно обойтись общеприменимыми нормами, предусмотрев особую защиту только в вопросах рождения и воспитания детей.</w:t>
      </w:r>
    </w:p>
    <w:p w:rsidR="00000000" w:rsidRDefault="00000000"/>
    <w:p w:rsidR="00000000" w:rsidRDefault="00000000">
      <w:r>
        <w:t>87.</w:t>
      </w:r>
      <w:r>
        <w:tab/>
        <w:t>В связи с защитой материнства предусмотрено освобождение от работы на полдня в месяц, которое должно предоставляться беременным женщинам до начала отпуска в связи с рождением ребенка в целях прохождения врачебных осмотров, а также в течение первого года после рождения ребенка для посещения педиатра, причем в этом случае таким разрешением может пользоваться и отец ребенка.</w:t>
      </w:r>
    </w:p>
    <w:p w:rsidR="00000000" w:rsidRDefault="00000000"/>
    <w:p w:rsidR="00000000" w:rsidRDefault="00000000">
      <w:r>
        <w:t>88.</w:t>
      </w:r>
      <w:r>
        <w:tab/>
        <w:t>С учетом этого правительство Боливии посредством Управления по вопросам пола, поколений и семьи (министерство устойчивого развития и планирования) считает крайне важной разработку ряда мероприятий, направленных на изменение условий в сфере труда, с тем чтобы уменьшить различия в доступе к трудоустройству для мужчин и женщин путем создания более справедливого распределения семейных обязанностей и вклада супругов в бюджет семьи, с одной стороны, а также обеспечения равного доступа к труду, равных возможностей продвижения по службе и, прежде всего, равного вознаграждения за труд мужчин и женщин, с другой стороны.  Ратификация вышеупомянутой Конвенции поможет решению данной задачи.</w:t>
      </w:r>
    </w:p>
    <w:p w:rsidR="00000000" w:rsidRDefault="00000000"/>
    <w:p w:rsidR="00000000" w:rsidRDefault="00000000">
      <w:r>
        <w:t>89.</w:t>
      </w:r>
      <w:r>
        <w:tab/>
        <w:t>Анализ данных свидетельствует о том, что мужчины, как правило, получают более высокое вознаграждение, чем женщины, хотя также верно, что мужчины отрабатывают больше часов в месяц, чем женщины, и обладают более высоким образовательным уровнем.  Этими двумя причинами могут объясняться различия в уровне заработной платы, в связи с чем не совсем уместно говорить о существовании дискриминации.</w:t>
      </w:r>
    </w:p>
    <w:p w:rsidR="00000000" w:rsidRDefault="00000000"/>
    <w:p w:rsidR="00000000" w:rsidRDefault="00000000">
      <w:r>
        <w:t>90.</w:t>
      </w:r>
      <w:r>
        <w:tab/>
        <w:t>Роберто Риберо в своем исследовании "</w:t>
      </w:r>
      <w:r>
        <w:rPr>
          <w:lang w:val="en-US"/>
        </w:rPr>
        <w:t>Discriminación Salarial por Género y por Etnia en Bilivia - 1991", La Paz, 1994 ("</w:t>
      </w:r>
      <w:r>
        <w:t>Дискриминация в вопросах заработной платы в зависимости от пола и этнического происхождения в Боливии – 1991 год", Ла-Пас, 1994 год), сделал попытку определить уровень дискриминации в разбивке по полу и этническим группам на официальном рынке труда в городах и приводит доводы в подтверждение ее существования в обоих этих случаях.</w:t>
      </w:r>
    </w:p>
    <w:p w:rsidR="00000000" w:rsidRDefault="00000000"/>
    <w:p w:rsidR="00000000" w:rsidRDefault="00000000">
      <w:pPr>
        <w:pStyle w:val="Heading1"/>
        <w:rPr>
          <w:u w:val="single"/>
        </w:rPr>
      </w:pPr>
      <w:r>
        <w:tab/>
      </w:r>
      <w:r>
        <w:rPr>
          <w:u w:val="single"/>
        </w:rPr>
        <w:t>Формы участия женщин в экономической жизни</w:t>
      </w:r>
    </w:p>
    <w:p w:rsidR="00000000" w:rsidRDefault="00000000">
      <w:pPr>
        <w:pStyle w:val="Heading1"/>
      </w:pPr>
    </w:p>
    <w:p w:rsidR="00000000" w:rsidRDefault="00000000">
      <w:r>
        <w:t>91.</w:t>
      </w:r>
      <w:r>
        <w:tab/>
        <w:t>Необходимо принимать во внимание основные аспекты, связанные с участием женщин в экономической жизни страны, которые лежат в основе подхода и позиции Управления по вопросам пола, поколений и семьи министерства устойчивого развития и планирования, а именно:</w:t>
      </w:r>
    </w:p>
    <w:p w:rsidR="00000000" w:rsidRDefault="00000000"/>
    <w:p w:rsidR="00000000" w:rsidRDefault="00000000">
      <w:r>
        <w:tab/>
        <w:t>а)</w:t>
      </w:r>
      <w:r>
        <w:tab/>
        <w:t>численность женщин на рынке труда неизменно увеличивается, и они проявляют все бóльшую активность;</w:t>
      </w:r>
    </w:p>
    <w:p w:rsidR="00000000" w:rsidRDefault="00000000"/>
    <w:p w:rsidR="00000000" w:rsidRDefault="00000000">
      <w:r>
        <w:tab/>
      </w:r>
      <w:r>
        <w:rPr>
          <w:lang w:val="en-US"/>
        </w:rPr>
        <w:t>b</w:t>
      </w:r>
      <w:r>
        <w:t>)</w:t>
      </w:r>
      <w:r>
        <w:tab/>
        <w:t>на рынке труда существует разделение по признаку пола, доказательством чего служит тот факт, что некоторые профессии по</w:t>
      </w:r>
      <w:r>
        <w:noBreakHyphen/>
        <w:t>прежнему считаются женскими, женщины занимают менее ответственные должности и получают более низкое вознаграждение.  Кроме того, они занимают низкие должности в служебной иерархии,  выполняют менее ответственную работу с меньшими полномочиями, чем мужчины;</w:t>
      </w:r>
    </w:p>
    <w:p w:rsidR="00000000" w:rsidRDefault="00000000"/>
    <w:p w:rsidR="00000000" w:rsidRDefault="00000000">
      <w:r>
        <w:tab/>
        <w:t>с)</w:t>
      </w:r>
      <w:r>
        <w:tab/>
        <w:t>при анализе агрегированных данных становятся очевидными значительные различия в размере вознаграждения между мужчинами и женщинами;</w:t>
      </w:r>
    </w:p>
    <w:p w:rsidR="00000000" w:rsidRDefault="00000000"/>
    <w:p w:rsidR="00000000" w:rsidRDefault="00000000">
      <w:r>
        <w:tab/>
        <w:t>d)</w:t>
      </w:r>
      <w:r>
        <w:tab/>
        <w:t>подтверждением этих особенностей может служить анализ данных, представленных Национальным статистическим институтом (1998 год) по общей структуре занятости в крупных городах Боливии;</w:t>
      </w:r>
    </w:p>
    <w:p w:rsidR="00000000" w:rsidRDefault="00000000"/>
    <w:p w:rsidR="00000000" w:rsidRDefault="00000000">
      <w:r>
        <w:tab/>
        <w:t>e)</w:t>
      </w:r>
      <w:r>
        <w:tab/>
        <w:t>в соответствии с этой информацией экономически активное население составляет 41% всех жителей страны трудоспособного возраста, 57,2% из которых являются мужчинами и 42,8% - женщинами.  Численность занятого населения в крупных городах Боливии достигает 1 339 873 человек, 57,2% которого составляют мужчины и 42,8% - женщины;</w:t>
      </w:r>
    </w:p>
    <w:p w:rsidR="00000000" w:rsidRDefault="00000000"/>
    <w:p w:rsidR="00000000" w:rsidRDefault="00000000">
      <w:r>
        <w:tab/>
        <w:t>f)</w:t>
      </w:r>
      <w:r>
        <w:tab/>
        <w:t>эта информация свидетельствует также о сегментации рынка труда Боливии по уровню образования мужчин и женщин и роду занятий;</w:t>
      </w:r>
    </w:p>
    <w:p w:rsidR="00000000" w:rsidRDefault="00000000"/>
    <w:p w:rsidR="00000000" w:rsidRDefault="00000000">
      <w:r>
        <w:tab/>
        <w:t>g)</w:t>
      </w:r>
      <w:r>
        <w:tab/>
        <w:t>из числа работающего экономически активного населения неграмотными являются 19,1% мужчин и 80,9% женщин.  В том числе к категории неквалифицированной рабочей силы среди них относятся 66,4% мужчин и 33,6% женщин.  Эти отличия не столь велики для категории предпринимателей или нанимателей, так как здесь в числе лиц, не имеющих никакого образования, 49,6% являются женщинами и 50,4% - мужчинами.</w:t>
      </w:r>
    </w:p>
    <w:p w:rsidR="00000000" w:rsidRDefault="00000000"/>
    <w:p w:rsidR="00000000" w:rsidRDefault="00000000">
      <w:r>
        <w:tab/>
        <w:t>h)</w:t>
      </w:r>
      <w:r>
        <w:tab/>
        <w:t>что касается лиц с высшим образованием, то в категории нанимателей или предпринимателей отмечается значительный перевес в пользу мужчин, т.е. чем выше уровень образования мужчины, тем ему легче стать нанимателем или предпринимателем, чего, однако, нельзя сказать о женщинах.  Об этом  свидетельствуют следующие цифры:  в числе нанимателей или предпринимателей насчитывается 87,2% мужчин и 12,8% женщин.  Аналогичная картина наблюдается в отношении самостоятельно занятых:  от их общего числа 72,1% являются мужчинами и 27,9% - женщинами;</w:t>
      </w:r>
    </w:p>
    <w:p w:rsidR="00000000" w:rsidRDefault="00000000"/>
    <w:p w:rsidR="00000000" w:rsidRDefault="00000000">
      <w:r>
        <w:tab/>
        <w:t>i)</w:t>
      </w:r>
      <w:r>
        <w:tab/>
        <w:t>с другой стороны, анализ категории рабочих свидетельствует о том, что в целом мужчины составляют большую часть квалифицированной рабочей силы.  Исключение составляют лишь выпускники (выпускницы) педагогических училищ.  Из общего числа рабочих, закончивших начальную школу, 89,2% составляют мужчины и 10,8% - женщины;  из выпускников средней школы 92,5% составляют мужчины и 7,5% -женщины;  из лиц с высшим образованием на долю мужчин приходится 74,8% и женщин - 25,2%.  Если же говорить о выпускниках педагогических училищ, то в категории рабочих нет женщин с таким образованием;</w:t>
      </w:r>
    </w:p>
    <w:p w:rsidR="00000000" w:rsidRDefault="00000000"/>
    <w:p w:rsidR="00000000" w:rsidRDefault="00000000">
      <w:r>
        <w:tab/>
        <w:t>j)</w:t>
      </w:r>
      <w:r>
        <w:tab/>
        <w:t>согласно представленной информации, большая часть женщин, не имеющих никакого образования, относится к трем категориям:  в числе домохозяек на их долю приходится 83%, самостоятельно занятых – 80% и работающих по найму – 68%.  Аналогичная картина отмечается в отношении лиц, имеющих иной уровень образования.  Женщины, получившие начальное образование, составляют большинство в категории домохозяек - на их долю приходится 62%, в категории самостоятельно занятых трудящихся они составляют 58,7% и работающих по найму - 28,4%.  Если говорить о выпускниках педагогических училищ, то в категории домохозяек на их долю приходится 100%, тогда как в числе работающих по найму они составляют 71,4% и среди самостоятельно занятых - 47,9%.  Кроме того, от общего числа выпускников высших учебных заведений 54,6% женщин являются домохозяйками, 34,4% - служащими и 27,9% - самостоятельно занятыми.  Наконец, следует отметить, что в составе домашней прислуги 92,2% составляют женщины, имеющие начальное или среднее образование;</w:t>
      </w:r>
    </w:p>
    <w:p w:rsidR="00000000" w:rsidRDefault="00000000"/>
    <w:p w:rsidR="00000000" w:rsidRDefault="00000000">
      <w:r>
        <w:tab/>
        <w:t>k)</w:t>
      </w:r>
      <w:r>
        <w:tab/>
        <w:t>что касается занятого населения, то важными показателями являются также данные о различных видах экономической деятельности в разбивке по полу;</w:t>
      </w:r>
    </w:p>
    <w:p w:rsidR="00000000" w:rsidRDefault="00000000"/>
    <w:p w:rsidR="00000000" w:rsidRDefault="00000000">
      <w:r>
        <w:tab/>
        <w:t>l)</w:t>
      </w:r>
      <w:r>
        <w:tab/>
        <w:t>в числе тружеников сельского хозяйства на долю мужчин приходится 73,2% и женщин - 26,8%.  В лесоводстве, рыболовстве и горнорудном деле заняты в основном мужчины, на долю которых приходится 93% и 91,6%, соответственно.  Аналогичное положение существует в строительстве, где на долю мужчин приходится 96,1% всех трудящихся в этой сфере;</w:t>
      </w:r>
    </w:p>
    <w:p w:rsidR="00000000" w:rsidRDefault="00000000"/>
    <w:p w:rsidR="00000000" w:rsidRDefault="00000000">
      <w:r>
        <w:tab/>
        <w:t>m)</w:t>
      </w:r>
      <w:r>
        <w:tab/>
        <w:t>неизменно возрастает доля женщин в числе работников обрабатывающей промышленности:  в этой отрасли мужчины составляют 65,8% и женщины - 34,2% трудящихся.  Такая же тенденция отмечается в категории предпринимателей, где на долю мужчин приходится 62,9% и женщин - 37,1%;</w:t>
      </w:r>
    </w:p>
    <w:p w:rsidR="00000000" w:rsidRDefault="00000000"/>
    <w:p w:rsidR="00000000" w:rsidRDefault="00000000">
      <w:r>
        <w:tab/>
        <w:t>n)</w:t>
      </w:r>
      <w:r>
        <w:tab/>
        <w:t>противоположное положение дел наблюдается в так называемом третичном секторе экономики.  Традиционно женщины занимают преимущественное положение в категории "надомных работников" – 88,8%, в гостинично-ресторанном деле – 79,7% женщин и 20,3% мужчин.  Кроме того, в сфере торговли на долю женщин приходится 59%, мужчин – 41%.  Аналогичная картина наблюдается в сфере образования, где женщин 60,5% и мужчин лишь 39,5%;</w:t>
      </w:r>
    </w:p>
    <w:p w:rsidR="00000000" w:rsidRDefault="00000000"/>
    <w:p w:rsidR="00000000" w:rsidRDefault="00000000">
      <w:r>
        <w:tab/>
        <w:t>o)</w:t>
      </w:r>
      <w:r>
        <w:tab/>
        <w:t>большинство трудящихся, не имеющих никакого образования и занятых в добывающей и обрабатывающей промышленности, составляют женщины.  Так, в сельском хозяйстве в числе трудящихся, не имеющих никакого образования, 55,6% составляют женщины и 44,4% - мужчины.  Такое же положение существует в обрабатывающей промышленности, где на долю женщин приходится порядка 67% трудящихся.  В горнорудной промышленности женщины составляют 48% трудящихся;</w:t>
      </w:r>
    </w:p>
    <w:p w:rsidR="00000000" w:rsidRDefault="00000000"/>
    <w:p w:rsidR="00000000" w:rsidRDefault="00000000">
      <w:r>
        <w:tab/>
        <w:t>p)</w:t>
      </w:r>
      <w:r>
        <w:tab/>
        <w:t>кроме того, в некоторых отраслях сферы услуг доля женщин в числе трудящихся, не имеющих никакого образования, порой достигает 100%:  в органах государственного управления, образования и социальных услуг.  Женщины составляют большинство в числе трудящихся гостинично-ресторанного сектора – 94,4% и в торговле – 88,3%;</w:t>
      </w:r>
    </w:p>
    <w:p w:rsidR="00000000" w:rsidRDefault="00000000"/>
    <w:p w:rsidR="00000000" w:rsidRDefault="00000000">
      <w:r>
        <w:tab/>
        <w:t>q)</w:t>
      </w:r>
      <w:r>
        <w:tab/>
        <w:t>по мере роста уровня образования женщин возрастает их доля в числе представителей профессий, традиционно считавшихся мужскими.  Так, на долю женщин с высшим образованием приходится 21,9% трудящихся в таких отраслях, как энергетика/газо- и водоснабжение, а в строительстве этот показатель достигает 27,3%;</w:t>
      </w:r>
    </w:p>
    <w:p w:rsidR="00000000" w:rsidRDefault="00000000">
      <w:pPr>
        <w:rPr>
          <w:lang w:val="en-US"/>
        </w:rPr>
      </w:pPr>
    </w:p>
    <w:p w:rsidR="00000000" w:rsidRDefault="00000000">
      <w:pPr>
        <w:tabs>
          <w:tab w:val="left" w:pos="567"/>
        </w:tabs>
      </w:pPr>
      <w:r>
        <w:rPr>
          <w:lang w:val="en-US"/>
        </w:rPr>
        <w:tab/>
        <w:t>r)</w:t>
      </w:r>
      <w:r>
        <w:rPr>
          <w:lang w:val="en-US"/>
        </w:rPr>
        <w:tab/>
      </w:r>
      <w:r>
        <w:t>В рамках третьего национального обследования по вопросам занятости в крупных городах Боливии также была получена информация о распределении доходов в разбивке по полу.  Показатель среднемесячного дохода занятого населения в ноябре 1997 года составлял 1 207 боливиано.  Для мужчин эта цифра достигала 1</w:t>
      </w:r>
      <w:r>
        <w:rPr>
          <w:lang w:val="en-US"/>
        </w:rPr>
        <w:t> </w:t>
      </w:r>
      <w:r>
        <w:t>448 боливиано, а для женщин – 860 боливиано.  Анализ положения в отдельных секторах экономики выявляет еще более глубокие различия.  В сельском хозяйстве показатель среднего дохода составляет 2 660 боливиано для мужчин и 828 боливиано для женщин.  В лесоводстве и рыболовстве он достигает 2</w:t>
      </w:r>
      <w:r>
        <w:rPr>
          <w:lang w:val="en-US"/>
        </w:rPr>
        <w:t> </w:t>
      </w:r>
      <w:r>
        <w:t>937 боливиано для мужчин и 500 боливиано для женщин.  В обрабатывающей промышленности мужчины в среднем получают 1 111 боливиано, а женщины – 597 боливиано;</w:t>
      </w:r>
    </w:p>
    <w:p w:rsidR="00000000" w:rsidRDefault="00000000">
      <w:pPr>
        <w:tabs>
          <w:tab w:val="left" w:pos="567"/>
        </w:tabs>
        <w:ind w:left="1134" w:hanging="1134"/>
      </w:pPr>
    </w:p>
    <w:p w:rsidR="00000000" w:rsidRDefault="00000000">
      <w:pPr>
        <w:tabs>
          <w:tab w:val="left" w:pos="567"/>
        </w:tabs>
      </w:pPr>
      <w:r>
        <w:rPr>
          <w:lang w:val="en-US"/>
        </w:rPr>
        <w:tab/>
        <w:t>s)</w:t>
      </w:r>
      <w:r>
        <w:rPr>
          <w:lang w:val="en-US"/>
        </w:rPr>
        <w:tab/>
      </w:r>
      <w:r>
        <w:t>В сфере услуг, где, как явствует из представленной выше информации, женщины составляют большинство трудящихся, доходы мужчин значительно выше.  В торговле средний показатель дохода для мужчин составляет 1 386 боливиано, а для женщин - 784 боливиано.  Кроме того, в гостинично-ресторанном деле мужчины получают в среднем 1 535 боливиано, а женщины лишь 677 боливиано.  Доход преподавателей-мужчин также выше (1 444 боливиано), чем у женщин (935 боливиано);</w:t>
      </w:r>
    </w:p>
    <w:p w:rsidR="00000000" w:rsidRDefault="00000000">
      <w:pPr>
        <w:tabs>
          <w:tab w:val="left" w:pos="567"/>
        </w:tabs>
        <w:ind w:left="1134" w:hanging="1134"/>
      </w:pPr>
    </w:p>
    <w:p w:rsidR="00000000" w:rsidRDefault="00000000">
      <w:pPr>
        <w:tabs>
          <w:tab w:val="left" w:pos="567"/>
        </w:tabs>
      </w:pPr>
      <w:r>
        <w:rPr>
          <w:lang w:val="en-US"/>
        </w:rPr>
        <w:tab/>
        <w:t>t)</w:t>
      </w:r>
      <w:r>
        <w:tab/>
        <w:t>в некоторых сферах деятельности показатель среднего дохода выше для женщин.  Такое положение существует в строительстве, где женщины в среднем получают 2 049 боливиано, а мужчины – 1 090 боливиано, а также в системе государственного управления, где эти различия невелики, но в пользу женщин:  на их долю приходится 1 787 боливиано, тогда как на долю мужчин - 1 592 боливиано.  Очевидной причиной является тот факт, что женщины, работающие в этих секторах, обладают более высоким уровнем образования, чем мужчины, о чем свидетельствуют приведенные выше данные;</w:t>
      </w:r>
    </w:p>
    <w:p w:rsidR="00000000" w:rsidRDefault="00000000">
      <w:pPr>
        <w:tabs>
          <w:tab w:val="left" w:pos="567"/>
        </w:tabs>
        <w:ind w:left="1134" w:hanging="1134"/>
      </w:pPr>
    </w:p>
    <w:p w:rsidR="00000000" w:rsidRDefault="00000000">
      <w:pPr>
        <w:tabs>
          <w:tab w:val="left" w:pos="567"/>
        </w:tabs>
      </w:pPr>
      <w:r>
        <w:rPr>
          <w:lang w:val="en-US"/>
        </w:rPr>
        <w:tab/>
        <w:t>u)</w:t>
      </w:r>
      <w:r>
        <w:tab/>
        <w:t>похожая картина наблюдается и при сравнении показателей среднего дохода в разбивке по роду занятий:  рабочие-мужчины получают 771 боливиано, а доход рабочих-женщин составляет 58% от этой цифры.  Такое соотношение существует среди служащих, где женщины получают в среднем 68% от доходов мужчин.  Аналогичные различия отмечены и в категории самозанятых, где женщины получают 61% от доходов мужчин.  Что касается нанимателей и предпринимателей, то в этой категории средний доход женщин составляет 77% от дохода мужчин.  Такое соотношение выявлено в доходах домашней прислуги, когда женщины получают 66% от доходов мужчин за выполнение аналогичной работы.  Только в случае представителей независимых профессий, женщины получают на 6,5% больше, чем мужчины;</w:t>
      </w:r>
    </w:p>
    <w:p w:rsidR="00000000" w:rsidRDefault="00000000">
      <w:pPr>
        <w:tabs>
          <w:tab w:val="left" w:pos="567"/>
        </w:tabs>
        <w:ind w:left="1134" w:hanging="1134"/>
      </w:pPr>
    </w:p>
    <w:p w:rsidR="00000000" w:rsidRDefault="00000000">
      <w:pPr>
        <w:tabs>
          <w:tab w:val="left" w:pos="567"/>
        </w:tabs>
      </w:pPr>
      <w:r>
        <w:rPr>
          <w:lang w:val="en-US"/>
        </w:rPr>
        <w:tab/>
        <w:t>v)</w:t>
      </w:r>
      <w:r>
        <w:rPr>
          <w:lang w:val="en-US"/>
        </w:rPr>
        <w:tab/>
        <w:t>в</w:t>
      </w:r>
      <w:r>
        <w:t xml:space="preserve"> горнорудной промышленности мужчины работают в среднем 55 часов в неделю, а женщины – 48 часов;  в обрабатывающей промышленности мужчины работают в среднем 50 часов в неделю, а женщины – 40 часов;  в сфере образования мужчины трудятся  в среднем 32 часа в неделю, а женщины – 27 часов.  В некоторых отраслях, например в торговле, социальной и общественно-коммунальной сферах, мужчины и женщины работают в среднем одинаковое количество часов в неделю – 50, 44 и 40 часов, соответственно;</w:t>
      </w:r>
    </w:p>
    <w:p w:rsidR="00000000" w:rsidRDefault="00000000">
      <w:pPr>
        <w:tabs>
          <w:tab w:val="left" w:pos="567"/>
        </w:tabs>
        <w:ind w:left="1134" w:hanging="1134"/>
      </w:pPr>
    </w:p>
    <w:p w:rsidR="00000000" w:rsidRDefault="00000000">
      <w:pPr>
        <w:tabs>
          <w:tab w:val="left" w:pos="567"/>
        </w:tabs>
      </w:pPr>
      <w:r>
        <w:rPr>
          <w:lang w:val="en-US"/>
        </w:rPr>
        <w:tab/>
        <w:t>w)</w:t>
      </w:r>
      <w:r>
        <w:rPr>
          <w:lang w:val="en-US"/>
        </w:rPr>
        <w:tab/>
        <w:t>в</w:t>
      </w:r>
      <w:r>
        <w:t xml:space="preserve"> заключение следует отметить, что имеющаяся информация позволяет установить, что в целом для занятого населения мужчины работают бόльшее количество часов в неделю, чем женщины:  57,2% по сравнению с 42,8%.  В числе трудящихся, работающих более 40 часов в неделю, на долю мужчин приходится 65% по сравнению с 35% женщин.  В категории рабочих 8% женщин трудятся более 40 часов в неделю, тогда как в числе мужчин это делают 92%.  Это различие не столь велико для категории самостоятельно занятых трудящихся, где женщины, работающие свыше 40 часов в неделю, составляют 43,6% по сравнению с 56,4% для мужчин.  Более того, это положение меняется на противоположное, если говорить о категории лиц, занимающихся домашним хозяйством, где в числе лиц, работающих более 40 часов в неделю, на долю женщин приходится 75,9% и мужчин – 24,1%;</w:t>
      </w:r>
    </w:p>
    <w:p w:rsidR="00000000" w:rsidRDefault="00000000">
      <w:pPr>
        <w:tabs>
          <w:tab w:val="left" w:pos="567"/>
        </w:tabs>
        <w:ind w:left="1134" w:hanging="1134"/>
      </w:pPr>
    </w:p>
    <w:p w:rsidR="00000000" w:rsidRDefault="00000000">
      <w:pPr>
        <w:tabs>
          <w:tab w:val="left" w:pos="567"/>
        </w:tabs>
      </w:pPr>
      <w:r>
        <w:tab/>
        <w:t>х)</w:t>
      </w:r>
      <w:r>
        <w:tab/>
        <w:t>анализ состава трудящихся, работающих 1-12,5;  13-19,5 и 20-39,5 часов в неделю, свидетельствует о том, что для этих категорий большинство составляет женщины:  60,4%, 55,7% и 63,6%, соответственно.  В то же время для категории самостоятельно занятых трудящихся в первом случае женщины составляют 71,1%, во втором – 71,1% и в третьем – 73,4%.  В заключение важно отметить, что нет достаточной статистической информации, позволяющей более точно охарактеризовать труд женщин, ибо, как правило, женщины еще трудятся на "второй" или "третьей" работе, к которой следует отнести ведение хозяйства, а также воспитание детей.</w:t>
      </w:r>
    </w:p>
    <w:p w:rsidR="00000000" w:rsidRDefault="00000000">
      <w:pPr>
        <w:ind w:left="567" w:hanging="567"/>
      </w:pPr>
    </w:p>
    <w:p w:rsidR="00000000" w:rsidRDefault="00000000">
      <w:pPr>
        <w:ind w:left="567" w:hanging="567"/>
        <w:rPr>
          <w:u w:val="single"/>
          <w:lang w:val="en-US"/>
        </w:rPr>
      </w:pPr>
      <w:r>
        <w:rPr>
          <w:u w:val="single"/>
        </w:rPr>
        <w:t xml:space="preserve">Пункт 3 </w:t>
      </w:r>
      <w:r>
        <w:rPr>
          <w:u w:val="single"/>
          <w:lang w:val="en-US"/>
        </w:rPr>
        <w:t>b)</w:t>
      </w:r>
    </w:p>
    <w:p w:rsidR="00000000" w:rsidRDefault="00000000">
      <w:pPr>
        <w:ind w:left="567" w:hanging="567"/>
        <w:rPr>
          <w:u w:val="single"/>
          <w:lang w:val="en-US"/>
        </w:rPr>
      </w:pPr>
    </w:p>
    <w:p w:rsidR="00000000" w:rsidRDefault="00000000">
      <w:pPr>
        <w:pStyle w:val="BodyTextIndent"/>
        <w:spacing w:line="288" w:lineRule="auto"/>
        <w:ind w:left="0" w:firstLine="0"/>
      </w:pPr>
      <w:r>
        <w:t>92.</w:t>
      </w:r>
      <w:r>
        <w:tab/>
        <w:t>В рамках Генерального плана экономического развития, основная стратегия которого состоит в укреплении и модернизации производственных отраслей, ставится задача обеспечить развитие Боливии в условиях сплочения общества без различий по признаку расы, цветы кожи, пола, религии или национального происхождения, с тем чтобы появилась возможность создать условия и предпосылки для преодоления структурных ограничений в области профессионально-технического обучения.</w:t>
      </w:r>
    </w:p>
    <w:p w:rsidR="00000000" w:rsidRDefault="00000000">
      <w:pPr>
        <w:pStyle w:val="BodyTextIndent"/>
        <w:spacing w:line="288" w:lineRule="auto"/>
      </w:pPr>
    </w:p>
    <w:p w:rsidR="00000000" w:rsidRDefault="00000000">
      <w:pPr>
        <w:ind w:left="567" w:hanging="567"/>
        <w:rPr>
          <w:u w:val="single"/>
        </w:rPr>
      </w:pPr>
      <w:r>
        <w:rPr>
          <w:u w:val="single"/>
        </w:rPr>
        <w:t>Пункт 3 с)</w:t>
      </w:r>
    </w:p>
    <w:p w:rsidR="00000000" w:rsidRDefault="00000000">
      <w:pPr>
        <w:ind w:left="567" w:hanging="567"/>
        <w:rPr>
          <w:u w:val="single"/>
        </w:rPr>
      </w:pPr>
    </w:p>
    <w:p w:rsidR="00000000" w:rsidRDefault="00000000">
      <w:pPr>
        <w:ind w:left="567" w:hanging="567"/>
      </w:pPr>
      <w:r>
        <w:t>93.</w:t>
      </w:r>
      <w:r>
        <w:tab/>
        <w:t xml:space="preserve">В этой связи хотелось бы сослаться на пункты а) и </w:t>
      </w:r>
      <w:r>
        <w:rPr>
          <w:lang w:val="en-US"/>
        </w:rPr>
        <w:t>b)</w:t>
      </w:r>
      <w:r>
        <w:t>.</w:t>
      </w:r>
    </w:p>
    <w:p w:rsidR="00000000" w:rsidRDefault="00000000">
      <w:pPr>
        <w:ind w:left="567" w:hanging="567"/>
      </w:pPr>
    </w:p>
    <w:p w:rsidR="00000000" w:rsidRDefault="00000000">
      <w:pPr>
        <w:pStyle w:val="Heading7"/>
        <w:spacing w:line="288" w:lineRule="auto"/>
        <w:jc w:val="left"/>
      </w:pPr>
      <w:r>
        <w:t>Пункт 4</w:t>
      </w:r>
    </w:p>
    <w:p w:rsidR="00000000" w:rsidRDefault="00000000">
      <w:pPr>
        <w:pStyle w:val="Heading7"/>
        <w:spacing w:line="288" w:lineRule="auto"/>
      </w:pPr>
    </w:p>
    <w:p w:rsidR="00000000" w:rsidRDefault="00000000">
      <w:pPr>
        <w:pStyle w:val="BodyTextIndent"/>
        <w:spacing w:line="288" w:lineRule="auto"/>
        <w:ind w:left="0" w:firstLine="0"/>
      </w:pPr>
      <w:r>
        <w:t>94.</w:t>
      </w:r>
      <w:r>
        <w:tab/>
        <w:t>Что касается сельских районов, то там на плечи трудящихся женщин ложится двойная нагрузка:  они работают в поле, продают произведенную продукцию и занимаются домашним хозяйством.  В городах введение непрерывного рабочего дня позволит большему проценту экономически активного населения отыскать новые источники дохода, с тем чтобы обеспечить себе более высокий уровень жизни и выкроить время для повышения собственных знаний.</w:t>
      </w:r>
    </w:p>
    <w:p w:rsidR="00000000" w:rsidRDefault="00000000">
      <w:pPr>
        <w:pStyle w:val="BodyTextIndent"/>
        <w:spacing w:line="288" w:lineRule="auto"/>
      </w:pPr>
    </w:p>
    <w:p w:rsidR="00000000" w:rsidRDefault="00000000">
      <w:pPr>
        <w:pStyle w:val="Heading7"/>
        <w:spacing w:line="288" w:lineRule="auto"/>
        <w:jc w:val="left"/>
      </w:pPr>
      <w:r>
        <w:t>Пункт 5</w:t>
      </w:r>
    </w:p>
    <w:p w:rsidR="00000000" w:rsidRDefault="00000000"/>
    <w:p w:rsidR="00000000" w:rsidRDefault="00000000">
      <w:r>
        <w:t>95.</w:t>
      </w:r>
      <w:r>
        <w:tab/>
        <w:t>Со времени представления предыдущего доклада изменений не произошло.  Разработан ряд предложений о внесении поправок в Общий закон о труде в целях обеспечения большей гибкости его положений, а также в Кодекс законов о детях и подростках.</w:t>
      </w:r>
    </w:p>
    <w:p w:rsidR="00000000" w:rsidRDefault="00000000"/>
    <w:p w:rsidR="00000000" w:rsidRDefault="00000000">
      <w:pPr>
        <w:pStyle w:val="Heading2"/>
      </w:pPr>
      <w:r>
        <w:t>Пункт 6</w:t>
      </w:r>
    </w:p>
    <w:p w:rsidR="00000000" w:rsidRDefault="00000000">
      <w:pPr>
        <w:pStyle w:val="Heading2"/>
      </w:pPr>
    </w:p>
    <w:p w:rsidR="00000000" w:rsidRDefault="00000000">
      <w:r>
        <w:t>96.</w:t>
      </w:r>
      <w:r>
        <w:tab/>
        <w:t>МОТ, являясь международной организацией, занимающейся проблемами сферы труда, содействует осуществлению действующих законодательных положений и соглашений, подписанных между МОТ и Боливией.</w:t>
      </w:r>
    </w:p>
    <w:p w:rsidR="00000000" w:rsidRDefault="00000000"/>
    <w:p w:rsidR="00000000" w:rsidRDefault="00000000">
      <w:r>
        <w:t>97.</w:t>
      </w:r>
      <w:r>
        <w:tab/>
        <w:t>Министерство труда подписало соглашение в целях осуществления "Программы модернизации трудовых отношений", которую финансирует Межамериканский банк развития.  В настоящее время в рамках этой программы рассматриваются трудовые отношения на национальном уровне посредством организации семинаров, практикумов и других мероприятий, направленных на обсуждение проблем труда в Боливии.</w:t>
      </w:r>
    </w:p>
    <w:p w:rsidR="00000000" w:rsidRDefault="00000000"/>
    <w:p w:rsidR="00000000" w:rsidRDefault="00000000">
      <w:r>
        <w:t>98.</w:t>
      </w:r>
      <w:r>
        <w:tab/>
        <w:t>Что касается международного сотрудничества, то МОТ содействует организации семинаров, прежде всего по теме детского труда в Боливии. Такой семинар прошел в городе Ла</w:t>
      </w:r>
      <w:r>
        <w:noBreakHyphen/>
        <w:t>Пас 25 и 26 мая 1999 года при участии всех заинтересованных сторон, которых этот вопрос касается на национальном уровне:  государственных министерств, префектур и органов управления департаментов, НПО и других организаций.</w:t>
      </w:r>
    </w:p>
    <w:p w:rsidR="00000000" w:rsidRDefault="00000000"/>
    <w:p w:rsidR="00000000" w:rsidRDefault="00000000">
      <w:pPr>
        <w:jc w:val="center"/>
        <w:rPr>
          <w:b/>
        </w:rPr>
      </w:pPr>
      <w:r>
        <w:rPr>
          <w:b/>
          <w:lang w:val="en-US"/>
        </w:rPr>
        <w:t>B</w:t>
      </w:r>
      <w:r>
        <w:rPr>
          <w:b/>
        </w:rPr>
        <w:t>.</w:t>
      </w:r>
      <w:r>
        <w:rPr>
          <w:b/>
        </w:rPr>
        <w:tab/>
      </w:r>
      <w:r>
        <w:rPr>
          <w:b/>
          <w:u w:val="single"/>
        </w:rPr>
        <w:t>Статья 7</w:t>
      </w:r>
    </w:p>
    <w:p w:rsidR="00000000" w:rsidRDefault="00000000">
      <w:pPr>
        <w:jc w:val="center"/>
        <w:rPr>
          <w:b/>
        </w:rPr>
      </w:pPr>
    </w:p>
    <w:p w:rsidR="00000000" w:rsidRDefault="00000000">
      <w:pPr>
        <w:pStyle w:val="Heading2"/>
      </w:pPr>
      <w:r>
        <w:t>Руководящие принципы, пункт 2 а) статьи 7 Пакта</w:t>
      </w:r>
    </w:p>
    <w:p w:rsidR="00000000" w:rsidRDefault="00000000">
      <w:pPr>
        <w:pStyle w:val="Heading2"/>
      </w:pPr>
    </w:p>
    <w:p w:rsidR="00000000" w:rsidRDefault="00000000">
      <w:r>
        <w:t>99.</w:t>
      </w:r>
      <w:r>
        <w:tab/>
        <w:t>Размер заработной платы устанавливается на основании индекса потребительских цен (ИПЦ), который ежегодно объявляется указом после проведения анализа и согласования с соответствующими органами.</w:t>
      </w:r>
    </w:p>
    <w:p w:rsidR="00000000" w:rsidRDefault="00000000"/>
    <w:p w:rsidR="00000000" w:rsidRDefault="00000000">
      <w:pPr>
        <w:rPr>
          <w:lang w:val="en-US"/>
        </w:rPr>
      </w:pPr>
      <w:r>
        <w:rPr>
          <w:u w:val="single"/>
        </w:rPr>
        <w:t xml:space="preserve">Пункт 2 </w:t>
      </w:r>
      <w:r>
        <w:rPr>
          <w:u w:val="single"/>
          <w:lang w:val="en-US"/>
        </w:rPr>
        <w:t>b</w:t>
      </w:r>
      <w:r>
        <w:rPr>
          <w:lang w:val="en-US"/>
        </w:rPr>
        <w:t>)</w:t>
      </w:r>
    </w:p>
    <w:p w:rsidR="00000000" w:rsidRDefault="00000000">
      <w:pPr>
        <w:rPr>
          <w:lang w:val="en-US"/>
        </w:rPr>
      </w:pPr>
    </w:p>
    <w:p w:rsidR="00000000" w:rsidRDefault="00000000">
      <w:r>
        <w:rPr>
          <w:lang w:val="en-US"/>
        </w:rPr>
        <w:t>100.</w:t>
      </w:r>
      <w:r>
        <w:rPr>
          <w:lang w:val="en-US"/>
        </w:rPr>
        <w:tab/>
        <w:t>В</w:t>
      </w:r>
      <w:r>
        <w:t xml:space="preserve"> статье 2 Указа № 25318 от 1 марта 1999 года установлен размер минимальной заработной платы в государственном и частном секторе на данный период, начиная с 1 января 1999 года, в размере 330 боливиано.</w:t>
      </w:r>
    </w:p>
    <w:p w:rsidR="00000000" w:rsidRDefault="00000000"/>
    <w:p w:rsidR="00000000" w:rsidRDefault="00000000">
      <w:r>
        <w:t>101.</w:t>
      </w:r>
      <w:r>
        <w:tab/>
        <w:t>В статье 3 этого указа приводится шкала надбавок к базовой заработной плате в государственном секторе:</w:t>
      </w:r>
    </w:p>
    <w:p w:rsidR="00000000" w:rsidRDefault="00000000"/>
    <w:p w:rsidR="00000000" w:rsidRDefault="00000000">
      <w:pPr>
        <w:tabs>
          <w:tab w:val="clear" w:pos="6237"/>
          <w:tab w:val="left" w:pos="3969"/>
          <w:tab w:val="left" w:pos="6521"/>
        </w:tabs>
        <w:ind w:left="567"/>
      </w:pPr>
      <w:r>
        <w:t>от 300 боливиано</w:t>
      </w:r>
      <w:r>
        <w:tab/>
        <w:t>до 302 боливиано</w:t>
      </w:r>
      <w:r>
        <w:tab/>
        <w:t>надбавка в 10%</w:t>
      </w:r>
    </w:p>
    <w:p w:rsidR="00000000" w:rsidRDefault="00000000">
      <w:pPr>
        <w:tabs>
          <w:tab w:val="clear" w:pos="6237"/>
          <w:tab w:val="left" w:pos="3969"/>
          <w:tab w:val="left" w:pos="6521"/>
        </w:tabs>
        <w:ind w:left="567"/>
      </w:pPr>
      <w:r>
        <w:t>от 303 боливиано</w:t>
      </w:r>
      <w:r>
        <w:tab/>
        <w:t>до 310 боливиано</w:t>
      </w:r>
      <w:r>
        <w:tab/>
        <w:t>надбавка в 9%</w:t>
      </w:r>
    </w:p>
    <w:p w:rsidR="00000000" w:rsidRDefault="00000000">
      <w:pPr>
        <w:tabs>
          <w:tab w:val="clear" w:pos="6237"/>
          <w:tab w:val="left" w:pos="3969"/>
          <w:tab w:val="left" w:pos="6521"/>
        </w:tabs>
        <w:ind w:left="567"/>
      </w:pPr>
      <w:r>
        <w:t>от 311 боливиано</w:t>
      </w:r>
      <w:r>
        <w:tab/>
        <w:t>до 320 боливиано</w:t>
      </w:r>
      <w:r>
        <w:tab/>
        <w:t>надбавка в 8%</w:t>
      </w:r>
    </w:p>
    <w:p w:rsidR="00000000" w:rsidRDefault="00000000">
      <w:pPr>
        <w:tabs>
          <w:tab w:val="clear" w:pos="6237"/>
          <w:tab w:val="left" w:pos="3969"/>
          <w:tab w:val="left" w:pos="6521"/>
        </w:tabs>
        <w:ind w:left="567"/>
      </w:pPr>
      <w:r>
        <w:t>от 321 боливиано</w:t>
      </w:r>
      <w:r>
        <w:tab/>
        <w:t>до 330 боливиано</w:t>
      </w:r>
      <w:r>
        <w:tab/>
        <w:t>надбавка в 7%</w:t>
      </w:r>
    </w:p>
    <w:p w:rsidR="00000000" w:rsidRDefault="00000000">
      <w:pPr>
        <w:tabs>
          <w:tab w:val="clear" w:pos="6237"/>
          <w:tab w:val="left" w:pos="3969"/>
          <w:tab w:val="left" w:pos="6521"/>
        </w:tabs>
        <w:ind w:left="567"/>
      </w:pPr>
      <w:r>
        <w:t>от 331 боливиано</w:t>
      </w:r>
      <w:r>
        <w:tab/>
        <w:t>до 600 боливиано</w:t>
      </w:r>
      <w:r>
        <w:tab/>
        <w:t>надбавка в 6%</w:t>
      </w:r>
    </w:p>
    <w:p w:rsidR="00000000" w:rsidRDefault="00000000">
      <w:pPr>
        <w:tabs>
          <w:tab w:val="clear" w:pos="6237"/>
          <w:tab w:val="left" w:pos="3969"/>
          <w:tab w:val="left" w:pos="6521"/>
        </w:tabs>
        <w:ind w:left="567"/>
      </w:pPr>
      <w:r>
        <w:t>от 601 боливиано</w:t>
      </w:r>
      <w:r>
        <w:tab/>
        <w:t>до 1 000 боливиано</w:t>
      </w:r>
      <w:r>
        <w:tab/>
        <w:t>надбавка в 5,5%</w:t>
      </w:r>
    </w:p>
    <w:p w:rsidR="00000000" w:rsidRDefault="00000000">
      <w:pPr>
        <w:tabs>
          <w:tab w:val="clear" w:pos="6237"/>
          <w:tab w:val="left" w:pos="3969"/>
          <w:tab w:val="left" w:pos="6521"/>
        </w:tabs>
        <w:ind w:left="567"/>
      </w:pPr>
      <w:r>
        <w:t>от 1 001 боливиано</w:t>
      </w:r>
      <w:r>
        <w:tab/>
        <w:t>до 1 500 боливиано</w:t>
      </w:r>
      <w:r>
        <w:tab/>
        <w:t>надбавка в 5%</w:t>
      </w:r>
    </w:p>
    <w:p w:rsidR="00000000" w:rsidRDefault="00000000">
      <w:pPr>
        <w:tabs>
          <w:tab w:val="clear" w:pos="6237"/>
          <w:tab w:val="left" w:pos="3969"/>
          <w:tab w:val="left" w:pos="6521"/>
        </w:tabs>
        <w:ind w:left="567"/>
      </w:pPr>
      <w:r>
        <w:t>от 1 501 боливиано</w:t>
      </w:r>
      <w:r>
        <w:tab/>
        <w:t>до 3 000 боливиано</w:t>
      </w:r>
      <w:r>
        <w:tab/>
        <w:t>надбавка в 4,4%</w:t>
      </w:r>
    </w:p>
    <w:p w:rsidR="00000000" w:rsidRDefault="00000000">
      <w:pPr>
        <w:tabs>
          <w:tab w:val="clear" w:pos="6237"/>
          <w:tab w:val="left" w:pos="3969"/>
          <w:tab w:val="left" w:pos="6521"/>
        </w:tabs>
        <w:ind w:left="567"/>
      </w:pPr>
      <w:r>
        <w:t>от 3 001 боливиано</w:t>
      </w:r>
      <w:r>
        <w:tab/>
        <w:t>до 3 100 боливиано</w:t>
      </w:r>
      <w:r>
        <w:tab/>
        <w:t>надбавка в 3,5%</w:t>
      </w:r>
    </w:p>
    <w:p w:rsidR="00000000" w:rsidRDefault="00000000">
      <w:pPr>
        <w:tabs>
          <w:tab w:val="clear" w:pos="6237"/>
          <w:tab w:val="left" w:pos="3969"/>
          <w:tab w:val="left" w:pos="6521"/>
        </w:tabs>
        <w:ind w:left="567"/>
      </w:pPr>
      <w:r>
        <w:t>от 3 101 боливиано</w:t>
      </w:r>
      <w:r>
        <w:tab/>
        <w:t>до 3 150 боливиано</w:t>
      </w:r>
      <w:r>
        <w:tab/>
        <w:t>надбавка в 2%</w:t>
      </w:r>
    </w:p>
    <w:p w:rsidR="00000000" w:rsidRDefault="00000000">
      <w:pPr>
        <w:tabs>
          <w:tab w:val="clear" w:pos="6237"/>
          <w:tab w:val="left" w:pos="3969"/>
          <w:tab w:val="left" w:pos="6521"/>
        </w:tabs>
        <w:ind w:left="567"/>
      </w:pPr>
      <w:r>
        <w:t>от 3 151 боливиано</w:t>
      </w:r>
      <w:r>
        <w:tab/>
        <w:t>до 3 200 боливиано</w:t>
      </w:r>
      <w:r>
        <w:tab/>
        <w:t>надбавка в 1%</w:t>
      </w:r>
    </w:p>
    <w:p w:rsidR="00000000" w:rsidRDefault="00000000">
      <w:pPr>
        <w:tabs>
          <w:tab w:val="clear" w:pos="6237"/>
          <w:tab w:val="left" w:pos="3969"/>
          <w:tab w:val="left" w:pos="6521"/>
        </w:tabs>
        <w:ind w:left="567"/>
      </w:pPr>
      <w:r>
        <w:t>более 3 200 боливиано</w:t>
      </w:r>
      <w:r>
        <w:tab/>
      </w:r>
      <w:r>
        <w:tab/>
        <w:t>надбавка в 0%</w:t>
      </w:r>
    </w:p>
    <w:p w:rsidR="00000000" w:rsidRDefault="00000000">
      <w:pPr>
        <w:tabs>
          <w:tab w:val="clear" w:pos="6237"/>
          <w:tab w:val="left" w:pos="3969"/>
          <w:tab w:val="left" w:pos="6521"/>
        </w:tabs>
        <w:ind w:left="567"/>
      </w:pPr>
    </w:p>
    <w:p w:rsidR="00000000" w:rsidRDefault="00000000">
      <w:pPr>
        <w:tabs>
          <w:tab w:val="clear" w:pos="6237"/>
          <w:tab w:val="left" w:pos="3969"/>
          <w:tab w:val="left" w:pos="6521"/>
        </w:tabs>
      </w:pPr>
      <w:r>
        <w:t>102.</w:t>
      </w:r>
      <w:r>
        <w:tab/>
        <w:t>В частном секторе размер надбавок к заработной плате устанавливается на основании соглашения между предпринимателем и трудовым коллективом в соответствии со статьей 62 Указа № 21060 от 29 августа 1985 года.</w:t>
      </w:r>
    </w:p>
    <w:p w:rsidR="00000000" w:rsidRDefault="00000000">
      <w:pPr>
        <w:tabs>
          <w:tab w:val="clear" w:pos="6237"/>
          <w:tab w:val="left" w:pos="3969"/>
          <w:tab w:val="left" w:pos="6521"/>
        </w:tabs>
      </w:pPr>
    </w:p>
    <w:p w:rsidR="00000000" w:rsidRDefault="00000000">
      <w:pPr>
        <w:tabs>
          <w:tab w:val="clear" w:pos="6237"/>
          <w:tab w:val="left" w:pos="3969"/>
          <w:tab w:val="left" w:pos="6521"/>
        </w:tabs>
      </w:pPr>
      <w:r>
        <w:t>103.</w:t>
      </w:r>
      <w:r>
        <w:tab/>
        <w:t>В государственном секторе ответственность за правильное определение штатного расписания, шкалы заработной платы и выделения субсидий по программе "10 000 особых случаев", а также за их правильное выполнение несет руководитель данного предприятия, в связи с чем он должен следовать положениям Указа № 25318 и действующих юридических норм.</w:t>
      </w:r>
    </w:p>
    <w:p w:rsidR="00000000" w:rsidRDefault="00000000">
      <w:pPr>
        <w:tabs>
          <w:tab w:val="clear" w:pos="6237"/>
          <w:tab w:val="left" w:pos="3969"/>
          <w:tab w:val="left" w:pos="6521"/>
        </w:tabs>
      </w:pPr>
    </w:p>
    <w:p w:rsidR="00000000" w:rsidRDefault="00000000">
      <w:pPr>
        <w:tabs>
          <w:tab w:val="clear" w:pos="6237"/>
          <w:tab w:val="left" w:pos="3969"/>
          <w:tab w:val="left" w:pos="6521"/>
        </w:tabs>
      </w:pPr>
      <w:r>
        <w:t>104.</w:t>
      </w:r>
      <w:r>
        <w:tab/>
        <w:t>В государственном секторе система надбавок к заработной плате не распространяется на тех трудящихся, которые получают вознаграждение в иностранной валюте или в боливиано в пересчете от суммы, установленной в иностранной валюте.</w:t>
      </w:r>
    </w:p>
    <w:p w:rsidR="00000000" w:rsidRDefault="00000000">
      <w:pPr>
        <w:tabs>
          <w:tab w:val="clear" w:pos="6237"/>
          <w:tab w:val="left" w:pos="3969"/>
          <w:tab w:val="left" w:pos="6521"/>
        </w:tabs>
      </w:pPr>
    </w:p>
    <w:p w:rsidR="00000000" w:rsidRDefault="00000000">
      <w:pPr>
        <w:tabs>
          <w:tab w:val="clear" w:pos="6237"/>
          <w:tab w:val="left" w:pos="3969"/>
          <w:tab w:val="left" w:pos="6521"/>
        </w:tabs>
        <w:rPr>
          <w:lang w:val="en-US"/>
        </w:rPr>
      </w:pPr>
      <w:r>
        <w:rPr>
          <w:u w:val="single"/>
        </w:rPr>
        <w:t xml:space="preserve">Пункт 2 </w:t>
      </w:r>
      <w:r>
        <w:rPr>
          <w:u w:val="single"/>
          <w:lang w:val="en-US"/>
        </w:rPr>
        <w:t>b) i</w:t>
      </w:r>
      <w:r>
        <w:rPr>
          <w:lang w:val="en-US"/>
        </w:rPr>
        <w:t>)</w:t>
      </w:r>
    </w:p>
    <w:p w:rsidR="00000000" w:rsidRDefault="00000000">
      <w:pPr>
        <w:tabs>
          <w:tab w:val="clear" w:pos="6237"/>
          <w:tab w:val="left" w:pos="3969"/>
          <w:tab w:val="left" w:pos="6521"/>
        </w:tabs>
        <w:rPr>
          <w:lang w:val="en-US"/>
        </w:rPr>
      </w:pPr>
    </w:p>
    <w:p w:rsidR="00000000" w:rsidRDefault="00000000">
      <w:pPr>
        <w:tabs>
          <w:tab w:val="clear" w:pos="6237"/>
          <w:tab w:val="left" w:pos="3969"/>
          <w:tab w:val="left" w:pos="6521"/>
        </w:tabs>
      </w:pPr>
      <w:r>
        <w:t>105.</w:t>
      </w:r>
      <w:r>
        <w:tab/>
        <w:t>Размер минимальной заработной платы устанавливается указом, приобретая таким образом силу закона.  Подзаконные акты в развитие положений Указа № 25318 должно принимать министерство труда и по делам микропредприятий.  Это было сделано в приказе по министерству № 145/99, в статье 3 которого сказано, что в течение 30 дней с даты принятия решения о повышении заработной платы предприятия обязаны зарегистрировать в министерстве труда и по делам микропредприятий заключенные соглашения по размеру заработной платы.  В случае невыполнения этих сроков будут применяться установленные в законе санкции.</w:t>
      </w:r>
    </w:p>
    <w:p w:rsidR="00000000" w:rsidRDefault="00000000">
      <w:pPr>
        <w:tabs>
          <w:tab w:val="clear" w:pos="6237"/>
          <w:tab w:val="left" w:pos="3969"/>
          <w:tab w:val="left" w:pos="6521"/>
        </w:tabs>
      </w:pPr>
    </w:p>
    <w:p w:rsidR="00000000" w:rsidRDefault="00000000">
      <w:pPr>
        <w:tabs>
          <w:tab w:val="clear" w:pos="6237"/>
          <w:tab w:val="left" w:pos="3969"/>
          <w:tab w:val="left" w:pos="6521"/>
        </w:tabs>
        <w:rPr>
          <w:lang w:val="en-US"/>
        </w:rPr>
      </w:pPr>
      <w:r>
        <w:rPr>
          <w:u w:val="single"/>
        </w:rPr>
        <w:t xml:space="preserve">Пункт 2 </w:t>
      </w:r>
      <w:r>
        <w:rPr>
          <w:u w:val="single"/>
          <w:lang w:val="en-US"/>
        </w:rPr>
        <w:t>b) ii</w:t>
      </w:r>
      <w:r>
        <w:rPr>
          <w:lang w:val="en-US"/>
        </w:rPr>
        <w:t>)</w:t>
      </w:r>
    </w:p>
    <w:p w:rsidR="00000000" w:rsidRDefault="00000000">
      <w:pPr>
        <w:tabs>
          <w:tab w:val="clear" w:pos="6237"/>
          <w:tab w:val="left" w:pos="3969"/>
          <w:tab w:val="left" w:pos="6521"/>
        </w:tabs>
        <w:rPr>
          <w:lang w:val="en-US"/>
        </w:rPr>
      </w:pPr>
    </w:p>
    <w:p w:rsidR="00000000" w:rsidRDefault="00000000">
      <w:pPr>
        <w:tabs>
          <w:tab w:val="clear" w:pos="6237"/>
          <w:tab w:val="left" w:pos="3969"/>
          <w:tab w:val="left" w:pos="6521"/>
        </w:tabs>
      </w:pPr>
      <w:r>
        <w:t>106.</w:t>
      </w:r>
      <w:r>
        <w:tab/>
        <w:t>В целях обеспечения экономической и финансовой стабильности исполнительная власть постановила, что распределение фонда заработной платы должно быть увязано с нуждами и потребностями наименее обеспеченных слоев населения.</w:t>
      </w:r>
    </w:p>
    <w:p w:rsidR="00000000" w:rsidRDefault="00000000">
      <w:pPr>
        <w:tabs>
          <w:tab w:val="clear" w:pos="6237"/>
          <w:tab w:val="left" w:pos="3969"/>
          <w:tab w:val="left" w:pos="6521"/>
        </w:tabs>
      </w:pPr>
    </w:p>
    <w:p w:rsidR="00000000" w:rsidRDefault="00000000">
      <w:pPr>
        <w:tabs>
          <w:tab w:val="clear" w:pos="6237"/>
          <w:tab w:val="left" w:pos="3969"/>
          <w:tab w:val="left" w:pos="6521"/>
        </w:tabs>
        <w:rPr>
          <w:lang w:val="en-US"/>
        </w:rPr>
      </w:pPr>
      <w:r>
        <w:rPr>
          <w:u w:val="single"/>
        </w:rPr>
        <w:t>Пункт 2</w:t>
      </w:r>
      <w:r>
        <w:rPr>
          <w:u w:val="single"/>
          <w:lang w:val="en-US"/>
        </w:rPr>
        <w:t xml:space="preserve"> b) iii</w:t>
      </w:r>
      <w:r>
        <w:rPr>
          <w:lang w:val="en-US"/>
        </w:rPr>
        <w:t>)</w:t>
      </w:r>
    </w:p>
    <w:p w:rsidR="00000000" w:rsidRDefault="00000000">
      <w:pPr>
        <w:tabs>
          <w:tab w:val="clear" w:pos="6237"/>
          <w:tab w:val="left" w:pos="3969"/>
          <w:tab w:val="left" w:pos="6521"/>
        </w:tabs>
        <w:rPr>
          <w:lang w:val="en-US"/>
        </w:rPr>
      </w:pPr>
    </w:p>
    <w:p w:rsidR="00000000" w:rsidRDefault="00000000">
      <w:pPr>
        <w:tabs>
          <w:tab w:val="clear" w:pos="6237"/>
          <w:tab w:val="left" w:pos="3969"/>
          <w:tab w:val="left" w:pos="6521"/>
        </w:tabs>
      </w:pPr>
      <w:r>
        <w:t>107.</w:t>
      </w:r>
      <w:r>
        <w:tab/>
        <w:t>Размер минимальной заработной платы устанавливается посредством принятия указа совета министров, в котором определяются сфера его применения, размер минимальной заработной платы в стране, объем надбавок к заработной плате в государственном секторе, объем надбавок к заработной плате в частном секторе, максимальный размер базовой заработной платы, запрет на заключение сделок о заработной плате, выделение ставок, выделение ставок для временных работников, степень ответственности, порядок применения надбавок к заработной плате, статьи расходов, которые надлежит увеличить, принятие шкалы заработной платы, финансирование нового уровня минимальной заработной платы на национальном уровне, семейные пособия, особые условия, временные контракты на работу, программа деятельности государственной гражданской службы, ликвидируемые предприятия, новые бюджетные ассигнования, предприятия, находящиеся на этапе приватизации, случаи аннулирования и отмены, а также период действия данного указа.</w:t>
      </w:r>
    </w:p>
    <w:p w:rsidR="00000000" w:rsidRDefault="00000000"/>
    <w:p w:rsidR="00000000" w:rsidRDefault="00000000">
      <w:pPr>
        <w:rPr>
          <w:lang w:val="en-US"/>
        </w:rPr>
      </w:pPr>
      <w:r>
        <w:rPr>
          <w:u w:val="single"/>
        </w:rPr>
        <w:t xml:space="preserve">Пункт 2 </w:t>
      </w:r>
      <w:r>
        <w:rPr>
          <w:u w:val="single"/>
          <w:lang w:val="en-US"/>
        </w:rPr>
        <w:t>b) iv</w:t>
      </w:r>
      <w:r>
        <w:rPr>
          <w:lang w:val="en-US"/>
        </w:rPr>
        <w:t>)</w:t>
      </w:r>
    </w:p>
    <w:p w:rsidR="00000000" w:rsidRDefault="00000000">
      <w:pPr>
        <w:rPr>
          <w:lang w:val="en-US"/>
        </w:rPr>
      </w:pPr>
    </w:p>
    <w:p w:rsidR="00000000" w:rsidRDefault="00000000">
      <w:pPr>
        <w:rPr>
          <w:lang w:val="en-US"/>
        </w:rPr>
      </w:pPr>
      <w:r>
        <w:t>108.</w:t>
      </w:r>
      <w:r>
        <w:tab/>
        <w:t>Минимальный размер заработной платы на всей территории страны после 1994 года устанавливался посредством следующих постановлений по министерству:</w:t>
      </w:r>
    </w:p>
    <w:p w:rsidR="00000000" w:rsidRDefault="00000000">
      <w:pPr>
        <w:rPr>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3190"/>
        <w:gridCol w:w="3190"/>
      </w:tblGrid>
      <w:tr w:rsidR="00000000">
        <w:tblPrEx>
          <w:tblCellMar>
            <w:top w:w="0" w:type="dxa"/>
            <w:bottom w:w="0" w:type="dxa"/>
          </w:tblCellMar>
        </w:tblPrEx>
        <w:trPr>
          <w:cantSplit/>
        </w:trPr>
        <w:tc>
          <w:tcPr>
            <w:tcW w:w="3190" w:type="dxa"/>
            <w:tcBorders>
              <w:top w:val="nil"/>
              <w:left w:val="nil"/>
              <w:bottom w:val="nil"/>
              <w:right w:val="nil"/>
            </w:tcBorders>
          </w:tcPr>
          <w:p w:rsidR="00000000" w:rsidRDefault="00000000">
            <w:pPr>
              <w:jc w:val="center"/>
              <w:rPr>
                <w:b/>
              </w:rPr>
            </w:pPr>
            <w:r>
              <w:rPr>
                <w:b/>
              </w:rPr>
              <w:t>Постановление по министерству</w:t>
            </w:r>
          </w:p>
        </w:tc>
        <w:tc>
          <w:tcPr>
            <w:tcW w:w="3190" w:type="dxa"/>
            <w:tcBorders>
              <w:top w:val="nil"/>
              <w:left w:val="nil"/>
              <w:bottom w:val="nil"/>
              <w:right w:val="nil"/>
            </w:tcBorders>
          </w:tcPr>
          <w:p w:rsidR="00000000" w:rsidRDefault="00000000">
            <w:pPr>
              <w:jc w:val="center"/>
              <w:rPr>
                <w:b/>
              </w:rPr>
            </w:pPr>
            <w:r>
              <w:rPr>
                <w:b/>
              </w:rPr>
              <w:t>Дата</w:t>
            </w:r>
          </w:p>
          <w:p w:rsidR="00000000" w:rsidRDefault="00000000">
            <w:pPr>
              <w:jc w:val="center"/>
              <w:rPr>
                <w:b/>
              </w:rPr>
            </w:pPr>
          </w:p>
          <w:p w:rsidR="00000000" w:rsidRDefault="00000000">
            <w:pPr>
              <w:jc w:val="both"/>
              <w:rPr>
                <w:b/>
              </w:rPr>
            </w:pPr>
          </w:p>
        </w:tc>
        <w:tc>
          <w:tcPr>
            <w:tcW w:w="3190" w:type="dxa"/>
            <w:tcBorders>
              <w:top w:val="nil"/>
              <w:left w:val="nil"/>
              <w:bottom w:val="nil"/>
              <w:right w:val="nil"/>
            </w:tcBorders>
          </w:tcPr>
          <w:p w:rsidR="00000000" w:rsidRDefault="00000000">
            <w:pPr>
              <w:jc w:val="center"/>
              <w:rPr>
                <w:b/>
              </w:rPr>
            </w:pPr>
            <w:r>
              <w:rPr>
                <w:b/>
              </w:rPr>
              <w:t>Размер минимальной заработной платы (боливиано)</w:t>
            </w:r>
          </w:p>
        </w:tc>
      </w:tr>
      <w:tr w:rsidR="00000000">
        <w:tblPrEx>
          <w:tblCellMar>
            <w:top w:w="0" w:type="dxa"/>
            <w:bottom w:w="0" w:type="dxa"/>
          </w:tblCellMar>
        </w:tblPrEx>
        <w:trPr>
          <w:cantSplit/>
          <w:trHeight w:val="141"/>
        </w:trPr>
        <w:tc>
          <w:tcPr>
            <w:tcW w:w="3190" w:type="dxa"/>
            <w:tcBorders>
              <w:top w:val="nil"/>
              <w:left w:val="nil"/>
              <w:bottom w:val="nil"/>
              <w:right w:val="nil"/>
            </w:tcBorders>
          </w:tcPr>
          <w:p w:rsidR="00000000" w:rsidRDefault="00000000">
            <w:pPr>
              <w:jc w:val="center"/>
            </w:pPr>
            <w:r>
              <w:t>334/94</w:t>
            </w:r>
          </w:p>
        </w:tc>
        <w:tc>
          <w:tcPr>
            <w:tcW w:w="3190" w:type="dxa"/>
            <w:tcBorders>
              <w:top w:val="nil"/>
              <w:left w:val="nil"/>
              <w:bottom w:val="nil"/>
              <w:right w:val="nil"/>
            </w:tcBorders>
          </w:tcPr>
          <w:p w:rsidR="00000000" w:rsidRDefault="00000000">
            <w:pPr>
              <w:jc w:val="center"/>
            </w:pPr>
            <w:r>
              <w:rPr>
                <w:lang w:val="en-US"/>
              </w:rPr>
              <w:t xml:space="preserve"> </w:t>
            </w:r>
            <w:r>
              <w:t>8 июня 1994 года</w:t>
            </w:r>
          </w:p>
        </w:tc>
        <w:tc>
          <w:tcPr>
            <w:tcW w:w="3190" w:type="dxa"/>
            <w:tcBorders>
              <w:top w:val="nil"/>
              <w:left w:val="nil"/>
              <w:bottom w:val="nil"/>
              <w:right w:val="nil"/>
            </w:tcBorders>
          </w:tcPr>
          <w:p w:rsidR="00000000" w:rsidRDefault="00000000">
            <w:pPr>
              <w:jc w:val="center"/>
            </w:pPr>
            <w:r>
              <w:t>190</w:t>
            </w:r>
          </w:p>
        </w:tc>
      </w:tr>
      <w:tr w:rsidR="00000000">
        <w:tblPrEx>
          <w:tblCellMar>
            <w:top w:w="0" w:type="dxa"/>
            <w:bottom w:w="0" w:type="dxa"/>
          </w:tblCellMar>
        </w:tblPrEx>
        <w:trPr>
          <w:cantSplit/>
          <w:trHeight w:val="85"/>
        </w:trPr>
        <w:tc>
          <w:tcPr>
            <w:tcW w:w="3190" w:type="dxa"/>
            <w:tcBorders>
              <w:top w:val="nil"/>
              <w:left w:val="nil"/>
              <w:bottom w:val="nil"/>
              <w:right w:val="nil"/>
            </w:tcBorders>
          </w:tcPr>
          <w:p w:rsidR="00000000" w:rsidRDefault="00000000">
            <w:pPr>
              <w:jc w:val="center"/>
            </w:pPr>
            <w:r>
              <w:t>267/95</w:t>
            </w:r>
          </w:p>
        </w:tc>
        <w:tc>
          <w:tcPr>
            <w:tcW w:w="3190" w:type="dxa"/>
            <w:tcBorders>
              <w:top w:val="nil"/>
              <w:left w:val="nil"/>
              <w:bottom w:val="nil"/>
              <w:right w:val="nil"/>
            </w:tcBorders>
          </w:tcPr>
          <w:p w:rsidR="00000000" w:rsidRDefault="00000000">
            <w:pPr>
              <w:jc w:val="center"/>
            </w:pPr>
            <w:r>
              <w:t>21 июля 1995 года</w:t>
            </w:r>
          </w:p>
        </w:tc>
        <w:tc>
          <w:tcPr>
            <w:tcW w:w="3190" w:type="dxa"/>
            <w:tcBorders>
              <w:top w:val="nil"/>
              <w:left w:val="nil"/>
              <w:bottom w:val="nil"/>
              <w:right w:val="nil"/>
            </w:tcBorders>
          </w:tcPr>
          <w:p w:rsidR="00000000" w:rsidRDefault="00000000">
            <w:pPr>
              <w:jc w:val="center"/>
            </w:pPr>
            <w:r>
              <w:t>205</w:t>
            </w:r>
          </w:p>
        </w:tc>
      </w:tr>
      <w:tr w:rsidR="00000000">
        <w:tblPrEx>
          <w:tblCellMar>
            <w:top w:w="0" w:type="dxa"/>
            <w:bottom w:w="0" w:type="dxa"/>
          </w:tblCellMar>
        </w:tblPrEx>
        <w:tc>
          <w:tcPr>
            <w:tcW w:w="3190" w:type="dxa"/>
            <w:tcBorders>
              <w:top w:val="nil"/>
              <w:left w:val="nil"/>
              <w:bottom w:val="nil"/>
              <w:right w:val="nil"/>
            </w:tcBorders>
          </w:tcPr>
          <w:p w:rsidR="00000000" w:rsidRDefault="00000000">
            <w:pPr>
              <w:jc w:val="center"/>
            </w:pPr>
            <w:r>
              <w:t>030/96</w:t>
            </w:r>
          </w:p>
        </w:tc>
        <w:tc>
          <w:tcPr>
            <w:tcW w:w="3190" w:type="dxa"/>
            <w:tcBorders>
              <w:top w:val="nil"/>
              <w:left w:val="nil"/>
              <w:bottom w:val="nil"/>
              <w:right w:val="nil"/>
            </w:tcBorders>
          </w:tcPr>
          <w:p w:rsidR="00000000" w:rsidRDefault="00000000">
            <w:pPr>
              <w:jc w:val="center"/>
            </w:pPr>
            <w:r>
              <w:rPr>
                <w:lang w:val="en-US"/>
              </w:rPr>
              <w:t xml:space="preserve"> </w:t>
            </w:r>
            <w:r>
              <w:t>25 апреля 1996 года</w:t>
            </w:r>
          </w:p>
        </w:tc>
        <w:tc>
          <w:tcPr>
            <w:tcW w:w="3190" w:type="dxa"/>
            <w:tcBorders>
              <w:top w:val="nil"/>
              <w:left w:val="nil"/>
              <w:bottom w:val="nil"/>
              <w:right w:val="nil"/>
            </w:tcBorders>
          </w:tcPr>
          <w:p w:rsidR="00000000" w:rsidRDefault="00000000">
            <w:pPr>
              <w:jc w:val="center"/>
            </w:pPr>
            <w:r>
              <w:t>223</w:t>
            </w:r>
          </w:p>
        </w:tc>
      </w:tr>
      <w:tr w:rsidR="00000000">
        <w:tblPrEx>
          <w:tblCellMar>
            <w:top w:w="0" w:type="dxa"/>
            <w:bottom w:w="0" w:type="dxa"/>
          </w:tblCellMar>
        </w:tblPrEx>
        <w:tc>
          <w:tcPr>
            <w:tcW w:w="3190" w:type="dxa"/>
            <w:tcBorders>
              <w:top w:val="nil"/>
              <w:left w:val="nil"/>
              <w:bottom w:val="nil"/>
              <w:right w:val="nil"/>
            </w:tcBorders>
          </w:tcPr>
          <w:p w:rsidR="00000000" w:rsidRDefault="00000000">
            <w:pPr>
              <w:jc w:val="center"/>
            </w:pPr>
            <w:r>
              <w:t>003/97</w:t>
            </w:r>
          </w:p>
        </w:tc>
        <w:tc>
          <w:tcPr>
            <w:tcW w:w="3190" w:type="dxa"/>
            <w:tcBorders>
              <w:top w:val="nil"/>
              <w:left w:val="nil"/>
              <w:bottom w:val="nil"/>
              <w:right w:val="nil"/>
            </w:tcBorders>
          </w:tcPr>
          <w:p w:rsidR="00000000" w:rsidRDefault="00000000">
            <w:pPr>
              <w:jc w:val="center"/>
            </w:pPr>
            <w:r>
              <w:t>23 марта 1997 года</w:t>
            </w:r>
          </w:p>
        </w:tc>
        <w:tc>
          <w:tcPr>
            <w:tcW w:w="3190" w:type="dxa"/>
            <w:tcBorders>
              <w:top w:val="nil"/>
              <w:left w:val="nil"/>
              <w:bottom w:val="nil"/>
              <w:right w:val="nil"/>
            </w:tcBorders>
          </w:tcPr>
          <w:p w:rsidR="00000000" w:rsidRDefault="00000000">
            <w:pPr>
              <w:jc w:val="center"/>
            </w:pPr>
            <w:r>
              <w:t>240</w:t>
            </w:r>
          </w:p>
        </w:tc>
      </w:tr>
      <w:tr w:rsidR="00000000">
        <w:tblPrEx>
          <w:tblCellMar>
            <w:top w:w="0" w:type="dxa"/>
            <w:bottom w:w="0" w:type="dxa"/>
          </w:tblCellMar>
        </w:tblPrEx>
        <w:tc>
          <w:tcPr>
            <w:tcW w:w="3190" w:type="dxa"/>
            <w:tcBorders>
              <w:top w:val="nil"/>
              <w:left w:val="nil"/>
              <w:bottom w:val="nil"/>
              <w:right w:val="nil"/>
            </w:tcBorders>
          </w:tcPr>
          <w:p w:rsidR="00000000" w:rsidRDefault="00000000">
            <w:pPr>
              <w:jc w:val="center"/>
            </w:pPr>
            <w:r>
              <w:t>320/98</w:t>
            </w:r>
          </w:p>
        </w:tc>
        <w:tc>
          <w:tcPr>
            <w:tcW w:w="3190" w:type="dxa"/>
            <w:tcBorders>
              <w:top w:val="nil"/>
              <w:left w:val="nil"/>
              <w:bottom w:val="nil"/>
              <w:right w:val="nil"/>
            </w:tcBorders>
          </w:tcPr>
          <w:p w:rsidR="00000000" w:rsidRDefault="00000000">
            <w:pPr>
              <w:jc w:val="center"/>
            </w:pPr>
            <w:r>
              <w:t>3 июня 1998 года</w:t>
            </w:r>
          </w:p>
        </w:tc>
        <w:tc>
          <w:tcPr>
            <w:tcW w:w="3190" w:type="dxa"/>
            <w:tcBorders>
              <w:top w:val="nil"/>
              <w:left w:val="nil"/>
              <w:bottom w:val="nil"/>
              <w:right w:val="nil"/>
            </w:tcBorders>
          </w:tcPr>
          <w:p w:rsidR="00000000" w:rsidRDefault="00000000">
            <w:pPr>
              <w:jc w:val="center"/>
            </w:pPr>
            <w:r>
              <w:t>300</w:t>
            </w:r>
          </w:p>
        </w:tc>
      </w:tr>
      <w:tr w:rsidR="00000000">
        <w:tblPrEx>
          <w:tblCellMar>
            <w:top w:w="0" w:type="dxa"/>
            <w:bottom w:w="0" w:type="dxa"/>
          </w:tblCellMar>
        </w:tblPrEx>
        <w:tc>
          <w:tcPr>
            <w:tcW w:w="3190" w:type="dxa"/>
            <w:tcBorders>
              <w:top w:val="nil"/>
              <w:left w:val="nil"/>
              <w:bottom w:val="nil"/>
              <w:right w:val="nil"/>
            </w:tcBorders>
          </w:tcPr>
          <w:p w:rsidR="00000000" w:rsidRDefault="00000000">
            <w:pPr>
              <w:jc w:val="center"/>
            </w:pPr>
            <w:r>
              <w:t>145/99</w:t>
            </w:r>
          </w:p>
        </w:tc>
        <w:tc>
          <w:tcPr>
            <w:tcW w:w="3190" w:type="dxa"/>
            <w:tcBorders>
              <w:top w:val="nil"/>
              <w:left w:val="nil"/>
              <w:bottom w:val="nil"/>
              <w:right w:val="nil"/>
            </w:tcBorders>
          </w:tcPr>
          <w:p w:rsidR="00000000" w:rsidRDefault="00000000">
            <w:pPr>
              <w:jc w:val="center"/>
            </w:pPr>
            <w:r>
              <w:t>18 марта 1999 года</w:t>
            </w:r>
          </w:p>
        </w:tc>
        <w:tc>
          <w:tcPr>
            <w:tcW w:w="3190" w:type="dxa"/>
            <w:tcBorders>
              <w:top w:val="nil"/>
              <w:left w:val="nil"/>
              <w:bottom w:val="nil"/>
              <w:right w:val="nil"/>
            </w:tcBorders>
          </w:tcPr>
          <w:p w:rsidR="00000000" w:rsidRDefault="00000000">
            <w:pPr>
              <w:jc w:val="center"/>
            </w:pPr>
            <w:r>
              <w:t>330</w:t>
            </w:r>
          </w:p>
        </w:tc>
      </w:tr>
    </w:tbl>
    <w:p w:rsidR="00000000" w:rsidRDefault="00000000"/>
    <w:p w:rsidR="00000000" w:rsidRDefault="00000000">
      <w:pPr>
        <w:rPr>
          <w:lang w:val="en-US"/>
        </w:rPr>
      </w:pPr>
      <w:r>
        <w:rPr>
          <w:u w:val="single"/>
        </w:rPr>
        <w:t xml:space="preserve">Пункт 2 </w:t>
      </w:r>
      <w:r>
        <w:rPr>
          <w:u w:val="single"/>
          <w:lang w:val="en-US"/>
        </w:rPr>
        <w:t>b) v</w:t>
      </w:r>
      <w:r>
        <w:rPr>
          <w:lang w:val="en-US"/>
        </w:rPr>
        <w:t>)</w:t>
      </w:r>
    </w:p>
    <w:p w:rsidR="00000000" w:rsidRDefault="00000000">
      <w:pPr>
        <w:rPr>
          <w:lang w:val="en-US"/>
        </w:rPr>
      </w:pPr>
    </w:p>
    <w:p w:rsidR="00000000" w:rsidRDefault="00000000">
      <w:r>
        <w:t>109.</w:t>
      </w:r>
      <w:r>
        <w:tab/>
        <w:t xml:space="preserve">Как уже говорилось в пункте </w:t>
      </w:r>
      <w:r>
        <w:rPr>
          <w:lang w:val="en-US"/>
        </w:rPr>
        <w:t>i)</w:t>
      </w:r>
      <w:r>
        <w:t>, контроль за соблюдением минимальной заработной платы на национальном уровне осуществляется путем подачи соглашений по заработной плате, которые подлежат обязательной регистрации всеми предприятиями в министерстве труда и по делам микропредприятий.</w:t>
      </w:r>
    </w:p>
    <w:p w:rsidR="00000000" w:rsidRDefault="00000000"/>
    <w:p w:rsidR="00000000" w:rsidRDefault="00000000">
      <w:pPr>
        <w:rPr>
          <w:lang w:val="en-US"/>
        </w:rPr>
      </w:pPr>
      <w:r>
        <w:rPr>
          <w:u w:val="single"/>
        </w:rPr>
        <w:t>Пункт 2 с</w:t>
      </w:r>
      <w:r>
        <w:t>)</w:t>
      </w:r>
    </w:p>
    <w:p w:rsidR="00000000" w:rsidRDefault="00000000">
      <w:pPr>
        <w:rPr>
          <w:lang w:val="en-US"/>
        </w:rPr>
      </w:pPr>
    </w:p>
    <w:p w:rsidR="00000000" w:rsidRDefault="00000000">
      <w:r>
        <w:t>110.</w:t>
      </w:r>
      <w:r>
        <w:tab/>
        <w:t>В Политической конституции Боливии и в Общем законе о труде провозглашено равноправие мужчин и женщин в сфере труда и обязательность выплаты равного вознаграждения за труд равной ценности.</w:t>
      </w:r>
    </w:p>
    <w:p w:rsidR="00000000" w:rsidRDefault="00000000"/>
    <w:p w:rsidR="00000000" w:rsidRDefault="00000000">
      <w:pPr>
        <w:rPr>
          <w:lang w:val="en-US"/>
        </w:rPr>
      </w:pPr>
      <w:r>
        <w:rPr>
          <w:u w:val="single"/>
        </w:rPr>
        <w:t>Пункт 2 с</w:t>
      </w:r>
      <w:r>
        <w:rPr>
          <w:u w:val="single"/>
          <w:lang w:val="en-US"/>
        </w:rPr>
        <w:t>) i</w:t>
      </w:r>
      <w:r>
        <w:rPr>
          <w:lang w:val="en-US"/>
        </w:rPr>
        <w:t>)</w:t>
      </w:r>
    </w:p>
    <w:p w:rsidR="00000000" w:rsidRDefault="00000000">
      <w:pPr>
        <w:rPr>
          <w:lang w:val="en-US"/>
        </w:rPr>
      </w:pPr>
    </w:p>
    <w:p w:rsidR="00000000" w:rsidRDefault="00000000">
      <w:r>
        <w:rPr>
          <w:lang w:val="en-US"/>
        </w:rPr>
        <w:t>111.</w:t>
      </w:r>
      <w:r>
        <w:rPr>
          <w:lang w:val="en-US"/>
        </w:rPr>
        <w:tab/>
        <w:t>В</w:t>
      </w:r>
      <w:r>
        <w:t xml:space="preserve"> этой сфере дискриминации не существует.</w:t>
      </w:r>
    </w:p>
    <w:p w:rsidR="00000000" w:rsidRDefault="00000000"/>
    <w:p w:rsidR="00000000" w:rsidRDefault="00000000">
      <w:pPr>
        <w:rPr>
          <w:lang w:val="en-US"/>
        </w:rPr>
      </w:pPr>
      <w:r>
        <w:rPr>
          <w:u w:val="single"/>
        </w:rPr>
        <w:t>Пункт 2</w:t>
      </w:r>
      <w:r>
        <w:rPr>
          <w:u w:val="single"/>
          <w:lang w:val="en-US"/>
        </w:rPr>
        <w:t xml:space="preserve"> d</w:t>
      </w:r>
      <w:r>
        <w:rPr>
          <w:lang w:val="en-US"/>
        </w:rPr>
        <w:t>)</w:t>
      </w:r>
    </w:p>
    <w:p w:rsidR="00000000" w:rsidRDefault="00000000">
      <w:pPr>
        <w:rPr>
          <w:lang w:val="en-US"/>
        </w:rPr>
      </w:pPr>
    </w:p>
    <w:p w:rsidR="00000000" w:rsidRDefault="00000000">
      <w:r>
        <w:t>112.</w:t>
      </w:r>
      <w:r>
        <w:tab/>
        <w:t>Новая экономическая политика предусматривает свободу заключения трудовых договоров в частном секторе и провозглашает регулятором отношений в этой сфере Общий закон о труде, на основании которого производится нормирование системы заработной платы в государственном и частном секторах.</w:t>
      </w:r>
    </w:p>
    <w:p w:rsidR="00000000" w:rsidRDefault="00000000"/>
    <w:p w:rsidR="00000000" w:rsidRDefault="00000000">
      <w:r>
        <w:t>113.</w:t>
      </w:r>
      <w:r>
        <w:tab/>
        <w:t>В рамках нормирования заработной платы отменяются и аннулируются дополнительные выплаты:  годовое вознаграждение составляет заработную плату или оклад за 12 месяцев.  Отменяются любые дополнительные выплаты, доплаты в денежной форме или натурой, пособия на питание, 15, 16 и 17-я зарплаты (премии на национальные праздники и по другим поводам, а также любое получение доходов, за исключением годового оклада, установленного законом для производственных предприятий частного сектора).</w:t>
      </w:r>
    </w:p>
    <w:p w:rsidR="00000000" w:rsidRDefault="00000000"/>
    <w:p w:rsidR="00000000" w:rsidRDefault="00000000">
      <w:pPr>
        <w:pStyle w:val="Heading2"/>
      </w:pPr>
      <w:r>
        <w:t>Пункт 3</w:t>
      </w:r>
    </w:p>
    <w:p w:rsidR="00000000" w:rsidRDefault="00000000">
      <w:pPr>
        <w:pStyle w:val="Heading2"/>
      </w:pPr>
    </w:p>
    <w:p w:rsidR="00000000" w:rsidRDefault="00000000">
      <w:r>
        <w:t>114.</w:t>
      </w:r>
      <w:r>
        <w:tab/>
        <w:t>Вопросы гигиены труда и техники безопасности изложены в следующих законодательных положениях:</w:t>
      </w:r>
    </w:p>
    <w:p w:rsidR="00000000" w:rsidRDefault="00000000"/>
    <w:p w:rsidR="00000000" w:rsidRDefault="00000000">
      <w:r>
        <w:tab/>
      </w:r>
      <w:r>
        <w:rPr>
          <w:lang w:val="en-US"/>
        </w:rPr>
        <w:t>a)</w:t>
      </w:r>
      <w:r>
        <w:tab/>
        <w:t>Общем законе о труде от 8 декабря 1942 года:  разделах о гигиене труда, технике безопасности и профессиональном риске;</w:t>
      </w:r>
    </w:p>
    <w:p w:rsidR="00000000" w:rsidRDefault="00000000"/>
    <w:p w:rsidR="00000000" w:rsidRDefault="00000000">
      <w:r>
        <w:tab/>
        <w:t>b)</w:t>
      </w:r>
      <w:r>
        <w:tab/>
        <w:t>Подзаконном акте к Общему закону о труде от 23 августа 1943 года:  разделах о гигиене труда, технике безопасности и профессиональном риске;</w:t>
      </w:r>
    </w:p>
    <w:p w:rsidR="00000000" w:rsidRDefault="00000000"/>
    <w:p w:rsidR="00000000" w:rsidRDefault="00000000">
      <w:r>
        <w:rPr>
          <w:lang w:val="en-US"/>
        </w:rPr>
        <w:tab/>
        <w:t>c)</w:t>
      </w:r>
      <w:r>
        <w:rPr>
          <w:lang w:val="en-US"/>
        </w:rPr>
        <w:tab/>
      </w:r>
      <w:r>
        <w:t>Основных правилах гигиены труда и техники безопасности от 16 января 1951 года (Указ № 2348);</w:t>
      </w:r>
    </w:p>
    <w:p w:rsidR="00000000" w:rsidRDefault="00000000"/>
    <w:p w:rsidR="00000000" w:rsidRDefault="00000000">
      <w:r>
        <w:rPr>
          <w:lang w:val="en-US"/>
        </w:rPr>
        <w:tab/>
        <w:t>d)</w:t>
      </w:r>
      <w:r>
        <w:tab/>
        <w:t>Кодексе законов о социальном страховании от 30 сентября 1946 года;</w:t>
      </w:r>
    </w:p>
    <w:p w:rsidR="00000000" w:rsidRDefault="00000000"/>
    <w:p w:rsidR="00000000" w:rsidRDefault="00000000">
      <w:r>
        <w:rPr>
          <w:lang w:val="en-US"/>
        </w:rPr>
        <w:tab/>
        <w:t>e)</w:t>
      </w:r>
      <w:r>
        <w:tab/>
        <w:t>Подзаконном акте к Кодексу законов о социальном страховании от 30 сентября 1959 года;</w:t>
      </w:r>
    </w:p>
    <w:p w:rsidR="00000000" w:rsidRDefault="00000000"/>
    <w:p w:rsidR="00000000" w:rsidRDefault="00000000">
      <w:r>
        <w:rPr>
          <w:lang w:val="en-US"/>
        </w:rPr>
        <w:tab/>
        <w:t>f)</w:t>
      </w:r>
      <w:r>
        <w:tab/>
        <w:t>Общем законе о гигиене труда, технике безопасности и материальном вознаграждении от 2 августа 1970 года (Указ-закон № 16998);</w:t>
      </w:r>
    </w:p>
    <w:p w:rsidR="00000000" w:rsidRDefault="00000000"/>
    <w:p w:rsidR="00000000" w:rsidRDefault="00000000">
      <w:r>
        <w:rPr>
          <w:lang w:val="en-US"/>
        </w:rPr>
        <w:tab/>
        <w:t>g)</w:t>
      </w:r>
      <w:r>
        <w:tab/>
        <w:t>Кодексе законов об охране здоровья от 18 декабря 1978 года (Указ № 15629).</w:t>
      </w:r>
    </w:p>
    <w:p w:rsidR="00000000" w:rsidRDefault="00000000"/>
    <w:p w:rsidR="00000000" w:rsidRDefault="00000000">
      <w:r>
        <w:t>115.</w:t>
      </w:r>
      <w:r>
        <w:tab/>
        <w:t>Выполнение этих законодательных положений на национальном уровне обеспечивается усилиями центрального правительства и руководства департаментов, которые обладают необходимой юрисдикцией и компетенцией в этой сфере, а именно:  министерством труда и по делам микропредприятий, префектурами департаментов, министерством социального обеспечения и здравоохранения, а также отделами социального страхования.</w:t>
      </w:r>
    </w:p>
    <w:p w:rsidR="00000000" w:rsidRDefault="00000000"/>
    <w:p w:rsidR="00000000" w:rsidRDefault="00000000">
      <w:r>
        <w:t>116.</w:t>
      </w:r>
      <w:r>
        <w:tab/>
        <w:t>С недавнего времени пенсионные фонды также принимают участие в процессе сбора и накопления статистической информации относительно несчастных случаев на производстве, профессиональных заболеваний и других проблем, вызывающих обеспокоенность.</w:t>
      </w:r>
    </w:p>
    <w:p w:rsidR="00000000" w:rsidRDefault="00000000"/>
    <w:p w:rsidR="00000000" w:rsidRDefault="00000000">
      <w:r>
        <w:t>117.</w:t>
      </w:r>
      <w:r>
        <w:tab/>
        <w:t>В теории ни одна категория трудящихся или служащих не остается за рамками положений об охране здоровья в сфере труда, хотя на практике в настоящее время такой защиты лишены самостоятельно занятые трудящиеся и сезонные работники.  Несмотря на это, при получении производственных травм они могут обращаться в службы министерства труда за медицинской помощью, предоставляемой им на том основании, что несчастный случай имел место на производстве, и за получением компенсации за причиненный их здоровью вред.</w:t>
      </w:r>
    </w:p>
    <w:p w:rsidR="00000000" w:rsidRDefault="00000000"/>
    <w:p w:rsidR="00000000" w:rsidRDefault="00000000">
      <w:r>
        <w:rPr>
          <w:u w:val="single"/>
        </w:rPr>
        <w:t>Пункт 3 а</w:t>
      </w:r>
      <w:r>
        <w:t>)</w:t>
      </w:r>
    </w:p>
    <w:p w:rsidR="00000000" w:rsidRDefault="00000000"/>
    <w:p w:rsidR="00000000" w:rsidRDefault="00000000">
      <w:r>
        <w:t>118.</w:t>
      </w:r>
      <w:r>
        <w:tab/>
        <w:t>В соответствии с Общим законом о гигиене труда, технике безопасности и материальном вознаграждении его положения не распространяются на "военнослужащих и сотрудников органов государственной безопасности при исполнении ими своих служебных обязанностей;  на трудящихся, занимающихся надомным трудом, и на членов семьи работодателя в том случае, когда они занимаются надомным трудом".</w:t>
      </w:r>
    </w:p>
    <w:p w:rsidR="00000000" w:rsidRDefault="00000000"/>
    <w:p w:rsidR="00000000" w:rsidRDefault="00000000">
      <w:r>
        <w:t>119.</w:t>
      </w:r>
      <w:r>
        <w:tab/>
        <w:t>Несмотря на это, благодаря многочисленным усилиям удалось добиться, чтобы все гражданские служащие вооруженных сил и органов государственной безопасности, а также военнослужащие при исполнении обязанностей, за которые они получают денежное вознаграждение и когда они действуют по приказу вышестоящих начальников, следовали требованиям законодательства и сообщали о несчастных и других аналогичных случаях в компетентные органы власти, которым надлежит расследовать и устранить обстоятельства, приведшие к возникновению этих случаев.</w:t>
      </w:r>
    </w:p>
    <w:p w:rsidR="00000000" w:rsidRDefault="00000000"/>
    <w:p w:rsidR="00000000" w:rsidRDefault="00000000">
      <w:r>
        <w:t>120.</w:t>
      </w:r>
      <w:r>
        <w:tab/>
        <w:t>Весьма затруднительно четко определить те категории трудящихся, которые в недостаточной мере охвачены планами обеспечения гигиены труда и техники безопасности или не полностью охвачены ими.  Дело в том, что государство и его органы принимают все возможные меры для оказания содействия всем слоям населения, несмотря на крайнюю нехватку имеющихся людских ресурсов, инфраструктуры, оборудования и прежде всего финансовых средств.</w:t>
      </w:r>
    </w:p>
    <w:p w:rsidR="00000000" w:rsidRDefault="00000000"/>
    <w:p w:rsidR="00000000" w:rsidRDefault="00000000">
      <w:r>
        <w:rPr>
          <w:u w:val="single"/>
        </w:rPr>
        <w:t>Пункт 3</w:t>
      </w:r>
      <w:r>
        <w:rPr>
          <w:u w:val="single"/>
          <w:lang w:val="en-US"/>
        </w:rPr>
        <w:t xml:space="preserve"> b</w:t>
      </w:r>
      <w:r>
        <w:t>)</w:t>
      </w:r>
    </w:p>
    <w:p w:rsidR="00000000" w:rsidRDefault="00000000"/>
    <w:p w:rsidR="00000000" w:rsidRDefault="00000000">
      <w:r>
        <w:t>121.</w:t>
      </w:r>
      <w:r>
        <w:tab/>
        <w:t>Пострадавшие от несчастных случаев на производстве обращаются либо в медицинские службы системы социального страхования, либо в не охваченные этой системой частные медицинские учреждения.  Эти данные сводятся в статистические таблицы в Главном управлении по вопросам гигиены труда, техники безопасности и материального вознаграждения министерства труда и по делам микропредприятий, а также в Управлении по вопросам профессиональных заболеваний Национального фонда здравоохранения.  Данные этого управления приложены к настоящему докладу и относятся к мероприятиям, осуществленным в 1991-1995 годах (приложение 1).</w:t>
      </w:r>
    </w:p>
    <w:p w:rsidR="00000000" w:rsidRDefault="00000000"/>
    <w:p w:rsidR="00000000" w:rsidRDefault="00000000">
      <w:pPr>
        <w:pStyle w:val="Heading2"/>
      </w:pPr>
      <w:r>
        <w:t>Пункт 5</w:t>
      </w:r>
    </w:p>
    <w:p w:rsidR="00000000" w:rsidRDefault="00000000">
      <w:pPr>
        <w:pStyle w:val="Heading2"/>
      </w:pPr>
    </w:p>
    <w:p w:rsidR="00000000" w:rsidRDefault="00000000">
      <w:r>
        <w:t>122.</w:t>
      </w:r>
      <w:r>
        <w:tab/>
        <w:t>В Боливии действуют следующие законодательные акты, регламентирующие рабочее время:</w:t>
      </w:r>
    </w:p>
    <w:p w:rsidR="00000000" w:rsidRDefault="00000000"/>
    <w:p w:rsidR="00000000" w:rsidRDefault="00000000">
      <w:r>
        <w:tab/>
      </w:r>
      <w:r>
        <w:rPr>
          <w:lang w:val="en-US"/>
        </w:rPr>
        <w:t>a)</w:t>
      </w:r>
      <w:r>
        <w:rPr>
          <w:lang w:val="en-US"/>
        </w:rPr>
        <w:tab/>
      </w:r>
      <w:r>
        <w:t>Статья 41 Общего закона о труде:  рабочими являются все дни, за исключением праздничных, к которым относятся воскресные дни, национальные праздники и дни, объявленные праздничными на основании законов или особых указов;</w:t>
      </w:r>
    </w:p>
    <w:p w:rsidR="00000000" w:rsidRDefault="00000000">
      <w:pPr>
        <w:ind w:left="1134" w:hanging="1134"/>
      </w:pPr>
    </w:p>
    <w:p w:rsidR="00000000" w:rsidRDefault="00000000">
      <w:r>
        <w:tab/>
        <w:t>b)</w:t>
      </w:r>
      <w:r>
        <w:tab/>
        <w:t>Статья 67 Указа № 21060:  праздничными днями, т.е. нерабочими днями для государственных и частных предприятий, являются воскресные дни, 1 января, понедельник и вторник в период проведения карнавала, страстная пятница, 1 мая, пасха, 6 августа, 10 ноября, 25 декабря, а также по одному празднику для каждого департамента;</w:t>
      </w:r>
    </w:p>
    <w:p w:rsidR="00000000" w:rsidRDefault="00000000">
      <w:pPr>
        <w:ind w:left="1134" w:hanging="1134"/>
      </w:pPr>
    </w:p>
    <w:p w:rsidR="00000000" w:rsidRDefault="00000000">
      <w:r>
        <w:rPr>
          <w:lang w:val="en-US"/>
        </w:rPr>
        <w:tab/>
        <w:t>c)</w:t>
      </w:r>
      <w:r>
        <w:rPr>
          <w:lang w:val="en-US"/>
        </w:rPr>
        <w:tab/>
      </w:r>
      <w:r>
        <w:t>Статья 68:  в том случае, когда праздничные дни выпадают на воскресенье, на основании Декрета № 14260 от 31 декабря 1976 года они должны быть компенсированы рабочим днем, непосредственно следующим за выходными;</w:t>
      </w:r>
    </w:p>
    <w:p w:rsidR="00000000" w:rsidRDefault="00000000">
      <w:pPr>
        <w:ind w:left="1134" w:hanging="1134"/>
      </w:pPr>
    </w:p>
    <w:p w:rsidR="00000000" w:rsidRDefault="00000000">
      <w:r>
        <w:rPr>
          <w:lang w:val="en-US"/>
        </w:rPr>
        <w:tab/>
        <w:t>d)</w:t>
      </w:r>
      <w:r>
        <w:rPr>
          <w:lang w:val="en-US"/>
        </w:rPr>
        <w:tab/>
      </w:r>
      <w:r>
        <w:t>Статья 69:  не являются нерабочими днями отраслевые, профессиональные, религиозные, региональные праздники или знаменательные даты для того или иного государственного или частного предприятия.  Объявление национального траура не влечет за собой прекращения работы;</w:t>
      </w:r>
    </w:p>
    <w:p w:rsidR="00000000" w:rsidRDefault="00000000">
      <w:pPr>
        <w:ind w:left="1134" w:hanging="1134"/>
      </w:pPr>
    </w:p>
    <w:p w:rsidR="00000000" w:rsidRDefault="00000000">
      <w:pPr>
        <w:rPr>
          <w:lang w:val="en-US"/>
        </w:rPr>
      </w:pPr>
      <w:r>
        <w:rPr>
          <w:lang w:val="en-US"/>
        </w:rPr>
        <w:tab/>
        <w:t>e)</w:t>
      </w:r>
      <w:r>
        <w:rPr>
          <w:lang w:val="en-US"/>
        </w:rPr>
        <w:tab/>
      </w:r>
      <w:r>
        <w:t>Статья 42 Общего закона о труде:  в праздничные дни не могут выполняться никакие работы, будь то в целях профессионального обучения или благотворительности.  В случае населенных пунктов, удаленных от крупных городов, неосновные праздничные дни могут компенсироваться днями отпуска;</w:t>
      </w:r>
    </w:p>
    <w:p w:rsidR="00000000" w:rsidRDefault="00000000">
      <w:pPr>
        <w:ind w:left="1134" w:hanging="1134"/>
        <w:rPr>
          <w:lang w:val="en-US"/>
        </w:rPr>
      </w:pPr>
    </w:p>
    <w:p w:rsidR="00000000" w:rsidRDefault="00000000">
      <w:r>
        <w:rPr>
          <w:lang w:val="en-US"/>
        </w:rPr>
        <w:tab/>
        <w:t>f)</w:t>
      </w:r>
      <w:r>
        <w:rPr>
          <w:lang w:val="en-US"/>
        </w:rPr>
        <w:tab/>
      </w:r>
      <w:r>
        <w:t>Статья 1 Декрета – постановления от 30 августа 1927 года:  в столицах департаментов в воскресные дни запрещено выполнение таких оплачиваемых работ, за которые рабочий или служащий не получает другой компенсации, кроме своего оклада или заработной платы.</w:t>
      </w:r>
    </w:p>
    <w:p w:rsidR="00000000" w:rsidRDefault="00000000">
      <w:pPr>
        <w:ind w:left="1134" w:hanging="1134"/>
      </w:pPr>
    </w:p>
    <w:p w:rsidR="00000000" w:rsidRDefault="00000000">
      <w:pPr>
        <w:pStyle w:val="FootnoteText"/>
        <w:spacing w:line="288" w:lineRule="auto"/>
      </w:pPr>
      <w:r>
        <w:t>123.</w:t>
      </w:r>
      <w:r>
        <w:tab/>
        <w:t>В соответствии со статьей 44 Декрета № 3150 1952 года с поправками, внесенными статьей 1 Указа № 17288 от 18 марта 1980 года, трудящиеся имеют право на ежегодный отпуск по следующей шкале:</w:t>
      </w:r>
    </w:p>
    <w:p w:rsidR="00000000" w:rsidRDefault="00000000">
      <w:pPr>
        <w:pStyle w:val="FootnoteText"/>
        <w:spacing w:line="288" w:lineRule="auto"/>
      </w:pPr>
    </w:p>
    <w:p w:rsidR="00000000" w:rsidRDefault="00000000">
      <w:pPr>
        <w:pStyle w:val="FootnoteText"/>
        <w:spacing w:line="288" w:lineRule="auto"/>
        <w:ind w:left="567"/>
      </w:pPr>
      <w:r>
        <w:t>Стаж работы от 1 до 5 лет – 15 рабочих дней;</w:t>
      </w:r>
    </w:p>
    <w:p w:rsidR="00000000" w:rsidRDefault="00000000">
      <w:pPr>
        <w:pStyle w:val="FootnoteText"/>
        <w:spacing w:line="288" w:lineRule="auto"/>
        <w:ind w:left="567"/>
      </w:pPr>
    </w:p>
    <w:p w:rsidR="00000000" w:rsidRDefault="00000000">
      <w:pPr>
        <w:pStyle w:val="FootnoteText"/>
        <w:spacing w:line="288" w:lineRule="auto"/>
        <w:ind w:left="567"/>
      </w:pPr>
      <w:r>
        <w:t>Стаж работы от 5 до 10 лет – 20 рабочих дней;</w:t>
      </w:r>
    </w:p>
    <w:p w:rsidR="00000000" w:rsidRDefault="00000000">
      <w:pPr>
        <w:pStyle w:val="FootnoteText"/>
        <w:spacing w:line="288" w:lineRule="auto"/>
        <w:ind w:left="567"/>
      </w:pPr>
    </w:p>
    <w:p w:rsidR="00000000" w:rsidRDefault="00000000">
      <w:pPr>
        <w:pStyle w:val="FootnoteText"/>
        <w:spacing w:line="288" w:lineRule="auto"/>
        <w:ind w:left="567"/>
      </w:pPr>
      <w:r>
        <w:t>Стаж работы более 10 лет – 30 рабочих дней.</w:t>
      </w:r>
    </w:p>
    <w:p w:rsidR="00000000" w:rsidRDefault="00000000">
      <w:pPr>
        <w:pStyle w:val="FootnoteText"/>
        <w:spacing w:line="288" w:lineRule="auto"/>
        <w:ind w:left="567"/>
      </w:pPr>
    </w:p>
    <w:p w:rsidR="00000000" w:rsidRDefault="00000000">
      <w:pPr>
        <w:pStyle w:val="FootnoteText"/>
        <w:spacing w:line="288" w:lineRule="auto"/>
      </w:pPr>
      <w:r>
        <w:rPr>
          <w:u w:val="single"/>
        </w:rPr>
        <w:t>Пункт 5 а</w:t>
      </w:r>
      <w:r>
        <w:t>)</w:t>
      </w:r>
    </w:p>
    <w:p w:rsidR="00000000" w:rsidRDefault="00000000">
      <w:pPr>
        <w:pStyle w:val="FootnoteText"/>
        <w:spacing w:line="288" w:lineRule="auto"/>
      </w:pPr>
    </w:p>
    <w:p w:rsidR="00000000" w:rsidRDefault="00000000">
      <w:pPr>
        <w:pStyle w:val="FootnoteText"/>
        <w:spacing w:line="288" w:lineRule="auto"/>
      </w:pPr>
      <w:r>
        <w:t>124.</w:t>
      </w:r>
      <w:r>
        <w:tab/>
        <w:t>В числе факторов и сложностей, препятствующих осуществлению этих прав, можно назвать незнание действующих законов трудящимися, а также проблему безработицы и значительного избытка неквалифицированной рабочей силы;  по этим причинам сами трудящиеся отказываются от своих прав в целях сохранения работы.</w:t>
      </w:r>
    </w:p>
    <w:p w:rsidR="00000000" w:rsidRDefault="00000000">
      <w:pPr>
        <w:rPr>
          <w:u w:val="single"/>
        </w:rPr>
      </w:pPr>
    </w:p>
    <w:p w:rsidR="00000000" w:rsidRDefault="00000000">
      <w:r>
        <w:rPr>
          <w:u w:val="single"/>
        </w:rPr>
        <w:t>Пункт 5 b</w:t>
      </w:r>
      <w:r>
        <w:t>)</w:t>
      </w:r>
    </w:p>
    <w:p w:rsidR="00000000" w:rsidRDefault="00000000"/>
    <w:p w:rsidR="00000000" w:rsidRDefault="00000000">
      <w:r>
        <w:t>125.</w:t>
      </w:r>
      <w:r>
        <w:tab/>
        <w:t>Общий закон о труде гласит следующее:</w:t>
      </w:r>
    </w:p>
    <w:p w:rsidR="00000000" w:rsidRDefault="00000000"/>
    <w:p w:rsidR="00000000" w:rsidRDefault="00000000">
      <w:pPr>
        <w:ind w:left="567" w:hanging="567"/>
      </w:pPr>
      <w:r>
        <w:rPr>
          <w:b/>
        </w:rPr>
        <w:tab/>
        <w:t>Статья 4</w:t>
      </w:r>
      <w:r>
        <w:t>:  С учетом существующих потребностей и необходимости предотвращения значительного ущерба общественным интересам в воскресные дни разрешена работа следующих служб и предприятий:</w:t>
      </w:r>
    </w:p>
    <w:p w:rsidR="00000000" w:rsidRDefault="00000000">
      <w:pPr>
        <w:ind w:left="567" w:hanging="567"/>
      </w:pPr>
    </w:p>
    <w:p w:rsidR="00000000" w:rsidRDefault="00000000">
      <w:pPr>
        <w:ind w:left="1134" w:hanging="1134"/>
      </w:pPr>
      <w:r>
        <w:tab/>
        <w:t>1.</w:t>
      </w:r>
      <w:r>
        <w:tab/>
        <w:t>Служб обеспечения движения пассажирских и грузовых поездов;  приема и выдачи корреспонденции, посылок, багажа и скоропортящихся грузов.</w:t>
      </w:r>
    </w:p>
    <w:p w:rsidR="00000000" w:rsidRDefault="00000000">
      <w:pPr>
        <w:ind w:left="1134" w:hanging="1134"/>
      </w:pPr>
    </w:p>
    <w:p w:rsidR="00000000" w:rsidRDefault="00000000">
      <w:pPr>
        <w:ind w:left="1134" w:hanging="1134"/>
      </w:pPr>
      <w:r>
        <w:tab/>
        <w:t>2.</w:t>
      </w:r>
      <w:r>
        <w:tab/>
        <w:t>Трамвайных, автобусных и автомобильных парков.</w:t>
      </w:r>
    </w:p>
    <w:p w:rsidR="00000000" w:rsidRDefault="00000000">
      <w:pPr>
        <w:ind w:left="1134" w:hanging="1134"/>
      </w:pPr>
    </w:p>
    <w:p w:rsidR="00000000" w:rsidRDefault="00000000">
      <w:pPr>
        <w:ind w:left="1134" w:hanging="1134"/>
      </w:pPr>
      <w:r>
        <w:tab/>
        <w:t>3.</w:t>
      </w:r>
      <w:r>
        <w:tab/>
        <w:t>Телефонных и телеграфных компаний.</w:t>
      </w:r>
    </w:p>
    <w:p w:rsidR="00000000" w:rsidRDefault="00000000">
      <w:pPr>
        <w:ind w:left="1134" w:hanging="1134"/>
      </w:pPr>
    </w:p>
    <w:p w:rsidR="00000000" w:rsidRDefault="00000000">
      <w:pPr>
        <w:ind w:left="1134" w:hanging="1134"/>
      </w:pPr>
      <w:r>
        <w:tab/>
        <w:t>4.</w:t>
      </w:r>
      <w:r>
        <w:tab/>
        <w:t>Служб по обеспечению уличного освещения и подачи электроэнергии.</w:t>
      </w:r>
    </w:p>
    <w:p w:rsidR="00000000" w:rsidRDefault="00000000">
      <w:pPr>
        <w:ind w:left="1134" w:hanging="1134"/>
      </w:pPr>
    </w:p>
    <w:p w:rsidR="00000000" w:rsidRDefault="00000000">
      <w:pPr>
        <w:ind w:left="1134" w:hanging="1134"/>
      </w:pPr>
      <w:r>
        <w:tab/>
        <w:t>5.</w:t>
      </w:r>
      <w:r>
        <w:tab/>
        <w:t>Рынков и ярмарок.</w:t>
      </w:r>
    </w:p>
    <w:p w:rsidR="00000000" w:rsidRDefault="00000000">
      <w:pPr>
        <w:ind w:left="1134" w:hanging="1134"/>
      </w:pPr>
    </w:p>
    <w:p w:rsidR="00000000" w:rsidRDefault="00000000">
      <w:pPr>
        <w:ind w:left="1134" w:hanging="1134"/>
      </w:pPr>
      <w:r>
        <w:tab/>
        <w:t>6.</w:t>
      </w:r>
      <w:r>
        <w:tab/>
        <w:t>Магазинов по продаже мяса, молока, хлебобулочных и соответствующих служб доставки.</w:t>
      </w:r>
    </w:p>
    <w:p w:rsidR="00000000" w:rsidRDefault="00000000">
      <w:pPr>
        <w:ind w:left="1134" w:hanging="1134"/>
      </w:pPr>
    </w:p>
    <w:p w:rsidR="00000000" w:rsidRDefault="00000000">
      <w:pPr>
        <w:ind w:left="1134" w:hanging="1134"/>
      </w:pPr>
      <w:r>
        <w:tab/>
        <w:t>7.</w:t>
      </w:r>
      <w:r>
        <w:tab/>
        <w:t>Оптовых продовольственных магазинов и лавок исключительно для продажи предметов первой необходимости и продуктов питания.</w:t>
      </w:r>
    </w:p>
    <w:p w:rsidR="00000000" w:rsidRDefault="00000000">
      <w:pPr>
        <w:ind w:left="1134" w:hanging="1134"/>
      </w:pPr>
    </w:p>
    <w:p w:rsidR="00000000" w:rsidRDefault="00000000">
      <w:pPr>
        <w:ind w:left="1134" w:hanging="1134"/>
      </w:pPr>
      <w:r>
        <w:tab/>
        <w:t>8.</w:t>
      </w:r>
      <w:r>
        <w:tab/>
        <w:t>Цветочных лавок.</w:t>
      </w:r>
    </w:p>
    <w:p w:rsidR="00000000" w:rsidRDefault="00000000">
      <w:pPr>
        <w:ind w:left="1134" w:hanging="1134"/>
      </w:pPr>
    </w:p>
    <w:p w:rsidR="00000000" w:rsidRDefault="00000000">
      <w:pPr>
        <w:ind w:left="1134" w:hanging="1134"/>
      </w:pPr>
      <w:r>
        <w:tab/>
        <w:t>9.</w:t>
      </w:r>
      <w:r>
        <w:tab/>
        <w:t>Гостиниц, за исключением расположенных в них предприятий общественного питания, а также ресторанов и кафе, но только для приготовления и приема пищи.</w:t>
      </w:r>
    </w:p>
    <w:p w:rsidR="00000000" w:rsidRDefault="00000000">
      <w:pPr>
        <w:ind w:left="1134" w:hanging="1134"/>
      </w:pPr>
    </w:p>
    <w:p w:rsidR="00000000" w:rsidRDefault="00000000">
      <w:pPr>
        <w:ind w:left="1134" w:hanging="1134"/>
      </w:pPr>
      <w:r>
        <w:tab/>
        <w:t>10.</w:t>
      </w:r>
      <w:r>
        <w:tab/>
        <w:t>Магазинов по продаже табачных изделий.</w:t>
      </w:r>
    </w:p>
    <w:p w:rsidR="00000000" w:rsidRDefault="00000000">
      <w:pPr>
        <w:ind w:left="1134" w:hanging="1134"/>
      </w:pPr>
    </w:p>
    <w:p w:rsidR="00000000" w:rsidRDefault="00000000">
      <w:pPr>
        <w:ind w:left="1134" w:hanging="1134"/>
      </w:pPr>
      <w:r>
        <w:tab/>
        <w:t>11.</w:t>
      </w:r>
      <w:r>
        <w:tab/>
        <w:t>Фотоателье, но только для изготовления негативов.</w:t>
      </w:r>
    </w:p>
    <w:p w:rsidR="00000000" w:rsidRDefault="00000000">
      <w:pPr>
        <w:ind w:left="1134" w:hanging="1134"/>
      </w:pPr>
    </w:p>
    <w:p w:rsidR="00000000" w:rsidRDefault="00000000">
      <w:pPr>
        <w:ind w:left="1134" w:hanging="1134"/>
      </w:pPr>
      <w:r>
        <w:tab/>
        <w:t>12.</w:t>
      </w:r>
      <w:r>
        <w:tab/>
        <w:t>Пунктов рассылки и продажи газет и журналов, которые выходят в этот день.</w:t>
      </w:r>
    </w:p>
    <w:p w:rsidR="00000000" w:rsidRDefault="00000000">
      <w:pPr>
        <w:ind w:left="1134" w:hanging="1134"/>
      </w:pPr>
    </w:p>
    <w:p w:rsidR="00000000" w:rsidRDefault="00000000">
      <w:pPr>
        <w:ind w:left="1134" w:hanging="1134"/>
      </w:pPr>
      <w:r>
        <w:tab/>
        <w:t>13.</w:t>
      </w:r>
      <w:r>
        <w:tab/>
        <w:t>Музеев и библиотек.</w:t>
      </w:r>
    </w:p>
    <w:p w:rsidR="00000000" w:rsidRDefault="00000000">
      <w:pPr>
        <w:ind w:left="1134" w:hanging="1134"/>
      </w:pPr>
    </w:p>
    <w:p w:rsidR="00000000" w:rsidRDefault="00000000">
      <w:pPr>
        <w:ind w:left="1134" w:hanging="1134"/>
      </w:pPr>
      <w:r>
        <w:tab/>
        <w:t>14.</w:t>
      </w:r>
      <w:r>
        <w:tab/>
        <w:t>Дежурных аптек, определяемых муниципальными органами.</w:t>
      </w:r>
    </w:p>
    <w:p w:rsidR="00000000" w:rsidRDefault="00000000">
      <w:pPr>
        <w:ind w:left="1134" w:hanging="1134"/>
      </w:pPr>
    </w:p>
    <w:p w:rsidR="00000000" w:rsidRDefault="00000000">
      <w:pPr>
        <w:ind w:left="1134" w:hanging="1134"/>
      </w:pPr>
      <w:r>
        <w:tab/>
        <w:t>15.</w:t>
      </w:r>
      <w:r>
        <w:tab/>
        <w:t>Больниц, клиник и диспансеров.</w:t>
      </w:r>
    </w:p>
    <w:p w:rsidR="00000000" w:rsidRDefault="00000000">
      <w:pPr>
        <w:ind w:left="1134" w:hanging="1134"/>
      </w:pPr>
    </w:p>
    <w:p w:rsidR="00000000" w:rsidRDefault="00000000">
      <w:pPr>
        <w:ind w:left="1134" w:hanging="1134"/>
      </w:pPr>
      <w:r>
        <w:tab/>
        <w:t>16.</w:t>
      </w:r>
      <w:r>
        <w:tab/>
        <w:t>Похоронных служб и бюро.</w:t>
      </w:r>
    </w:p>
    <w:p w:rsidR="00000000" w:rsidRDefault="00000000">
      <w:pPr>
        <w:ind w:left="1134" w:hanging="1134"/>
      </w:pPr>
    </w:p>
    <w:p w:rsidR="00000000" w:rsidRDefault="00000000">
      <w:pPr>
        <w:ind w:left="1134" w:hanging="1134"/>
      </w:pPr>
      <w:r>
        <w:tab/>
        <w:t>17.</w:t>
      </w:r>
      <w:r>
        <w:tab/>
        <w:t>Театров, цирков, кинотеатров, ипподромов и других мест проведения общественных зрелищ и отдыха населения.</w:t>
      </w:r>
    </w:p>
    <w:p w:rsidR="00000000" w:rsidRDefault="00000000">
      <w:pPr>
        <w:ind w:left="1134" w:hanging="1134"/>
      </w:pPr>
    </w:p>
    <w:p w:rsidR="00000000" w:rsidRDefault="00000000">
      <w:pPr>
        <w:ind w:left="567" w:hanging="567"/>
      </w:pPr>
      <w:r>
        <w:tab/>
      </w:r>
      <w:r>
        <w:rPr>
          <w:b/>
        </w:rPr>
        <w:t>Статья 5</w:t>
      </w:r>
      <w:r>
        <w:t>:  В воскресные дни разрешается проводить работы, которые необходимы в силу технологического процесса или приостановка которых может иметь негативные последствия для производства:</w:t>
      </w:r>
    </w:p>
    <w:p w:rsidR="00000000" w:rsidRDefault="00000000">
      <w:pPr>
        <w:ind w:left="567" w:hanging="567"/>
      </w:pPr>
    </w:p>
    <w:p w:rsidR="00000000" w:rsidRDefault="00000000">
      <w:pPr>
        <w:pStyle w:val="BodyTextIndent"/>
        <w:spacing w:line="288" w:lineRule="auto"/>
        <w:ind w:left="1134" w:hanging="1134"/>
      </w:pPr>
      <w:r>
        <w:tab/>
        <w:t>1)</w:t>
      </w:r>
      <w:r>
        <w:tab/>
        <w:t>Если переработка сырья необходима для обеспечения его сохранности или для подготовки, осуществления или завершения круглосуточного цикла, не прекращающегося в воскресенье.</w:t>
      </w:r>
    </w:p>
    <w:p w:rsidR="00000000" w:rsidRDefault="00000000">
      <w:pPr>
        <w:pStyle w:val="BodyTextIndent"/>
        <w:spacing w:line="288" w:lineRule="auto"/>
        <w:ind w:left="1134" w:hanging="1134"/>
      </w:pPr>
    </w:p>
    <w:p w:rsidR="00000000" w:rsidRDefault="00000000">
      <w:pPr>
        <w:pStyle w:val="BodyTextIndent"/>
        <w:spacing w:line="288" w:lineRule="auto"/>
        <w:ind w:left="1134" w:hanging="1134"/>
      </w:pPr>
      <w:r>
        <w:tab/>
        <w:t>2)</w:t>
      </w:r>
      <w:r>
        <w:tab/>
        <w:t>При эксплуатации любого вида шахт, за исключением тоннелей, инженерных сооружений или объектов общественного пользования.</w:t>
      </w:r>
    </w:p>
    <w:p w:rsidR="00000000" w:rsidRDefault="00000000">
      <w:pPr>
        <w:pStyle w:val="BodyTextIndent"/>
        <w:spacing w:line="288" w:lineRule="auto"/>
        <w:ind w:left="1134" w:hanging="1134"/>
      </w:pPr>
    </w:p>
    <w:p w:rsidR="00000000" w:rsidRDefault="00000000">
      <w:pPr>
        <w:pStyle w:val="BodyTextIndent"/>
        <w:spacing w:line="288" w:lineRule="auto"/>
        <w:ind w:left="1134" w:hanging="1134"/>
      </w:pPr>
      <w:r>
        <w:tab/>
        <w:t>3)</w:t>
      </w:r>
      <w:r>
        <w:tab/>
        <w:t>На предприятиях, работа которых требует функционирования и обслуживания печей для обжига или прокаливания.</w:t>
      </w:r>
    </w:p>
    <w:p w:rsidR="00000000" w:rsidRDefault="00000000">
      <w:pPr>
        <w:pStyle w:val="BodyTextIndent"/>
        <w:spacing w:line="288" w:lineRule="auto"/>
        <w:ind w:left="1134" w:hanging="1134"/>
      </w:pPr>
    </w:p>
    <w:p w:rsidR="00000000" w:rsidRDefault="00000000">
      <w:pPr>
        <w:pStyle w:val="BodyTextIndent"/>
        <w:spacing w:line="288" w:lineRule="auto"/>
        <w:ind w:left="1134" w:hanging="1134"/>
      </w:pPr>
      <w:r>
        <w:tab/>
        <w:t>4)</w:t>
      </w:r>
      <w:r>
        <w:tab/>
        <w:t>Для завершения технологического процесса ускоренной выделки кожи и обслуживания дубильных чанов.</w:t>
      </w:r>
    </w:p>
    <w:p w:rsidR="00000000" w:rsidRDefault="00000000">
      <w:pPr>
        <w:pStyle w:val="BodyTextIndent"/>
        <w:spacing w:line="288" w:lineRule="auto"/>
        <w:ind w:left="1134" w:hanging="1134"/>
      </w:pPr>
    </w:p>
    <w:p w:rsidR="00000000" w:rsidRDefault="00000000">
      <w:pPr>
        <w:pStyle w:val="BodyTextIndent"/>
        <w:spacing w:line="288" w:lineRule="auto"/>
        <w:ind w:left="1134" w:hanging="1134"/>
      </w:pPr>
      <w:r>
        <w:tab/>
        <w:t>5)</w:t>
      </w:r>
      <w:r>
        <w:tab/>
        <w:t>На пивоваренных заводах, для обслуживания технологического процесса сбраживания сусла и обслуживания холодильных агрегатов, а также на спиртоводочных заводах.</w:t>
      </w:r>
    </w:p>
    <w:p w:rsidR="00000000" w:rsidRDefault="00000000">
      <w:pPr>
        <w:pStyle w:val="BodyTextIndent"/>
        <w:spacing w:line="288" w:lineRule="auto"/>
        <w:ind w:left="1134" w:hanging="1134"/>
      </w:pPr>
    </w:p>
    <w:p w:rsidR="00000000" w:rsidRDefault="00000000">
      <w:pPr>
        <w:pStyle w:val="BodyTextIndent"/>
        <w:spacing w:line="288" w:lineRule="auto"/>
      </w:pPr>
      <w:r>
        <w:tab/>
      </w:r>
      <w:r>
        <w:rPr>
          <w:b/>
        </w:rPr>
        <w:t>Статья 7</w:t>
      </w:r>
      <w:r>
        <w:t>:  Главное управление по вопросам труда может разрешить работу в воскресные дни в следующих случаях:</w:t>
      </w:r>
    </w:p>
    <w:p w:rsidR="00000000" w:rsidRDefault="00000000">
      <w:pPr>
        <w:pStyle w:val="BodyTextIndent"/>
        <w:spacing w:line="288" w:lineRule="auto"/>
      </w:pPr>
    </w:p>
    <w:p w:rsidR="00000000" w:rsidRDefault="00000000">
      <w:pPr>
        <w:pStyle w:val="BodyTextIndent"/>
        <w:spacing w:line="288" w:lineRule="auto"/>
        <w:ind w:left="1134" w:hanging="1134"/>
      </w:pPr>
      <w:r>
        <w:tab/>
        <w:t>1)</w:t>
      </w:r>
      <w:r>
        <w:tab/>
        <w:t>Когда невыполнение работ грозит нанесением ущерба в случае:  строительства противопаводковых сооружений или ликвидация последствий наводнений, ремонта трубопроводов.</w:t>
      </w:r>
    </w:p>
    <w:p w:rsidR="00000000" w:rsidRDefault="00000000">
      <w:pPr>
        <w:pStyle w:val="BodyTextIndent"/>
        <w:spacing w:line="288" w:lineRule="auto"/>
        <w:ind w:left="1134" w:hanging="1134"/>
      </w:pPr>
    </w:p>
    <w:p w:rsidR="00000000" w:rsidRDefault="00000000">
      <w:pPr>
        <w:pStyle w:val="BodyTextIndent"/>
        <w:spacing w:line="288" w:lineRule="auto"/>
        <w:ind w:left="1134" w:hanging="1134"/>
      </w:pPr>
      <w:r>
        <w:tab/>
        <w:t>2)</w:t>
      </w:r>
      <w:r>
        <w:tab/>
        <w:t>В связи с временными обстоятельствами, которыми необходимо воспользоваться.</w:t>
      </w:r>
    </w:p>
    <w:p w:rsidR="00000000" w:rsidRDefault="00000000">
      <w:pPr>
        <w:pStyle w:val="BodyTextIndent"/>
        <w:spacing w:line="288" w:lineRule="auto"/>
        <w:ind w:left="1134" w:hanging="1134"/>
      </w:pPr>
    </w:p>
    <w:p w:rsidR="00000000" w:rsidRDefault="00000000">
      <w:pPr>
        <w:pStyle w:val="BodyTextIndent"/>
        <w:spacing w:line="288" w:lineRule="auto"/>
        <w:ind w:left="1134" w:hanging="1134"/>
      </w:pPr>
      <w:r>
        <w:rPr>
          <w:u w:val="single"/>
        </w:rPr>
        <w:t>Пункт 6</w:t>
      </w:r>
    </w:p>
    <w:p w:rsidR="00000000" w:rsidRDefault="00000000">
      <w:pPr>
        <w:pStyle w:val="BodyTextIndent"/>
        <w:spacing w:line="288" w:lineRule="auto"/>
        <w:ind w:left="1134" w:hanging="1134"/>
      </w:pPr>
    </w:p>
    <w:p w:rsidR="00000000" w:rsidRDefault="00000000">
      <w:pPr>
        <w:pStyle w:val="BodyTextIndent"/>
        <w:spacing w:line="288" w:lineRule="auto"/>
        <w:ind w:left="1134" w:hanging="1134"/>
      </w:pPr>
      <w:r>
        <w:t>126.</w:t>
      </w:r>
      <w:r>
        <w:tab/>
        <w:t>Ранее доклады не представлялись.</w:t>
      </w:r>
    </w:p>
    <w:p w:rsidR="00000000" w:rsidRDefault="00000000">
      <w:pPr>
        <w:pStyle w:val="BodyTextIndent"/>
        <w:spacing w:line="288" w:lineRule="auto"/>
        <w:ind w:left="1134" w:hanging="1134"/>
      </w:pPr>
    </w:p>
    <w:p w:rsidR="00000000" w:rsidRDefault="00000000">
      <w:pPr>
        <w:pStyle w:val="BodyTextIndent"/>
        <w:spacing w:line="288" w:lineRule="auto"/>
        <w:ind w:left="1134" w:hanging="1134"/>
        <w:jc w:val="center"/>
        <w:rPr>
          <w:b/>
          <w:u w:val="single"/>
        </w:rPr>
      </w:pPr>
      <w:r>
        <w:rPr>
          <w:b/>
        </w:rPr>
        <w:t>С.</w:t>
      </w:r>
      <w:r>
        <w:rPr>
          <w:b/>
        </w:rPr>
        <w:tab/>
      </w:r>
      <w:r>
        <w:rPr>
          <w:b/>
          <w:u w:val="single"/>
        </w:rPr>
        <w:t>Статья 8</w:t>
      </w:r>
    </w:p>
    <w:p w:rsidR="00000000" w:rsidRDefault="00000000">
      <w:pPr>
        <w:pStyle w:val="BodyTextIndent"/>
        <w:spacing w:line="288" w:lineRule="auto"/>
        <w:ind w:left="1134" w:hanging="1134"/>
        <w:jc w:val="center"/>
        <w:rPr>
          <w:b/>
          <w:u w:val="single"/>
        </w:rPr>
      </w:pPr>
    </w:p>
    <w:p w:rsidR="00000000" w:rsidRDefault="00000000">
      <w:pPr>
        <w:pStyle w:val="BodyTextIndent"/>
        <w:spacing w:line="288" w:lineRule="auto"/>
        <w:ind w:left="1134" w:hanging="1134"/>
      </w:pPr>
      <w:r>
        <w:rPr>
          <w:u w:val="single"/>
        </w:rPr>
        <w:t>Руководящие принципы, пункт 2 статьи 8 Пакта</w:t>
      </w:r>
    </w:p>
    <w:p w:rsidR="00000000" w:rsidRDefault="00000000">
      <w:pPr>
        <w:pStyle w:val="BodyTextIndent"/>
        <w:spacing w:line="288" w:lineRule="auto"/>
        <w:ind w:left="1134" w:hanging="1134"/>
      </w:pPr>
    </w:p>
    <w:p w:rsidR="00000000" w:rsidRDefault="00000000">
      <w:pPr>
        <w:pStyle w:val="BodyTextIndent"/>
        <w:spacing w:line="288" w:lineRule="auto"/>
        <w:ind w:left="0" w:firstLine="0"/>
      </w:pPr>
      <w:r>
        <w:t>127.</w:t>
      </w:r>
      <w:r>
        <w:tab/>
        <w:t>При создании или учреждении профсоюза должны соблюдаться нормативные положения Общего закона о труде без каких-либо условий, о чем гласит его статья 99.</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rPr>
          <w:u w:val="single"/>
        </w:rPr>
        <w:t>Пункт 2 а</w:t>
      </w:r>
      <w:r>
        <w:t>)</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128.</w:t>
      </w:r>
      <w:r>
        <w:tab/>
        <w:t>Не существует специальных юридических положений о создании профсоюзов или о каких-либо категориях трудящихся, которые могут в них участвовать.  Согласно требованиям Общего закона о труде минимальное количество трудящихся для создания профсоюза составляет 20 человек.</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rPr>
          <w:u w:val="single"/>
        </w:rPr>
        <w:t>Пункт 2 b</w:t>
      </w:r>
      <w:r>
        <w:t>)</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129.</w:t>
      </w:r>
      <w:r>
        <w:tab/>
        <w:t>В Боливии не существует ограничений в вопросах организации профсоюзов.  Их защита обеспечена положениями Политической конституции Боливии и Общего закона о труде.  Согласно этим нормативным актам и предприниматели, и трудящиеся имеют право на свободу создания профсоюзов или участия в них.</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rPr>
          <w:u w:val="single"/>
        </w:rPr>
        <w:t>Пункт 2 с</w:t>
      </w:r>
      <w:r>
        <w:t>)</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130.</w:t>
      </w:r>
      <w:r>
        <w:tab/>
        <w:t>Государство гарантирует всем боливийцам право на свободное создание ассоциаций или профсоюзов, преследующих законные цели в интересах свободного осуществления положений статьи 150 Политической конституции Боливии, статей 99 и 120 Общего закона о труде, подзаконного акта к нему и Конвенции № 87 МОТ и соблюдения профсоюзных прав.</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rPr>
          <w:u w:val="single"/>
        </w:rPr>
        <w:t>Пункт 2 d</w:t>
      </w:r>
      <w:r>
        <w:t>)</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131.</w:t>
      </w:r>
      <w:r>
        <w:tab/>
        <w:t>В отношении права профсоюзов на свободу деятельности не существует каких бы то ни было ограничений.</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rPr>
          <w:u w:val="single"/>
        </w:rPr>
        <w:t>Пункт 2 е</w:t>
      </w:r>
      <w:r>
        <w:t>)</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132.</w:t>
      </w:r>
      <w:r>
        <w:tab/>
        <w:t>В стране существует приблизительно 274 профсоюза наемных работников, 263 независимых ассоциации, 18 национальных конфедераций, 58 федераций, 9 профцентров трудящихся на уровне департаментов, 14 профцентров трудящихся на уровне районов и Боливийский рабочий центр, который объединяет все вышеупомянутые организации.</w:t>
      </w:r>
    </w:p>
    <w:p w:rsidR="00000000" w:rsidRDefault="00000000">
      <w:pPr>
        <w:pStyle w:val="Heading2"/>
      </w:pPr>
    </w:p>
    <w:p w:rsidR="00000000" w:rsidRDefault="00000000">
      <w:pPr>
        <w:pStyle w:val="Heading2"/>
      </w:pPr>
      <w:r>
        <w:t>Пункт 3</w:t>
      </w:r>
    </w:p>
    <w:p w:rsidR="00000000" w:rsidRDefault="00000000">
      <w:pPr>
        <w:pStyle w:val="Heading2"/>
      </w:pPr>
    </w:p>
    <w:p w:rsidR="00000000" w:rsidRDefault="00000000">
      <w:r>
        <w:t>133.</w:t>
      </w:r>
      <w:r>
        <w:tab/>
        <w:t>Право трудящихся на забастовку закреплено в пункте II статьи 159 Политической конституции Боливии.</w:t>
      </w:r>
    </w:p>
    <w:p w:rsidR="00000000" w:rsidRDefault="00000000"/>
    <w:p w:rsidR="00000000" w:rsidRDefault="00000000">
      <w:r>
        <w:rPr>
          <w:u w:val="single"/>
        </w:rPr>
        <w:t>Пункт 3 a</w:t>
      </w:r>
      <w:r>
        <w:t>)</w:t>
      </w:r>
    </w:p>
    <w:p w:rsidR="00000000" w:rsidRDefault="00000000"/>
    <w:p w:rsidR="00000000" w:rsidRDefault="00000000">
      <w:r>
        <w:t>134.</w:t>
      </w:r>
      <w:r>
        <w:tab/>
        <w:t>Общий закон о труде гласит следующее:</w:t>
      </w:r>
    </w:p>
    <w:p w:rsidR="00000000" w:rsidRDefault="00000000"/>
    <w:p w:rsidR="00000000" w:rsidRDefault="00000000">
      <w:pPr>
        <w:ind w:left="567" w:hanging="567"/>
      </w:pPr>
      <w:r>
        <w:tab/>
      </w:r>
      <w:r>
        <w:rPr>
          <w:b/>
        </w:rPr>
        <w:t>Статья 105:</w:t>
      </w:r>
      <w:r>
        <w:t xml:space="preserve">  запрещается внеплановая остановка работ на предприятиях по инициативе работающих, если не исчерпаны все методы примирения и арбитражного разбирательства, предусмотренные в настоящем законе.  В противном случае забастовка считается незаконной.</w:t>
      </w:r>
    </w:p>
    <w:p w:rsidR="00000000" w:rsidRDefault="00000000">
      <w:pPr>
        <w:ind w:left="567" w:hanging="567"/>
      </w:pPr>
    </w:p>
    <w:p w:rsidR="00000000" w:rsidRDefault="00000000">
      <w:pPr>
        <w:ind w:left="567" w:hanging="567"/>
      </w:pPr>
      <w:r>
        <w:tab/>
      </w:r>
      <w:r>
        <w:rPr>
          <w:b/>
        </w:rPr>
        <w:t xml:space="preserve">Статья 106:  </w:t>
      </w:r>
      <w:r>
        <w:t>любой профсоюз в случае возникновения каких-либо разногласий с работодателем должен представить список своих претензий соответствующему инспектору по вопросам труда.  Этот список должен быть подписан членами руководства этого профсоюза, а в их отсутствие половиной плюс работниками, затрагиваемыми конфликтом.</w:t>
      </w:r>
    </w:p>
    <w:p w:rsidR="00000000" w:rsidRDefault="00000000">
      <w:pPr>
        <w:ind w:left="567" w:hanging="567"/>
      </w:pPr>
    </w:p>
    <w:p w:rsidR="00000000" w:rsidRDefault="00000000">
      <w:pPr>
        <w:ind w:left="567" w:hanging="567"/>
      </w:pPr>
      <w:r>
        <w:rPr>
          <w:u w:val="single"/>
        </w:rPr>
        <w:t>Пункт 3 b</w:t>
      </w:r>
      <w:r>
        <w:t>)</w:t>
      </w:r>
    </w:p>
    <w:p w:rsidR="00000000" w:rsidRDefault="00000000">
      <w:pPr>
        <w:ind w:left="567" w:hanging="567"/>
      </w:pPr>
    </w:p>
    <w:p w:rsidR="00000000" w:rsidRDefault="00000000">
      <w:pPr>
        <w:ind w:left="567" w:hanging="567"/>
      </w:pPr>
      <w:r>
        <w:t>135.</w:t>
      </w:r>
      <w:r>
        <w:tab/>
        <w:t>Такими положениями являются:</w:t>
      </w:r>
    </w:p>
    <w:p w:rsidR="00000000" w:rsidRDefault="00000000">
      <w:pPr>
        <w:ind w:left="567" w:hanging="567"/>
      </w:pPr>
    </w:p>
    <w:p w:rsidR="00000000" w:rsidRDefault="00000000">
      <w:pPr>
        <w:ind w:left="567" w:hanging="567"/>
      </w:pPr>
      <w:r>
        <w:tab/>
        <w:t>Пункт II статьи 150 Политической конституции Боливии;  статьи 114: 115, 116, 117, 118 и 119 Общего закона о труде;  статьи 159, 160, 161 и 162 Декрета-постановления № 224 от 23 августа 1943 года.</w:t>
      </w:r>
    </w:p>
    <w:p w:rsidR="00000000" w:rsidRDefault="00000000">
      <w:pPr>
        <w:ind w:left="567" w:hanging="567"/>
      </w:pPr>
    </w:p>
    <w:p w:rsidR="00000000" w:rsidRDefault="00000000">
      <w:pPr>
        <w:pStyle w:val="Heading7"/>
        <w:spacing w:line="288" w:lineRule="auto"/>
        <w:jc w:val="left"/>
      </w:pPr>
      <w:r>
        <w:t>Пункт 4</w:t>
      </w:r>
    </w:p>
    <w:p w:rsidR="00000000" w:rsidRDefault="00000000">
      <w:pPr>
        <w:pStyle w:val="Heading7"/>
        <w:spacing w:line="288" w:lineRule="auto"/>
      </w:pPr>
    </w:p>
    <w:p w:rsidR="00000000" w:rsidRDefault="00000000">
      <w:r>
        <w:t>136.</w:t>
      </w:r>
      <w:r>
        <w:tab/>
        <w:t>Такие ограничения налагаются только в интересах обеспечения общественного порядка и согласия, а также государственной безопасности и сохранности имущества.</w:t>
      </w:r>
    </w:p>
    <w:p w:rsidR="00000000" w:rsidRDefault="00000000"/>
    <w:p w:rsidR="00000000" w:rsidRDefault="00000000">
      <w:pPr>
        <w:pStyle w:val="Heading2"/>
      </w:pPr>
      <w:r>
        <w:t>Пункт 5</w:t>
      </w:r>
    </w:p>
    <w:p w:rsidR="00000000" w:rsidRDefault="00000000">
      <w:pPr>
        <w:pStyle w:val="Heading2"/>
      </w:pPr>
    </w:p>
    <w:p w:rsidR="00000000" w:rsidRDefault="00000000">
      <w:r>
        <w:t>137.</w:t>
      </w:r>
      <w:r>
        <w:tab/>
        <w:t>Ранее доклады не представлялись.</w:t>
      </w:r>
    </w:p>
    <w:p w:rsidR="00000000" w:rsidRDefault="00000000"/>
    <w:p w:rsidR="00000000" w:rsidRDefault="00000000">
      <w:pPr>
        <w:jc w:val="center"/>
      </w:pPr>
      <w:r>
        <w:rPr>
          <w:b/>
        </w:rPr>
        <w:t>D.</w:t>
      </w:r>
      <w:r>
        <w:rPr>
          <w:b/>
        </w:rPr>
        <w:tab/>
      </w:r>
      <w:r>
        <w:rPr>
          <w:b/>
          <w:u w:val="single"/>
        </w:rPr>
        <w:t>Статья 9</w:t>
      </w:r>
    </w:p>
    <w:p w:rsidR="00000000" w:rsidRDefault="00000000"/>
    <w:p w:rsidR="00000000" w:rsidRDefault="00000000">
      <w:pPr>
        <w:pStyle w:val="Heading2"/>
      </w:pPr>
      <w:r>
        <w:t>Руководящие принципы, пункт 1 статьи 9 Пакта</w:t>
      </w:r>
    </w:p>
    <w:p w:rsidR="00000000" w:rsidRDefault="00000000">
      <w:pPr>
        <w:pStyle w:val="Heading2"/>
      </w:pPr>
    </w:p>
    <w:p w:rsidR="00000000" w:rsidRDefault="00000000">
      <w:r>
        <w:t>138.</w:t>
      </w:r>
      <w:r>
        <w:tab/>
        <w:t>Боливийский кодекс по вопросам социального страхования охватывает восемь из девяти аспектов, рекомендованных Конвенцией № 102 МОТ в качестве минимальных норм социального страхования:  пособие по болезни, выплаты в связи с рождением ребенка, страхование профессиональных рисков, инвалидности, старости, смерти, семейные пособия и субсидируемое жилье.</w:t>
      </w:r>
    </w:p>
    <w:p w:rsidR="00000000" w:rsidRDefault="00000000"/>
    <w:p w:rsidR="00000000" w:rsidRDefault="00000000">
      <w:r>
        <w:t>139.</w:t>
      </w:r>
      <w:r>
        <w:tab/>
        <w:t>Положениями Кодекса по вопросам социального страхования регламентируется размер выплат по обязательному социальному страхованию и семейных пособий.  Обязательное социальное страхование включает в себя медицинское страхование, выплаты в связи с рождением ребенка, страхование профессиональных рисков, инвалидности, старости и смерти.  Семейные пособия включают в себя выплаты в связи с рождением ребенка, его грудным вскармливанием, на нужды семьи и на похороны.</w:t>
      </w:r>
    </w:p>
    <w:p w:rsidR="00000000" w:rsidRDefault="00000000"/>
    <w:p w:rsidR="00000000" w:rsidRDefault="00000000">
      <w:r>
        <w:t>140.</w:t>
      </w:r>
      <w:r>
        <w:tab/>
        <w:t>В Боливии не существует системы пособий по безработице.</w:t>
      </w:r>
    </w:p>
    <w:p w:rsidR="00000000" w:rsidRDefault="00000000"/>
    <w:p w:rsidR="00000000" w:rsidRDefault="00000000">
      <w:pPr>
        <w:pStyle w:val="Heading2"/>
      </w:pPr>
      <w:r>
        <w:t>Пункт 3</w:t>
      </w:r>
    </w:p>
    <w:p w:rsidR="00000000" w:rsidRDefault="00000000">
      <w:pPr>
        <w:pStyle w:val="Heading2"/>
      </w:pPr>
    </w:p>
    <w:p w:rsidR="00000000" w:rsidRDefault="00000000">
      <w:pPr>
        <w:pStyle w:val="Heading2"/>
        <w:rPr>
          <w:b/>
        </w:rPr>
      </w:pPr>
      <w:r>
        <w:rPr>
          <w:b/>
          <w:u w:val="none"/>
        </w:rPr>
        <w:tab/>
      </w:r>
      <w:r>
        <w:rPr>
          <w:b/>
        </w:rPr>
        <w:t>Медицинское страхование и выплаты в связи с рождением ребенка</w:t>
      </w:r>
    </w:p>
    <w:p w:rsidR="00000000" w:rsidRDefault="00000000">
      <w:pPr>
        <w:pStyle w:val="Heading2"/>
        <w:rPr>
          <w:b/>
        </w:rPr>
      </w:pPr>
    </w:p>
    <w:p w:rsidR="00000000" w:rsidRDefault="00000000">
      <w:r>
        <w:t>141.</w:t>
      </w:r>
      <w:r>
        <w:tab/>
        <w:t>Выплаты по медицинскому страхованию страхователям и бенефициарам включают в себя оплату необходимой врачебной помощи, общей и специализированной стоматологической помощи, хирургических услуг, оплаты пребывания в больнице и необходимых лекарственных препаратов, а также выплату страхователям пособия по временной нетрудоспособности на время болезни.</w:t>
      </w:r>
    </w:p>
    <w:p w:rsidR="00000000" w:rsidRDefault="00000000"/>
    <w:p w:rsidR="00000000" w:rsidRDefault="00000000">
      <w:r>
        <w:t>142.</w:t>
      </w:r>
      <w:r>
        <w:tab/>
        <w:t>Выплаты в связи с рождением ребенка предназначены для застрахованной женщины или для супруги или сожительницы страхователя, и они включают в себя оплату необходимой врачебной помощи, хирургического вмешательства, пребывания в больнице и необходимых лекарственных препаратов, а также выплату страхователю пособия по временной нетрудоспособности в связи с беременностью, родами и в послеродовой период.</w:t>
      </w:r>
    </w:p>
    <w:p w:rsidR="00000000" w:rsidRDefault="00000000"/>
    <w:p w:rsidR="00000000" w:rsidRDefault="00000000">
      <w:pPr>
        <w:pStyle w:val="Heading2"/>
      </w:pPr>
      <w:r>
        <w:rPr>
          <w:u w:val="none"/>
        </w:rPr>
        <w:tab/>
      </w:r>
      <w:r>
        <w:rPr>
          <w:b/>
        </w:rPr>
        <w:t>Страхование профессиональных рисков</w:t>
      </w:r>
    </w:p>
    <w:p w:rsidR="00000000" w:rsidRDefault="00000000">
      <w:pPr>
        <w:pStyle w:val="Heading2"/>
      </w:pPr>
    </w:p>
    <w:p w:rsidR="00000000" w:rsidRDefault="00000000">
      <w:r>
        <w:t>143.</w:t>
      </w:r>
      <w:r>
        <w:tab/>
        <w:t>Лица, застрахованные от профессиональных рисков, имеют право на получение следующих денежных выплат:</w:t>
      </w:r>
    </w:p>
    <w:p w:rsidR="00000000" w:rsidRDefault="00000000"/>
    <w:p w:rsidR="00000000" w:rsidRDefault="00000000">
      <w:r>
        <w:tab/>
        <w:t>-</w:t>
      </w:r>
      <w:r>
        <w:tab/>
        <w:t>на врачебную и стоматологическую помощь;</w:t>
      </w:r>
    </w:p>
    <w:p w:rsidR="00000000" w:rsidRDefault="00000000"/>
    <w:p w:rsidR="00000000" w:rsidRDefault="00000000">
      <w:r>
        <w:tab/>
        <w:t>-</w:t>
      </w:r>
      <w:r>
        <w:tab/>
        <w:t>на хирургическое вмешательство и на пребывание в больнице;</w:t>
      </w:r>
    </w:p>
    <w:p w:rsidR="00000000" w:rsidRDefault="00000000"/>
    <w:p w:rsidR="00000000" w:rsidRDefault="00000000">
      <w:r>
        <w:tab/>
        <w:t>-</w:t>
      </w:r>
      <w:r>
        <w:tab/>
        <w:t>на оплату лекарственных и других терапевтических препаратов;</w:t>
      </w:r>
    </w:p>
    <w:p w:rsidR="00000000" w:rsidRDefault="00000000"/>
    <w:p w:rsidR="00000000" w:rsidRDefault="00000000">
      <w:r>
        <w:tab/>
        <w:t>-</w:t>
      </w:r>
      <w:r>
        <w:tab/>
        <w:t>на приобретение, ремонт и обновление протезов и ортопедических устройств;</w:t>
      </w:r>
    </w:p>
    <w:p w:rsidR="00000000" w:rsidRDefault="00000000"/>
    <w:p w:rsidR="00000000" w:rsidRDefault="00000000">
      <w:pPr>
        <w:ind w:left="1134" w:hanging="1134"/>
      </w:pPr>
      <w:r>
        <w:tab/>
        <w:t>-</w:t>
      </w:r>
      <w:r>
        <w:tab/>
        <w:t>на необходимое лечение в целях реабилитации и восстановления трудоспособности.</w:t>
      </w:r>
    </w:p>
    <w:p w:rsidR="00000000" w:rsidRDefault="00000000">
      <w:pPr>
        <w:ind w:left="1134" w:hanging="1134"/>
      </w:pPr>
    </w:p>
    <w:p w:rsidR="00000000" w:rsidRDefault="00000000">
      <w:r>
        <w:t>144.</w:t>
      </w:r>
      <w:r>
        <w:tab/>
        <w:t>Профессиональные риски подразделяются на несчастные случаи на производстве и на профессиональные заболевания.  В обоих случаях применяется одинаковая процедура, предусматривающая лечение в течение срока в 26 недель, который может быть продлен еще на 26 недель, по истечении которых, если излечение трудящегося, ставшего жертвой несчастного случая на производстве или профессионального заболевания, является невозможным, лечащий врач признает его полностью или частично нетрудоспособным.</w:t>
      </w:r>
    </w:p>
    <w:p w:rsidR="00000000" w:rsidRDefault="00000000"/>
    <w:p w:rsidR="00000000" w:rsidRDefault="00000000">
      <w:r>
        <w:t>145.</w:t>
      </w:r>
      <w:r>
        <w:tab/>
        <w:t>Единственным условием получения права на оплату профессиональных рисков является заключение компетентной медицинской службы о факте профессионального заболевания или несчастного случая на производстве.</w:t>
      </w:r>
    </w:p>
    <w:p w:rsidR="00000000" w:rsidRDefault="00000000"/>
    <w:p w:rsidR="00000000" w:rsidRDefault="00000000">
      <w:r>
        <w:t>146.</w:t>
      </w:r>
      <w:r>
        <w:tab/>
        <w:t>Размер оплаты профессиональных рисков в зависимости от степени нетрудоспособности подразделяется на:</w:t>
      </w:r>
    </w:p>
    <w:p w:rsidR="00000000" w:rsidRDefault="00000000"/>
    <w:p w:rsidR="00000000" w:rsidRDefault="00000000">
      <w:r>
        <w:tab/>
        <w:t>a)</w:t>
      </w:r>
      <w:r>
        <w:tab/>
      </w:r>
      <w:r>
        <w:rPr>
          <w:b/>
          <w:u w:val="single"/>
        </w:rPr>
        <w:t>полную постоянную нетрудоспособность</w:t>
      </w:r>
      <w:r>
        <w:t xml:space="preserve">:  она соответствует 100% неспособности трудиться и постоянной частичной нетрудоспособности, за которую признается установленная работниками медицинской службы потеря трудоспособности в объеме 25-90%.  В случае признания 60-100% нетрудоспособности обязательным условием для получения соответствующего пособия становится подача работником письменного заявления о выходе на пенсию.  Если окончательная оценка степени потери трудящимся трудоспособности составляет менее 10%, то пособие не выплачивается, если оно составляет от 10% до 25%, то вместо пособия выплачивается единовременная компенсация в размере четырехкратного годового пособия, которое полагалось бы страхователю.  Если застрахованный от профессионального заболевания признается </w:t>
      </w:r>
      <w:r>
        <w:rPr>
          <w:b/>
        </w:rPr>
        <w:t>полностью постоянно нетрудоспособным</w:t>
      </w:r>
      <w:r>
        <w:t xml:space="preserve">, то он получает право на ежемесячное пособие в размере 55% от своей средней заработной платы.  Если нетрудоспособность признается </w:t>
      </w:r>
      <w:r>
        <w:rPr>
          <w:b/>
        </w:rPr>
        <w:t>постоянной частичной</w:t>
      </w:r>
      <w:r>
        <w:t>, то застрахованный получает пособие, размер которого рассчитывается на базе пособия, причитавшегося бы ему в случае возникновения полной постоянной нетрудоспособности;</w:t>
      </w:r>
    </w:p>
    <w:p w:rsidR="00000000" w:rsidRDefault="00000000"/>
    <w:p w:rsidR="00000000" w:rsidRDefault="00000000">
      <w:r>
        <w:tab/>
        <w:t>b)</w:t>
      </w:r>
      <w:r>
        <w:tab/>
      </w:r>
      <w:r>
        <w:rPr>
          <w:b/>
          <w:u w:val="single"/>
        </w:rPr>
        <w:t xml:space="preserve">несчастным случаем на производстве </w:t>
      </w:r>
      <w:r>
        <w:t>считается такое происшествие, которое имеет место при выполнении трудящимся своих повседневных обязанностей или связанных с ними работ и которое приводит к частичной или полной потери трудоспособности;</w:t>
      </w:r>
    </w:p>
    <w:p w:rsidR="00000000" w:rsidRDefault="00000000"/>
    <w:p w:rsidR="00000000" w:rsidRDefault="00000000">
      <w:r>
        <w:tab/>
        <w:t>с)</w:t>
      </w:r>
      <w:r>
        <w:tab/>
      </w:r>
      <w:r>
        <w:rPr>
          <w:b/>
          <w:u w:val="single"/>
        </w:rPr>
        <w:t>профессиональным заболеванием</w:t>
      </w:r>
      <w:r>
        <w:t xml:space="preserve"> является результат медленных и прогрессирующих изменений, вызванных действиями вредных факторов на производстве.</w:t>
      </w:r>
    </w:p>
    <w:p w:rsidR="00000000" w:rsidRDefault="00000000"/>
    <w:p w:rsidR="00000000" w:rsidRDefault="00000000">
      <w:r>
        <w:t>147.</w:t>
      </w:r>
      <w:r>
        <w:tab/>
        <w:t>В настоящее время размер взносов на финансирование системы страхования профессиональных рисков, вносимых исключительно нанимателями, установлен на уровне 1,5% от всех выплат, получаемых трудящимся.</w:t>
      </w:r>
    </w:p>
    <w:p w:rsidR="00000000" w:rsidRDefault="00000000"/>
    <w:p w:rsidR="00000000" w:rsidRDefault="00000000">
      <w:pPr>
        <w:rPr>
          <w:b/>
          <w:u w:val="single"/>
        </w:rPr>
      </w:pPr>
      <w:r>
        <w:tab/>
      </w:r>
      <w:r>
        <w:rPr>
          <w:b/>
          <w:u w:val="single"/>
        </w:rPr>
        <w:t>Пособие по инвалидности</w:t>
      </w:r>
    </w:p>
    <w:p w:rsidR="00000000" w:rsidRDefault="00000000">
      <w:pPr>
        <w:rPr>
          <w:b/>
          <w:u w:val="single"/>
        </w:rPr>
      </w:pPr>
    </w:p>
    <w:p w:rsidR="00000000" w:rsidRDefault="00000000">
      <w:r>
        <w:t>148.</w:t>
      </w:r>
      <w:r>
        <w:tab/>
        <w:t>Обеспечивает защиту лиц, которые в результате заболевания или несчастного случая, не связанных с производством, утрачивают трудоспособность и не могут зарабатывать более 50% от дохода здорового трудящегося в данном географическом регионе.  Таким лицам выплачивается пособие для возмещения этой разницы, определяемой и устанавливаемой врачебной комиссией.</w:t>
      </w:r>
    </w:p>
    <w:p w:rsidR="00000000" w:rsidRDefault="00000000"/>
    <w:p w:rsidR="00000000" w:rsidRDefault="00000000">
      <w:pPr>
        <w:rPr>
          <w:b/>
          <w:u w:val="single"/>
        </w:rPr>
      </w:pPr>
      <w:r>
        <w:tab/>
      </w:r>
      <w:r>
        <w:rPr>
          <w:b/>
          <w:u w:val="single"/>
        </w:rPr>
        <w:t>Пенсия по старости</w:t>
      </w:r>
    </w:p>
    <w:p w:rsidR="00000000" w:rsidRDefault="00000000">
      <w:pPr>
        <w:rPr>
          <w:b/>
          <w:u w:val="single"/>
        </w:rPr>
      </w:pPr>
    </w:p>
    <w:p w:rsidR="00000000" w:rsidRDefault="00000000">
      <w:pPr>
        <w:pStyle w:val="FootnoteText"/>
        <w:spacing w:line="288" w:lineRule="auto"/>
      </w:pPr>
      <w:r>
        <w:t>149.</w:t>
      </w:r>
      <w:r>
        <w:tab/>
        <w:t>Выплачивается лицам по достижении 55 лет для мужчин и 50 лет для женщин, которые вносили соответствующие взносы в течение не менее 15 лет.  Ежемесячный размер такой пожизненной пенсии составляет 30% от средней суммы заработной платы за последние шесть месяцев работы с надбавкой в 2% за каждые 12 месяцев засчитываемого стажа сверх обязательных 180 месяцев выплаты взносов.</w:t>
      </w:r>
    </w:p>
    <w:p w:rsidR="00000000" w:rsidRDefault="00000000">
      <w:pPr>
        <w:pStyle w:val="FootnoteText"/>
        <w:spacing w:line="288" w:lineRule="auto"/>
      </w:pPr>
    </w:p>
    <w:p w:rsidR="00000000" w:rsidRDefault="00000000">
      <w:pPr>
        <w:pStyle w:val="FootnoteText"/>
        <w:spacing w:line="288" w:lineRule="auto"/>
      </w:pPr>
      <w:r>
        <w:tab/>
      </w:r>
      <w:r>
        <w:rPr>
          <w:b/>
          <w:u w:val="single"/>
        </w:rPr>
        <w:t>Страхование жизни</w:t>
      </w:r>
    </w:p>
    <w:p w:rsidR="00000000" w:rsidRDefault="00000000">
      <w:pPr>
        <w:pStyle w:val="FootnoteText"/>
        <w:spacing w:line="288" w:lineRule="auto"/>
      </w:pPr>
    </w:p>
    <w:p w:rsidR="00000000" w:rsidRDefault="00000000">
      <w:pPr>
        <w:pStyle w:val="FootnoteText"/>
        <w:spacing w:line="288" w:lineRule="auto"/>
      </w:pPr>
      <w:r>
        <w:t>150.</w:t>
      </w:r>
      <w:r>
        <w:tab/>
        <w:t>Выплачивается наследникам умершего работника или пенсионера;  жене или сожительнице, несовершеннолетним детям в возрасте до 16 лет, родителям, братьям или сестрам.  Пособие вдове и потерявшим кормильца детям составляет 40%, 20% и 10% от пособия по инвалидности или старости, которое получало застрахованное лицо или которое полагалось бы умершему работающему страхователю по этим выплатам.</w:t>
      </w:r>
    </w:p>
    <w:p w:rsidR="00000000" w:rsidRDefault="00000000">
      <w:pPr>
        <w:pStyle w:val="FootnoteText"/>
        <w:spacing w:line="288" w:lineRule="auto"/>
      </w:pPr>
    </w:p>
    <w:p w:rsidR="00000000" w:rsidRDefault="00000000">
      <w:pPr>
        <w:pStyle w:val="Heading5"/>
      </w:pPr>
      <w:r>
        <w:rPr>
          <w:u w:val="none"/>
        </w:rPr>
        <w:tab/>
      </w:r>
      <w:r>
        <w:t>Новый закон о пенсионном обеспечении</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rPr>
      </w:pPr>
    </w:p>
    <w:p w:rsidR="00000000" w:rsidRDefault="00000000">
      <w:r>
        <w:t>151.</w:t>
      </w:r>
      <w:r>
        <w:tab/>
        <w:t>Личное страхование может быть краткосрочным и долгосрочным, например медицинское страхование, страхование от несчастных случаев и групповое страхование жизни являются краткосрочным личным страхованием, договор о котором обычно заключается сроком на один год.  К видам долгосрочного страхования относятся пожизненное страхование на случай смерти и страхование жизни в пользу пережившего супруга, которое обычно предусматривает выплату пожизненной ренты.</w:t>
      </w:r>
    </w:p>
    <w:p w:rsidR="00000000" w:rsidRDefault="00000000"/>
    <w:p w:rsidR="00000000" w:rsidRDefault="00000000">
      <w:r>
        <w:t>152.</w:t>
      </w:r>
      <w:r>
        <w:tab/>
        <w:t>Согласно закону, к обязательным видам страхования относятся:  обязательное социальное страхование (ОСС), которое включает страхование общих рисков, страхование профессиональных рисков и пенсионное страхование, а также обязательное страхование от несчастных случаев на транспорте (ОСНСТ).</w:t>
      </w:r>
    </w:p>
    <w:p w:rsidR="00000000" w:rsidRDefault="00000000"/>
    <w:p w:rsidR="00000000" w:rsidRDefault="00000000">
      <w:r>
        <w:t>153.</w:t>
      </w:r>
      <w:r>
        <w:tab/>
        <w:t>Обязательному страхованию от несчастных случаев на транспорте (ОСНСТ) подлежат все автотранспортные средства по территории страны, при этом оно одинаково покрывает все виды ущерба, причиненного в результате дорожно-транспортного происшествия пешеходам, пассажирам или водителям.  Право на получение страхового возмещения по линии ОСНСТ неоспоримо, т.е. выплата страховой суммы производится при любых обстоятельствах, если установлено, что причиной смерти или телесных повреждений явилось дорожно-транспортное происшествие;  этот вид страхования покрывает медицинские расходы и расходы, связанные с выплатой компенсации в случае смерти или постоянной утраты трудоспособности.  В соответствии с системой ОСНСТ общая максимальная страховая сумма, подлежащая выплате в случае смерти, полной постоянной потери трудоспособности и для покрытия медицинских расходов, составляет 2 300 специальных прав заимствования (СПЗ) или ее эквивалент в долларах или национальной валюте, который рассчитывается на основе обменного курса на дату платежа.  Эта сумма равняется приблизительно 3 000 долларов.</w:t>
      </w:r>
    </w:p>
    <w:p w:rsidR="00000000" w:rsidRDefault="00000000"/>
    <w:p w:rsidR="00000000" w:rsidRDefault="00000000">
      <w:r>
        <w:t>154.</w:t>
      </w:r>
      <w:r>
        <w:tab/>
        <w:t>Долгосрочное обязательное социальное страхование.  Управление по вопросам пенсионного обеспечения, ценных бумаг и страхования (УПОЦБС) организовало широкомасштабную пропагандистскую кампанию с целью ознакомления населения с его правами, обязанностями и привилегиями по линии системы пенсионного обеспечения, созданной на основе Закона № 1732 от 29 ноября 1996 года.  Лица, охваченные этой системой, должны быть уверены, что УПОЦБС будет на постоянной основе следить на соблюдением и правильным применением этого Закона с целью обеспечения транспарентности в этой области.  В соответствии с этим Законом система долгосрочного ОСС предусматривает выплату пенсии по старости, пенсии по инвалидности и пенсии в случае смерти страхователя.</w:t>
      </w:r>
    </w:p>
    <w:p w:rsidR="00000000" w:rsidRDefault="00000000"/>
    <w:p w:rsidR="00000000" w:rsidRDefault="00000000">
      <w:r>
        <w:t>155.</w:t>
      </w:r>
      <w:r>
        <w:tab/>
        <w:t>Правления пенсионных фондов (ППФ) занимаются вопросами сбора и использования страховых взносов страхователей, а также их инвестированием с целью получения процентов.  За счет страховых взносов и процентов формируется аккумулированный капитал страхователя, который и используется для выплаты пенсий. Ежемесячный страховой взнос по линии страхования пенсий по старости составляет 10% заработной платы;  с целью покрытия расходов на выплату пенсий по инвалидности или в случае смерти застрахованного лица по причине несчастного случая или обычного заболевания взимается страховая премия в размере 2% заработной платы.  Все эти средства поступают в фонд возмещения ущерба, который является собственностью всех страхователей, а не ППФ.  Для оплаты услуг ППФ, связанных с регистрацией, сбором взносов и выплатой пособий (пенсий), ежемесячно взимается комиссия в размере 0,5% заработной платы.</w:t>
      </w:r>
    </w:p>
    <w:p w:rsidR="00000000" w:rsidRDefault="00000000"/>
    <w:p w:rsidR="00000000" w:rsidRDefault="00000000">
      <w:r>
        <w:t>156.</w:t>
      </w:r>
      <w:r>
        <w:tab/>
        <w:t>Лица наемного труда вносят взносы и получают пособия в объеме до 60 минимальных заработных плат (приблизительно 18 000 боливиано по состоянию на 31 декабря 1998 года).  С самостоятельно занятых страховые взносы взимаются с сумм от одной национальной минимальной платы (300 боливиано по состоянию на дату публикации) до 60 минимальных заработных плат.</w:t>
      </w:r>
    </w:p>
    <w:p w:rsidR="00000000" w:rsidRDefault="00000000"/>
    <w:p w:rsidR="00000000" w:rsidRDefault="00000000">
      <w:r>
        <w:t>157.</w:t>
      </w:r>
      <w:r>
        <w:tab/>
        <w:t>Взносы трудящихся и страховые премии принадлежат исключительно трудящимся и отделены от капитала ППФ.  По закону эти средства не облагаются налогами.</w:t>
      </w:r>
    </w:p>
    <w:p w:rsidR="00000000" w:rsidRDefault="00000000"/>
    <w:p w:rsidR="00000000" w:rsidRDefault="00000000">
      <w:r>
        <w:t>158.</w:t>
      </w:r>
      <w:r>
        <w:tab/>
        <w:t>Когда на индивидуальном счету какого-либо лица накапливается капитал, позволяющий выплачивать пенсию в размере по меньшей мере 70% его последних 60 заработных плат, то вне зависимости от возраста, - либо по достижении 65-летнего возраста и независимо от размера индивидуальных пенсионных накоплений на счету такого лица, - трудящийся приобретает право на пенсию.</w:t>
      </w:r>
    </w:p>
    <w:p w:rsidR="00000000" w:rsidRDefault="00000000"/>
    <w:p w:rsidR="00000000" w:rsidRDefault="00000000">
      <w:r>
        <w:t>159.</w:t>
      </w:r>
      <w:r>
        <w:tab/>
        <w:t>ППФ не могут производить из этого капитала никаких удержаний.  Компенсация предоставляется государством через Государственное казначейство и выплачивается по линии ППФ.</w:t>
      </w:r>
    </w:p>
    <w:p w:rsidR="00000000" w:rsidRDefault="00000000"/>
    <w:p w:rsidR="00000000" w:rsidRDefault="00000000">
      <w:r>
        <w:t>160.</w:t>
      </w:r>
      <w:r>
        <w:tab/>
        <w:t>Пенсия по инвалидности в результате общих рисков, т.е. в случае наступления инвалидности, повлекшей полную постоянную потерю трудоспособности, вследствие несчастного случая или заболевания, не связанного с работой, предоставляется застрахованному до достижения 65 лет.  По достижении этого возраста застрахованный имеет право на получение пенсии по старости, которая выплачивается из средств, накопленных на его личном счету за счет взносов, внесенных до наступления инвалидности, и взносов, перечисленных по линии фонда возмещения ущерба до достижения им 65 лет.</w:t>
      </w:r>
    </w:p>
    <w:p w:rsidR="00000000" w:rsidRDefault="00000000"/>
    <w:p w:rsidR="00000000" w:rsidRDefault="00000000">
      <w:r>
        <w:t>161.</w:t>
      </w:r>
      <w:r>
        <w:tab/>
        <w:t>Пенсия в случае смерти выплачивается, если смерть застрахованного наступила вследствие несчастного случая или заболевания, не связанного с работой.  Вдова или вдовец получает пожизненную пенсию, а дети – временную пенсию до достижения ими совершеннолетия.  Если застрахованный не состоял в браке и у него не было детей, соответствующая пенсия предоставляется его родителям (отцу и матери), а временные пенсии – братьям или сестрам, назначенным в качестве правопреемников.  Кроме того, по линии фонда возмещения ущерба производится единовременная выплата для покрытия расходов на погребение застрахованного, равняющаяся 1 100 боливиано.</w:t>
      </w:r>
    </w:p>
    <w:p w:rsidR="00000000" w:rsidRDefault="00000000"/>
    <w:p w:rsidR="00000000" w:rsidRDefault="00000000">
      <w:r>
        <w:t>162.</w:t>
      </w:r>
      <w:r>
        <w:tab/>
        <w:t>Пенсия по инвалидности в результате профессиональных рисков, т.е. в случае наступления инвалидности, повлекшей полную или частичную утрату трудоспособности, вследствие несчастного случая или профессионального заболевания, предоставляется застрахованному до достижения 65 лет.  По достижении этого возраста застрахованный получает пенсию по старости, которая начисляется с учетом всех средств, накопленных на его личном счету.  Средства на его личном счету формируются за счет взносов, внесенных до наступления инвалидности, и взносов, перечисленных по линии фонда страхования профессиональных рисков в период получения застрахованным пенсии по инвалидности.  Пенсия по инвалидности вследствие профессиональных рисков не предоставляется страхователям из числа самостоятельно занятых, поскольку они не выплачивают этой страховой премии.</w:t>
      </w:r>
    </w:p>
    <w:p w:rsidR="00000000" w:rsidRDefault="00000000"/>
    <w:p w:rsidR="00000000" w:rsidRDefault="00000000">
      <w:r>
        <w:t>163.</w:t>
      </w:r>
      <w:r>
        <w:tab/>
        <w:t>Пенсия в связи со смертью, обусловленной профессиональными рисками, выплачивается, если смерть застрахованного наступила вследствие несчастного случая или заболевания, связанного с работой;  при этом вдове или вдовцу назначается пожизненная пенсия, а детям – временная пенсия.  Если застрахованный не состоял в браке и у него не было детей, то пожизненная пенсия предоставляется его родителям (отцу и матери), а временная пенсия – братьям или сестрам, назначенным в качестве правопреемников.  Кроме того, по линии фонда страхования - профессиональных рисков производится единовременная выплата для покрытия расходов на погребение застрахованного, равняющаяся 1 100 боливиано.</w:t>
      </w:r>
    </w:p>
    <w:p w:rsidR="00000000" w:rsidRDefault="00000000">
      <w:pPr>
        <w:rPr>
          <w:lang w:val="en-US"/>
        </w:rPr>
      </w:pPr>
    </w:p>
    <w:p w:rsidR="00000000" w:rsidRDefault="00000000">
      <w:r>
        <w:t>164.</w:t>
      </w:r>
      <w:r>
        <w:tab/>
        <w:t>В случае смерти застрахованного, у которого нет наследников, капитал, накопленный на его личном счету, становится частью его наследственной массы, которая распределяется в порядке, установленном в Гражданском кодексе.</w:t>
      </w:r>
    </w:p>
    <w:p w:rsidR="00000000" w:rsidRDefault="00000000"/>
    <w:p w:rsidR="00000000" w:rsidRDefault="00000000">
      <w:r>
        <w:t>165.</w:t>
      </w:r>
      <w:r>
        <w:tab/>
        <w:t>Ни капитал, накопленный на индивидуальном счету застрахованного, ни взносы, перечисленные в коллективные фонды для возмещения ущерба и страхования профессиональных рисков, ни при каких обстоятельствах не переходят в собственность ППФ.</w:t>
      </w:r>
    </w:p>
    <w:p w:rsidR="00000000" w:rsidRDefault="00000000"/>
    <w:p w:rsidR="00000000" w:rsidRDefault="00000000">
      <w:pPr>
        <w:pStyle w:val="Heading2"/>
      </w:pPr>
      <w:r>
        <w:t>Пункт 4</w:t>
      </w:r>
    </w:p>
    <w:p w:rsidR="00000000" w:rsidRDefault="00000000">
      <w:pPr>
        <w:pStyle w:val="Heading2"/>
      </w:pPr>
    </w:p>
    <w:p w:rsidR="00000000" w:rsidRDefault="00000000">
      <w:r>
        <w:t>166.</w:t>
      </w:r>
      <w:r>
        <w:tab/>
        <w:t>В конце 1979 года и начале 1980 года в стране начали появляться первые признаки экономического кризиса, который в последующие годы охватил страну.  В частности, речь идет о резкой девальвации национальной валюты, повышении цен и других проблемах, которые впоследствии потребовали принятия экономических корректировочных мер.</w:t>
      </w:r>
    </w:p>
    <w:p w:rsidR="00000000" w:rsidRDefault="00000000"/>
    <w:p w:rsidR="00000000" w:rsidRDefault="00000000">
      <w:r>
        <w:t>167.</w:t>
      </w:r>
      <w:r>
        <w:tab/>
        <w:t>В 1982 году был принят указ о девальвации, который усугубил экономический кризис в стране и который имел чрезвычайно негативные последствия для системы социального обеспечения Боливии, поскольку гиперинфляция привела к резкому увеличению бремени официальных выплат без соответствующего увеличения реальной стоимости взносов, ежедневно теряющих свою покупательную силу ввиду существенной девальвации.</w:t>
      </w:r>
    </w:p>
    <w:p w:rsidR="00000000" w:rsidRDefault="00000000"/>
    <w:p w:rsidR="00000000" w:rsidRDefault="00000000">
      <w:r>
        <w:t>168.</w:t>
      </w:r>
      <w:r>
        <w:tab/>
        <w:t>В августе 1985 года были приняты Указ № 121060 и другие директивные документы в дополнение к этому Указу, которые привели к двум изменениям, повлиявшим и продолжающим влиять на систему социального обеспечения.  В частности, речь идет о перераспределении фондов замороженной заработной платы и начислении с них взносов, в результате чего была прекращена выплата пенсий и других пособий (за исключением пенсии по старости), а система социального обеспечения лишилась одного из источников доходов.</w:t>
      </w:r>
    </w:p>
    <w:p w:rsidR="00000000" w:rsidRDefault="00000000"/>
    <w:p w:rsidR="00000000" w:rsidRDefault="00000000">
      <w:r>
        <w:t>169.</w:t>
      </w:r>
      <w:r>
        <w:tab/>
        <w:t>Такое положение сохранялось до 1987 года, когда были осуществлены крупные преобразования.</w:t>
      </w:r>
    </w:p>
    <w:p w:rsidR="00000000" w:rsidRDefault="00000000"/>
    <w:p w:rsidR="00000000" w:rsidRDefault="00000000">
      <w:r>
        <w:t>170.</w:t>
      </w:r>
      <w:r>
        <w:tab/>
        <w:t>Глубокий кризис 80</w:t>
      </w:r>
      <w:r>
        <w:noBreakHyphen/>
        <w:t>х годов доказал необходимость осуществления в экономической и социальной сферах политики стабилизации, вследствие чего с 1985 года был взят курс на развитие в стране рыночной экономики.  Новые меры по стабилизации отразились и на системе социального обеспечения.  Они были определены в Законе № 10924 от 14 апреля 1987 года, установившем порядок финансирования систем краткосрочного и долгосрочного страхования.</w:t>
      </w:r>
    </w:p>
    <w:p w:rsidR="00000000" w:rsidRDefault="00000000"/>
    <w:p w:rsidR="00000000" w:rsidRDefault="00000000">
      <w:r>
        <w:t>171.</w:t>
      </w:r>
      <w:r>
        <w:tab/>
        <w:t>Изменения, внесенные в Кодекс законов о социальном обеспечении, предусматривали увеличение базовой дневной и ежемесячной заработной платы для исчисления размеров пособий в связи с временной утратой трудоспособности, а также базовой дневной и ежемесячной заработной платы для исчисления размеров выплат по линии долгосрочного страхования;  установление размеров минимальной пожизненной пенсии на уровне не ниже национальной минимальной заработной платы и ежегодную автоматическую корректировку выплачиваемых пенсий на основе баланса доходов и расходов за соответствующий финансовый год.</w:t>
      </w:r>
    </w:p>
    <w:p w:rsidR="00000000" w:rsidRDefault="00000000"/>
    <w:p w:rsidR="00000000" w:rsidRDefault="00000000">
      <w:r>
        <w:t>172.</w:t>
      </w:r>
      <w:r>
        <w:tab/>
        <w:t>В 1995 году Национальное управление здравоохранения, находящееся в ведении Министерства развития людских ресурсов, выделило ассигнования в размере 99 млн. долл. США, при этом 97 млн. долл. США было взято непосредственно из государственного бюджета, в котором доля соответствующих ассигнований составила 4,1%, а остаток (2 млн. долл. США) приходился на взносы, полученные по линии пенсионного обеспечения.  Государственное казначейство также выделило 83 000 долл. США для покрытия расходов Министерства обороны на приобретение медикаментов по линии военно-санитарной службы.  Средства, предназначенные для оплаты труда персонала, были переведены в июне 1995 года в префектуры департаментов с целью их децентрализованной выплаты.  Несмотря на некоторые бюджетные трудности, обусловленные процессом структурной перестройки (участие в проектах совместного финансирования, погашение внешней задолженности, финансирование проектов), ассигнования на оплату труда персонала были увеличены (в период 1993</w:t>
      </w:r>
      <w:r>
        <w:noBreakHyphen/>
        <w:t>1996 годов они возросли на 18%).</w:t>
      </w:r>
    </w:p>
    <w:p w:rsidR="00000000" w:rsidRDefault="00000000"/>
    <w:p w:rsidR="00000000" w:rsidRDefault="00000000">
      <w:r>
        <w:t>173.</w:t>
      </w:r>
      <w:r>
        <w:tab/>
        <w:t>В приложении 1 содержатся таблицы, в которых приводятся утвержденные бюджеты различных ведомств, расходы на здравоохранение и данные об исполнении бюджета в 1995</w:t>
      </w:r>
      <w:r>
        <w:noBreakHyphen/>
        <w:t>1999 годах.</w:t>
      </w:r>
    </w:p>
    <w:p w:rsidR="00000000" w:rsidRDefault="00000000"/>
    <w:p w:rsidR="00000000" w:rsidRDefault="00000000">
      <w:pPr>
        <w:pStyle w:val="Heading2"/>
      </w:pPr>
      <w:r>
        <w:t>Пункт 5</w:t>
      </w:r>
    </w:p>
    <w:p w:rsidR="00000000" w:rsidRDefault="00000000">
      <w:pPr>
        <w:pStyle w:val="Heading2"/>
      </w:pPr>
    </w:p>
    <w:p w:rsidR="00000000" w:rsidRDefault="00000000">
      <w:r>
        <w:t>174.</w:t>
      </w:r>
      <w:r>
        <w:tab/>
        <w:t>Все государственные и частные планы социального обслуживания, созданные предприятиями и отдельными лицами как в коммерческих, так и в некоммерческих целях, находятся в ведении Министерства здравоохранения и социального обеспечения, других государственных ведомств и служб, следящих за тем, чтобы они оказывали качественные услуги и располагали квалифицированным персоналом.  К организациям частного сектора относятся:</w:t>
      </w:r>
    </w:p>
    <w:p w:rsidR="00000000" w:rsidRDefault="00000000"/>
    <w:p w:rsidR="00000000" w:rsidRDefault="00000000">
      <w:r>
        <w:tab/>
        <w:t>а)</w:t>
      </w:r>
      <w:r>
        <w:tab/>
        <w:t>Частные коммерческие организации, предоставляющие платные медицинские услуги.  Хотя считается, что частный сектор обеспечивает высокое качество обслуживания, его услугами на регулярной основе пользуется, согласно оценкам, всего 10% населения.  Этот сектор особенно быстро развивается в городах и хорошо приспосабливается к социально-экономическим условиям различных районов.  Однако частные медицинские учреждения недостаточно интегрированы в процесс планирования и организационную структуру системы здравоохранения и не контролируются надлежащим образом:  часть их услуг финансируется по линии медицинского страхования, а другая более значительная, часть – государственным сектором, тем более что они используют государственную инфраструктуру.</w:t>
      </w:r>
    </w:p>
    <w:p w:rsidR="00000000" w:rsidRDefault="00000000"/>
    <w:p w:rsidR="00000000" w:rsidRDefault="00000000">
      <w:r>
        <w:tab/>
        <w:t>b)</w:t>
      </w:r>
      <w:r>
        <w:tab/>
        <w:t>Частные некоммерческие организации.  В этом секторе наиболее важную роль играют НПО.  Они весьма многочисленны, а масштабы их присутствия зависят от соответствующего района и уровня средств, имеющихся у муниципалитета или прихода.  Многие из них проводят просветительскую деятельность в сфере здравоохранения, другие на основе соглашений с муниципалитетами непосредственно занимаются медицинским обслуживанием населения, а третьи сосредоточивают свои усилия на оказании помощи различным службам и муниципалитетам в деле развития их управленческого и организационного потенциала (организации "Врачи мира", "Врачи без границ", "Международный план" и другие).  Федерация национальных и международных НПО, занимающихся вопросами здравоохранения, координирует их деятельность.</w:t>
      </w:r>
    </w:p>
    <w:p w:rsidR="00000000" w:rsidRDefault="00000000"/>
    <w:p w:rsidR="00000000" w:rsidRDefault="00000000">
      <w:r>
        <w:tab/>
        <w:t>с)</w:t>
      </w:r>
      <w:r>
        <w:tab/>
        <w:t>Национальный институт медицинского страхования (НИМС) – децентрализованный государственный орган, который имеет статус юридического лица, обладает административной автономией и правом самостоятельно распоряжаться своими ресурсами и функционирует под эгидой министерства здравоохранения и социального обеспечения.  Цель Национального института медицинского страхования состоит в обеспечении того, чтобы системы краткосрочного страхования функционировали на основе принципов эффективности, экономии, достаточности и своевременности.  В этой связи он наделен полномочиями контроля и надзора за осуществлением политики и норм, установленных Министерством здравоохранения и социального обеспечения.</w:t>
      </w:r>
    </w:p>
    <w:p w:rsidR="00000000" w:rsidRDefault="00000000"/>
    <w:p w:rsidR="00000000" w:rsidRDefault="00000000">
      <w:pPr>
        <w:pStyle w:val="Heading2"/>
      </w:pPr>
      <w:r>
        <w:t>Пункт 6</w:t>
      </w:r>
    </w:p>
    <w:p w:rsidR="00000000" w:rsidRDefault="00000000">
      <w:pPr>
        <w:pStyle w:val="Heading2"/>
      </w:pPr>
    </w:p>
    <w:p w:rsidR="00000000" w:rsidRDefault="00000000">
      <w:r>
        <w:t>175.</w:t>
      </w:r>
      <w:r>
        <w:tab/>
        <w:t>Статьи 10, 13 и 15 Указа № 25265 от 31 декабря 1998 года о создании системы базового медицинского страхования (БМС), гарантирующей населению страны получение первичной медико-санитарной помощи, предусматривает, что для обеспечения эффективного осуществления этого Указа необходимо создать механизм, который регулировал бы такие вопросы, как членство, круг страхователей, финансирование, управление, услуги, расходы и другие аспекты.  В главе 1 установлен порядок членства в БМС, страхования населения, регистрации и предоставления доступа.  В главе 2 указываются действующие тарифы и оплачиваемые услуги, при этом пункт 4 статьи 6 (Услуги) конкретно посвящен медицинскому обслуживанию женщин, которое предусматривает оказание услуг в целях укрепления здоровья, профилактики и лечения заболеваний для обеспечения безопасной беременности, рождения здорового ребенка, предупреждения и лечения осложнений, связанных с родами, а также предоставление помощи в следующих областях:</w:t>
      </w:r>
    </w:p>
    <w:p w:rsidR="00000000" w:rsidRDefault="00000000"/>
    <w:p w:rsidR="00000000" w:rsidRDefault="00000000">
      <w:r>
        <w:tab/>
        <w:t>а)</w:t>
      </w:r>
      <w:r>
        <w:tab/>
        <w:t>уход за новорожденными;</w:t>
      </w:r>
    </w:p>
    <w:p w:rsidR="00000000" w:rsidRDefault="00000000"/>
    <w:p w:rsidR="00000000" w:rsidRDefault="00000000">
      <w:r>
        <w:tab/>
        <w:t>b)</w:t>
      </w:r>
      <w:r>
        <w:tab/>
        <w:t>обеспечение надлежащего питания и развития детей;</w:t>
      </w:r>
    </w:p>
    <w:p w:rsidR="00000000" w:rsidRDefault="00000000"/>
    <w:p w:rsidR="00000000" w:rsidRDefault="00000000">
      <w:r>
        <w:tab/>
        <w:t>с)</w:t>
      </w:r>
      <w:r>
        <w:tab/>
        <w:t>лечение инфекционных заболеваний, в том числе острых желудочно-кишечных инфекций, острых респираторных заболеваний, сепсиса и менингита;</w:t>
      </w:r>
    </w:p>
    <w:p w:rsidR="00000000" w:rsidRDefault="00000000"/>
    <w:p w:rsidR="00000000" w:rsidRDefault="00000000">
      <w:r>
        <w:tab/>
        <w:t>d)</w:t>
      </w:r>
      <w:r>
        <w:tab/>
        <w:t>профилактика заболеваний путем вакцинации.</w:t>
      </w:r>
    </w:p>
    <w:p w:rsidR="00000000" w:rsidRDefault="00000000"/>
    <w:p w:rsidR="00000000" w:rsidRDefault="00000000">
      <w:pPr>
        <w:rPr>
          <w:u w:val="single"/>
        </w:rPr>
      </w:pPr>
      <w:r>
        <w:rPr>
          <w:u w:val="single"/>
        </w:rPr>
        <w:t>Пункт 6 а)</w:t>
      </w:r>
    </w:p>
    <w:p w:rsidR="00000000" w:rsidRDefault="00000000">
      <w:pPr>
        <w:rPr>
          <w:u w:val="single"/>
        </w:rPr>
      </w:pPr>
    </w:p>
    <w:p w:rsidR="00000000" w:rsidRDefault="00000000">
      <w:r>
        <w:t>176.</w:t>
      </w:r>
      <w:r>
        <w:tab/>
        <w:t>Вопросы, касающиеся членства, застрахованного населения, регистрации и представления доступа, регулируются в главе 1 Указа 25265:</w:t>
      </w:r>
    </w:p>
    <w:p w:rsidR="00000000" w:rsidRDefault="00000000"/>
    <w:p w:rsidR="00000000" w:rsidRDefault="00000000">
      <w:r>
        <w:tab/>
        <w:t>а)</w:t>
      </w:r>
      <w:r>
        <w:tab/>
        <w:t>Статья 1 (Членство в системе БМС):</w:t>
      </w:r>
    </w:p>
    <w:p w:rsidR="00000000" w:rsidRDefault="00000000"/>
    <w:p w:rsidR="00000000" w:rsidRDefault="00000000">
      <w:pPr>
        <w:pStyle w:val="BodyTextIndent"/>
        <w:spacing w:line="288" w:lineRule="auto"/>
      </w:pPr>
      <w:r>
        <w:tab/>
      </w:r>
      <w:r>
        <w:tab/>
        <w:t>"Муниципальные власти осуществляют страхование находящегося в их юрисдикции населения по линии БМС путем подписания соглашения о членстве в БМС с министерством здравоохранения и социального обеспечения, в котором они уполномочивают последнее производить через министерство финансов автоматический вычет 6,4% из 85% совместных инвестиционных фондов, образующихся за счет налогов муниципалитетов, в качестве взноса в местный компенсационный фонд здравоохранения для финансирования БМС".</w:t>
      </w:r>
    </w:p>
    <w:p w:rsidR="00000000" w:rsidRDefault="00000000">
      <w:pPr>
        <w:pStyle w:val="BodyTextIndent"/>
        <w:spacing w:line="288" w:lineRule="auto"/>
      </w:pPr>
    </w:p>
    <w:p w:rsidR="00000000" w:rsidRDefault="00000000">
      <w:r>
        <w:tab/>
      </w:r>
      <w:r>
        <w:rPr>
          <w:lang w:val="en-US"/>
        </w:rPr>
        <w:t>b</w:t>
      </w:r>
      <w:r>
        <w:t>)</w:t>
      </w:r>
      <w:r>
        <w:tab/>
        <w:t>Статья 2 (Население, застрахованное по линии БМС):</w:t>
      </w:r>
    </w:p>
    <w:p w:rsidR="00000000" w:rsidRDefault="00000000"/>
    <w:p w:rsidR="00000000" w:rsidRDefault="00000000">
      <w:pPr>
        <w:pStyle w:val="BodyTextIndent"/>
        <w:spacing w:line="288" w:lineRule="auto"/>
      </w:pPr>
      <w:r>
        <w:tab/>
      </w:r>
      <w:r>
        <w:tab/>
        <w:t>"БМС обеспечивает страхование и медицинское обслуживание всех жителей страны в пределах, установленных в настоящем постановлении правительства".</w:t>
      </w:r>
    </w:p>
    <w:p w:rsidR="00000000" w:rsidRDefault="00000000">
      <w:pPr>
        <w:pStyle w:val="BodyTextIndent"/>
        <w:spacing w:line="288" w:lineRule="auto"/>
      </w:pPr>
    </w:p>
    <w:p w:rsidR="00000000" w:rsidRDefault="00000000">
      <w:pPr>
        <w:ind w:left="567"/>
      </w:pPr>
      <w:r>
        <w:t>с)</w:t>
      </w:r>
      <w:r>
        <w:tab/>
        <w:t>Статья 3 (Регистрация по линии БМС):</w:t>
      </w:r>
    </w:p>
    <w:p w:rsidR="00000000" w:rsidRDefault="00000000">
      <w:pPr>
        <w:ind w:left="567"/>
      </w:pPr>
    </w:p>
    <w:p w:rsidR="00000000" w:rsidRDefault="00000000">
      <w:pPr>
        <w:tabs>
          <w:tab w:val="decimal" w:pos="1134"/>
        </w:tabs>
        <w:ind w:left="1701" w:hanging="1134"/>
      </w:pPr>
      <w:r>
        <w:tab/>
        <w:t>"</w:t>
      </w:r>
      <w:r>
        <w:rPr>
          <w:b/>
          <w:lang w:val="en-US"/>
        </w:rPr>
        <w:t>I.</w:t>
      </w:r>
      <w:r>
        <w:rPr>
          <w:b/>
          <w:lang w:val="en-US"/>
        </w:rPr>
        <w:tab/>
      </w:r>
      <w:r>
        <w:t>Для целей удовлетворения личности пользователей услуг по линии БМС и предоставления им доступа выдается страховой сертификат БМС и ведется список страхователей.</w:t>
      </w:r>
    </w:p>
    <w:p w:rsidR="00000000" w:rsidRDefault="00000000">
      <w:pPr>
        <w:tabs>
          <w:tab w:val="decimal" w:pos="1134"/>
        </w:tabs>
        <w:ind w:left="1701" w:hanging="1134"/>
      </w:pPr>
    </w:p>
    <w:p w:rsidR="00000000" w:rsidRDefault="00000000">
      <w:pPr>
        <w:tabs>
          <w:tab w:val="decimal" w:pos="1134"/>
        </w:tabs>
        <w:ind w:left="1701" w:hanging="1134"/>
      </w:pPr>
      <w:r>
        <w:rPr>
          <w:b/>
          <w:lang w:val="en-US"/>
        </w:rPr>
        <w:tab/>
        <w:t>II.</w:t>
      </w:r>
      <w:r>
        <w:rPr>
          <w:lang w:val="en-US"/>
        </w:rPr>
        <w:tab/>
      </w:r>
      <w:r>
        <w:t>Муниципальные власти, подписавшие с МЗСО соглашение о членстве в БМС, отвечают за страхование находящегося в их юрисдикции населения с момента опубликования настоящего постановления.</w:t>
      </w:r>
    </w:p>
    <w:p w:rsidR="00000000" w:rsidRDefault="00000000">
      <w:pPr>
        <w:tabs>
          <w:tab w:val="decimal" w:pos="1134"/>
        </w:tabs>
        <w:ind w:left="1701" w:hanging="1134"/>
      </w:pPr>
    </w:p>
    <w:p w:rsidR="00000000" w:rsidRDefault="00000000">
      <w:pPr>
        <w:tabs>
          <w:tab w:val="decimal" w:pos="1134"/>
        </w:tabs>
        <w:ind w:left="1701" w:hanging="1134"/>
      </w:pPr>
      <w:r>
        <w:rPr>
          <w:b/>
          <w:lang w:val="en-US"/>
        </w:rPr>
        <w:tab/>
        <w:t>III.</w:t>
      </w:r>
      <w:r>
        <w:rPr>
          <w:b/>
        </w:rPr>
        <w:tab/>
      </w:r>
      <w:r>
        <w:t>МЗСО через Национальную группу управления системой базового страхования и службы здравоохранения департаментов (СЗД) на постоянной основе отвечает за передачу списков страхователей и страховых свидетельств муниципальным властям.</w:t>
      </w:r>
    </w:p>
    <w:p w:rsidR="00000000" w:rsidRDefault="00000000">
      <w:pPr>
        <w:tabs>
          <w:tab w:val="decimal" w:pos="1134"/>
        </w:tabs>
        <w:ind w:left="1701" w:hanging="1134"/>
      </w:pPr>
    </w:p>
    <w:p w:rsidR="00000000" w:rsidRDefault="00000000">
      <w:pPr>
        <w:tabs>
          <w:tab w:val="decimal" w:pos="1134"/>
        </w:tabs>
        <w:ind w:left="1701" w:hanging="1134"/>
      </w:pPr>
      <w:r>
        <w:rPr>
          <w:b/>
          <w:lang w:val="en-US"/>
        </w:rPr>
        <w:tab/>
        <w:t>IV.</w:t>
      </w:r>
      <w:r>
        <w:rPr>
          <w:b/>
          <w:lang w:val="en-US"/>
        </w:rPr>
        <w:tab/>
      </w:r>
      <w:r>
        <w:t>Муниципальные власти могут делегировать полномочия в области регистрации путем передачи списков страхователей и страховых свидетельств учреждениям системы здравоохранения и социального обеспечения окружным администрациям, занимающимся вопросами здравоохранения, а также, при условии получения предварительного разрешения, - организациям гражданского общества, входящим в сеть учреждений, которые оказывают услуги по линии БМС".</w:t>
      </w:r>
    </w:p>
    <w:p w:rsidR="00000000" w:rsidRDefault="00000000">
      <w:pPr>
        <w:tabs>
          <w:tab w:val="decimal" w:pos="1134"/>
        </w:tabs>
        <w:ind w:left="1701" w:hanging="1134"/>
      </w:pPr>
    </w:p>
    <w:p w:rsidR="00000000" w:rsidRDefault="00000000">
      <w:pPr>
        <w:ind w:left="567"/>
      </w:pPr>
      <w:r>
        <w:rPr>
          <w:lang w:val="en-US"/>
        </w:rPr>
        <w:t>d)</w:t>
      </w:r>
      <w:r>
        <w:tab/>
        <w:t>Статья 4 (Доступ к услугам по линии БМС):</w:t>
      </w:r>
    </w:p>
    <w:p w:rsidR="00000000" w:rsidRDefault="00000000">
      <w:pPr>
        <w:ind w:left="567"/>
      </w:pPr>
    </w:p>
    <w:p w:rsidR="00000000" w:rsidRDefault="00000000">
      <w:pPr>
        <w:tabs>
          <w:tab w:val="clear" w:pos="567"/>
          <w:tab w:val="clear" w:pos="1701"/>
          <w:tab w:val="clear" w:pos="2268"/>
          <w:tab w:val="decimal" w:pos="1134"/>
        </w:tabs>
        <w:ind w:left="1701" w:hanging="1134"/>
      </w:pPr>
      <w:r>
        <w:tab/>
        <w:t>"</w:t>
      </w:r>
      <w:r>
        <w:rPr>
          <w:b/>
          <w:lang w:val="en-US"/>
        </w:rPr>
        <w:t>I.</w:t>
      </w:r>
      <w:r>
        <w:rPr>
          <w:b/>
          <w:lang w:val="en-US"/>
        </w:rPr>
        <w:tab/>
      </w:r>
      <w:r>
        <w:t>Доступ к услугам по линии БМС осуществляется через учреждения первичной медико-санитарной помощи.  В районах, где учреждения первичной медико-санитарной помощи отсутствуют, медицинское обслуживание может производиться любым учреждением, признанным БМС.</w:t>
      </w:r>
    </w:p>
    <w:p w:rsidR="00000000" w:rsidRDefault="00000000">
      <w:pPr>
        <w:tabs>
          <w:tab w:val="clear" w:pos="567"/>
          <w:tab w:val="clear" w:pos="1701"/>
          <w:tab w:val="clear" w:pos="2268"/>
          <w:tab w:val="decimal" w:pos="1134"/>
        </w:tabs>
        <w:ind w:left="1701" w:hanging="1134"/>
      </w:pPr>
    </w:p>
    <w:p w:rsidR="00000000" w:rsidRDefault="00000000">
      <w:pPr>
        <w:tabs>
          <w:tab w:val="clear" w:pos="567"/>
          <w:tab w:val="clear" w:pos="1701"/>
          <w:tab w:val="clear" w:pos="2268"/>
          <w:tab w:val="decimal" w:pos="1134"/>
        </w:tabs>
        <w:ind w:left="1701" w:hanging="1134"/>
      </w:pPr>
      <w:r>
        <w:rPr>
          <w:b/>
          <w:lang w:val="en-US"/>
        </w:rPr>
        <w:tab/>
        <w:t>II.</w:t>
      </w:r>
      <w:r>
        <w:rPr>
          <w:lang w:val="en-US"/>
        </w:rPr>
        <w:tab/>
      </w:r>
      <w:r>
        <w:t>Доступ к вторичной и третичной медицинской помощи осуществляется по направлению учреждений первичной медико-санитарной помощи.</w:t>
      </w:r>
    </w:p>
    <w:p w:rsidR="00000000" w:rsidRDefault="00000000">
      <w:pPr>
        <w:tabs>
          <w:tab w:val="clear" w:pos="567"/>
          <w:tab w:val="clear" w:pos="1701"/>
          <w:tab w:val="clear" w:pos="2268"/>
          <w:tab w:val="decimal" w:pos="1134"/>
        </w:tabs>
        <w:ind w:left="1701" w:hanging="1134"/>
      </w:pPr>
    </w:p>
    <w:p w:rsidR="00000000" w:rsidRDefault="00000000">
      <w:pPr>
        <w:tabs>
          <w:tab w:val="clear" w:pos="567"/>
          <w:tab w:val="clear" w:pos="1701"/>
          <w:tab w:val="clear" w:pos="2268"/>
          <w:tab w:val="decimal" w:pos="1134"/>
        </w:tabs>
        <w:ind w:left="1701" w:hanging="1134"/>
      </w:pPr>
      <w:r>
        <w:rPr>
          <w:b/>
          <w:lang w:val="en-US"/>
        </w:rPr>
        <w:tab/>
        <w:t>III.</w:t>
      </w:r>
      <w:r>
        <w:rPr>
          <w:b/>
        </w:rPr>
        <w:tab/>
      </w:r>
      <w:r>
        <w:t>В чрезвычайных ситуациях услуги по линии БМС оказываются медицинскими учреждениями любого уровня в срочном и безотказном порядке".</w:t>
      </w:r>
    </w:p>
    <w:p w:rsidR="00000000" w:rsidRDefault="00000000">
      <w:pPr>
        <w:tabs>
          <w:tab w:val="clear" w:pos="567"/>
          <w:tab w:val="clear" w:pos="1701"/>
          <w:tab w:val="clear" w:pos="2268"/>
          <w:tab w:val="decimal" w:pos="1134"/>
        </w:tabs>
        <w:ind w:left="1701" w:hanging="1134"/>
      </w:pPr>
    </w:p>
    <w:p w:rsidR="00000000" w:rsidRDefault="00000000">
      <w:r>
        <w:t>177.</w:t>
      </w:r>
      <w:r>
        <w:tab/>
        <w:t xml:space="preserve">В Боливии проводится различие между краткосрочным и долгосрочным социальным страхованием.  Краткосрочное социальное страхование предусматривает покрытие за счет средств Национального фонда медицинского страхования и профсоюзных фондов медицинского страхования комплекса медицинских услуг, в том числе услуг, предоставляемых в связи с болезнью, а также беременностью и родами.  Бенефициарами этой системы являются страхователи в государственном секторе экономики, т.е. трудящиеся, защита прав которых обеспечивается Общим законом о труде, а также, если в нем не указано иного, государственные служащие в целом.  Согласно данным НИС за 1995 год, системой краткосрочного социального страхования охвачено 23% населения страны.  </w:t>
      </w:r>
    </w:p>
    <w:p w:rsidR="00000000" w:rsidRDefault="00000000"/>
    <w:p w:rsidR="00000000" w:rsidRDefault="00000000">
      <w:r>
        <w:t>178.</w:t>
      </w:r>
      <w:r>
        <w:tab/>
        <w:t>Система долгосрочного социального страхования предусматривает выплату четко определенных пособий, в том числе пенсий по инвалидности, старости, в случае смерти и несчастных случаев на производстве.  В настоящее время идет реформа системы пенсионного страхования, в рамках которой осуществляется переход от системы солидарной ответственности, или коллективной капитализации, к системе индивидуальной капитализации.  В 1995 году системой долгосрочного социального обеспечения было охвачено 18% населения.</w:t>
      </w:r>
    </w:p>
    <w:p w:rsidR="00000000" w:rsidRDefault="00000000"/>
    <w:p w:rsidR="00000000" w:rsidRDefault="00000000">
      <w:r>
        <w:t>179.</w:t>
      </w:r>
      <w:r>
        <w:tab/>
        <w:t>Данные об охвате являются агрегированными, и нет более подробной информации в разбивке по таким признакам, как пол, этническое происхождение и т.д.</w:t>
      </w:r>
    </w:p>
    <w:p w:rsidR="00000000" w:rsidRDefault="00000000"/>
    <w:p w:rsidR="00000000" w:rsidRDefault="00000000">
      <w:pPr>
        <w:rPr>
          <w:u w:val="single"/>
        </w:rPr>
      </w:pPr>
      <w:r>
        <w:rPr>
          <w:u w:val="single"/>
        </w:rPr>
        <w:t>Пункт 6</w:t>
      </w:r>
      <w:r>
        <w:rPr>
          <w:u w:val="single"/>
          <w:lang w:val="en-US"/>
        </w:rPr>
        <w:t xml:space="preserve"> b)</w:t>
      </w:r>
    </w:p>
    <w:p w:rsidR="00000000" w:rsidRDefault="00000000">
      <w:pPr>
        <w:rPr>
          <w:u w:val="single"/>
        </w:rPr>
      </w:pPr>
    </w:p>
    <w:p w:rsidR="00000000" w:rsidRDefault="00000000">
      <w:r>
        <w:t>180.</w:t>
      </w:r>
      <w:r>
        <w:tab/>
        <w:t>Меры, подлежащие принятию в области БМС, должны быть реализованы на национальном уровне с учетом рамок, определенных моделью управления системой здравоохранения Боливии, целями Стратегического плана развития здравоохранения (СПЗ) и ориентирами реформы системы здравоохранения.  Кроме того, необходимо учесть опыт, накопленный в области организации и функционирования прежней системы медицинского страхования.  При разработке системы функционирования БМС должны быть четко определены различные формы операций, все области деятельности и уровни оказания медицинской помощи, а также условия увязки этих различных областей и уровней.</w:t>
      </w:r>
    </w:p>
    <w:p w:rsidR="00000000" w:rsidRDefault="00000000"/>
    <w:p w:rsidR="00000000" w:rsidRDefault="00000000">
      <w:r>
        <w:t>181.</w:t>
      </w:r>
      <w:r>
        <w:tab/>
        <w:t>Система здравоохранения Боливии предусматривает создание учреждений четырех уровней:  общинные бригады охраны здоровья семьи;  пункты охраны здоровья семьи;  центры охраны здоровья семьи;  центр по вопросам разработки политики развития системы базового медицинского страхования.</w:t>
      </w:r>
    </w:p>
    <w:p w:rsidR="00000000" w:rsidRDefault="00000000"/>
    <w:p w:rsidR="00000000" w:rsidRDefault="00000000">
      <w:r>
        <w:t>182.</w:t>
      </w:r>
      <w:r>
        <w:tab/>
        <w:t>Элементами этой системы будут являться:</w:t>
      </w:r>
    </w:p>
    <w:p w:rsidR="00000000" w:rsidRDefault="00000000"/>
    <w:p w:rsidR="00000000" w:rsidRDefault="00000000">
      <w:r>
        <w:tab/>
        <w:t>а)</w:t>
      </w:r>
      <w:r>
        <w:tab/>
        <w:t>Группа по вопросам планирования, надзора и оценки на центральном уровне при Национальном органе по вопросам управления БМС, который будет создан с этой целью и будет находиться в ведении управления здравоохранения министерства здравоохранения и социального обеспечения;</w:t>
      </w:r>
    </w:p>
    <w:p w:rsidR="00000000" w:rsidRDefault="00000000"/>
    <w:p w:rsidR="00000000" w:rsidRDefault="00000000">
      <w:r>
        <w:tab/>
      </w:r>
      <w:r>
        <w:rPr>
          <w:lang w:val="en-US"/>
        </w:rPr>
        <w:t>b)</w:t>
      </w:r>
      <w:r>
        <w:tab/>
        <w:t>департаментские отделы координации оперативной и административной деятельности при департаментских группах по вопросам управления БМС, которые напрямую подчинены департаментским службам здравоохранения и их подразделениям в округах;</w:t>
      </w:r>
    </w:p>
    <w:p w:rsidR="00000000" w:rsidRDefault="00000000"/>
    <w:p w:rsidR="00000000" w:rsidRDefault="00000000">
      <w:r>
        <w:tab/>
        <w:t>с)</w:t>
      </w:r>
      <w:r>
        <w:tab/>
        <w:t>финансирующие органы, названные в статье 8 Указа;</w:t>
      </w:r>
    </w:p>
    <w:p w:rsidR="00000000" w:rsidRDefault="00000000"/>
    <w:p w:rsidR="00000000" w:rsidRDefault="00000000">
      <w:r>
        <w:tab/>
      </w:r>
      <w:r>
        <w:rPr>
          <w:lang w:val="en-US"/>
        </w:rPr>
        <w:t>d)</w:t>
      </w:r>
      <w:r>
        <w:rPr>
          <w:lang w:val="en-US"/>
        </w:rPr>
        <w:tab/>
      </w:r>
      <w:r>
        <w:t>муниципальные власти, в том что касается надзора, финансирования и участия в управлении местным компенсационным фондом здравоохранения и его юридического статуса.</w:t>
      </w:r>
    </w:p>
    <w:p w:rsidR="00000000" w:rsidRDefault="00000000"/>
    <w:p w:rsidR="00000000" w:rsidRDefault="00000000">
      <w:r>
        <w:t>183.</w:t>
      </w:r>
      <w:r>
        <w:tab/>
        <w:t>Ввиду низкого охвата системы краткосрочного социального обеспечения правительство в настоящее время принимает ряд стратегических мер с целью расширения охвата населения основными службами здравоохранения на основе критерия универсальности.  Именно с этой целью и было введено БМС, направленное на создание системы солидарного страхования для организации, регулирования и финансирования первичной медико-санитарной помощи на основе принципа затратоэффективности.</w:t>
      </w:r>
    </w:p>
    <w:p w:rsidR="00000000" w:rsidRDefault="00000000"/>
    <w:p w:rsidR="00000000" w:rsidRDefault="00000000">
      <w:r>
        <w:t>184.</w:t>
      </w:r>
      <w:r>
        <w:tab/>
        <w:t>БМС в течение ближайших пяти лет будет осуществлять свою деятельность под контролем Всемирного банка, являющегося ее основным спонсором, который будет отслеживать показатели страховых выплат.</w:t>
      </w:r>
    </w:p>
    <w:p w:rsidR="00000000" w:rsidRDefault="00000000"/>
    <w:p w:rsidR="00000000" w:rsidRDefault="00000000">
      <w:r>
        <w:t>185.</w:t>
      </w:r>
      <w:r>
        <w:tab/>
        <w:t>В свою очередь, Правления пенсионных фондов (ППФ), которые отвечают за вопросы управления взносами, поступающими по линии долгосрочного социального обеспечения, в рамках новой системы индивидуальной капитализации будут осуществлять деятельность с целью распространения системы долгосрочного социального обеспечения на значительную часть населения, которая занята в неформальном секторе, благодаря чему появятся возможности для расширения охвата системы.</w:t>
      </w:r>
    </w:p>
    <w:p w:rsidR="00000000" w:rsidRDefault="00000000"/>
    <w:p w:rsidR="00000000" w:rsidRDefault="00000000">
      <w:pPr>
        <w:rPr>
          <w:u w:val="single"/>
        </w:rPr>
      </w:pPr>
      <w:r>
        <w:rPr>
          <w:u w:val="single"/>
        </w:rPr>
        <w:t>Пункт 6 с)</w:t>
      </w:r>
    </w:p>
    <w:p w:rsidR="00000000" w:rsidRDefault="00000000">
      <w:pPr>
        <w:rPr>
          <w:u w:val="single"/>
        </w:rPr>
      </w:pPr>
    </w:p>
    <w:p w:rsidR="00000000" w:rsidRDefault="00000000">
      <w:r>
        <w:t>186.</w:t>
      </w:r>
      <w:r>
        <w:tab/>
        <w:t>Пункт </w:t>
      </w:r>
      <w:r>
        <w:rPr>
          <w:lang w:val="en-US"/>
        </w:rPr>
        <w:t>V</w:t>
      </w:r>
      <w:r>
        <w:t xml:space="preserve"> статьи 6 Указа о создании БМС посвящен медицинскому обслуживанию населения в целом, задача которого состоит в профилактике и лечении заболеваний в целях улучшения гигиены половых отношений и репродуктивного здоровья, а также предотвращения заболеваний.</w:t>
      </w:r>
    </w:p>
    <w:p w:rsidR="00000000" w:rsidRDefault="00000000"/>
    <w:p w:rsidR="00000000" w:rsidRDefault="00000000">
      <w:r>
        <w:t>187.</w:t>
      </w:r>
      <w:r>
        <w:tab/>
        <w:t>Лица, которые не охвачены системой обязательного личного или группового страхования, могут заключить с существующими медицинскими страховыми фондами договор о краткосрочном страховании на случай болезни, беременности и родов и от несчастных случаев на производстве.</w:t>
      </w:r>
    </w:p>
    <w:p w:rsidR="00000000" w:rsidRDefault="00000000"/>
    <w:p w:rsidR="00000000" w:rsidRDefault="00000000">
      <w:r>
        <w:t>188.</w:t>
      </w:r>
      <w:r>
        <w:tab/>
        <w:t>Что касается добровольного медицинского страхования, то различные медицинские страховые фонды имеют свои собственные регламенты.  Фонд медицинского страхования взимает ежемесячные взносы в размере 10% трех минимальных заработных плат.</w:t>
      </w:r>
    </w:p>
    <w:p w:rsidR="00000000" w:rsidRDefault="00000000"/>
    <w:p w:rsidR="00000000" w:rsidRDefault="00000000">
      <w:pPr>
        <w:pStyle w:val="Heading2"/>
      </w:pPr>
      <w:r>
        <w:t>Пункт 7</w:t>
      </w:r>
    </w:p>
    <w:p w:rsidR="00000000" w:rsidRDefault="00000000">
      <w:pPr>
        <w:pStyle w:val="Heading2"/>
      </w:pPr>
    </w:p>
    <w:p w:rsidR="00000000" w:rsidRDefault="00000000">
      <w:r>
        <w:t>189.</w:t>
      </w:r>
      <w:r>
        <w:tab/>
        <w:t>В соответствии с нормами, закрепленными в Кодексе законов о социальном обеспечении, трудящиеся имеют доступ ко всем службам здравоохранения благодаря своим взносам в фонды медицинского страхования (самостоятельные юридические лица), деятельность которых не регулируется политикой системы базового медицинского страхования, предусматривающей бесплатное медицинское обслуживание всех боливийцев в различных областях здравоохранения.  Финансирование осуществляется национальными и международными организациями.</w:t>
      </w:r>
    </w:p>
    <w:p w:rsidR="00000000" w:rsidRDefault="00000000">
      <w:pPr>
        <w:rPr>
          <w:lang w:val="en-US"/>
        </w:rPr>
      </w:pPr>
    </w:p>
    <w:p w:rsidR="00000000" w:rsidRDefault="00000000">
      <w:r>
        <w:rPr>
          <w:u w:val="single"/>
        </w:rPr>
        <w:t>Пункт 8</w:t>
      </w:r>
    </w:p>
    <w:p w:rsidR="00000000" w:rsidRDefault="00000000"/>
    <w:p w:rsidR="00000000" w:rsidRDefault="00000000">
      <w:r>
        <w:t>190.</w:t>
      </w:r>
      <w:r>
        <w:tab/>
        <w:t>Международная помощь в области развития системы медицинского страхования имеет формы технического и финансового сотрудничества.</w:t>
      </w:r>
    </w:p>
    <w:p w:rsidR="00000000" w:rsidRDefault="00000000"/>
    <w:p w:rsidR="00000000" w:rsidRDefault="00000000">
      <w:r>
        <w:t>191.</w:t>
      </w:r>
      <w:r>
        <w:tab/>
        <w:t>За последние четыре года расширилось техническое сотрудничество с другими странами, причем не только со странами андского района или Южного конуса, но и другими странами региона.  Техническое и научное сотрудничество развивается с Аргентиной, Бразилией, Доминиканской Республикой, Колумбией, Коста-Рикой, Мексикой и Перу, при этом оно осуществляется в таких областях, как эпидемиология, традиционная медицина, борьба с переносчиками инфекций, банки крови, управление больницами, материально-техническое обеспечение служб здравоохранения, предупреждение стихийных бедствий и ликвидация их последствий, фторирование соли, создание онкологических служб, пластическая хирургия и ожоги, педиатрия, улучшение жилищных условий, базовая санитария и устройство колодцев, муниципалитеты, развитие системы здравоохранения в приграничных зонах и обмен традиционными знаниями в области акушерства.</w:t>
      </w:r>
    </w:p>
    <w:p w:rsidR="00000000" w:rsidRDefault="00000000"/>
    <w:p w:rsidR="00000000" w:rsidRDefault="00000000">
      <w:r>
        <w:t>192.</w:t>
      </w:r>
      <w:r>
        <w:tab/>
        <w:t>С точки зрения финансирования сотрудничество можно подразделить на две основные категории:  официальное и правительственное.  Официальное сотрудничество может быть односторонним и двусторонним.  Средства по линии международного сотрудничества в области здравоохранения могут предоставляться в форме субсидий или кредитов.  По линии двустороннего сотрудничества Боливия поддерживает связи с Европейским союзом, Соединенными Штатами Америки, Японией и Скандинавскими странами.</w:t>
      </w:r>
    </w:p>
    <w:p w:rsidR="00000000" w:rsidRDefault="00000000"/>
    <w:p w:rsidR="00000000" w:rsidRDefault="00000000">
      <w:r>
        <w:t>193.</w:t>
      </w:r>
      <w:r>
        <w:tab/>
        <w:t>Что касается сотрудничества в области здравоохранения с международными организациями, то особо следует выделить Всемирный банк, Всемирную организацию здравоохранения, УСП/ВОЗ, НПО, ЮНИСЕФ, ЮСЭЙД и т.д.</w:t>
      </w:r>
    </w:p>
    <w:p w:rsidR="00000000" w:rsidRDefault="00000000"/>
    <w:p w:rsidR="00000000" w:rsidRDefault="00000000">
      <w:pPr>
        <w:jc w:val="center"/>
        <w:rPr>
          <w:b/>
          <w:u w:val="single"/>
        </w:rPr>
      </w:pPr>
      <w:r>
        <w:rPr>
          <w:b/>
        </w:rPr>
        <w:t>Е.</w:t>
      </w:r>
      <w:r>
        <w:rPr>
          <w:b/>
        </w:rPr>
        <w:tab/>
      </w:r>
      <w:r>
        <w:rPr>
          <w:b/>
          <w:u w:val="single"/>
        </w:rPr>
        <w:t>Статья 10</w:t>
      </w:r>
    </w:p>
    <w:p w:rsidR="00000000" w:rsidRDefault="00000000">
      <w:pPr>
        <w:rPr>
          <w:u w:val="single"/>
        </w:rPr>
      </w:pPr>
    </w:p>
    <w:p w:rsidR="00000000" w:rsidRDefault="00000000">
      <w:r>
        <w:rPr>
          <w:u w:val="single"/>
        </w:rPr>
        <w:t>Руководящие принципы, статья 10 Пакта, пункт 1</w:t>
      </w:r>
    </w:p>
    <w:p w:rsidR="00000000" w:rsidRDefault="00000000"/>
    <w:p w:rsidR="00000000" w:rsidRDefault="00000000">
      <w:r>
        <w:t>194.</w:t>
      </w:r>
      <w:r>
        <w:tab/>
        <w:t>Боливия является участником различных конвенций МОТ, Конвенции о правах ребенка, Конвенции о ликвидации всех форм дискриминации в отношении женщин, Конвенции об охране материнства и Конвенции о минимальном возрасте.  В соответствии со статьей 157 Конституции труд несовершеннолетних в Боливии регулируется положениями главы VI Общего закона о труде.</w:t>
      </w:r>
    </w:p>
    <w:p w:rsidR="00000000" w:rsidRDefault="00000000"/>
    <w:p w:rsidR="00000000" w:rsidRDefault="00000000">
      <w:r>
        <w:rPr>
          <w:u w:val="single"/>
        </w:rPr>
        <w:t>Конвенция о ликвидации всех форм дискриминации в отношении женщин</w:t>
      </w:r>
    </w:p>
    <w:p w:rsidR="00000000" w:rsidRDefault="00000000"/>
    <w:p w:rsidR="00000000" w:rsidRDefault="00000000">
      <w:r>
        <w:t>195.</w:t>
      </w:r>
      <w:r>
        <w:tab/>
        <w:t>Несмотря на признание прав женщин во Всеобщей декларации прав человека, чрезвычайно важно было уточнить эти права, в связи с чем и возникла необходимость в разработке конкретной конвенции о ликвидации дискриминации в отношении женщин.</w:t>
      </w:r>
    </w:p>
    <w:p w:rsidR="00000000" w:rsidRDefault="00000000"/>
    <w:p w:rsidR="00000000" w:rsidRDefault="00000000">
      <w:r>
        <w:t>196.</w:t>
      </w:r>
      <w:r>
        <w:tab/>
        <w:t>В ответ на настоятельные просьбы женщин о формировании широкого социального движения Организация Объединенных Наций начала проводить информационно-просветительскую деятельность, которая позволила охватить определенные влиятельные международные организации.  В результате этих мер широкое признание получил тот факт, что, несмотря на все усилия, женщины в XX веке продолжают подвергаться значительной дискриминации.  ООН приняла решение о проведении Десятилетия прав женщин (1975-1985 годы), стимулировавшего процесс нормотворческой деятельности, кульминацией которого явилась Конвенция, вступившая в силу в 1981 году.  В этом важном международном договоре обобщается и конкретизируется прогресс, достигнутый в области международного права, однако одного этого документа недостаточно, поскольку он не предусматривает каких-либо механизмов принуждения на случай его несоблюдения государствами и не является настолько универсальным, чтобы вобрать в себя все различные культуры мира.</w:t>
      </w:r>
    </w:p>
    <w:p w:rsidR="00000000" w:rsidRDefault="00000000"/>
    <w:p w:rsidR="00000000" w:rsidRDefault="00000000">
      <w:r>
        <w:t>197.</w:t>
      </w:r>
      <w:r>
        <w:tab/>
        <w:t>18 декабря 1979 года Генеральная Ассамблея Организации Объединенных Наций утвердила эту Конвенцию.  Наша страна ратифицировала ее на основе Закона № 1100 от 7 сентября 1989 года.</w:t>
      </w:r>
    </w:p>
    <w:p w:rsidR="00000000" w:rsidRDefault="00000000"/>
    <w:p w:rsidR="00000000" w:rsidRDefault="00000000">
      <w:r>
        <w:t>198.</w:t>
      </w:r>
      <w:r>
        <w:tab/>
        <w:t xml:space="preserve">Правительство Боливии официально утвердило и ратифицировало </w:t>
      </w:r>
      <w:r>
        <w:rPr>
          <w:b/>
        </w:rPr>
        <w:t>Конвенцию № 138</w:t>
      </w:r>
      <w:r>
        <w:t xml:space="preserve"> путем издания Указа № 15549 от 9 июня 1978 года, взяв тем самым на себя в соответствии с пунктом 5 d) статьи 19 Устава МОТ обязательство применять все ее положения с учетом исключений, предусмотренных в статьях 4 и 8 этой Конвенции.  12 июня 1980 года Постоянное представительство Боливии в Женеве в своей ноте № 129/0.3.1, подписанной министерством труда и устойчивого развития, подтвердило взятое ранее обязательство.  В соответствии с пунктом 1 статьи 2 Конвенции № 138 эта нота представляла собой официальное заявление правительства Боливии, в котором сообщалось о ратификации упомянутой выше Конвенции на основе конституционного права посредством принятия в июне 1978 года Указа № 15549, установившего, что минимальным возрастом для приема на работу является 14 полных лет.</w:t>
      </w:r>
    </w:p>
    <w:p w:rsidR="00000000" w:rsidRDefault="00000000"/>
    <w:p w:rsidR="00000000" w:rsidRDefault="00000000">
      <w:r>
        <w:t>199.</w:t>
      </w:r>
      <w:r>
        <w:tab/>
      </w:r>
      <w:r>
        <w:rPr>
          <w:b/>
        </w:rPr>
        <w:t>Конвенция о правах ребенка</w:t>
      </w:r>
      <w:r>
        <w:t xml:space="preserve"> была ратифицирована в мае 1990 года путем принятия Закона № 1152.</w:t>
      </w:r>
    </w:p>
    <w:p w:rsidR="00000000" w:rsidRDefault="00000000"/>
    <w:p w:rsidR="00000000" w:rsidRDefault="00000000">
      <w:r>
        <w:rPr>
          <w:u w:val="single"/>
        </w:rPr>
        <w:t>Пункт 2</w:t>
      </w:r>
    </w:p>
    <w:p w:rsidR="00000000" w:rsidRDefault="00000000"/>
    <w:p w:rsidR="00000000" w:rsidRDefault="00000000">
      <w:r>
        <w:t>200.</w:t>
      </w:r>
      <w:r>
        <w:tab/>
        <w:t>В Боливии значение и важность семьи подчеркиваются в различных конкретных актах, в которых закреплены соответствующие права, обязанности и обязательства.  Семья может иметь различные формы, при этом нормы семейного законодательства зависят от эпохи, уровня культуры, обычаев и образа жизни.  Семья формируется таким образом, чтобы супруги могли полностью рассчитывать друг на друга и строить свои отношения на основе взаимной любви.</w:t>
      </w:r>
    </w:p>
    <w:p w:rsidR="00000000" w:rsidRDefault="00000000"/>
    <w:p w:rsidR="00000000" w:rsidRDefault="00000000">
      <w:r>
        <w:t>201.</w:t>
      </w:r>
      <w:r>
        <w:tab/>
        <w:t>"Семья" означает группу живущих вместе близких родственников с четко оформленной структурой и предполагает развитие этой группы как единого целого, являясь при этом основой для продолжения рода и соответственно фундаментом такого развития, а также основной ячейкой общества и одним из главных факторов процветания в условиях порядка и мира.</w:t>
      </w:r>
    </w:p>
    <w:p w:rsidR="00000000" w:rsidRDefault="00000000"/>
    <w:p w:rsidR="00000000" w:rsidRDefault="00000000">
      <w:r>
        <w:t>202.</w:t>
      </w:r>
      <w:r>
        <w:tab/>
        <w:t>Семья является самым важным связующим звеном между обществом и отдельным человеком.  Семья, будучи продуктом общества, постоянно испытывает на себе влияние общества, а также последствия происходящих в нем изменений и преобразований и переживаемого им кризиса.</w:t>
      </w:r>
    </w:p>
    <w:p w:rsidR="00000000" w:rsidRDefault="00000000"/>
    <w:p w:rsidR="00000000" w:rsidRDefault="00000000">
      <w:r>
        <w:t>203.</w:t>
      </w:r>
      <w:r>
        <w:tab/>
        <w:t>В Боливии семья формируется на основе добрых традиций и норм нравственности (законопослушания), которые каждый из родителей прививает своим потомкам.  В семье право принятия решения принадлежит как отцу, так и матери.</w:t>
      </w:r>
    </w:p>
    <w:p w:rsidR="00000000" w:rsidRDefault="00000000"/>
    <w:p w:rsidR="00000000" w:rsidRDefault="00000000">
      <w:r>
        <w:t>204.</w:t>
      </w:r>
      <w:r>
        <w:tab/>
        <w:t>Семья является базовой ячейкой общества, основная функция которой состоит в воспитании и защите ее членов, главным образом детей.  Как социальное явление семья в своем развитии испытывает на себе влияние культурных, социальных и экономических факторов.</w:t>
      </w:r>
    </w:p>
    <w:p w:rsidR="00000000" w:rsidRDefault="00000000"/>
    <w:p w:rsidR="00000000" w:rsidRDefault="00000000">
      <w:r>
        <w:rPr>
          <w:u w:val="single"/>
        </w:rPr>
        <w:t>Пункт 3</w:t>
      </w:r>
    </w:p>
    <w:p w:rsidR="00000000" w:rsidRDefault="00000000"/>
    <w:p w:rsidR="00000000" w:rsidRDefault="00000000">
      <w:r>
        <w:t>205.</w:t>
      </w:r>
      <w:r>
        <w:tab/>
        <w:t>В статье 41 Политической конституции страны указывается, что гражданами страны являются лица мужского и женского пола, достигшие 18 лет.  Совершеннолетие наступает по достижении 21 года.</w:t>
      </w:r>
    </w:p>
    <w:p w:rsidR="00000000" w:rsidRDefault="00000000"/>
    <w:p w:rsidR="00000000" w:rsidRDefault="00000000">
      <w:r>
        <w:t>206.</w:t>
      </w:r>
      <w:r>
        <w:tab/>
        <w:t>В Политической конституции государства закреплены права и обязанности, а также основные личные гарантии, при этом вопросам гражданства и гражданским правам посвящена статья 41, в которой отмечается, "что граждане мужского и женского пола, достигшие 18 лет, независимо от уровня их образования, занимаемой должности или доходов становятся совершеннолетними лишь по достижении 21 года".</w:t>
      </w:r>
    </w:p>
    <w:p w:rsidR="00000000" w:rsidRDefault="00000000"/>
    <w:p w:rsidR="00000000" w:rsidRDefault="00000000">
      <w:r>
        <w:t>207.</w:t>
      </w:r>
      <w:r>
        <w:tab/>
        <w:t>К сожалению, в Боливии этот вопрос трактуется по</w:t>
      </w:r>
      <w:r>
        <w:noBreakHyphen/>
        <w:t>разному, например, Политическая конституция государства предусматривает, что своими гражданскими правами молодые люди могут начинать пользоваться с 18 лет;  в статье 4 Гражданского кодекса говорится, что совершеннолетие наступает по достижении 21 года.  Получение дееспособности позволяет совершеннолетнему самому совершать все гражданские акты.  Статья 44 Семейного кодекса предусматривает, "что лица мужского пола в возрасте до 16 лет и женского пола в возрасте до 14 лет не могут вступать в брак".  Кодекс законов о труде не допускает прием на работу лиц моложе 14 лет,  Кодекс законов о несовершеннолетних не содержит каких-либо положений о возрасте, с которого допускается прием на работу;  согласно Уголовному кодексу и Уголовно-процессуальному кодексу уголовная ответственность наступает с 16</w:t>
      </w:r>
      <w:r>
        <w:noBreakHyphen/>
        <w:t>летнего возраста.  С целью обеспечения большего единообразия Боливия в настоящее время пересматривает эти нормы с учетом того, что, согласно Конвенции о правах ребенка, которая имеет статус закона Республики, ребенком является каждое человеческое существо до достижения 18</w:t>
      </w:r>
      <w:r>
        <w:noBreakHyphen/>
        <w:t>летнего возраста.</w:t>
      </w:r>
    </w:p>
    <w:p w:rsidR="00000000" w:rsidRDefault="00000000"/>
    <w:p w:rsidR="00000000" w:rsidRDefault="00000000">
      <w:r>
        <w:rPr>
          <w:u w:val="single"/>
        </w:rPr>
        <w:t>Пункт 4</w:t>
      </w:r>
    </w:p>
    <w:p w:rsidR="00000000" w:rsidRDefault="00000000"/>
    <w:p w:rsidR="00000000" w:rsidRDefault="00000000">
      <w:r>
        <w:t>208.</w:t>
      </w:r>
      <w:r>
        <w:tab/>
        <w:t xml:space="preserve">Политическая конституция государства 1967 года укрепила и углубила положения, касающиеся юридического равенства супругов, равенства прав всех детей независимо от их происхождения и отцовства, и установила конкретные специальные режимы, в том числе режим семейного законодательства, на основе которого был разработан Семейный кодекс, явившийся важным достижением в латиноамериканском законодательстве.  </w:t>
      </w:r>
    </w:p>
    <w:p w:rsidR="00000000" w:rsidRDefault="00000000"/>
    <w:p w:rsidR="00000000" w:rsidRDefault="00000000">
      <w:r>
        <w:t>209.</w:t>
      </w:r>
      <w:r>
        <w:tab/>
        <w:t>В последние годы в нашей стране был принят ряд правовых мер по защите семьи.  В частности, речь идет о принятии Закона о борьбе с насилием в семье, Закон № 1674, создании Управлений по защите прав детей и подростков, комплексных юридических служб в составе различных специалистов, которые занимаются вопросами поощрения прав семьи и бригад по защите семьи при подразделениях национальной полиции, находящихся в ведении министерства внутренних дел.</w:t>
      </w:r>
    </w:p>
    <w:p w:rsidR="00000000" w:rsidRDefault="00000000"/>
    <w:p w:rsidR="00000000" w:rsidRDefault="00000000">
      <w:r>
        <w:rPr>
          <w:u w:val="single"/>
        </w:rPr>
        <w:t>Пункт 4</w:t>
      </w:r>
      <w:r>
        <w:rPr>
          <w:u w:val="single"/>
          <w:lang w:val="en-US"/>
        </w:rPr>
        <w:t xml:space="preserve"> </w:t>
      </w:r>
      <w:r>
        <w:rPr>
          <w:u w:val="single"/>
        </w:rPr>
        <w:t>d</w:t>
      </w:r>
      <w:r>
        <w:t>)</w:t>
      </w:r>
    </w:p>
    <w:p w:rsidR="00000000" w:rsidRDefault="00000000"/>
    <w:p w:rsidR="00000000" w:rsidRDefault="00000000">
      <w:r>
        <w:t>210.</w:t>
      </w:r>
      <w:r>
        <w:tab/>
        <w:t>Согласно статье 41 Семейного кодекса, Закон № 996 от 4 апреля 1988 года, брак является не контрактом, а институтом публичного права, при этом законом признается лишь брак, заключенный с соблюдением требований и условий, определенных в этом Кодексе.</w:t>
      </w:r>
    </w:p>
    <w:p w:rsidR="00000000" w:rsidRDefault="00000000"/>
    <w:p w:rsidR="00000000" w:rsidRDefault="00000000">
      <w:r>
        <w:t>211.</w:t>
      </w:r>
      <w:r>
        <w:tab/>
        <w:t>Это означает, что, с тем чтобы брак был законным, он должен быть заключен в органах записи актов гражданского состояния.</w:t>
      </w:r>
    </w:p>
    <w:p w:rsidR="00000000" w:rsidRDefault="00000000"/>
    <w:p w:rsidR="00000000" w:rsidRDefault="00000000">
      <w:r>
        <w:t>212.</w:t>
      </w:r>
      <w:r>
        <w:tab/>
        <w:t>Законодательство Боливии признает два вида брака:  гражданский и фактический, оба из которых гарантируются Политической конституцией государства и Семейным кодексом:</w:t>
      </w:r>
    </w:p>
    <w:p w:rsidR="00000000" w:rsidRDefault="00000000"/>
    <w:p w:rsidR="00000000" w:rsidRDefault="00000000">
      <w:r>
        <w:tab/>
        <w:t>а)</w:t>
      </w:r>
      <w:r>
        <w:tab/>
      </w:r>
      <w:r>
        <w:rPr>
          <w:b/>
        </w:rPr>
        <w:t>Статья 96 (Равенство супругов)</w:t>
      </w:r>
      <w:r>
        <w:t xml:space="preserve">  "Супруги, в интересах семьи и с учетом личного положения каждого из них, обладают равными правами и обязанностями в вопросах семейной жизни, а также рождения и воспитания детей".</w:t>
      </w:r>
    </w:p>
    <w:p w:rsidR="00000000" w:rsidRDefault="00000000"/>
    <w:p w:rsidR="00000000" w:rsidRDefault="00000000">
      <w:r>
        <w:tab/>
        <w:t>b)</w:t>
      </w:r>
      <w:r>
        <w:tab/>
      </w:r>
      <w:r>
        <w:rPr>
          <w:b/>
        </w:rPr>
        <w:t>Статья 158 (Свободный брачный союз)</w:t>
      </w:r>
      <w:r>
        <w:t xml:space="preserve">  "Под свободным брачным союзом или фактическим браком подразумевается добровольный союз мужчины и женщины, заключаемый для создания семьи и совместной жизни на постоянной основе с соблюдением всех установленных требований в отношении возраста, безбрачного состояния, кровного родства".</w:t>
      </w:r>
    </w:p>
    <w:p w:rsidR="00000000" w:rsidRDefault="00000000"/>
    <w:p w:rsidR="00000000" w:rsidRDefault="00000000">
      <w:r>
        <w:tab/>
        <w:t>с)</w:t>
      </w:r>
      <w:r>
        <w:tab/>
      </w:r>
      <w:r>
        <w:rPr>
          <w:b/>
        </w:rPr>
        <w:t>Статья 159</w:t>
      </w:r>
      <w:r>
        <w:t xml:space="preserve">  "Стабильные и устойчивые свободные брачные союзы или фактические браки имеют с точки зрения отношений супругов, а также их прав и обязанностей в качестве родителей такие же юридические последствия, как и гражданский брак.  В объеме, соизмеримом с характером таких союзов, и без ущерба для конкретных положений, регулирующих права и обязанности супругов, состоящих в гражданском браке, к ним могут применяться те же нормы, что и в отношении гражданского брака".</w:t>
      </w:r>
    </w:p>
    <w:p w:rsidR="00000000" w:rsidRDefault="00000000"/>
    <w:p w:rsidR="00000000" w:rsidRDefault="00000000">
      <w:r>
        <w:tab/>
        <w:t>d)</w:t>
      </w:r>
      <w:r>
        <w:tab/>
      </w:r>
      <w:r>
        <w:rPr>
          <w:b/>
        </w:rPr>
        <w:t>Статья 160 (Предбрачные обряды коренных жителей и прочие виды фактических союзов)</w:t>
      </w:r>
      <w:r>
        <w:t xml:space="preserve">  "К вышеназванным категориям относятся предбрачные обряды коренных жителей, например "тантанаку" или "сирвиньяку", фактические союзы среди коренных жителей и другие формы сожительства в промышленных и сельских районах".</w:t>
      </w:r>
    </w:p>
    <w:p w:rsidR="00000000" w:rsidRDefault="00000000"/>
    <w:p w:rsidR="00000000" w:rsidRDefault="00000000">
      <w:r>
        <w:tab/>
      </w:r>
      <w:proofErr w:type="spellStart"/>
      <w:r>
        <w:t>е</w:t>
      </w:r>
      <w:proofErr w:type="spellEnd"/>
      <w:r>
        <w:t>)</w:t>
      </w:r>
      <w:r>
        <w:tab/>
      </w:r>
      <w:r>
        <w:rPr>
          <w:b/>
        </w:rPr>
        <w:t>Статья 161 (Взаимные обязанности)</w:t>
      </w:r>
      <w:r>
        <w:t xml:space="preserve">  "Взаимными обязанностями совместно проживающих супругов являются верность, взаимопомощь и взаимодействие".</w:t>
      </w:r>
    </w:p>
    <w:p w:rsidR="00000000" w:rsidRDefault="00000000"/>
    <w:p w:rsidR="00000000" w:rsidRDefault="00000000">
      <w:r>
        <w:t>213.</w:t>
      </w:r>
      <w:r>
        <w:tab/>
        <w:t>Что касается заключения брака, то в Семейном кодексе установлены условия вступления в брак и определены обстоятельства, которые могут препятствовать заключению брака в силу отношений, существующих между лицами, стремящимися вступить в брак.  Условиями заключения брака являются возраст (статья 44), согласие и разрешение (статьи 53 и 54), психическое здоровье (статья 45), безбрачное состояние (статья 46), срок, подлежащий истечению для повторного вступления в брак женщины (вдовы) (статья 52), истечение срока попечительства (статья 51).  Основанием для прекращения брака может служить импотенция (статья 88).  К обстоятельствам, препятствующим заключению брака, относятся кровное родство (статья 47), родство по браку (статья 48), гражданское родство в силу усыновления (статья 49) и совершение преступления (статья 50).</w:t>
      </w:r>
    </w:p>
    <w:p w:rsidR="00000000" w:rsidRDefault="00000000"/>
    <w:p w:rsidR="00000000" w:rsidRDefault="00000000">
      <w:r>
        <w:rPr>
          <w:u w:val="single"/>
        </w:rPr>
        <w:t>Пункт 4 b</w:t>
      </w:r>
      <w:r>
        <w:t>)</w:t>
      </w:r>
    </w:p>
    <w:p w:rsidR="00000000" w:rsidRDefault="00000000"/>
    <w:p w:rsidR="00000000" w:rsidRDefault="00000000">
      <w:r>
        <w:t>214.</w:t>
      </w:r>
      <w:r>
        <w:tab/>
        <w:t>Защита семьи гарантируется Политической конституцией государства и Семейным кодексом, при этом семейным законодательством регулируются такие вопросы, как права и обязанности родителей, помощь семье и имущество семьи.  В статье 1 заявляется, что семейные отношения регулируются Семейным кодексом.  Статья 3 гласит, что члены семьи пользуются равными юридическими правами на основе принципа достоинства человеческой личности и с учетом сложившейся в семье иерархии.  Семья, брак и материнство находятся под защитой государства (статья 4).</w:t>
      </w:r>
    </w:p>
    <w:p w:rsidR="00000000" w:rsidRDefault="00000000"/>
    <w:p w:rsidR="00000000" w:rsidRDefault="00000000">
      <w:r>
        <w:t>215.</w:t>
      </w:r>
      <w:r>
        <w:tab/>
        <w:t>Статья 158 Семейного кодекса признает свободные брачные союзы или фактические браки, под которыми подразумевается добровольный союз мужчины и женщины, заключаемый с целью создания семьи и ведения стабильной и устойчивой совместной жизни.</w:t>
      </w:r>
    </w:p>
    <w:p w:rsidR="00000000" w:rsidRDefault="00000000"/>
    <w:p w:rsidR="00000000" w:rsidRDefault="00000000">
      <w:r>
        <w:t>216.</w:t>
      </w:r>
      <w:r>
        <w:tab/>
        <w:t>Стабильные и устойчивые свободные брачные союзы или фактические браки имеют с точки зрения отношений супругов, а также их прав и обязанностей в качестве родителей такие же юридические последствия, как и гражданский брак.  В объеме, соизмеримом с характером таких союзов, и без ущерба конкретным положениям, регулирующим права и обязанности супругов, стоящих в гражданском браке, к ним могут применяться те же нормы, что и в отношении гражданского брака.</w:t>
      </w:r>
    </w:p>
    <w:p w:rsidR="00000000" w:rsidRDefault="00000000"/>
    <w:p w:rsidR="00000000" w:rsidRDefault="00000000">
      <w:r>
        <w:t>217.</w:t>
      </w:r>
      <w:r>
        <w:tab/>
        <w:t xml:space="preserve">Статья 160 "К вышеназванным категориям относятся </w:t>
      </w:r>
      <w:proofErr w:type="spellStart"/>
      <w:r>
        <w:t>предбрачные</w:t>
      </w:r>
      <w:proofErr w:type="spellEnd"/>
      <w:r>
        <w:t xml:space="preserve"> обряды коренных жителей и прочие виды фактических союзов, например "</w:t>
      </w:r>
      <w:proofErr w:type="spellStart"/>
      <w:r>
        <w:t>тантанаку</w:t>
      </w:r>
      <w:proofErr w:type="spellEnd"/>
      <w:r>
        <w:t>" или "</w:t>
      </w:r>
      <w:proofErr w:type="spellStart"/>
      <w:r>
        <w:t>сирвиньяку</w:t>
      </w:r>
      <w:proofErr w:type="spellEnd"/>
      <w:r>
        <w:t>", фактические союзы среди коренных жителей и другие формы сожительства в промышленных и сельских районах".</w:t>
      </w:r>
    </w:p>
    <w:p w:rsidR="00000000" w:rsidRDefault="00000000"/>
    <w:p w:rsidR="00000000" w:rsidRDefault="00000000">
      <w:r>
        <w:t>218.</w:t>
      </w:r>
      <w:r>
        <w:tab/>
        <w:t>Как уже отмечалось, защита семьи гарантируется законодательством, однако поразивший страну глубокий экономический кризис явился одной из причин распада многих семей.  Боливийское государство приняло ряд политических мер по поддержке семьи.</w:t>
      </w:r>
    </w:p>
    <w:p w:rsidR="00000000" w:rsidRDefault="00000000"/>
    <w:p w:rsidR="00000000" w:rsidRDefault="00000000">
      <w:r>
        <w:rPr>
          <w:u w:val="single"/>
        </w:rPr>
        <w:t>Пункт 4 с</w:t>
      </w:r>
      <w:r>
        <w:t>)</w:t>
      </w:r>
    </w:p>
    <w:p w:rsidR="00000000" w:rsidRDefault="00000000"/>
    <w:p w:rsidR="00000000" w:rsidRDefault="00000000">
      <w:r>
        <w:t>219.</w:t>
      </w:r>
      <w:r>
        <w:tab/>
        <w:t>На основе упоминавшихся выше законодательных норм уже приняты соответствующие меры.</w:t>
      </w:r>
    </w:p>
    <w:p w:rsidR="00000000" w:rsidRDefault="00000000"/>
    <w:p w:rsidR="00000000" w:rsidRDefault="00000000">
      <w:pPr>
        <w:pStyle w:val="Heading2"/>
        <w:rPr>
          <w:u w:val="none"/>
        </w:rPr>
      </w:pPr>
      <w:r>
        <w:t>Пункт 5</w:t>
      </w:r>
    </w:p>
    <w:p w:rsidR="00000000" w:rsidRDefault="00000000">
      <w:pPr>
        <w:pStyle w:val="Heading2"/>
        <w:rPr>
          <w:u w:val="none"/>
        </w:rPr>
      </w:pPr>
    </w:p>
    <w:p w:rsidR="00000000" w:rsidRDefault="00000000">
      <w:r>
        <w:t>220.</w:t>
      </w:r>
      <w:r>
        <w:tab/>
        <w:t>В статье 158 Политической конституции заявляется, что государство обязано защищать человеческий потенциал путем охраны здоровья населения, обеспечения средств к существованию и реабилитации каждого утратившего трудоспособность, содействуя при этом улучшению условий жизни семьи;  в основе режимов социального обеспечения лежат принципы универсальности, солидарности, единства управления, равенства возможностей, экономии и эффективности, при этом они гарантируют выплату социальных пособий в случае болезни, по беременности и родам, на воспитание детей (в соответствии с Кодексом законов о социальном обеспечении и Указом № 22578 от 13 августа 1990 года).</w:t>
      </w:r>
    </w:p>
    <w:p w:rsidR="00000000" w:rsidRDefault="00000000"/>
    <w:p w:rsidR="00000000" w:rsidRDefault="00000000">
      <w:r>
        <w:t>221.</w:t>
      </w:r>
      <w:r>
        <w:tab/>
      </w:r>
      <w:r>
        <w:rPr>
          <w:b/>
        </w:rPr>
        <w:t>Согласно Указу № 05315</w:t>
      </w:r>
      <w:r>
        <w:t xml:space="preserve"> от 30 сентября 1959 года целью обязательного социального страхования является защита застрахованных в случае наступления страхового случая путем:</w:t>
      </w:r>
    </w:p>
    <w:p w:rsidR="00000000" w:rsidRDefault="00000000"/>
    <w:p w:rsidR="00000000" w:rsidRDefault="00000000">
      <w:r>
        <w:tab/>
        <w:t>а)</w:t>
      </w:r>
      <w:r>
        <w:tab/>
        <w:t>предоставления трудящимся и их семьям в случае болезни, беременности и родов пособий в натуральной форме;</w:t>
      </w:r>
    </w:p>
    <w:p w:rsidR="00000000" w:rsidRDefault="00000000"/>
    <w:p w:rsidR="00000000" w:rsidRDefault="00000000">
      <w:r>
        <w:tab/>
        <w:t>b)</w:t>
      </w:r>
      <w:r>
        <w:tab/>
        <w:t>предоставления трудящимся в случае болезни, беременности и родов денежных пособий.</w:t>
      </w:r>
    </w:p>
    <w:p w:rsidR="00000000" w:rsidRDefault="00000000"/>
    <w:p w:rsidR="00000000" w:rsidRDefault="00000000">
      <w:r>
        <w:t>222.</w:t>
      </w:r>
      <w:r>
        <w:tab/>
        <w:t>Статья 1 Закона (№ 975) о системе защиты материнства предусматривает, что женщина в период беременности (вынашивания плода) и вплоть до истечения года с момента рождения ребенка не может быть уволена или переведена на другую работу.  В период беременности и вплоть до истечения года со дня рождения ребенка женщина имеет право на сохранение места работы в государственных или частных учреждениях.</w:t>
      </w:r>
    </w:p>
    <w:p w:rsidR="00000000" w:rsidRDefault="00000000"/>
    <w:p w:rsidR="00000000" w:rsidRDefault="00000000">
      <w:r>
        <w:t>223.</w:t>
      </w:r>
      <w:r>
        <w:tab/>
        <w:t>Положения о системах охраны материнства в Кодексе законов о социальном обеспечении предусматривают предоставление пособий в денежной и натуральной формах.  Пособие в денежной форме выплачивается в размере 90% заработной платы, с которой начисляются взносы (статья 30 Указа № 120991 от 1 августа 1985 года).  Это пособие выплачивается в течение шести недель до родов и шести недель после родов, если только в этот период женщина не занимается какой-либо оплачиваемой работой.  Пособие в натуральной форме предусматривает:  оказание хирургической помощи и стационарное лечение в период беременности, родов и послеродовой период, а также предоставление медикаментов.  Правом получения этих пособий обладают:</w:t>
      </w:r>
    </w:p>
    <w:p w:rsidR="00000000" w:rsidRDefault="00000000"/>
    <w:p w:rsidR="00000000" w:rsidRDefault="00000000">
      <w:r>
        <w:tab/>
        <w:t>а)</w:t>
      </w:r>
      <w:r>
        <w:tab/>
        <w:t>застрахованная;</w:t>
      </w:r>
    </w:p>
    <w:p w:rsidR="00000000" w:rsidRDefault="00000000"/>
    <w:p w:rsidR="00000000" w:rsidRDefault="00000000">
      <w:r>
        <w:tab/>
        <w:t>b)</w:t>
      </w:r>
      <w:r>
        <w:tab/>
        <w:t>супруга или сожительница застрахованного;</w:t>
      </w:r>
    </w:p>
    <w:p w:rsidR="00000000" w:rsidRDefault="00000000"/>
    <w:p w:rsidR="00000000" w:rsidRDefault="00000000">
      <w:r>
        <w:tab/>
        <w:t>с)</w:t>
      </w:r>
      <w:r>
        <w:tab/>
        <w:t>супруга или сожительница лица, получающего пенсию.</w:t>
      </w:r>
    </w:p>
    <w:p w:rsidR="00000000" w:rsidRDefault="00000000"/>
    <w:p w:rsidR="00000000" w:rsidRDefault="00000000">
      <w:r>
        <w:t>224.</w:t>
      </w:r>
      <w:r>
        <w:tab/>
        <w:t>Застрахованная имеет право на непрерывный отпуск продолжительностью 90 дней, из которых 45 дней предоставляется до родов и 45 дней после родов.  Однако, как правило, точная дата родов неизвестна, в связи с чем дата отпуска по беременности устанавливается приблизительно и он может не составлять 45 дней, в то время как продолжительность отпуска в послеродовой период в обязательном порядке составляет лишь 45 дней.  Поэтому, если роды происходят в более ранний срок, застрахованная теряет неиспользованные дни отпуска по беременности.</w:t>
      </w:r>
    </w:p>
    <w:p w:rsidR="00000000" w:rsidRDefault="00000000"/>
    <w:p w:rsidR="00000000" w:rsidRDefault="00000000">
      <w:r>
        <w:t>225.</w:t>
      </w:r>
      <w:r>
        <w:tab/>
        <w:t>Согласно Закону № 975 от 2 мая 1988 года за беременной женщиной сохраняется место работы.  Согласно Общему закону о труде из этого положения могут делаться исключения.</w:t>
      </w:r>
    </w:p>
    <w:p w:rsidR="00000000" w:rsidRDefault="00000000"/>
    <w:p w:rsidR="00000000" w:rsidRDefault="00000000">
      <w:r>
        <w:rPr>
          <w:u w:val="single"/>
        </w:rPr>
        <w:t>Пункт 5 а) i</w:t>
      </w:r>
      <w:r>
        <w:t>)</w:t>
      </w:r>
    </w:p>
    <w:p w:rsidR="00000000" w:rsidRDefault="00000000"/>
    <w:p w:rsidR="00000000" w:rsidRDefault="00000000">
      <w:r>
        <w:t>226.</w:t>
      </w:r>
      <w:r>
        <w:tab/>
        <w:t>Положения Политической конституции, касающиеся социального обеспечения, предусматривают, что государство в целях развития человеческого капитала, обеспечивает защиту всех беременных женщин, независимо от того, застрахованы они или нет, в соответствии с нормами, закрепленными в соответствующих статьях Общего закона о труде и Кодекса законов о социальном обеспечении.</w:t>
      </w:r>
    </w:p>
    <w:p w:rsidR="00000000" w:rsidRDefault="00000000"/>
    <w:p w:rsidR="00000000" w:rsidRDefault="00000000">
      <w:r>
        <w:t>227.</w:t>
      </w:r>
      <w:r>
        <w:tab/>
        <w:t>В рамках системы социального обеспечения по линии помощи семьям беременным женщинам предоставляются пособия, порядок выдачи которых является следующим:</w:t>
      </w:r>
    </w:p>
    <w:p w:rsidR="00000000" w:rsidRDefault="00000000"/>
    <w:p w:rsidR="00000000" w:rsidRDefault="00000000">
      <w:pPr>
        <w:ind w:left="1134" w:hanging="1134"/>
      </w:pPr>
      <w:r>
        <w:tab/>
      </w:r>
      <w:r>
        <w:rPr>
          <w:b/>
        </w:rPr>
        <w:t>а</w:t>
      </w:r>
      <w:r>
        <w:t>)</w:t>
      </w:r>
      <w:r>
        <w:tab/>
      </w:r>
      <w:r>
        <w:rPr>
          <w:b/>
        </w:rPr>
        <w:t>Пособие по беременности</w:t>
      </w:r>
      <w:r>
        <w:t xml:space="preserve"> предоставляется будущей матери, которая застрахована или является бенефициаром, на месячной основе в денежной или натуральной форме в эквиваленте минимальной национальной заработной платы в течение четырех последних месяцев беременности, независимо от пособия, предоставляемого в связи с временной утратой трудоспособности по причине беременности;</w:t>
      </w:r>
    </w:p>
    <w:p w:rsidR="00000000" w:rsidRDefault="00000000">
      <w:pPr>
        <w:ind w:left="1134" w:hanging="1134"/>
      </w:pPr>
    </w:p>
    <w:p w:rsidR="00000000" w:rsidRDefault="00000000">
      <w:pPr>
        <w:ind w:left="1134" w:hanging="1134"/>
      </w:pPr>
      <w:r>
        <w:tab/>
      </w:r>
      <w:r>
        <w:rPr>
          <w:b/>
          <w:lang w:val="en-US"/>
        </w:rPr>
        <w:t>b)</w:t>
      </w:r>
      <w:r>
        <w:rPr>
          <w:b/>
        </w:rPr>
        <w:tab/>
        <w:t>Пособие в связи с родами</w:t>
      </w:r>
      <w:r>
        <w:t>:  на каждого родившегося ребенка мать получает пособие в размере минимальной национальной заработной платы;</w:t>
      </w:r>
    </w:p>
    <w:p w:rsidR="00000000" w:rsidRDefault="00000000">
      <w:pPr>
        <w:ind w:left="1134" w:hanging="1134"/>
      </w:pPr>
    </w:p>
    <w:p w:rsidR="00000000" w:rsidRDefault="00000000">
      <w:pPr>
        <w:ind w:left="1134" w:hanging="1134"/>
      </w:pPr>
      <w:r>
        <w:tab/>
      </w:r>
      <w:r>
        <w:rPr>
          <w:b/>
        </w:rPr>
        <w:t>с)</w:t>
      </w:r>
      <w:r>
        <w:rPr>
          <w:b/>
        </w:rPr>
        <w:tab/>
        <w:t>Пособие на кормление ребенка</w:t>
      </w:r>
      <w:r>
        <w:t>:  на каждого ребенка в течение первых 12 месяцев жизни ребенка предоставляются молочные и другие продукты на сумму, эквивалентную минимальной национальной заработной плате.</w:t>
      </w:r>
    </w:p>
    <w:p w:rsidR="00000000" w:rsidRDefault="00000000">
      <w:pPr>
        <w:ind w:left="1134" w:hanging="1134"/>
      </w:pPr>
    </w:p>
    <w:p w:rsidR="00000000" w:rsidRDefault="00000000">
      <w:pPr>
        <w:ind w:left="1134" w:hanging="1134"/>
        <w:rPr>
          <w:u w:val="single"/>
        </w:rPr>
      </w:pPr>
      <w:r>
        <w:rPr>
          <w:u w:val="single"/>
        </w:rPr>
        <w:t xml:space="preserve">Пункт 5 а) </w:t>
      </w:r>
      <w:r>
        <w:rPr>
          <w:u w:val="single"/>
          <w:lang w:val="en-US"/>
        </w:rPr>
        <w:t>ii)</w:t>
      </w:r>
    </w:p>
    <w:p w:rsidR="00000000" w:rsidRDefault="00000000">
      <w:pPr>
        <w:ind w:left="1134" w:hanging="1134"/>
        <w:rPr>
          <w:u w:val="single"/>
        </w:rPr>
      </w:pPr>
    </w:p>
    <w:p w:rsidR="00000000" w:rsidRDefault="00000000">
      <w:r>
        <w:t>228.</w:t>
      </w:r>
      <w:r>
        <w:tab/>
        <w:t>В соответствии со статьей 31 Общего закона о труде застрахованная имеет право на оплачиваемый отпуск по беременности и родам максимальной продолжительностью 45 дней до родов и 45 дней после родов, если, конечно, в этот период она не занимается какой</w:t>
      </w:r>
      <w:r>
        <w:noBreakHyphen/>
        <w:t>либо оплачиваемой работой.</w:t>
      </w:r>
    </w:p>
    <w:p w:rsidR="00000000" w:rsidRDefault="00000000"/>
    <w:p w:rsidR="00000000" w:rsidRDefault="00000000">
      <w:pPr>
        <w:rPr>
          <w:u w:val="single"/>
          <w:lang w:val="en-US"/>
        </w:rPr>
      </w:pPr>
      <w:r>
        <w:rPr>
          <w:u w:val="single"/>
        </w:rPr>
        <w:t xml:space="preserve">Пункт 5 а) </w:t>
      </w:r>
      <w:r>
        <w:rPr>
          <w:u w:val="single"/>
          <w:lang w:val="en-US"/>
        </w:rPr>
        <w:t>iii)</w:t>
      </w:r>
    </w:p>
    <w:p w:rsidR="00000000" w:rsidRDefault="00000000">
      <w:pPr>
        <w:rPr>
          <w:u w:val="single"/>
          <w:lang w:val="en-US"/>
        </w:rPr>
      </w:pPr>
    </w:p>
    <w:p w:rsidR="00000000" w:rsidRDefault="00000000">
      <w:pPr>
        <w:pStyle w:val="FootnoteText"/>
        <w:spacing w:line="288" w:lineRule="auto"/>
      </w:pPr>
      <w:r>
        <w:rPr>
          <w:lang w:val="en-US"/>
        </w:rPr>
        <w:t>229.</w:t>
      </w:r>
      <w:r>
        <w:rPr>
          <w:lang w:val="en-US"/>
        </w:rPr>
        <w:tab/>
      </w:r>
      <w:r>
        <w:t>Статья 23 Кодекса законов о социальном обеспечении гласит, что</w:t>
      </w:r>
      <w:r>
        <w:rPr>
          <w:lang w:val="en-US"/>
        </w:rPr>
        <w:t xml:space="preserve"> </w:t>
      </w:r>
      <w:r>
        <w:t>застрахованный,  супруга или сожительница застрахованного имеют в период до и после родов право на получение необходимой медицинской помощи.</w:t>
      </w:r>
    </w:p>
    <w:p w:rsidR="00000000" w:rsidRDefault="00000000">
      <w:pPr>
        <w:pStyle w:val="FootnoteText"/>
        <w:spacing w:line="288" w:lineRule="auto"/>
      </w:pPr>
    </w:p>
    <w:p w:rsidR="00000000" w:rsidRDefault="00000000">
      <w:pPr>
        <w:pStyle w:val="FootnoteText"/>
        <w:spacing w:line="288" w:lineRule="auto"/>
      </w:pPr>
      <w:r>
        <w:t>230.</w:t>
      </w:r>
      <w:r>
        <w:tab/>
        <w:t xml:space="preserve"> Что касается пособий в денежной форме, то Указ № 21637 от 25 июня 1987 года предусматривает предоставление следующих пособий:</w:t>
      </w:r>
    </w:p>
    <w:p w:rsidR="00000000" w:rsidRDefault="00000000">
      <w:pPr>
        <w:pStyle w:val="FootnoteText"/>
        <w:spacing w:line="288" w:lineRule="auto"/>
      </w:pPr>
    </w:p>
    <w:p w:rsidR="00000000" w:rsidRDefault="00000000">
      <w:pPr>
        <w:pStyle w:val="FootnoteText"/>
        <w:spacing w:line="288" w:lineRule="auto"/>
        <w:ind w:left="1134" w:hanging="1134"/>
      </w:pPr>
      <w:r>
        <w:tab/>
        <w:t>а)</w:t>
      </w:r>
      <w:r>
        <w:tab/>
        <w:t>пособие по беременности:  предоставляется в денежной или натуральной форме в эквиваленте минимальной национальной заработной платы в течение последних пяти месяцев беременности;</w:t>
      </w:r>
    </w:p>
    <w:p w:rsidR="00000000" w:rsidRDefault="00000000">
      <w:pPr>
        <w:pStyle w:val="FootnoteText"/>
        <w:spacing w:line="288" w:lineRule="auto"/>
        <w:ind w:left="1134" w:hanging="1134"/>
      </w:pPr>
    </w:p>
    <w:p w:rsidR="00000000" w:rsidRDefault="00000000">
      <w:pPr>
        <w:ind w:left="1134" w:hanging="1134"/>
      </w:pPr>
      <w:r>
        <w:tab/>
      </w:r>
      <w:r>
        <w:rPr>
          <w:lang w:val="en-US"/>
        </w:rPr>
        <w:t>b</w:t>
      </w:r>
      <w:r>
        <w:t>)</w:t>
      </w:r>
      <w:r>
        <w:tab/>
        <w:t>пособие в связи с родами:  на каждого родившегося ребенка мать получает пособие в размере минимальной национальной заработной платы;</w:t>
      </w:r>
    </w:p>
    <w:p w:rsidR="00000000" w:rsidRDefault="00000000">
      <w:pPr>
        <w:ind w:left="1134" w:hanging="1134"/>
      </w:pPr>
    </w:p>
    <w:p w:rsidR="00000000" w:rsidRDefault="00000000">
      <w:pPr>
        <w:ind w:left="1134" w:hanging="1134"/>
      </w:pPr>
      <w:r>
        <w:tab/>
        <w:t>с)</w:t>
      </w:r>
      <w:r>
        <w:rPr>
          <w:b/>
        </w:rPr>
        <w:tab/>
      </w:r>
      <w:r>
        <w:t>пособие на кормление ребенка:  на каждого ребенка в течение первых 12 месяцев жизни ребенка предоставляются молочные и другие продукты на сумму, эквивалентную минимальной национальной заработной плате.</w:t>
      </w:r>
    </w:p>
    <w:p w:rsidR="00000000" w:rsidRDefault="00000000">
      <w:pPr>
        <w:pStyle w:val="FootnoteText"/>
        <w:spacing w:line="288" w:lineRule="auto"/>
        <w:ind w:left="1134" w:hanging="1134"/>
      </w:pPr>
    </w:p>
    <w:p w:rsidR="00000000" w:rsidRDefault="00000000">
      <w:pPr>
        <w:pStyle w:val="FootnoteText"/>
        <w:spacing w:line="288" w:lineRule="auto"/>
        <w:ind w:left="1134" w:hanging="1134"/>
        <w:rPr>
          <w:u w:val="single"/>
          <w:lang w:val="en-US"/>
        </w:rPr>
      </w:pPr>
      <w:r>
        <w:rPr>
          <w:u w:val="single"/>
        </w:rPr>
        <w:t xml:space="preserve">Пункт 5 а) </w:t>
      </w:r>
      <w:r>
        <w:rPr>
          <w:u w:val="single"/>
          <w:lang w:val="en-US"/>
        </w:rPr>
        <w:t>iv)</w:t>
      </w:r>
    </w:p>
    <w:p w:rsidR="00000000" w:rsidRDefault="00000000">
      <w:pPr>
        <w:pStyle w:val="FootnoteText"/>
        <w:spacing w:line="288" w:lineRule="auto"/>
        <w:ind w:left="1134" w:hanging="1134"/>
        <w:rPr>
          <w:u w:val="single"/>
          <w:lang w:val="en-US"/>
        </w:rPr>
      </w:pPr>
    </w:p>
    <w:p w:rsidR="00000000" w:rsidRDefault="00000000">
      <w:pPr>
        <w:pStyle w:val="FootnoteText"/>
        <w:spacing w:line="288" w:lineRule="auto"/>
      </w:pPr>
      <w:r>
        <w:t>231.</w:t>
      </w:r>
      <w:r>
        <w:tab/>
        <w:t>После того, как в 1938 году социальные права были включены в Политическую конституцию социальные и трудовые гарантии, нашедшие воплощение в Общем законе о труде, Кодексе законов о социальном обеспечении и Семейном кодексе, обеспечивают населению бесплатный доступ к медицинскому обслуживанию и другим услугам.</w:t>
      </w:r>
    </w:p>
    <w:p w:rsidR="00000000" w:rsidRDefault="00000000">
      <w:pPr>
        <w:pStyle w:val="FootnoteText"/>
        <w:spacing w:line="288" w:lineRule="auto"/>
      </w:pPr>
    </w:p>
    <w:p w:rsidR="00000000" w:rsidRDefault="00000000">
      <w:pPr>
        <w:pStyle w:val="FootnoteText"/>
        <w:spacing w:line="288" w:lineRule="auto"/>
      </w:pPr>
      <w:r>
        <w:t>232.</w:t>
      </w:r>
      <w:r>
        <w:tab/>
        <w:t>В случае смерти ребенка в возрасте младше 19 лет, который имел статус бенефициара, его матери выплачивается единовременное пособие на погребение в размере минимальной заработной платы (статья 25 Указа № 121632 от 25 июня 1987 года;  статьи 51 и 52 Указа № 122578 от 12 августа 1990 года).</w:t>
      </w:r>
    </w:p>
    <w:p w:rsidR="00000000" w:rsidRDefault="00000000">
      <w:pPr>
        <w:pStyle w:val="FootnoteText"/>
        <w:spacing w:line="288" w:lineRule="auto"/>
      </w:pPr>
    </w:p>
    <w:p w:rsidR="00000000" w:rsidRDefault="00000000">
      <w:pPr>
        <w:pStyle w:val="FootnoteText"/>
        <w:spacing w:line="288" w:lineRule="auto"/>
        <w:rPr>
          <w:u w:val="single"/>
          <w:lang w:val="en-US"/>
        </w:rPr>
      </w:pPr>
      <w:r>
        <w:rPr>
          <w:u w:val="single"/>
        </w:rPr>
        <w:t xml:space="preserve">Пункт 5 </w:t>
      </w:r>
      <w:r>
        <w:rPr>
          <w:u w:val="single"/>
          <w:lang w:val="en-US"/>
        </w:rPr>
        <w:t>b)</w:t>
      </w:r>
    </w:p>
    <w:p w:rsidR="00000000" w:rsidRDefault="00000000">
      <w:pPr>
        <w:pStyle w:val="FootnoteText"/>
        <w:spacing w:line="288" w:lineRule="auto"/>
        <w:rPr>
          <w:u w:val="single"/>
          <w:lang w:val="en-US"/>
        </w:rPr>
      </w:pPr>
    </w:p>
    <w:p w:rsidR="00000000" w:rsidRDefault="00000000">
      <w:pPr>
        <w:pStyle w:val="FootnoteText"/>
        <w:spacing w:line="288" w:lineRule="auto"/>
      </w:pPr>
      <w:r>
        <w:rPr>
          <w:lang w:val="en-US"/>
        </w:rPr>
        <w:t>233</w:t>
      </w:r>
      <w:r>
        <w:t>.</w:t>
      </w:r>
      <w:r>
        <w:tab/>
        <w:t>В вводной части Указа № 124303 от 24 мая 1996 года, который озаглавлен "Страхование детей и беременных женщин", сказано, что все беременные женщины и все дети в возрасте до 5 лет имеют право на бесплатное медицинское обслуживание в любых медицинских учреждениях независимо от того, находятся они в ведении министерства здравоохранения и социального обеспечения или осуществляют частную практику.  С этой целью частное медицинское учреждение выставляет счета за оказанные услуги, которые оплачиваются местным муниципалитетом.  Эта система страхования женщин на случай родов и страхования детей предусматривает:  четыре медицинских осмотра в дородовый период, вакцинацию и предоставление лекарственных средств как женщине, так и младенцу, покрытие всех медицинских расходов в течение семи дней после родов и покрытие всех медицинских расходов в связи с лечением острых желудочных заболеваний и острых респираторных заболеваний у детей в возрасте до 5 лет.</w:t>
      </w:r>
    </w:p>
    <w:p w:rsidR="00000000" w:rsidRDefault="00000000">
      <w:pPr>
        <w:pStyle w:val="FootnoteText"/>
        <w:spacing w:line="288" w:lineRule="auto"/>
      </w:pPr>
    </w:p>
    <w:p w:rsidR="00000000" w:rsidRDefault="00000000">
      <w:pPr>
        <w:pStyle w:val="FootnoteText"/>
        <w:spacing w:line="288" w:lineRule="auto"/>
      </w:pPr>
      <w:r>
        <w:t>234.</w:t>
      </w:r>
      <w:r>
        <w:tab/>
        <w:t xml:space="preserve">В пункте </w:t>
      </w:r>
      <w:r>
        <w:rPr>
          <w:lang w:val="en-US"/>
        </w:rPr>
        <w:t>IV</w:t>
      </w:r>
      <w:r>
        <w:t xml:space="preserve"> (Льготное медицинское обслуживание женщин) главы 2 постановляющей части проекта постановления правительства от 27 апреля 1999 года заявляется, что все женщины имеют право на медицинское обслуживание в целях профилактики и лечения заболеваний и укрепления здоровья.</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Пункт 6</w:t>
      </w:r>
    </w:p>
    <w:p w:rsidR="00000000" w:rsidRDefault="00000000">
      <w:pPr>
        <w:pStyle w:val="FootnoteText"/>
        <w:spacing w:line="288" w:lineRule="auto"/>
        <w:rPr>
          <w:u w:val="single"/>
        </w:rPr>
      </w:pPr>
    </w:p>
    <w:p w:rsidR="00000000" w:rsidRDefault="00000000">
      <w:r>
        <w:t>235.</w:t>
      </w:r>
      <w:r>
        <w:tab/>
        <w:t>Общий закон о труде запрещает прием на работу лиц моложе 14 лет, исключение составляет труд по линии системы ученичества;  положение в этой области регулируется нормами и требованиями, касающимися практического обучения соответствующему ремеслу или профессии, при этом труд учеников может оплачиваться или не оплачиваться;  продолжительность учебы по линии этой системы не может превышать двух лет, и они должны предусматривать обязательное посещение школы.  Аналогичным образом запрещается применение труда несовершеннолетних на опасных, вредных и тяжелых работах, а также на работах, выполнение которых может причинить вред их нравственному развитию, при этом данный запрет распространяется на всех лиц моложе 18 лет.  Закон предусматривает, что лица моложе 18 лет могут привлекаться к работам только в светлое время суток.</w:t>
      </w:r>
    </w:p>
    <w:p w:rsidR="00000000" w:rsidRDefault="00000000"/>
    <w:p w:rsidR="00000000" w:rsidRDefault="00000000">
      <w:r>
        <w:t>236.</w:t>
      </w:r>
      <w:r>
        <w:tab/>
        <w:t>Приведенные изложения полностью соответствуют нормам, закрепленным в действующем Кодексе законов о несовершеннолетних.</w:t>
      </w:r>
    </w:p>
    <w:p w:rsidR="00000000" w:rsidRDefault="00000000"/>
    <w:p w:rsidR="00000000" w:rsidRDefault="00000000">
      <w:r>
        <w:t>237.</w:t>
      </w:r>
      <w:r>
        <w:tab/>
        <w:t xml:space="preserve">Защита детей от эксплуатации и охрана детского труда являются одной из главных целей МОТ и государства. </w:t>
      </w:r>
    </w:p>
    <w:p w:rsidR="00000000" w:rsidRDefault="00000000"/>
    <w:p w:rsidR="00000000" w:rsidRDefault="00000000">
      <w:r>
        <w:t>238.</w:t>
      </w:r>
      <w:r>
        <w:tab/>
        <w:t>Защита детей и обеспечение их благополучия являются одним из приоритетных направлений политики государства.  Программа оказания помощи детям (ППД) осуществляется в интересах детей старше шести лет, охватывая как сельские, так и городские районы страны.  Эта программа предусматривает проведение мероприятий в таких областях, как неформальное начальное образование;  общее развитие;  помощь продовольственными продуктами (питание) и раннее развитие способностей.  Она финансируется Межамериканским банком развития и Всемирным банком.</w:t>
      </w:r>
    </w:p>
    <w:p w:rsidR="00000000" w:rsidRDefault="00000000"/>
    <w:p w:rsidR="00000000" w:rsidRDefault="00000000">
      <w:r>
        <w:t>239.</w:t>
      </w:r>
      <w:r>
        <w:tab/>
        <w:t>Статья 136 Кодекса законов о несовершеннолетних, Закон № 1403, запрещает применение труда лиц моложе 18 лет на опасных и вредных работах и работах, выполнение которых может причинить вред их нравственному развитию;  с целью обеспечения соблюдения этого положения существуют инспекторы труда, которые подчинены министерству труда и обязаны на периодической основе проводить инспекции заводов и предприятий для выявления нарушений.  С этой же целью они оказывают помощь техническим подразделениям социальных служб департаментов в деле ведения регистра трудящихся-подростков.</w:t>
      </w:r>
    </w:p>
    <w:p w:rsidR="00000000" w:rsidRDefault="00000000"/>
    <w:p w:rsidR="00000000" w:rsidRDefault="00000000">
      <w:r>
        <w:rPr>
          <w:u w:val="single"/>
        </w:rPr>
        <w:t>Пункт 6 а)</w:t>
      </w:r>
    </w:p>
    <w:p w:rsidR="00000000" w:rsidRDefault="00000000"/>
    <w:p w:rsidR="00000000" w:rsidRDefault="00000000">
      <w:r>
        <w:t>240.</w:t>
      </w:r>
      <w:r>
        <w:tab/>
        <w:t>Согласно действующим правовым нормам (Общий закон о труде, статья 58) минимальный возраст для приема на работу составляет 14 лет.</w:t>
      </w:r>
    </w:p>
    <w:p w:rsidR="00000000" w:rsidRDefault="00000000"/>
    <w:p w:rsidR="00000000" w:rsidRDefault="00000000">
      <w:r>
        <w:t>241.</w:t>
      </w:r>
      <w:r>
        <w:tab/>
        <w:t xml:space="preserve">В соответствии с Общим законом о труде и Трудовым кодеком, статья 8, трудовые договоры могут заключаться лицами старше 18 лет. </w:t>
      </w:r>
    </w:p>
    <w:p w:rsidR="00000000" w:rsidRDefault="00000000"/>
    <w:p w:rsidR="00000000" w:rsidRDefault="00000000">
      <w:r>
        <w:t>242.</w:t>
      </w:r>
      <w:r>
        <w:tab/>
        <w:t>Для поступления на работу лицам в возрасте от 14 до 18 лет требуется разрешение родителей или попечителей либо инспектора труда.</w:t>
      </w:r>
    </w:p>
    <w:p w:rsidR="00000000" w:rsidRDefault="00000000"/>
    <w:p w:rsidR="00000000" w:rsidRDefault="00000000">
      <w:r>
        <w:t>243.</w:t>
      </w:r>
      <w:r>
        <w:tab/>
        <w:t>Статья 336 Кодекса законов о несовершеннолетних запрещает применение труда лиц моложе 18 лет на опасных и вредных работах и на работах, выполнение которых может причинить вред их нравственному развитию.</w:t>
      </w:r>
    </w:p>
    <w:p w:rsidR="00000000" w:rsidRDefault="00000000"/>
    <w:p w:rsidR="00000000" w:rsidRDefault="00000000">
      <w:r>
        <w:t>244.</w:t>
      </w:r>
      <w:r>
        <w:tab/>
        <w:t>Минимальный возраст для приема на работу, согласно Общему закону о труде, составляет 14 лет, в Кодексе законов о несовершеннолетних минимальный возраст для приема на работу не определяется, однако в нем содержатся ссылки на Закон о трудящихся, где определяются виды тяжелых и вредных работ, на которых применение детского труда запрещено.</w:t>
      </w:r>
    </w:p>
    <w:p w:rsidR="00000000" w:rsidRDefault="00000000"/>
    <w:p w:rsidR="00000000" w:rsidRDefault="00000000">
      <w:pPr>
        <w:rPr>
          <w:u w:val="single"/>
          <w:lang w:val="en-US"/>
        </w:rPr>
      </w:pPr>
      <w:r>
        <w:rPr>
          <w:u w:val="single"/>
        </w:rPr>
        <w:t xml:space="preserve">Пункт 6 </w:t>
      </w:r>
      <w:r>
        <w:rPr>
          <w:u w:val="single"/>
          <w:lang w:val="en-US"/>
        </w:rPr>
        <w:t>b)</w:t>
      </w:r>
    </w:p>
    <w:p w:rsidR="00000000" w:rsidRDefault="00000000">
      <w:pPr>
        <w:rPr>
          <w:u w:val="single"/>
          <w:lang w:val="en-US"/>
        </w:rPr>
      </w:pPr>
    </w:p>
    <w:p w:rsidR="00000000" w:rsidRDefault="00000000">
      <w:r>
        <w:t>245.</w:t>
      </w:r>
      <w:r>
        <w:tab/>
        <w:t>В 1999 году численность населения Боливии равнялась 8 137 113 человек, из которых 1 592 051 человек, или 19,5% общей численности населения страны, составляли дети в возрасте от 7 до 14 лет.  В составе этой группы  369 385 детей относились к категории экономически активного населения.</w:t>
      </w:r>
    </w:p>
    <w:p w:rsidR="00000000" w:rsidRDefault="00000000"/>
    <w:p w:rsidR="00000000" w:rsidRDefault="00000000">
      <w:r>
        <w:t>246.</w:t>
      </w:r>
      <w:r>
        <w:tab/>
        <w:t>Согласно данным последней переписи населения и жилищного фонда Боливии, проведенной в 1992 году, показатели экономической активности населения, т.е. доли экономически активного населения в общей численности населения, в разбивке по возрастным группам являются следующими:</w:t>
      </w:r>
    </w:p>
    <w:p w:rsidR="00000000" w:rsidRDefault="00000000"/>
    <w:p w:rsidR="00000000" w:rsidRDefault="00000000">
      <w:pPr>
        <w:ind w:left="1134" w:hanging="1134"/>
      </w:pPr>
      <w:r>
        <w:tab/>
        <w:t>а)</w:t>
      </w:r>
      <w:r>
        <w:tab/>
      </w:r>
      <w:r>
        <w:rPr>
          <w:b/>
        </w:rPr>
        <w:t>дети (7 – 9 лет).</w:t>
      </w:r>
      <w:r>
        <w:t xml:space="preserve">  Доля экономически активного детского населения, т.е. детей в возрасте 7-9 лет, в общей численности населения этой возрастной группы (показатель экономической активности) составляет 7,2%.  В городских районах этот показатель равняется 1,6%, а в сельских районах – 13,7%;</w:t>
      </w:r>
    </w:p>
    <w:p w:rsidR="00000000" w:rsidRDefault="00000000">
      <w:pPr>
        <w:ind w:left="1134" w:hanging="1134"/>
      </w:pPr>
    </w:p>
    <w:p w:rsidR="00000000" w:rsidRDefault="00000000">
      <w:pPr>
        <w:ind w:left="1134" w:hanging="1134"/>
      </w:pPr>
      <w:r>
        <w:tab/>
      </w:r>
      <w:r>
        <w:rPr>
          <w:lang w:val="en-US"/>
        </w:rPr>
        <w:t>b)</w:t>
      </w:r>
      <w:r>
        <w:rPr>
          <w:lang w:val="en-US"/>
        </w:rPr>
        <w:tab/>
      </w:r>
      <w:r>
        <w:rPr>
          <w:b/>
        </w:rPr>
        <w:t xml:space="preserve">подростки (10-19 лет).  </w:t>
      </w:r>
      <w:r>
        <w:t>Показатель экономической активности</w:t>
      </w:r>
      <w:r>
        <w:rPr>
          <w:b/>
        </w:rPr>
        <w:t xml:space="preserve"> </w:t>
      </w:r>
      <w:r>
        <w:t>для населения этой возрастной группы (10</w:t>
      </w:r>
      <w:r>
        <w:noBreakHyphen/>
        <w:t>19 лет) составляет 26,6%, при этом в городских районах он равняется 17,8%, а в сельских районах – 40,1%.</w:t>
      </w:r>
    </w:p>
    <w:p w:rsidR="00000000" w:rsidRDefault="00000000">
      <w:pPr>
        <w:ind w:left="1134" w:hanging="1134"/>
      </w:pPr>
    </w:p>
    <w:p w:rsidR="00000000" w:rsidRDefault="00000000">
      <w:r>
        <w:rPr>
          <w:u w:val="single"/>
        </w:rPr>
        <w:t>Пункт 6 с</w:t>
      </w:r>
      <w:r>
        <w:t>)</w:t>
      </w:r>
    </w:p>
    <w:p w:rsidR="00000000" w:rsidRDefault="00000000"/>
    <w:p w:rsidR="00000000" w:rsidRDefault="00000000">
      <w:r>
        <w:t>247.</w:t>
      </w:r>
      <w:r>
        <w:tab/>
        <w:t>Численность экономически активного детского населения в возрасте от 7 до 14 лет в городских районах составляет 70 057 человек (большинство детей занято в неформальном секторе), а в сельских районах – 299 328 человек (они заняты в основном на сельскохозяйственных работах), что в сумме дает 369 385 человек.</w:t>
      </w:r>
    </w:p>
    <w:p w:rsidR="00000000" w:rsidRDefault="00000000"/>
    <w:p w:rsidR="00000000" w:rsidRDefault="00000000">
      <w:r>
        <w:t>248.</w:t>
      </w:r>
      <w:r>
        <w:tab/>
        <w:t>Охрана труда несовершеннолетних:  защита несовершеннолетнего, который в силу экономической необходимости вынужден заниматься трудовой деятельностью для покрытия своих расходов, гарантируется положениями Общего закона о труде, а также нормами, закрепленными в шестой главе Кодекса законов о несовершеннолетних.</w:t>
      </w:r>
    </w:p>
    <w:p w:rsidR="00000000" w:rsidRDefault="00000000"/>
    <w:p w:rsidR="00000000" w:rsidRDefault="00000000">
      <w:r>
        <w:t>249.</w:t>
      </w:r>
      <w:r>
        <w:tab/>
        <w:t>Под несовершеннолетним трудящимся понимается лицо, занимающееся продуктивной деятельностью или предоставляющее услуги материального, интеллектуального или иного характера, получая при этом доход в какой бы то ни было форме, или выполняющее оплачиваемые работы на общинных и/или семейных предприятиях сельского и рыбного хозяйства (статья 133).</w:t>
      </w:r>
    </w:p>
    <w:p w:rsidR="00000000" w:rsidRDefault="00000000"/>
    <w:p w:rsidR="00000000" w:rsidRDefault="00000000">
      <w:r>
        <w:t>250.</w:t>
      </w:r>
      <w:r>
        <w:tab/>
        <w:t>Соответствующие показатели по профессиональным группам экономически активного населения являются следующими:</w:t>
      </w:r>
    </w:p>
    <w:p w:rsidR="00000000" w:rsidRDefault="00000000">
      <w:pPr>
        <w:pStyle w:val="FootnoteText"/>
        <w:spacing w:line="288" w:lineRule="auto"/>
      </w:pPr>
    </w:p>
    <w:p w:rsidR="00000000" w:rsidRDefault="00000000">
      <w:pPr>
        <w:rPr>
          <w:b/>
        </w:rPr>
      </w:pPr>
      <w:r>
        <w:rPr>
          <w:b/>
        </w:rPr>
        <w:t>а)</w:t>
      </w:r>
      <w:r>
        <w:rPr>
          <w:b/>
        </w:rPr>
        <w:tab/>
        <w:t>Лица, бесплатно работающие на семейных предприятиях:</w:t>
      </w:r>
    </w:p>
    <w:p w:rsidR="00000000" w:rsidRDefault="00000000">
      <w:pPr>
        <w:pStyle w:val="FootnoteText"/>
        <w:spacing w:line="288" w:lineRule="auto"/>
      </w:pPr>
    </w:p>
    <w:p w:rsidR="00000000" w:rsidRDefault="00000000">
      <w:pPr>
        <w:tabs>
          <w:tab w:val="clear" w:pos="567"/>
          <w:tab w:val="clear" w:pos="1134"/>
          <w:tab w:val="right" w:pos="851"/>
          <w:tab w:val="left" w:pos="1276"/>
        </w:tabs>
        <w:ind w:left="1276" w:hanging="1276"/>
      </w:pPr>
      <w:r>
        <w:tab/>
        <w:t>i)</w:t>
      </w:r>
      <w:r>
        <w:tab/>
      </w:r>
      <w:r>
        <w:rPr>
          <w:b/>
        </w:rPr>
        <w:t>дети (7</w:t>
      </w:r>
      <w:r>
        <w:rPr>
          <w:b/>
        </w:rPr>
        <w:noBreakHyphen/>
        <w:t>9 лет)</w:t>
      </w:r>
      <w:r>
        <w:t>.  Доля детей в возрасте 7</w:t>
      </w:r>
      <w:r>
        <w:noBreakHyphen/>
        <w:t>9 лет, бесплатно работающих на семейных предприятиях, составляет в этой возрастной группе 53,5%, при этом соответствующий показатель по городам равняется 25,2%, а по сельским районам – 56,1%;</w:t>
      </w:r>
    </w:p>
    <w:p w:rsidR="00000000" w:rsidRDefault="00000000">
      <w:pPr>
        <w:tabs>
          <w:tab w:val="clear" w:pos="567"/>
          <w:tab w:val="clear" w:pos="1134"/>
          <w:tab w:val="right" w:pos="851"/>
          <w:tab w:val="left" w:pos="1276"/>
        </w:tabs>
        <w:ind w:left="1276" w:hanging="1276"/>
      </w:pPr>
    </w:p>
    <w:p w:rsidR="00000000" w:rsidRDefault="00000000">
      <w:pPr>
        <w:tabs>
          <w:tab w:val="clear" w:pos="567"/>
          <w:tab w:val="clear" w:pos="1134"/>
          <w:tab w:val="right" w:pos="851"/>
          <w:tab w:val="left" w:pos="1276"/>
        </w:tabs>
        <w:ind w:left="1276" w:hanging="1276"/>
      </w:pPr>
      <w:r>
        <w:tab/>
      </w:r>
      <w:proofErr w:type="spellStart"/>
      <w:r>
        <w:t>ii</w:t>
      </w:r>
      <w:proofErr w:type="spellEnd"/>
      <w:r>
        <w:t>)</w:t>
      </w:r>
      <w:r>
        <w:tab/>
      </w:r>
      <w:r>
        <w:rPr>
          <w:b/>
        </w:rPr>
        <w:t>подростки (10-19 лет)</w:t>
      </w:r>
      <w:r>
        <w:t>.  Доля подростков в возрасте от 10 до 19 лет, бесплатно работающих на семейных предприятиях, составляет в этой возрастной группе 22,0%, при этом в городах она равняется 4,2%, а в сельских районах – 34,8%;</w:t>
      </w:r>
    </w:p>
    <w:p w:rsidR="00000000" w:rsidRDefault="00000000">
      <w:pPr>
        <w:pStyle w:val="FootnoteText"/>
        <w:tabs>
          <w:tab w:val="left" w:pos="567"/>
        </w:tabs>
        <w:spacing w:line="288" w:lineRule="auto"/>
      </w:pPr>
    </w:p>
    <w:p w:rsidR="00000000" w:rsidRDefault="00000000">
      <w:pPr>
        <w:tabs>
          <w:tab w:val="left" w:pos="567"/>
        </w:tabs>
      </w:pPr>
      <w:r>
        <w:rPr>
          <w:b/>
        </w:rPr>
        <w:t>b)</w:t>
      </w:r>
      <w:r>
        <w:rPr>
          <w:b/>
        </w:rPr>
        <w:tab/>
        <w:t>Самозанятые:</w:t>
      </w:r>
    </w:p>
    <w:p w:rsidR="00000000" w:rsidRDefault="00000000">
      <w:pPr>
        <w:pStyle w:val="FootnoteText"/>
        <w:tabs>
          <w:tab w:val="left" w:pos="567"/>
        </w:tabs>
        <w:spacing w:line="288" w:lineRule="auto"/>
      </w:pPr>
    </w:p>
    <w:p w:rsidR="00000000" w:rsidRDefault="00000000">
      <w:pPr>
        <w:tabs>
          <w:tab w:val="clear" w:pos="567"/>
          <w:tab w:val="clear" w:pos="1134"/>
          <w:tab w:val="right" w:pos="851"/>
          <w:tab w:val="left" w:pos="1276"/>
        </w:tabs>
        <w:ind w:left="1276" w:hanging="1276"/>
      </w:pPr>
      <w:r>
        <w:tab/>
        <w:t>i)</w:t>
      </w:r>
      <w:r>
        <w:tab/>
      </w:r>
      <w:r>
        <w:rPr>
          <w:b/>
        </w:rPr>
        <w:t>дети (7-9 лет)</w:t>
      </w:r>
      <w:r>
        <w:t>.  Доля детей в возрасте от 7 до 9 лет, которые, по их утверждениям, являются самозанятыми, составляет в общей численности детского населения страны 37,0%, при этом в городах она равняется 25,2%, а в сельских районах – 38,4%;</w:t>
      </w:r>
    </w:p>
    <w:p w:rsidR="00000000" w:rsidRDefault="00000000">
      <w:pPr>
        <w:tabs>
          <w:tab w:val="clear" w:pos="567"/>
          <w:tab w:val="clear" w:pos="1134"/>
          <w:tab w:val="right" w:pos="851"/>
          <w:tab w:val="left" w:pos="1276"/>
        </w:tabs>
        <w:ind w:left="1276" w:hanging="1276"/>
      </w:pPr>
    </w:p>
    <w:p w:rsidR="00000000" w:rsidRDefault="00000000">
      <w:pPr>
        <w:tabs>
          <w:tab w:val="clear" w:pos="567"/>
          <w:tab w:val="clear" w:pos="1134"/>
          <w:tab w:val="right" w:pos="851"/>
          <w:tab w:val="left" w:pos="1276"/>
        </w:tabs>
        <w:ind w:left="1276" w:hanging="1276"/>
      </w:pPr>
      <w:r>
        <w:tab/>
        <w:t>ii)</w:t>
      </w:r>
      <w:r>
        <w:tab/>
      </w:r>
      <w:r>
        <w:rPr>
          <w:b/>
        </w:rPr>
        <w:t>подростки (10-19 лет)</w:t>
      </w:r>
      <w:r>
        <w:t>.  Доля подростков в возрасте от 10 до 19 лет, которые, по утверждениям, являются самозанятыми, составляет в общей численности населения подросткового возраста 33,9%, при этом в городах она равняется 14,9%, а в сельских районах – 47,5%.</w:t>
      </w:r>
    </w:p>
    <w:p w:rsidR="00000000" w:rsidRDefault="00000000">
      <w:pPr>
        <w:tabs>
          <w:tab w:val="right" w:pos="567"/>
        </w:tabs>
      </w:pPr>
    </w:p>
    <w:p w:rsidR="00000000" w:rsidRDefault="00000000">
      <w:pPr>
        <w:tabs>
          <w:tab w:val="left" w:pos="567"/>
        </w:tabs>
      </w:pPr>
      <w:r>
        <w:rPr>
          <w:u w:val="single"/>
        </w:rPr>
        <w:t>Пункт 6 d</w:t>
      </w:r>
      <w:r>
        <w:t>)</w:t>
      </w:r>
    </w:p>
    <w:p w:rsidR="00000000" w:rsidRDefault="00000000">
      <w:pPr>
        <w:tabs>
          <w:tab w:val="left" w:pos="567"/>
        </w:tabs>
      </w:pPr>
    </w:p>
    <w:p w:rsidR="00000000" w:rsidRDefault="00000000">
      <w:pPr>
        <w:tabs>
          <w:tab w:val="left" w:pos="567"/>
        </w:tabs>
      </w:pPr>
      <w:r>
        <w:t>251.</w:t>
      </w:r>
      <w:r>
        <w:tab/>
        <w:t>Попечительство является институтом защиты несовершеннолетних, которые лишились родителей или родители которых были признаны недееспособными.  Попечительство представляет собой форму устройства детей с целью заботы об их здоровье, их образования и управления их имуществом в случае утраты родителей.</w:t>
      </w:r>
    </w:p>
    <w:p w:rsidR="00000000" w:rsidRDefault="00000000">
      <w:pPr>
        <w:tabs>
          <w:tab w:val="left" w:pos="567"/>
        </w:tabs>
      </w:pPr>
    </w:p>
    <w:p w:rsidR="00000000" w:rsidRDefault="00000000">
      <w:pPr>
        <w:tabs>
          <w:tab w:val="left" w:pos="567"/>
        </w:tabs>
      </w:pPr>
      <w:r>
        <w:t>252.</w:t>
      </w:r>
      <w:r>
        <w:tab/>
        <w:t>Основные права несовершеннолетних, в том числе право на жизнь и здоровье, закреплены в соответствующих положениях Кодекса законов о несовершеннолетних.  В его первом разделе, который состоит из одной главы, установлены гарантии защиты прав несовершеннолетнего на жизнь и здоровье и содержатся положения, касающиеся охраны материнства, вскармливание ребенка материнским молоком, программ профилактики заболеваний, защиты несовершеннолетних инвалидов, а также специальных и преференциальных режимов оказания им помощи.</w:t>
      </w:r>
    </w:p>
    <w:p w:rsidR="00000000" w:rsidRDefault="00000000">
      <w:pPr>
        <w:tabs>
          <w:tab w:val="left" w:pos="567"/>
        </w:tabs>
      </w:pPr>
    </w:p>
    <w:p w:rsidR="00000000" w:rsidRDefault="00000000">
      <w:pPr>
        <w:tabs>
          <w:tab w:val="left" w:pos="567"/>
        </w:tabs>
      </w:pPr>
      <w:r>
        <w:t>253.</w:t>
      </w:r>
      <w:r>
        <w:tab/>
        <w:t>Показатели проживания детей вместе со своими родителями являются следующими:  трое из каждых четырех детей младше 15 лет проживают вместе со своими двумя родителями (76%).  В сельских районах этот показатель несколько выше, чем в городах.  С другой стороны, 5% несовершеннолетних в возрасте 15 лет живут отдельно от своих родителей.</w:t>
      </w:r>
    </w:p>
    <w:p w:rsidR="00000000" w:rsidRDefault="00000000">
      <w:pPr>
        <w:tabs>
          <w:tab w:val="left" w:pos="567"/>
        </w:tabs>
      </w:pPr>
    </w:p>
    <w:p w:rsidR="00000000" w:rsidRDefault="00000000">
      <w:pPr>
        <w:tabs>
          <w:tab w:val="left" w:pos="567"/>
        </w:tabs>
      </w:pPr>
      <w:r>
        <w:t>254.</w:t>
      </w:r>
      <w:r>
        <w:tab/>
        <w:t>Что касается положения в отдельных департаментах, то особо следует выделить департамент Оруро, где все дети младше 15 лет живут с обоими родителями, и департаменты Бени и Пандо, где эта доля значительно ниже (соответственно 83 и 67%).</w:t>
      </w:r>
    </w:p>
    <w:p w:rsidR="00000000" w:rsidRDefault="00000000">
      <w:pPr>
        <w:tabs>
          <w:tab w:val="left" w:pos="567"/>
        </w:tabs>
      </w:pPr>
    </w:p>
    <w:p w:rsidR="00000000" w:rsidRDefault="00000000">
      <w:pPr>
        <w:tabs>
          <w:tab w:val="left" w:pos="567"/>
        </w:tabs>
      </w:pPr>
      <w:r>
        <w:t>255.</w:t>
      </w:r>
      <w:r>
        <w:tab/>
        <w:t>Доля несовершеннолетних в возрасте 15 лет, проживающих только с матерью, значительно выше доли несовершеннолетних, проживающих только с отцом (соответственно 14 и 3%).</w:t>
      </w:r>
    </w:p>
    <w:p w:rsidR="00000000" w:rsidRDefault="00000000">
      <w:pPr>
        <w:tabs>
          <w:tab w:val="left" w:pos="567"/>
        </w:tabs>
      </w:pPr>
    </w:p>
    <w:p w:rsidR="00000000" w:rsidRDefault="00000000">
      <w:pPr>
        <w:tabs>
          <w:tab w:val="left" w:pos="567"/>
        </w:tabs>
      </w:pPr>
      <w:r>
        <w:t>256.</w:t>
      </w:r>
      <w:r>
        <w:tab/>
        <w:t>Между показателями уровня бедности различных муниципалитетов и совместного проживания детей с обоими родителями существует прямая связь.  Доля несовершеннолетних в возрасте 15 лет, проживающих с обоими родителями, в менее бедных муниципалитетах составляет 73%, а в более бедных – 82%.</w:t>
      </w:r>
    </w:p>
    <w:p w:rsidR="00000000" w:rsidRDefault="00000000">
      <w:pPr>
        <w:tabs>
          <w:tab w:val="left" w:pos="567"/>
        </w:tabs>
      </w:pPr>
    </w:p>
    <w:p w:rsidR="00000000" w:rsidRDefault="00000000">
      <w:pPr>
        <w:tabs>
          <w:tab w:val="left" w:pos="567"/>
        </w:tabs>
      </w:pPr>
      <w:r>
        <w:t>257.</w:t>
      </w:r>
      <w:r>
        <w:tab/>
        <w:t>Что касается общенационального уровня, то в 8% семей имеется по крайней мере один приемный или взятый на воспитание ребенок, который не проживает со своими родителями.  В сельских районах этот показатель несколько выше (9%).</w:t>
      </w:r>
    </w:p>
    <w:p w:rsidR="00000000" w:rsidRDefault="00000000">
      <w:pPr>
        <w:tabs>
          <w:tab w:val="left" w:pos="567"/>
        </w:tabs>
      </w:pPr>
    </w:p>
    <w:p w:rsidR="00000000" w:rsidRDefault="00000000">
      <w:pPr>
        <w:tabs>
          <w:tab w:val="left" w:pos="567"/>
        </w:tabs>
      </w:pPr>
      <w:r>
        <w:t>258.</w:t>
      </w:r>
      <w:r>
        <w:tab/>
        <w:t>Раздел действующего Кодекса законов о несовершеннолетних, озаглавленный "От права к практической защите в сфере трудовых отношений", обеспечивает равную защиту всем детям, причем этим вопросам посвящен специальный подраздел "Труд несовершеннолетних, работающих по найму, и труд несовершеннолетних, занятых на семейных предприятиях".  Что касается детей-сирот, то они находятся на попечении и под защитой государства, которое в целях обеспечения этим детям технического образования создало несколько приютов, хотя при этом следует признать, что такого рода учебных заведений для населения в целом в стране не хватает.</w:t>
      </w:r>
    </w:p>
    <w:p w:rsidR="00000000" w:rsidRDefault="00000000">
      <w:pPr>
        <w:tabs>
          <w:tab w:val="left" w:pos="567"/>
        </w:tabs>
      </w:pPr>
    </w:p>
    <w:p w:rsidR="00000000" w:rsidRDefault="00000000">
      <w:pPr>
        <w:tabs>
          <w:tab w:val="left" w:pos="567"/>
        </w:tabs>
      </w:pPr>
      <w:r>
        <w:t>259.</w:t>
      </w:r>
      <w:r>
        <w:tab/>
        <w:t>Что касается детей-инвалидов, то существуют нормативные рамки (Закон об инвалидах), которые обеспечивают защиту трудящихся, и созданы департаментские комиссии по вопросам защиты прав инвалидов.  Кроме того, несмотря на существование специального закона, посвященного правам инвалидов, недавно начала проводиться политика в области профессиональной реабилитации и ускоренной интеграции инвалидов, особенно лиц с задержками в развитии, в производственный процесс.</w:t>
      </w:r>
    </w:p>
    <w:p w:rsidR="00000000" w:rsidRDefault="00000000">
      <w:pPr>
        <w:tabs>
          <w:tab w:val="left" w:pos="567"/>
        </w:tabs>
      </w:pPr>
    </w:p>
    <w:p w:rsidR="00000000" w:rsidRDefault="00000000">
      <w:pPr>
        <w:tabs>
          <w:tab w:val="left" w:pos="567"/>
        </w:tabs>
      </w:pPr>
      <w:r>
        <w:rPr>
          <w:u w:val="single"/>
        </w:rPr>
        <w:t>Пункт 6 е</w:t>
      </w:r>
      <w:r>
        <w:t>)</w:t>
      </w:r>
    </w:p>
    <w:p w:rsidR="00000000" w:rsidRDefault="00000000">
      <w:pPr>
        <w:tabs>
          <w:tab w:val="left" w:pos="567"/>
        </w:tabs>
      </w:pPr>
    </w:p>
    <w:p w:rsidR="00000000" w:rsidRDefault="00000000">
      <w:pPr>
        <w:tabs>
          <w:tab w:val="left" w:pos="567"/>
        </w:tabs>
      </w:pPr>
      <w:r>
        <w:t>260.</w:t>
      </w:r>
      <w:r>
        <w:tab/>
        <w:t>В Кодексе законов о несовершеннолетних закреплены следующие права ребенка:  право на уважение личности и достоинство, право на покровительство и защиту, право на образование и культуру.</w:t>
      </w:r>
    </w:p>
    <w:p w:rsidR="00000000" w:rsidRDefault="00000000">
      <w:pPr>
        <w:tabs>
          <w:tab w:val="left" w:pos="567"/>
        </w:tabs>
      </w:pPr>
    </w:p>
    <w:p w:rsidR="00000000" w:rsidRDefault="00000000">
      <w:pPr>
        <w:tabs>
          <w:tab w:val="left" w:pos="567"/>
        </w:tabs>
      </w:pPr>
      <w:r>
        <w:t>261.</w:t>
      </w:r>
      <w:r>
        <w:tab/>
        <w:t>В настоящее время при муниципалитетах создаются Управления по защите прав детей и подростков, в задачу которых входит поощрение прав детей и подростков.  С учетом того, что муниципалитеты являются первой инстанцией, в которую за помощью обращаются граждане, они ближе всего находятся к народу и должны проводить деятельность по поощрению всех прав.</w:t>
      </w:r>
    </w:p>
    <w:p w:rsidR="00000000" w:rsidRDefault="00000000">
      <w:pPr>
        <w:tabs>
          <w:tab w:val="left" w:pos="567"/>
        </w:tabs>
      </w:pPr>
    </w:p>
    <w:p w:rsidR="00000000" w:rsidRDefault="00000000">
      <w:pPr>
        <w:tabs>
          <w:tab w:val="left" w:pos="567"/>
        </w:tabs>
      </w:pPr>
      <w:r>
        <w:rPr>
          <w:u w:val="single"/>
        </w:rPr>
        <w:t>Пункт 6 f</w:t>
      </w:r>
      <w:r>
        <w:t>)</w:t>
      </w:r>
    </w:p>
    <w:p w:rsidR="00000000" w:rsidRDefault="00000000">
      <w:pPr>
        <w:tabs>
          <w:tab w:val="left" w:pos="567"/>
        </w:tabs>
      </w:pPr>
    </w:p>
    <w:p w:rsidR="00000000" w:rsidRDefault="00000000">
      <w:pPr>
        <w:tabs>
          <w:tab w:val="left" w:pos="567"/>
        </w:tabs>
      </w:pPr>
      <w:r>
        <w:t>262.</w:t>
      </w:r>
      <w:r>
        <w:tab/>
        <w:t>Что касается главных причин и последствий детского труда, то можно выделить четыре неразрывно связанных друг с другом основных элемента.  Во</w:t>
      </w:r>
      <w:r>
        <w:noBreakHyphen/>
        <w:t>первых, это нищета страны, которая является первопричиной других негативных факторов (переполненность жилищ, многодетные семьи, низкий уровень образования и т.д.).  С другой стороны, это миграция, качество образования и, наконец, культурные аспекты, к которым можно отнести распад и дезорганизацию семей.  На предотвращение детского труда направлен стратегический план правительства, разработанный министерством труда и по вопросам микропредприятий в соответствии с рекомендацией МОТ, а также поправки к Общему закону о труде и новый Кодекс законов о несовершеннолетних.</w:t>
      </w:r>
    </w:p>
    <w:p w:rsidR="00000000" w:rsidRDefault="00000000">
      <w:pPr>
        <w:tabs>
          <w:tab w:val="left" w:pos="567"/>
        </w:tabs>
      </w:pPr>
    </w:p>
    <w:p w:rsidR="00000000" w:rsidRDefault="00000000">
      <w:pPr>
        <w:tabs>
          <w:tab w:val="left" w:pos="567"/>
        </w:tabs>
      </w:pPr>
      <w:r>
        <w:t>263.</w:t>
      </w:r>
      <w:r>
        <w:tab/>
        <w:t>Бедность, уровень которой в нашей стране является одним из самых высоких в Латинской Америке, имеет социально-экономические последствия для детского населения, особенно в наиболее бедных районах, промышленных городах, как то Санта</w:t>
      </w:r>
      <w:r>
        <w:noBreakHyphen/>
        <w:t xml:space="preserve">Крус, Кочабамба, Ла-Пас, и горнорудных центрах, например </w:t>
      </w:r>
      <w:proofErr w:type="spellStart"/>
      <w:r>
        <w:t>Оруро</w:t>
      </w:r>
      <w:proofErr w:type="spellEnd"/>
      <w:r>
        <w:t xml:space="preserve"> и Потоси, где соответствующий показатель является одним из самых высоких.</w:t>
      </w:r>
    </w:p>
    <w:p w:rsidR="00000000" w:rsidRDefault="00000000">
      <w:pPr>
        <w:tabs>
          <w:tab w:val="left" w:pos="567"/>
        </w:tabs>
      </w:pPr>
    </w:p>
    <w:p w:rsidR="00000000" w:rsidRDefault="00000000">
      <w:pPr>
        <w:tabs>
          <w:tab w:val="left" w:pos="567"/>
        </w:tabs>
      </w:pPr>
      <w:r>
        <w:t>264.</w:t>
      </w:r>
      <w:r>
        <w:tab/>
        <w:t>Правительство Боливии разработало политику в области защиты несовершеннолетних, задача которой состоит в том, чтобы охватить системой защиты все детское население.</w:t>
      </w:r>
    </w:p>
    <w:p w:rsidR="00000000" w:rsidRDefault="00000000">
      <w:pPr>
        <w:tabs>
          <w:tab w:val="left" w:pos="567"/>
        </w:tabs>
      </w:pPr>
    </w:p>
    <w:p w:rsidR="00000000" w:rsidRDefault="00000000">
      <w:pPr>
        <w:tabs>
          <w:tab w:val="left" w:pos="567"/>
        </w:tabs>
      </w:pPr>
      <w:r>
        <w:t>265.</w:t>
      </w:r>
      <w:r>
        <w:tab/>
        <w:t xml:space="preserve">Боливийские дети живут в чрезвычайно трудных условиях, причем в отдаленных от городов районах, которые не охвачены мероприятиями по линии системы защиты семьи, положение является еще более неблагоприятным, в связи с чем государство в настоящее время проводит работу с целью выявления детей, в наибольшей степени нуждающихся в помощи соответствующих учреждений в области медицинского обслуживания, питания и образования.  Дети, работающие в городах и сельских районах, охвачены системой защиты, созданной в соответствии с Кодексом законов о несовершеннолетних, который является основой для недопущения эксплуатации детского труда на государственных и частных предприятиях.  В качестве примера можно привести выдачу бесплатного молока и завтраков уличным разносчикам газет и детям </w:t>
      </w:r>
      <w:r>
        <w:noBreakHyphen/>
        <w:t xml:space="preserve"> чистильщикам обуви, которые материально помогают своим семьям.</w:t>
      </w:r>
    </w:p>
    <w:p w:rsidR="00000000" w:rsidRDefault="00000000">
      <w:pPr>
        <w:tabs>
          <w:tab w:val="left" w:pos="567"/>
        </w:tabs>
      </w:pPr>
    </w:p>
    <w:p w:rsidR="00000000" w:rsidRDefault="00000000">
      <w:pPr>
        <w:tabs>
          <w:tab w:val="left" w:pos="567"/>
        </w:tabs>
      </w:pPr>
      <w:r>
        <w:t>266.</w:t>
      </w:r>
      <w:r>
        <w:tab/>
        <w:t>В сельских районах, где дети вместе со своими родителями и родственниками работают в сельском хозяйстве, случаи оставления детей без присмотра довольно редки, однако число случаев жестокого обращения с несовершеннолетними, согласно информации большинства социальных работников, осуществляющих деятельность в этих районах, вызывает тревогу.</w:t>
      </w:r>
    </w:p>
    <w:p w:rsidR="00000000" w:rsidRDefault="00000000">
      <w:pPr>
        <w:tabs>
          <w:tab w:val="left" w:pos="567"/>
        </w:tabs>
      </w:pPr>
    </w:p>
    <w:p w:rsidR="00000000" w:rsidRDefault="00000000">
      <w:pPr>
        <w:tabs>
          <w:tab w:val="left" w:pos="567"/>
        </w:tabs>
      </w:pPr>
      <w:r>
        <w:t>267.</w:t>
      </w:r>
      <w:r>
        <w:tab/>
        <w:t>В настоящее время в политике Боливии в области защиты детей наметился переход от доктрины принятия разовых мер к доктрине комплексной защиты, основными элементами которой являются:</w:t>
      </w:r>
    </w:p>
    <w:p w:rsidR="00000000" w:rsidRDefault="00000000">
      <w:pPr>
        <w:tabs>
          <w:tab w:val="left" w:pos="567"/>
        </w:tabs>
      </w:pPr>
    </w:p>
    <w:p w:rsidR="00000000" w:rsidRDefault="00000000">
      <w:pPr>
        <w:tabs>
          <w:tab w:val="left" w:pos="567"/>
        </w:tabs>
        <w:ind w:left="1134" w:hanging="567"/>
      </w:pPr>
      <w:r>
        <w:t>-</w:t>
      </w:r>
      <w:r>
        <w:tab/>
        <w:t>поправки к законам, касающимся защиты детей и подростков;</w:t>
      </w:r>
    </w:p>
    <w:p w:rsidR="00000000" w:rsidRDefault="00000000">
      <w:pPr>
        <w:tabs>
          <w:tab w:val="left" w:pos="567"/>
        </w:tabs>
        <w:ind w:left="1134" w:hanging="567"/>
      </w:pPr>
    </w:p>
    <w:p w:rsidR="00000000" w:rsidRDefault="00000000">
      <w:pPr>
        <w:tabs>
          <w:tab w:val="left" w:pos="567"/>
        </w:tabs>
        <w:ind w:left="1134" w:hanging="567"/>
      </w:pPr>
      <w:r>
        <w:t>-</w:t>
      </w:r>
      <w:r>
        <w:tab/>
        <w:t>создание поста заместителя министра по делам гендерной политики, поколений и семьи;</w:t>
      </w:r>
    </w:p>
    <w:p w:rsidR="00000000" w:rsidRDefault="00000000">
      <w:pPr>
        <w:tabs>
          <w:tab w:val="left" w:pos="567"/>
        </w:tabs>
        <w:ind w:left="1134" w:hanging="567"/>
      </w:pPr>
    </w:p>
    <w:p w:rsidR="00000000" w:rsidRDefault="00000000">
      <w:pPr>
        <w:tabs>
          <w:tab w:val="left" w:pos="567"/>
        </w:tabs>
        <w:ind w:left="1134" w:hanging="567"/>
      </w:pPr>
      <w:r>
        <w:t>-</w:t>
      </w:r>
      <w:r>
        <w:tab/>
        <w:t>создание на уровне муниципалитетов управлений по защите прав детей и подростков;</w:t>
      </w:r>
    </w:p>
    <w:p w:rsidR="00000000" w:rsidRDefault="00000000">
      <w:pPr>
        <w:tabs>
          <w:tab w:val="left" w:pos="567"/>
        </w:tabs>
        <w:ind w:left="1134" w:hanging="567"/>
      </w:pPr>
    </w:p>
    <w:p w:rsidR="00000000" w:rsidRDefault="00000000">
      <w:pPr>
        <w:tabs>
          <w:tab w:val="left" w:pos="567"/>
        </w:tabs>
        <w:ind w:left="1134" w:hanging="567"/>
      </w:pPr>
      <w:r>
        <w:t>-</w:t>
      </w:r>
      <w:r>
        <w:tab/>
        <w:t>передача вопросов отправления правосудия по делам несовершеннолетних в юрисдикцию судов.</w:t>
      </w:r>
    </w:p>
    <w:p w:rsidR="00000000" w:rsidRDefault="00000000">
      <w:pPr>
        <w:tabs>
          <w:tab w:val="left" w:pos="567"/>
        </w:tabs>
        <w:ind w:left="1134" w:hanging="567"/>
      </w:pPr>
    </w:p>
    <w:p w:rsidR="00000000" w:rsidRDefault="00000000">
      <w:pPr>
        <w:tabs>
          <w:tab w:val="left" w:pos="567"/>
        </w:tabs>
      </w:pPr>
      <w:r>
        <w:rPr>
          <w:u w:val="single"/>
        </w:rPr>
        <w:t>Пункт 7</w:t>
      </w:r>
    </w:p>
    <w:p w:rsidR="00000000" w:rsidRDefault="00000000">
      <w:pPr>
        <w:tabs>
          <w:tab w:val="left" w:pos="567"/>
        </w:tabs>
      </w:pPr>
    </w:p>
    <w:p w:rsidR="00000000" w:rsidRDefault="00000000">
      <w:pPr>
        <w:tabs>
          <w:tab w:val="left" w:pos="567"/>
        </w:tabs>
      </w:pPr>
      <w:r>
        <w:t>268.</w:t>
      </w:r>
      <w:r>
        <w:tab/>
        <w:t>Наемный труд несовершеннолетних регулируется положениями статьи 139 и последующих статей главы III, в которых закреплены гарантии защиты несовершеннолетних, обеспечиваемые государством через его соответствующие механизмы, например гарантии прав в сфере трудовых отношений, прав на здоровье и образование, права доступа к школьному образованию с учетом интересов и потребностей, прав на специальный режим работы, организацию профсоюзов и участие в их деятельности, профессионально-техническую подготовку.  Эти положения также регулируют право на социальное обеспечение, порядок предоставления ежегодного отпуска, продолжительность рабочего дня, запрещение труда в ночное время и многие другие аспекты трудовых отношений.</w:t>
      </w:r>
    </w:p>
    <w:p w:rsidR="00000000" w:rsidRDefault="00000000">
      <w:pPr>
        <w:tabs>
          <w:tab w:val="left" w:pos="567"/>
        </w:tabs>
      </w:pPr>
    </w:p>
    <w:p w:rsidR="00000000" w:rsidRDefault="00000000">
      <w:pPr>
        <w:tabs>
          <w:tab w:val="left" w:pos="567"/>
        </w:tabs>
      </w:pPr>
      <w:r>
        <w:t>269.</w:t>
      </w:r>
      <w:r>
        <w:tab/>
        <w:t>Максимальная продолжительность рабочего дня несовершеннолетнего, работающего на семейном предприятии, составляет 8 часов с перерывами на отдых, при этом используется скользящий график работы, предусматривающий посещение школы (статья 151).</w:t>
      </w:r>
    </w:p>
    <w:p w:rsidR="00000000" w:rsidRDefault="00000000">
      <w:pPr>
        <w:tabs>
          <w:tab w:val="left" w:pos="567"/>
        </w:tabs>
      </w:pPr>
    </w:p>
    <w:p w:rsidR="00000000" w:rsidRDefault="00000000">
      <w:pPr>
        <w:keepNext/>
        <w:tabs>
          <w:tab w:val="left" w:pos="567"/>
        </w:tabs>
      </w:pPr>
      <w:r>
        <w:rPr>
          <w:u w:val="single"/>
        </w:rPr>
        <w:t>Пункт 8</w:t>
      </w:r>
    </w:p>
    <w:p w:rsidR="00000000" w:rsidRDefault="00000000">
      <w:pPr>
        <w:keepNext/>
        <w:tabs>
          <w:tab w:val="left" w:pos="567"/>
        </w:tabs>
      </w:pPr>
    </w:p>
    <w:p w:rsidR="00000000" w:rsidRDefault="00000000">
      <w:pPr>
        <w:tabs>
          <w:tab w:val="left" w:pos="567"/>
        </w:tabs>
        <w:rPr>
          <w:lang w:val="en-US"/>
        </w:rPr>
      </w:pPr>
      <w:r>
        <w:t>270.</w:t>
      </w:r>
      <w:r>
        <w:tab/>
        <w:t>МОТ оказывает помощь в этой области путем организации семинаров, курсов и практикумов для правительственных должностных лиц, учреждений и населения в целом с целью расширить понимание необходимости рационализации и совершенствования политики в области трудовых отношений для искоренения детского труда.</w:t>
      </w:r>
    </w:p>
    <w:p w:rsidR="00000000" w:rsidRDefault="00000000">
      <w:pPr>
        <w:tabs>
          <w:tab w:val="left" w:pos="567"/>
        </w:tabs>
        <w:rPr>
          <w:lang w:val="en-US"/>
        </w:rPr>
      </w:pPr>
    </w:p>
    <w:p w:rsidR="00000000" w:rsidRDefault="00000000">
      <w:pPr>
        <w:pStyle w:val="Heading7"/>
        <w:spacing w:line="288" w:lineRule="auto"/>
        <w:rPr>
          <w:b/>
          <w:u w:val="none"/>
        </w:rPr>
      </w:pPr>
      <w:r>
        <w:rPr>
          <w:b/>
          <w:u w:val="none"/>
        </w:rPr>
        <w:t>Краткие статистические данные о несчастных случаях на производстве</w:t>
      </w:r>
    </w:p>
    <w:p w:rsidR="00000000" w:rsidRDefault="00000000">
      <w:pPr>
        <w:pStyle w:val="Heading7"/>
        <w:spacing w:line="288" w:lineRule="auto"/>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1325"/>
        <w:gridCol w:w="1325"/>
        <w:gridCol w:w="1326"/>
        <w:gridCol w:w="1325"/>
        <w:gridCol w:w="1326"/>
      </w:tblGrid>
      <w:tr w:rsidR="00000000">
        <w:tblPrEx>
          <w:tblCellMar>
            <w:top w:w="0" w:type="dxa"/>
            <w:bottom w:w="0" w:type="dxa"/>
          </w:tblCellMar>
        </w:tblPrEx>
        <w:tc>
          <w:tcPr>
            <w:tcW w:w="2943" w:type="dxa"/>
          </w:tcPr>
          <w:p w:rsidR="00000000" w:rsidRDefault="00000000">
            <w:pPr>
              <w:pStyle w:val="Heading7"/>
              <w:spacing w:line="288" w:lineRule="auto"/>
              <w:rPr>
                <w:b/>
                <w:u w:val="none"/>
              </w:rPr>
            </w:pPr>
            <w:r>
              <w:rPr>
                <w:b/>
                <w:u w:val="none"/>
              </w:rPr>
              <w:t>Виды экономической деятельности</w:t>
            </w:r>
          </w:p>
        </w:tc>
        <w:tc>
          <w:tcPr>
            <w:tcW w:w="1325" w:type="dxa"/>
          </w:tcPr>
          <w:p w:rsidR="00000000" w:rsidRDefault="00000000">
            <w:pPr>
              <w:pStyle w:val="Heading7"/>
              <w:spacing w:line="288" w:lineRule="auto"/>
              <w:rPr>
                <w:b/>
                <w:u w:val="none"/>
              </w:rPr>
            </w:pPr>
            <w:r>
              <w:rPr>
                <w:b/>
                <w:u w:val="none"/>
              </w:rPr>
              <w:t>1991</w:t>
            </w:r>
          </w:p>
        </w:tc>
        <w:tc>
          <w:tcPr>
            <w:tcW w:w="1325" w:type="dxa"/>
          </w:tcPr>
          <w:p w:rsidR="00000000" w:rsidRDefault="00000000">
            <w:pPr>
              <w:pStyle w:val="Heading7"/>
              <w:spacing w:line="288" w:lineRule="auto"/>
              <w:rPr>
                <w:b/>
                <w:u w:val="none"/>
              </w:rPr>
            </w:pPr>
            <w:r>
              <w:rPr>
                <w:b/>
                <w:u w:val="none"/>
              </w:rPr>
              <w:t>1992</w:t>
            </w:r>
          </w:p>
        </w:tc>
        <w:tc>
          <w:tcPr>
            <w:tcW w:w="1326" w:type="dxa"/>
          </w:tcPr>
          <w:p w:rsidR="00000000" w:rsidRDefault="00000000">
            <w:pPr>
              <w:pStyle w:val="Heading7"/>
              <w:spacing w:line="288" w:lineRule="auto"/>
              <w:rPr>
                <w:b/>
                <w:u w:val="none"/>
              </w:rPr>
            </w:pPr>
            <w:r>
              <w:rPr>
                <w:b/>
                <w:u w:val="none"/>
              </w:rPr>
              <w:t>1993</w:t>
            </w:r>
          </w:p>
        </w:tc>
        <w:tc>
          <w:tcPr>
            <w:tcW w:w="1325" w:type="dxa"/>
          </w:tcPr>
          <w:p w:rsidR="00000000" w:rsidRDefault="00000000">
            <w:pPr>
              <w:pStyle w:val="Heading7"/>
              <w:spacing w:line="288" w:lineRule="auto"/>
              <w:rPr>
                <w:b/>
                <w:u w:val="none"/>
              </w:rPr>
            </w:pPr>
            <w:r>
              <w:rPr>
                <w:b/>
                <w:u w:val="none"/>
              </w:rPr>
              <w:t>1994</w:t>
            </w:r>
          </w:p>
        </w:tc>
        <w:tc>
          <w:tcPr>
            <w:tcW w:w="1326" w:type="dxa"/>
          </w:tcPr>
          <w:p w:rsidR="00000000" w:rsidRDefault="00000000">
            <w:pPr>
              <w:pStyle w:val="Heading7"/>
              <w:spacing w:line="288" w:lineRule="auto"/>
              <w:rPr>
                <w:b/>
                <w:u w:val="none"/>
              </w:rPr>
            </w:pPr>
            <w:r>
              <w:rPr>
                <w:b/>
                <w:u w:val="none"/>
              </w:rPr>
              <w:t>1995</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Сельское хозяйство, скотоводство, охота и рыболовство</w:t>
            </w:r>
          </w:p>
        </w:tc>
        <w:tc>
          <w:tcPr>
            <w:tcW w:w="1325" w:type="dxa"/>
          </w:tcPr>
          <w:p w:rsidR="00000000" w:rsidRDefault="00000000">
            <w:pPr>
              <w:pStyle w:val="Heading7"/>
              <w:tabs>
                <w:tab w:val="clear" w:pos="567"/>
                <w:tab w:val="clear" w:pos="1134"/>
              </w:tabs>
              <w:spacing w:line="288" w:lineRule="auto"/>
              <w:rPr>
                <w:u w:val="none"/>
              </w:rPr>
            </w:pPr>
            <w:r>
              <w:rPr>
                <w:u w:val="none"/>
              </w:rPr>
              <w:t>618</w:t>
            </w:r>
          </w:p>
        </w:tc>
        <w:tc>
          <w:tcPr>
            <w:tcW w:w="1325" w:type="dxa"/>
          </w:tcPr>
          <w:p w:rsidR="00000000" w:rsidRDefault="00000000">
            <w:pPr>
              <w:pStyle w:val="Heading7"/>
              <w:tabs>
                <w:tab w:val="clear" w:pos="567"/>
                <w:tab w:val="clear" w:pos="1134"/>
              </w:tabs>
              <w:spacing w:line="288" w:lineRule="auto"/>
              <w:rPr>
                <w:u w:val="none"/>
              </w:rPr>
            </w:pPr>
            <w:r>
              <w:rPr>
                <w:u w:val="none"/>
              </w:rPr>
              <w:t>424</w:t>
            </w:r>
          </w:p>
        </w:tc>
        <w:tc>
          <w:tcPr>
            <w:tcW w:w="1326" w:type="dxa"/>
          </w:tcPr>
          <w:p w:rsidR="00000000" w:rsidRDefault="00000000">
            <w:pPr>
              <w:pStyle w:val="Heading7"/>
              <w:tabs>
                <w:tab w:val="clear" w:pos="567"/>
                <w:tab w:val="clear" w:pos="1134"/>
              </w:tabs>
              <w:spacing w:line="288" w:lineRule="auto"/>
              <w:rPr>
                <w:u w:val="none"/>
              </w:rPr>
            </w:pPr>
            <w:r>
              <w:rPr>
                <w:u w:val="none"/>
              </w:rPr>
              <w:t>255</w:t>
            </w:r>
          </w:p>
        </w:tc>
        <w:tc>
          <w:tcPr>
            <w:tcW w:w="1325" w:type="dxa"/>
          </w:tcPr>
          <w:p w:rsidR="00000000" w:rsidRDefault="00000000">
            <w:pPr>
              <w:pStyle w:val="Heading7"/>
              <w:tabs>
                <w:tab w:val="clear" w:pos="567"/>
                <w:tab w:val="clear" w:pos="1134"/>
              </w:tabs>
              <w:spacing w:line="288" w:lineRule="auto"/>
              <w:rPr>
                <w:u w:val="none"/>
              </w:rPr>
            </w:pPr>
            <w:r>
              <w:rPr>
                <w:u w:val="none"/>
              </w:rPr>
              <w:t>285</w:t>
            </w:r>
          </w:p>
        </w:tc>
        <w:tc>
          <w:tcPr>
            <w:tcW w:w="1326" w:type="dxa"/>
          </w:tcPr>
          <w:p w:rsidR="00000000" w:rsidRDefault="00000000">
            <w:pPr>
              <w:pStyle w:val="Heading7"/>
              <w:tabs>
                <w:tab w:val="clear" w:pos="567"/>
                <w:tab w:val="clear" w:pos="1134"/>
              </w:tabs>
              <w:spacing w:line="288" w:lineRule="auto"/>
              <w:rPr>
                <w:u w:val="none"/>
              </w:rPr>
            </w:pPr>
            <w:r>
              <w:rPr>
                <w:u w:val="none"/>
              </w:rPr>
              <w:t>397</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Добывающая промышленность</w:t>
            </w:r>
          </w:p>
        </w:tc>
        <w:tc>
          <w:tcPr>
            <w:tcW w:w="1325" w:type="dxa"/>
          </w:tcPr>
          <w:p w:rsidR="00000000" w:rsidRDefault="00000000">
            <w:pPr>
              <w:pStyle w:val="Heading7"/>
              <w:tabs>
                <w:tab w:val="clear" w:pos="567"/>
                <w:tab w:val="clear" w:pos="1134"/>
              </w:tabs>
              <w:spacing w:line="288" w:lineRule="auto"/>
              <w:rPr>
                <w:u w:val="none"/>
              </w:rPr>
            </w:pPr>
            <w:r>
              <w:rPr>
                <w:u w:val="none"/>
              </w:rPr>
              <w:t>250</w:t>
            </w:r>
          </w:p>
        </w:tc>
        <w:tc>
          <w:tcPr>
            <w:tcW w:w="1325" w:type="dxa"/>
          </w:tcPr>
          <w:p w:rsidR="00000000" w:rsidRDefault="00000000">
            <w:pPr>
              <w:pStyle w:val="Heading7"/>
              <w:tabs>
                <w:tab w:val="clear" w:pos="567"/>
                <w:tab w:val="clear" w:pos="1134"/>
              </w:tabs>
              <w:spacing w:line="288" w:lineRule="auto"/>
              <w:rPr>
                <w:u w:val="none"/>
              </w:rPr>
            </w:pPr>
            <w:r>
              <w:rPr>
                <w:u w:val="none"/>
              </w:rPr>
              <w:t>299</w:t>
            </w:r>
          </w:p>
        </w:tc>
        <w:tc>
          <w:tcPr>
            <w:tcW w:w="1326" w:type="dxa"/>
          </w:tcPr>
          <w:p w:rsidR="00000000" w:rsidRDefault="00000000">
            <w:pPr>
              <w:pStyle w:val="Heading7"/>
              <w:tabs>
                <w:tab w:val="clear" w:pos="567"/>
                <w:tab w:val="clear" w:pos="1134"/>
              </w:tabs>
              <w:spacing w:line="288" w:lineRule="auto"/>
              <w:rPr>
                <w:u w:val="none"/>
              </w:rPr>
            </w:pPr>
            <w:r>
              <w:rPr>
                <w:u w:val="none"/>
              </w:rPr>
              <w:t>299</w:t>
            </w:r>
          </w:p>
        </w:tc>
        <w:tc>
          <w:tcPr>
            <w:tcW w:w="1325" w:type="dxa"/>
          </w:tcPr>
          <w:p w:rsidR="00000000" w:rsidRDefault="00000000">
            <w:pPr>
              <w:pStyle w:val="Heading7"/>
              <w:tabs>
                <w:tab w:val="clear" w:pos="567"/>
                <w:tab w:val="clear" w:pos="1134"/>
              </w:tabs>
              <w:spacing w:line="288" w:lineRule="auto"/>
              <w:rPr>
                <w:u w:val="none"/>
              </w:rPr>
            </w:pPr>
            <w:r>
              <w:rPr>
                <w:u w:val="none"/>
              </w:rPr>
              <w:t>343</w:t>
            </w:r>
          </w:p>
        </w:tc>
        <w:tc>
          <w:tcPr>
            <w:tcW w:w="1326" w:type="dxa"/>
          </w:tcPr>
          <w:p w:rsidR="00000000" w:rsidRDefault="00000000">
            <w:pPr>
              <w:pStyle w:val="Heading7"/>
              <w:tabs>
                <w:tab w:val="clear" w:pos="567"/>
                <w:tab w:val="clear" w:pos="1134"/>
              </w:tabs>
              <w:spacing w:line="288" w:lineRule="auto"/>
              <w:rPr>
                <w:u w:val="none"/>
              </w:rPr>
            </w:pPr>
            <w:r>
              <w:rPr>
                <w:u w:val="none"/>
              </w:rPr>
              <w:t>407</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Обрабатывающая промышленность</w:t>
            </w:r>
          </w:p>
        </w:tc>
        <w:tc>
          <w:tcPr>
            <w:tcW w:w="1325" w:type="dxa"/>
          </w:tcPr>
          <w:p w:rsidR="00000000" w:rsidRDefault="00000000">
            <w:pPr>
              <w:pStyle w:val="Heading7"/>
              <w:tabs>
                <w:tab w:val="clear" w:pos="567"/>
                <w:tab w:val="clear" w:pos="1134"/>
              </w:tabs>
              <w:spacing w:line="288" w:lineRule="auto"/>
              <w:rPr>
                <w:u w:val="none"/>
              </w:rPr>
            </w:pPr>
            <w:r>
              <w:rPr>
                <w:u w:val="none"/>
              </w:rPr>
              <w:t>185</w:t>
            </w:r>
          </w:p>
        </w:tc>
        <w:tc>
          <w:tcPr>
            <w:tcW w:w="1325" w:type="dxa"/>
          </w:tcPr>
          <w:p w:rsidR="00000000" w:rsidRDefault="00000000">
            <w:pPr>
              <w:pStyle w:val="Heading7"/>
              <w:tabs>
                <w:tab w:val="clear" w:pos="567"/>
                <w:tab w:val="clear" w:pos="1134"/>
              </w:tabs>
              <w:spacing w:line="288" w:lineRule="auto"/>
              <w:rPr>
                <w:u w:val="none"/>
              </w:rPr>
            </w:pPr>
            <w:r>
              <w:rPr>
                <w:u w:val="none"/>
              </w:rPr>
              <w:t>271</w:t>
            </w:r>
          </w:p>
        </w:tc>
        <w:tc>
          <w:tcPr>
            <w:tcW w:w="1326" w:type="dxa"/>
          </w:tcPr>
          <w:p w:rsidR="00000000" w:rsidRDefault="00000000">
            <w:pPr>
              <w:pStyle w:val="Heading7"/>
              <w:tabs>
                <w:tab w:val="clear" w:pos="567"/>
                <w:tab w:val="clear" w:pos="1134"/>
              </w:tabs>
              <w:spacing w:line="288" w:lineRule="auto"/>
              <w:rPr>
                <w:u w:val="none"/>
              </w:rPr>
            </w:pPr>
            <w:r>
              <w:rPr>
                <w:u w:val="none"/>
              </w:rPr>
              <w:t>172</w:t>
            </w:r>
          </w:p>
        </w:tc>
        <w:tc>
          <w:tcPr>
            <w:tcW w:w="1325" w:type="dxa"/>
          </w:tcPr>
          <w:p w:rsidR="00000000" w:rsidRDefault="00000000">
            <w:pPr>
              <w:pStyle w:val="Heading7"/>
              <w:tabs>
                <w:tab w:val="clear" w:pos="567"/>
                <w:tab w:val="clear" w:pos="1134"/>
              </w:tabs>
              <w:spacing w:line="288" w:lineRule="auto"/>
              <w:rPr>
                <w:u w:val="none"/>
              </w:rPr>
            </w:pPr>
            <w:r>
              <w:rPr>
                <w:u w:val="none"/>
              </w:rPr>
              <w:t>199</w:t>
            </w:r>
          </w:p>
        </w:tc>
        <w:tc>
          <w:tcPr>
            <w:tcW w:w="1326" w:type="dxa"/>
          </w:tcPr>
          <w:p w:rsidR="00000000" w:rsidRDefault="00000000">
            <w:pPr>
              <w:pStyle w:val="Heading7"/>
              <w:tabs>
                <w:tab w:val="clear" w:pos="567"/>
                <w:tab w:val="clear" w:pos="1134"/>
              </w:tabs>
              <w:spacing w:line="288" w:lineRule="auto"/>
              <w:rPr>
                <w:u w:val="none"/>
              </w:rPr>
            </w:pPr>
            <w:r>
              <w:rPr>
                <w:u w:val="none"/>
              </w:rPr>
              <w:t>353</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Строительство</w:t>
            </w:r>
          </w:p>
        </w:tc>
        <w:tc>
          <w:tcPr>
            <w:tcW w:w="1325" w:type="dxa"/>
          </w:tcPr>
          <w:p w:rsidR="00000000" w:rsidRDefault="00000000">
            <w:pPr>
              <w:pStyle w:val="Heading7"/>
              <w:tabs>
                <w:tab w:val="clear" w:pos="567"/>
                <w:tab w:val="clear" w:pos="1134"/>
              </w:tabs>
              <w:spacing w:line="288" w:lineRule="auto"/>
              <w:rPr>
                <w:u w:val="none"/>
              </w:rPr>
            </w:pPr>
            <w:r>
              <w:rPr>
                <w:u w:val="none"/>
              </w:rPr>
              <w:t>3</w:t>
            </w:r>
          </w:p>
        </w:tc>
        <w:tc>
          <w:tcPr>
            <w:tcW w:w="1325" w:type="dxa"/>
          </w:tcPr>
          <w:p w:rsidR="00000000" w:rsidRDefault="00000000">
            <w:pPr>
              <w:pStyle w:val="Heading7"/>
              <w:tabs>
                <w:tab w:val="clear" w:pos="567"/>
                <w:tab w:val="clear" w:pos="1134"/>
              </w:tabs>
              <w:spacing w:line="288" w:lineRule="auto"/>
              <w:rPr>
                <w:u w:val="none"/>
              </w:rPr>
            </w:pPr>
            <w:r>
              <w:rPr>
                <w:u w:val="none"/>
              </w:rPr>
              <w:t>-</w:t>
            </w:r>
          </w:p>
        </w:tc>
        <w:tc>
          <w:tcPr>
            <w:tcW w:w="1326" w:type="dxa"/>
          </w:tcPr>
          <w:p w:rsidR="00000000" w:rsidRDefault="00000000">
            <w:pPr>
              <w:pStyle w:val="Heading7"/>
              <w:tabs>
                <w:tab w:val="clear" w:pos="567"/>
                <w:tab w:val="clear" w:pos="1134"/>
              </w:tabs>
              <w:spacing w:line="288" w:lineRule="auto"/>
              <w:rPr>
                <w:u w:val="none"/>
              </w:rPr>
            </w:pPr>
            <w:r>
              <w:rPr>
                <w:u w:val="none"/>
              </w:rPr>
              <w:t>4</w:t>
            </w:r>
          </w:p>
        </w:tc>
        <w:tc>
          <w:tcPr>
            <w:tcW w:w="1325" w:type="dxa"/>
          </w:tcPr>
          <w:p w:rsidR="00000000" w:rsidRDefault="00000000">
            <w:pPr>
              <w:pStyle w:val="Heading7"/>
              <w:tabs>
                <w:tab w:val="clear" w:pos="567"/>
                <w:tab w:val="clear" w:pos="1134"/>
              </w:tabs>
              <w:spacing w:line="288" w:lineRule="auto"/>
              <w:rPr>
                <w:u w:val="none"/>
              </w:rPr>
            </w:pPr>
            <w:r>
              <w:rPr>
                <w:u w:val="none"/>
              </w:rPr>
              <w:t>2</w:t>
            </w:r>
          </w:p>
        </w:tc>
        <w:tc>
          <w:tcPr>
            <w:tcW w:w="1326" w:type="dxa"/>
          </w:tcPr>
          <w:p w:rsidR="00000000" w:rsidRDefault="00000000">
            <w:pPr>
              <w:pStyle w:val="Heading7"/>
              <w:tabs>
                <w:tab w:val="clear" w:pos="567"/>
                <w:tab w:val="clear" w:pos="1134"/>
              </w:tabs>
              <w:spacing w:line="288" w:lineRule="auto"/>
              <w:rPr>
                <w:u w:val="none"/>
              </w:rPr>
            </w:pPr>
            <w:r>
              <w:rPr>
                <w:u w:val="none"/>
              </w:rPr>
              <w:t>6</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Энергетика, водоснабжение и канализация</w:t>
            </w:r>
          </w:p>
        </w:tc>
        <w:tc>
          <w:tcPr>
            <w:tcW w:w="1325" w:type="dxa"/>
          </w:tcPr>
          <w:p w:rsidR="00000000" w:rsidRDefault="00000000">
            <w:pPr>
              <w:pStyle w:val="Heading7"/>
              <w:tabs>
                <w:tab w:val="clear" w:pos="567"/>
                <w:tab w:val="clear" w:pos="1134"/>
              </w:tabs>
              <w:spacing w:line="288" w:lineRule="auto"/>
              <w:rPr>
                <w:u w:val="none"/>
              </w:rPr>
            </w:pPr>
            <w:r>
              <w:rPr>
                <w:u w:val="none"/>
              </w:rPr>
              <w:t>35</w:t>
            </w:r>
          </w:p>
        </w:tc>
        <w:tc>
          <w:tcPr>
            <w:tcW w:w="1325" w:type="dxa"/>
          </w:tcPr>
          <w:p w:rsidR="00000000" w:rsidRDefault="00000000">
            <w:pPr>
              <w:pStyle w:val="Heading7"/>
              <w:tabs>
                <w:tab w:val="clear" w:pos="567"/>
                <w:tab w:val="clear" w:pos="1134"/>
              </w:tabs>
              <w:spacing w:line="288" w:lineRule="auto"/>
              <w:rPr>
                <w:u w:val="none"/>
              </w:rPr>
            </w:pPr>
            <w:r>
              <w:rPr>
                <w:u w:val="none"/>
              </w:rPr>
              <w:t>25</w:t>
            </w:r>
          </w:p>
        </w:tc>
        <w:tc>
          <w:tcPr>
            <w:tcW w:w="1326" w:type="dxa"/>
          </w:tcPr>
          <w:p w:rsidR="00000000" w:rsidRDefault="00000000">
            <w:pPr>
              <w:pStyle w:val="Heading7"/>
              <w:tabs>
                <w:tab w:val="clear" w:pos="567"/>
                <w:tab w:val="clear" w:pos="1134"/>
              </w:tabs>
              <w:spacing w:line="288" w:lineRule="auto"/>
              <w:rPr>
                <w:u w:val="none"/>
              </w:rPr>
            </w:pPr>
            <w:r>
              <w:rPr>
                <w:u w:val="none"/>
              </w:rPr>
              <w:t>58</w:t>
            </w:r>
          </w:p>
        </w:tc>
        <w:tc>
          <w:tcPr>
            <w:tcW w:w="1325" w:type="dxa"/>
          </w:tcPr>
          <w:p w:rsidR="00000000" w:rsidRDefault="00000000">
            <w:pPr>
              <w:pStyle w:val="Heading7"/>
              <w:tabs>
                <w:tab w:val="clear" w:pos="567"/>
                <w:tab w:val="clear" w:pos="1134"/>
              </w:tabs>
              <w:spacing w:line="288" w:lineRule="auto"/>
              <w:rPr>
                <w:u w:val="none"/>
              </w:rPr>
            </w:pPr>
            <w:r>
              <w:rPr>
                <w:u w:val="none"/>
              </w:rPr>
              <w:t>65</w:t>
            </w:r>
          </w:p>
        </w:tc>
        <w:tc>
          <w:tcPr>
            <w:tcW w:w="1326" w:type="dxa"/>
          </w:tcPr>
          <w:p w:rsidR="00000000" w:rsidRDefault="00000000">
            <w:pPr>
              <w:pStyle w:val="Heading7"/>
              <w:tabs>
                <w:tab w:val="clear" w:pos="567"/>
                <w:tab w:val="clear" w:pos="1134"/>
              </w:tabs>
              <w:spacing w:line="288" w:lineRule="auto"/>
              <w:rPr>
                <w:u w:val="none"/>
              </w:rPr>
            </w:pPr>
            <w:r>
              <w:rPr>
                <w:u w:val="none"/>
              </w:rPr>
              <w:t>64</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Торговля, предприятия общественного питания и гостиничное хозяйство</w:t>
            </w:r>
          </w:p>
        </w:tc>
        <w:tc>
          <w:tcPr>
            <w:tcW w:w="1325" w:type="dxa"/>
          </w:tcPr>
          <w:p w:rsidR="00000000" w:rsidRDefault="00000000">
            <w:pPr>
              <w:pStyle w:val="Heading7"/>
              <w:tabs>
                <w:tab w:val="clear" w:pos="567"/>
                <w:tab w:val="clear" w:pos="1134"/>
              </w:tabs>
              <w:spacing w:line="288" w:lineRule="auto"/>
              <w:rPr>
                <w:u w:val="none"/>
              </w:rPr>
            </w:pPr>
            <w:r>
              <w:rPr>
                <w:u w:val="none"/>
              </w:rPr>
              <w:t>14</w:t>
            </w:r>
          </w:p>
        </w:tc>
        <w:tc>
          <w:tcPr>
            <w:tcW w:w="1325" w:type="dxa"/>
          </w:tcPr>
          <w:p w:rsidR="00000000" w:rsidRDefault="00000000">
            <w:pPr>
              <w:pStyle w:val="Heading7"/>
              <w:tabs>
                <w:tab w:val="clear" w:pos="567"/>
                <w:tab w:val="clear" w:pos="1134"/>
              </w:tabs>
              <w:spacing w:line="288" w:lineRule="auto"/>
              <w:rPr>
                <w:u w:val="none"/>
              </w:rPr>
            </w:pPr>
            <w:r>
              <w:rPr>
                <w:u w:val="none"/>
              </w:rPr>
              <w:t>24</w:t>
            </w:r>
          </w:p>
        </w:tc>
        <w:tc>
          <w:tcPr>
            <w:tcW w:w="1326" w:type="dxa"/>
          </w:tcPr>
          <w:p w:rsidR="00000000" w:rsidRDefault="00000000">
            <w:pPr>
              <w:pStyle w:val="Heading7"/>
              <w:tabs>
                <w:tab w:val="clear" w:pos="567"/>
                <w:tab w:val="clear" w:pos="1134"/>
              </w:tabs>
              <w:spacing w:line="288" w:lineRule="auto"/>
              <w:rPr>
                <w:u w:val="none"/>
              </w:rPr>
            </w:pPr>
            <w:r>
              <w:rPr>
                <w:u w:val="none"/>
              </w:rPr>
              <w:t>30</w:t>
            </w:r>
          </w:p>
        </w:tc>
        <w:tc>
          <w:tcPr>
            <w:tcW w:w="1325" w:type="dxa"/>
          </w:tcPr>
          <w:p w:rsidR="00000000" w:rsidRDefault="00000000">
            <w:pPr>
              <w:pStyle w:val="Heading7"/>
              <w:tabs>
                <w:tab w:val="clear" w:pos="567"/>
                <w:tab w:val="clear" w:pos="1134"/>
              </w:tabs>
              <w:spacing w:line="288" w:lineRule="auto"/>
              <w:rPr>
                <w:u w:val="none"/>
              </w:rPr>
            </w:pPr>
            <w:r>
              <w:rPr>
                <w:u w:val="none"/>
              </w:rPr>
              <w:t>48</w:t>
            </w:r>
          </w:p>
        </w:tc>
        <w:tc>
          <w:tcPr>
            <w:tcW w:w="1326" w:type="dxa"/>
          </w:tcPr>
          <w:p w:rsidR="00000000" w:rsidRDefault="00000000">
            <w:pPr>
              <w:pStyle w:val="Heading7"/>
              <w:tabs>
                <w:tab w:val="clear" w:pos="567"/>
                <w:tab w:val="clear" w:pos="1134"/>
              </w:tabs>
              <w:spacing w:line="288" w:lineRule="auto"/>
              <w:rPr>
                <w:u w:val="none"/>
              </w:rPr>
            </w:pPr>
            <w:r>
              <w:rPr>
                <w:u w:val="none"/>
              </w:rPr>
              <w:t>15</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Банки и сектор страхования</w:t>
            </w:r>
          </w:p>
        </w:tc>
        <w:tc>
          <w:tcPr>
            <w:tcW w:w="1325" w:type="dxa"/>
          </w:tcPr>
          <w:p w:rsidR="00000000" w:rsidRDefault="00000000">
            <w:pPr>
              <w:pStyle w:val="Heading7"/>
              <w:tabs>
                <w:tab w:val="clear" w:pos="567"/>
                <w:tab w:val="clear" w:pos="1134"/>
              </w:tabs>
              <w:spacing w:line="288" w:lineRule="auto"/>
              <w:rPr>
                <w:u w:val="none"/>
              </w:rPr>
            </w:pPr>
            <w:r>
              <w:rPr>
                <w:u w:val="none"/>
              </w:rPr>
              <w:t>12</w:t>
            </w:r>
          </w:p>
        </w:tc>
        <w:tc>
          <w:tcPr>
            <w:tcW w:w="1325" w:type="dxa"/>
          </w:tcPr>
          <w:p w:rsidR="00000000" w:rsidRDefault="00000000">
            <w:pPr>
              <w:pStyle w:val="Heading7"/>
              <w:tabs>
                <w:tab w:val="clear" w:pos="567"/>
                <w:tab w:val="clear" w:pos="1134"/>
              </w:tabs>
              <w:spacing w:line="288" w:lineRule="auto"/>
              <w:rPr>
                <w:u w:val="none"/>
              </w:rPr>
            </w:pPr>
            <w:r>
              <w:rPr>
                <w:u w:val="none"/>
              </w:rPr>
              <w:t>14</w:t>
            </w:r>
          </w:p>
        </w:tc>
        <w:tc>
          <w:tcPr>
            <w:tcW w:w="1326" w:type="dxa"/>
          </w:tcPr>
          <w:p w:rsidR="00000000" w:rsidRDefault="00000000">
            <w:pPr>
              <w:pStyle w:val="Heading7"/>
              <w:tabs>
                <w:tab w:val="clear" w:pos="567"/>
                <w:tab w:val="clear" w:pos="1134"/>
              </w:tabs>
              <w:spacing w:line="288" w:lineRule="auto"/>
              <w:rPr>
                <w:u w:val="none"/>
              </w:rPr>
            </w:pPr>
            <w:r>
              <w:rPr>
                <w:u w:val="none"/>
              </w:rPr>
              <w:t>13</w:t>
            </w:r>
          </w:p>
        </w:tc>
        <w:tc>
          <w:tcPr>
            <w:tcW w:w="1325" w:type="dxa"/>
          </w:tcPr>
          <w:p w:rsidR="00000000" w:rsidRDefault="00000000">
            <w:pPr>
              <w:pStyle w:val="Heading7"/>
              <w:tabs>
                <w:tab w:val="clear" w:pos="567"/>
                <w:tab w:val="clear" w:pos="1134"/>
              </w:tabs>
              <w:spacing w:line="288" w:lineRule="auto"/>
              <w:rPr>
                <w:u w:val="none"/>
              </w:rPr>
            </w:pPr>
            <w:r>
              <w:rPr>
                <w:u w:val="none"/>
              </w:rPr>
              <w:t>54</w:t>
            </w:r>
          </w:p>
        </w:tc>
        <w:tc>
          <w:tcPr>
            <w:tcW w:w="1326" w:type="dxa"/>
          </w:tcPr>
          <w:p w:rsidR="00000000" w:rsidRDefault="00000000">
            <w:pPr>
              <w:pStyle w:val="Heading7"/>
              <w:tabs>
                <w:tab w:val="clear" w:pos="567"/>
                <w:tab w:val="clear" w:pos="1134"/>
              </w:tabs>
              <w:spacing w:line="288" w:lineRule="auto"/>
              <w:rPr>
                <w:u w:val="none"/>
              </w:rPr>
            </w:pPr>
            <w:r>
              <w:rPr>
                <w:u w:val="none"/>
              </w:rPr>
              <w:t>44</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Транспорт и связь</w:t>
            </w:r>
          </w:p>
        </w:tc>
        <w:tc>
          <w:tcPr>
            <w:tcW w:w="1325" w:type="dxa"/>
          </w:tcPr>
          <w:p w:rsidR="00000000" w:rsidRDefault="00000000">
            <w:pPr>
              <w:pStyle w:val="Heading7"/>
              <w:tabs>
                <w:tab w:val="clear" w:pos="567"/>
                <w:tab w:val="clear" w:pos="1134"/>
              </w:tabs>
              <w:spacing w:line="288" w:lineRule="auto"/>
              <w:rPr>
                <w:u w:val="none"/>
              </w:rPr>
            </w:pPr>
            <w:r>
              <w:rPr>
                <w:u w:val="none"/>
              </w:rPr>
              <w:t>184</w:t>
            </w:r>
          </w:p>
        </w:tc>
        <w:tc>
          <w:tcPr>
            <w:tcW w:w="1325" w:type="dxa"/>
          </w:tcPr>
          <w:p w:rsidR="00000000" w:rsidRDefault="00000000">
            <w:pPr>
              <w:pStyle w:val="Heading7"/>
              <w:tabs>
                <w:tab w:val="clear" w:pos="567"/>
                <w:tab w:val="clear" w:pos="1134"/>
              </w:tabs>
              <w:spacing w:line="288" w:lineRule="auto"/>
              <w:rPr>
                <w:u w:val="none"/>
              </w:rPr>
            </w:pPr>
            <w:r>
              <w:rPr>
                <w:u w:val="none"/>
              </w:rPr>
              <w:t>185</w:t>
            </w:r>
          </w:p>
        </w:tc>
        <w:tc>
          <w:tcPr>
            <w:tcW w:w="1326" w:type="dxa"/>
          </w:tcPr>
          <w:p w:rsidR="00000000" w:rsidRDefault="00000000">
            <w:pPr>
              <w:pStyle w:val="Heading7"/>
              <w:tabs>
                <w:tab w:val="clear" w:pos="567"/>
                <w:tab w:val="clear" w:pos="1134"/>
              </w:tabs>
              <w:spacing w:line="288" w:lineRule="auto"/>
              <w:rPr>
                <w:u w:val="none"/>
              </w:rPr>
            </w:pPr>
            <w:r>
              <w:rPr>
                <w:u w:val="none"/>
              </w:rPr>
              <w:t>253</w:t>
            </w:r>
          </w:p>
        </w:tc>
        <w:tc>
          <w:tcPr>
            <w:tcW w:w="1325" w:type="dxa"/>
          </w:tcPr>
          <w:p w:rsidR="00000000" w:rsidRDefault="00000000">
            <w:pPr>
              <w:pStyle w:val="Heading7"/>
              <w:tabs>
                <w:tab w:val="clear" w:pos="567"/>
                <w:tab w:val="clear" w:pos="1134"/>
              </w:tabs>
              <w:spacing w:line="288" w:lineRule="auto"/>
              <w:rPr>
                <w:u w:val="none"/>
              </w:rPr>
            </w:pPr>
            <w:r>
              <w:rPr>
                <w:u w:val="none"/>
              </w:rPr>
              <w:t>331</w:t>
            </w:r>
          </w:p>
        </w:tc>
        <w:tc>
          <w:tcPr>
            <w:tcW w:w="1326" w:type="dxa"/>
          </w:tcPr>
          <w:p w:rsidR="00000000" w:rsidRDefault="00000000">
            <w:pPr>
              <w:pStyle w:val="Heading7"/>
              <w:tabs>
                <w:tab w:val="clear" w:pos="567"/>
                <w:tab w:val="clear" w:pos="1134"/>
              </w:tabs>
              <w:spacing w:line="288" w:lineRule="auto"/>
              <w:rPr>
                <w:u w:val="none"/>
              </w:rPr>
            </w:pPr>
            <w:r>
              <w:rPr>
                <w:u w:val="none"/>
              </w:rPr>
              <w:t>499</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 xml:space="preserve">Услуги </w:t>
            </w:r>
          </w:p>
        </w:tc>
        <w:tc>
          <w:tcPr>
            <w:tcW w:w="1325" w:type="dxa"/>
          </w:tcPr>
          <w:p w:rsidR="00000000" w:rsidRDefault="00000000">
            <w:pPr>
              <w:pStyle w:val="Heading7"/>
              <w:tabs>
                <w:tab w:val="clear" w:pos="567"/>
                <w:tab w:val="clear" w:pos="1134"/>
              </w:tabs>
              <w:spacing w:line="288" w:lineRule="auto"/>
              <w:rPr>
                <w:u w:val="none"/>
              </w:rPr>
            </w:pPr>
            <w:r>
              <w:rPr>
                <w:u w:val="none"/>
              </w:rPr>
              <w:t>-</w:t>
            </w:r>
          </w:p>
        </w:tc>
        <w:tc>
          <w:tcPr>
            <w:tcW w:w="1325" w:type="dxa"/>
          </w:tcPr>
          <w:p w:rsidR="00000000" w:rsidRDefault="00000000">
            <w:pPr>
              <w:pStyle w:val="Heading7"/>
              <w:tabs>
                <w:tab w:val="clear" w:pos="567"/>
                <w:tab w:val="clear" w:pos="1134"/>
              </w:tabs>
              <w:spacing w:line="288" w:lineRule="auto"/>
              <w:rPr>
                <w:u w:val="none"/>
              </w:rPr>
            </w:pPr>
            <w:r>
              <w:rPr>
                <w:u w:val="none"/>
              </w:rPr>
              <w:t>1</w:t>
            </w:r>
          </w:p>
        </w:tc>
        <w:tc>
          <w:tcPr>
            <w:tcW w:w="1326" w:type="dxa"/>
          </w:tcPr>
          <w:p w:rsidR="00000000" w:rsidRDefault="00000000">
            <w:pPr>
              <w:pStyle w:val="Heading7"/>
              <w:tabs>
                <w:tab w:val="clear" w:pos="567"/>
                <w:tab w:val="clear" w:pos="1134"/>
              </w:tabs>
              <w:spacing w:line="288" w:lineRule="auto"/>
              <w:rPr>
                <w:u w:val="none"/>
              </w:rPr>
            </w:pPr>
            <w:r>
              <w:rPr>
                <w:u w:val="none"/>
              </w:rPr>
              <w:t>3</w:t>
            </w:r>
          </w:p>
        </w:tc>
        <w:tc>
          <w:tcPr>
            <w:tcW w:w="1325" w:type="dxa"/>
          </w:tcPr>
          <w:p w:rsidR="00000000" w:rsidRDefault="00000000">
            <w:pPr>
              <w:pStyle w:val="Heading7"/>
              <w:tabs>
                <w:tab w:val="clear" w:pos="567"/>
                <w:tab w:val="clear" w:pos="1134"/>
              </w:tabs>
              <w:spacing w:line="288" w:lineRule="auto"/>
              <w:rPr>
                <w:u w:val="none"/>
              </w:rPr>
            </w:pPr>
            <w:r>
              <w:rPr>
                <w:u w:val="none"/>
              </w:rPr>
              <w:t>5</w:t>
            </w:r>
          </w:p>
        </w:tc>
        <w:tc>
          <w:tcPr>
            <w:tcW w:w="1326" w:type="dxa"/>
          </w:tcPr>
          <w:p w:rsidR="00000000" w:rsidRDefault="00000000">
            <w:pPr>
              <w:pStyle w:val="Heading7"/>
              <w:tabs>
                <w:tab w:val="clear" w:pos="567"/>
                <w:tab w:val="clear" w:pos="1134"/>
              </w:tabs>
              <w:spacing w:line="288" w:lineRule="auto"/>
              <w:rPr>
                <w:u w:val="none"/>
              </w:rPr>
            </w:pPr>
            <w:r>
              <w:rPr>
                <w:u w:val="none"/>
              </w:rPr>
              <w:t>2</w:t>
            </w:r>
          </w:p>
        </w:tc>
      </w:tr>
      <w:tr w:rsidR="00000000">
        <w:tblPrEx>
          <w:tblCellMar>
            <w:top w:w="0" w:type="dxa"/>
            <w:bottom w:w="0" w:type="dxa"/>
          </w:tblCellMar>
        </w:tblPrEx>
        <w:tc>
          <w:tcPr>
            <w:tcW w:w="2943" w:type="dxa"/>
          </w:tcPr>
          <w:p w:rsidR="00000000" w:rsidRDefault="00000000">
            <w:pPr>
              <w:pStyle w:val="Heading7"/>
              <w:spacing w:line="288" w:lineRule="auto"/>
              <w:jc w:val="left"/>
              <w:rPr>
                <w:u w:val="none"/>
              </w:rPr>
            </w:pPr>
            <w:r>
              <w:rPr>
                <w:u w:val="none"/>
              </w:rPr>
              <w:t>Всего</w:t>
            </w:r>
          </w:p>
        </w:tc>
        <w:tc>
          <w:tcPr>
            <w:tcW w:w="1325" w:type="dxa"/>
          </w:tcPr>
          <w:p w:rsidR="00000000" w:rsidRDefault="00000000">
            <w:pPr>
              <w:pStyle w:val="Heading7"/>
              <w:tabs>
                <w:tab w:val="clear" w:pos="567"/>
                <w:tab w:val="clear" w:pos="1134"/>
              </w:tabs>
              <w:spacing w:line="288" w:lineRule="auto"/>
              <w:rPr>
                <w:u w:val="none"/>
              </w:rPr>
            </w:pPr>
            <w:r>
              <w:rPr>
                <w:u w:val="none"/>
              </w:rPr>
              <w:t>1 301</w:t>
            </w:r>
          </w:p>
        </w:tc>
        <w:tc>
          <w:tcPr>
            <w:tcW w:w="1325" w:type="dxa"/>
          </w:tcPr>
          <w:p w:rsidR="00000000" w:rsidRDefault="00000000">
            <w:pPr>
              <w:pStyle w:val="Heading7"/>
              <w:tabs>
                <w:tab w:val="clear" w:pos="567"/>
                <w:tab w:val="clear" w:pos="1134"/>
              </w:tabs>
              <w:spacing w:line="288" w:lineRule="auto"/>
              <w:rPr>
                <w:u w:val="none"/>
              </w:rPr>
            </w:pPr>
            <w:r>
              <w:rPr>
                <w:u w:val="none"/>
              </w:rPr>
              <w:t>1 243</w:t>
            </w:r>
          </w:p>
        </w:tc>
        <w:tc>
          <w:tcPr>
            <w:tcW w:w="1326" w:type="dxa"/>
          </w:tcPr>
          <w:p w:rsidR="00000000" w:rsidRDefault="00000000">
            <w:pPr>
              <w:pStyle w:val="Heading7"/>
              <w:tabs>
                <w:tab w:val="clear" w:pos="567"/>
                <w:tab w:val="clear" w:pos="1134"/>
              </w:tabs>
              <w:spacing w:line="288" w:lineRule="auto"/>
              <w:rPr>
                <w:u w:val="none"/>
              </w:rPr>
            </w:pPr>
            <w:r>
              <w:rPr>
                <w:u w:val="none"/>
              </w:rPr>
              <w:t>1 087</w:t>
            </w:r>
          </w:p>
        </w:tc>
        <w:tc>
          <w:tcPr>
            <w:tcW w:w="1325" w:type="dxa"/>
          </w:tcPr>
          <w:p w:rsidR="00000000" w:rsidRDefault="00000000">
            <w:pPr>
              <w:pStyle w:val="Heading7"/>
              <w:tabs>
                <w:tab w:val="clear" w:pos="567"/>
                <w:tab w:val="clear" w:pos="1134"/>
              </w:tabs>
              <w:spacing w:line="288" w:lineRule="auto"/>
              <w:rPr>
                <w:u w:val="none"/>
              </w:rPr>
            </w:pPr>
            <w:r>
              <w:rPr>
                <w:u w:val="none"/>
              </w:rPr>
              <w:t>1 332</w:t>
            </w:r>
          </w:p>
        </w:tc>
        <w:tc>
          <w:tcPr>
            <w:tcW w:w="1326" w:type="dxa"/>
          </w:tcPr>
          <w:p w:rsidR="00000000" w:rsidRDefault="00000000">
            <w:pPr>
              <w:pStyle w:val="Heading7"/>
              <w:tabs>
                <w:tab w:val="clear" w:pos="567"/>
                <w:tab w:val="clear" w:pos="1134"/>
              </w:tabs>
              <w:spacing w:line="288" w:lineRule="auto"/>
              <w:rPr>
                <w:u w:val="none"/>
              </w:rPr>
            </w:pPr>
            <w:r>
              <w:rPr>
                <w:u w:val="none"/>
              </w:rPr>
              <w:t>1 787</w:t>
            </w:r>
          </w:p>
        </w:tc>
      </w:tr>
    </w:tbl>
    <w:p w:rsidR="00000000" w:rsidRDefault="00000000">
      <w:pPr>
        <w:pStyle w:val="Heading7"/>
        <w:spacing w:line="288" w:lineRule="auto"/>
        <w:jc w:val="left"/>
        <w:rPr>
          <w:b/>
        </w:rPr>
      </w:pPr>
    </w:p>
    <w:p w:rsidR="00000000" w:rsidRDefault="00000000">
      <w:pPr>
        <w:pStyle w:val="Heading7"/>
        <w:spacing w:line="288" w:lineRule="auto"/>
        <w:jc w:val="left"/>
        <w:rPr>
          <w:b/>
        </w:rPr>
      </w:pPr>
    </w:p>
    <w:p w:rsidR="00000000" w:rsidRDefault="00000000">
      <w:r>
        <w:t>271.</w:t>
      </w:r>
      <w:r>
        <w:tab/>
        <w:t>При содействии представителей ЮНИСЕФ в Боливии в области защиты детей была осуществлена программа "Единым фронтом на защиту наших прав", в которой, как и во всех других крупных мероприятиях, приняли участие все организации и учреждения, осуществляющие деятельность в интересах детей:  Национальное управление по делам  образования, муниципальные власти, Детский фонд Организации Объединенных Наций (ЮНИСЕФ), Национальная ассоциация частных учебных заведений, Комиссия по вопросам образования Епископской конференции Боливии, Учебно-методическая служба, Национальное управление по вопросам координации работы с детьми и подростками, Организация "</w:t>
      </w:r>
      <w:proofErr w:type="spellStart"/>
      <w:r>
        <w:t>Ротари</w:t>
      </w:r>
      <w:proofErr w:type="spellEnd"/>
      <w:r>
        <w:t xml:space="preserve"> Боливия", кафедра общественной информации Боливийского католического университета, кафедра социальных услуг университета города </w:t>
      </w:r>
      <w:proofErr w:type="spellStart"/>
      <w:r>
        <w:t>Сан-Андрес</w:t>
      </w:r>
      <w:proofErr w:type="spellEnd"/>
      <w:r>
        <w:t>, а также крупные банки, издательства и средства массовой информации, которые на безвозмездной основе поддерживают мероприятия в области защиты несовершеннолетних.</w:t>
      </w:r>
    </w:p>
    <w:p w:rsidR="00000000" w:rsidRDefault="00000000"/>
    <w:p w:rsidR="00000000" w:rsidRDefault="00000000">
      <w:r>
        <w:t>272.</w:t>
      </w:r>
      <w:r>
        <w:tab/>
        <w:t>ЮНИСЕФ предпринимает все необходимые усилия для скорейшей практической реализации этой инициативы с целью создания в интересах боливийских детей постоянного механизма контроля за выполнением планов и обязательств государства и гражданского общества.</w:t>
      </w:r>
    </w:p>
    <w:p w:rsidR="00000000" w:rsidRDefault="00000000"/>
    <w:p w:rsidR="00000000" w:rsidRDefault="00000000">
      <w:pPr>
        <w:jc w:val="center"/>
        <w:rPr>
          <w:b/>
        </w:rPr>
      </w:pPr>
      <w:r>
        <w:rPr>
          <w:b/>
        </w:rPr>
        <w:t>F.</w:t>
      </w:r>
      <w:r>
        <w:rPr>
          <w:b/>
        </w:rPr>
        <w:tab/>
      </w:r>
      <w:r>
        <w:rPr>
          <w:b/>
          <w:u w:val="single"/>
        </w:rPr>
        <w:t>Статья 11</w:t>
      </w:r>
    </w:p>
    <w:p w:rsidR="00000000" w:rsidRDefault="00000000">
      <w:pPr>
        <w:jc w:val="center"/>
      </w:pPr>
    </w:p>
    <w:p w:rsidR="00000000" w:rsidRDefault="00000000">
      <w:pPr>
        <w:rPr>
          <w:u w:val="single"/>
        </w:rPr>
      </w:pPr>
      <w:r>
        <w:rPr>
          <w:u w:val="single"/>
        </w:rPr>
        <w:t>Руководящие принципы, статья 11 Пакта, пункт 1 а</w:t>
      </w:r>
      <w:r>
        <w:t>)</w:t>
      </w:r>
    </w:p>
    <w:p w:rsidR="00000000" w:rsidRDefault="00000000">
      <w:pPr>
        <w:rPr>
          <w:u w:val="single"/>
        </w:rPr>
      </w:pPr>
    </w:p>
    <w:p w:rsidR="00000000" w:rsidRDefault="00000000">
      <w:r>
        <w:t>273.</w:t>
      </w:r>
      <w:r>
        <w:tab/>
        <w:t xml:space="preserve">Информация об уровне жизни получена на основе расчета индекса развития человеческого потенциала (ИРЧП), в котором учитываются такие аспекты как уровень доходов, уровень образования и средняя продолжительность жизни;  между экономическими и социальными показателями по отдельным департаментам существуют большие различия.  Так, например, ИРЧП в департаменте </w:t>
      </w:r>
      <w:proofErr w:type="spellStart"/>
      <w:r>
        <w:t>Санта-Крус</w:t>
      </w:r>
      <w:proofErr w:type="spellEnd"/>
      <w:r>
        <w:t xml:space="preserve"> составляет 0,62, а в департаменте </w:t>
      </w:r>
      <w:proofErr w:type="spellStart"/>
      <w:r>
        <w:t>Потоси</w:t>
      </w:r>
      <w:proofErr w:type="spellEnd"/>
      <w:r>
        <w:t> </w:t>
      </w:r>
      <w:r>
        <w:noBreakHyphen/>
        <w:t> 0,32.</w:t>
      </w:r>
    </w:p>
    <w:p w:rsidR="00000000" w:rsidRDefault="00000000"/>
    <w:p w:rsidR="00000000" w:rsidRDefault="00000000">
      <w:r>
        <w:t>274.</w:t>
      </w:r>
      <w:r>
        <w:tab/>
        <w:t xml:space="preserve">В департаменте </w:t>
      </w:r>
      <w:proofErr w:type="spellStart"/>
      <w:r>
        <w:t>Чукисака</w:t>
      </w:r>
      <w:proofErr w:type="spellEnd"/>
      <w:r>
        <w:t xml:space="preserve">, в состав которого входит 24 муниципалитета с общей численностью населения 294 948 человек, средний ИРЧП составляет 0,389, а уровень бедности, рассчитываемый на основе показателя неудовлетворенных основных потребностей (НОП), равняется приблизительно 90%.  В департаменте Ла-Пас, где в 37 муниципалитетах проживает 396 898 человек, средний ИРЧП составляет 0,37, а уровень бедности (НОП) более 95%;  в департаменте </w:t>
      </w:r>
      <w:proofErr w:type="spellStart"/>
      <w:r>
        <w:t>Кочабамба</w:t>
      </w:r>
      <w:proofErr w:type="spellEnd"/>
      <w:r>
        <w:t xml:space="preserve">, где проживает 300 000 человек, ИРЧП составляет менее 0,4, его наиболее бедными муниципалитетами являются Арке и </w:t>
      </w:r>
      <w:proofErr w:type="spellStart"/>
      <w:r>
        <w:t>Такопая</w:t>
      </w:r>
      <w:proofErr w:type="spellEnd"/>
      <w:r>
        <w:t>, где ИРЧП равнялся соответственно 0,26 и 0,20, а уровень НОП - 97%.</w:t>
      </w:r>
    </w:p>
    <w:p w:rsidR="00000000" w:rsidRDefault="00000000"/>
    <w:p w:rsidR="00000000" w:rsidRDefault="00000000">
      <w:r>
        <w:t>275.</w:t>
      </w:r>
      <w:r>
        <w:tab/>
        <w:t xml:space="preserve">В департаменте </w:t>
      </w:r>
      <w:proofErr w:type="spellStart"/>
      <w:r>
        <w:t>Оруро</w:t>
      </w:r>
      <w:proofErr w:type="spellEnd"/>
      <w:r>
        <w:t xml:space="preserve">, где проживает 94 489 человек, ИРЧП составляет в среднем 0,37, а уровень НОП - 94%.  Население, где ИРЧП которого ниже 0,4, проживает в основном в департаментах </w:t>
      </w:r>
      <w:proofErr w:type="spellStart"/>
      <w:r>
        <w:t>Тариха</w:t>
      </w:r>
      <w:proofErr w:type="spellEnd"/>
      <w:r>
        <w:t xml:space="preserve">, 34 904 человека, </w:t>
      </w:r>
      <w:proofErr w:type="spellStart"/>
      <w:r>
        <w:t>Санта-Крус</w:t>
      </w:r>
      <w:proofErr w:type="spellEnd"/>
      <w:r>
        <w:t xml:space="preserve">, 14 803 человека, Панда, 6 850 человек, и </w:t>
      </w:r>
      <w:proofErr w:type="spellStart"/>
      <w:r>
        <w:t>Бени</w:t>
      </w:r>
      <w:proofErr w:type="spellEnd"/>
      <w:r>
        <w:t xml:space="preserve">, однако численность этого населения является менее значительной и оно находится в менее трудном положении, чем население других департаментов страны.  </w:t>
      </w:r>
    </w:p>
    <w:p w:rsidR="00000000" w:rsidRDefault="00000000"/>
    <w:p w:rsidR="00000000" w:rsidRDefault="00000000">
      <w:r>
        <w:t>276.</w:t>
      </w:r>
      <w:r>
        <w:tab/>
        <w:t>Распределение 111 провинций страны по совокупному показателю уровня бедности, разработанному министерством развития людских ресурсов, позволяет сделать вывод, что 12 провинций относятся к категории наиболее бедных, при этом соответствующий показатель в них составляет от 56,1% до 70,0%, на позициях 13-62 находятся провинции, где уровень бедности составляет от 42,1% до 50,0%, позиции 63-91 занимают провинции, где уровень бедности составляет от 28,1% до 42,0%.  Наименее бедные провинции находятся на позициях 92-109, в них этот показатель составляет от 14,1 до 28,0%;  позиции 110 и 111 занимают провинции, где этот показатель составляет от 0% до 14,0%.</w:t>
      </w:r>
    </w:p>
    <w:p w:rsidR="00000000" w:rsidRDefault="00000000"/>
    <w:p w:rsidR="00000000" w:rsidRDefault="00000000">
      <w:pPr>
        <w:pStyle w:val="Heading7"/>
        <w:spacing w:line="288" w:lineRule="auto"/>
        <w:rPr>
          <w:b/>
          <w:u w:val="none"/>
        </w:rPr>
      </w:pPr>
      <w:r>
        <w:rPr>
          <w:b/>
          <w:u w:val="none"/>
        </w:rPr>
        <w:t>Порядковое распределение провинций по показателю уровня бедности</w:t>
      </w:r>
    </w:p>
    <w:p w:rsidR="00000000" w:rsidRDefault="00000000">
      <w:pPr>
        <w:pStyle w:val="Heading7"/>
        <w:spacing w:line="288" w:lineRule="auto"/>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1701"/>
        <w:gridCol w:w="708"/>
        <w:gridCol w:w="2410"/>
        <w:gridCol w:w="1949"/>
      </w:tblGrid>
      <w:tr w:rsidR="00000000">
        <w:tblPrEx>
          <w:tblCellMar>
            <w:top w:w="0" w:type="dxa"/>
            <w:bottom w:w="0" w:type="dxa"/>
          </w:tblCellMar>
        </w:tblPrEx>
        <w:trPr>
          <w:tblHeader/>
        </w:trPr>
        <w:tc>
          <w:tcPr>
            <w:tcW w:w="675" w:type="dxa"/>
          </w:tcPr>
          <w:p w:rsidR="00000000" w:rsidRDefault="00000000">
            <w:pPr>
              <w:pStyle w:val="FootnoteText"/>
              <w:spacing w:line="288" w:lineRule="auto"/>
              <w:jc w:val="center"/>
              <w:rPr>
                <w:b/>
                <w:sz w:val="22"/>
              </w:rPr>
            </w:pPr>
            <w:r>
              <w:rPr>
                <w:b/>
                <w:sz w:val="22"/>
              </w:rPr>
              <w:t>№</w:t>
            </w:r>
          </w:p>
        </w:tc>
        <w:tc>
          <w:tcPr>
            <w:tcW w:w="2127" w:type="dxa"/>
          </w:tcPr>
          <w:p w:rsidR="00000000" w:rsidRDefault="00000000">
            <w:pPr>
              <w:jc w:val="center"/>
              <w:rPr>
                <w:b/>
                <w:sz w:val="22"/>
              </w:rPr>
            </w:pPr>
            <w:r>
              <w:rPr>
                <w:b/>
                <w:sz w:val="22"/>
              </w:rPr>
              <w:t>Провинция</w:t>
            </w:r>
          </w:p>
        </w:tc>
        <w:tc>
          <w:tcPr>
            <w:tcW w:w="1701" w:type="dxa"/>
          </w:tcPr>
          <w:p w:rsidR="00000000" w:rsidRDefault="00000000">
            <w:pPr>
              <w:jc w:val="center"/>
              <w:rPr>
                <w:b/>
                <w:sz w:val="22"/>
              </w:rPr>
            </w:pPr>
            <w:r>
              <w:rPr>
                <w:b/>
                <w:sz w:val="22"/>
              </w:rPr>
              <w:t>Департамент</w:t>
            </w:r>
          </w:p>
        </w:tc>
        <w:tc>
          <w:tcPr>
            <w:tcW w:w="708" w:type="dxa"/>
          </w:tcPr>
          <w:p w:rsidR="00000000" w:rsidRDefault="00000000">
            <w:pPr>
              <w:jc w:val="center"/>
              <w:rPr>
                <w:b/>
                <w:sz w:val="22"/>
              </w:rPr>
            </w:pPr>
            <w:r>
              <w:rPr>
                <w:b/>
                <w:sz w:val="22"/>
              </w:rPr>
              <w:t>№</w:t>
            </w:r>
          </w:p>
        </w:tc>
        <w:tc>
          <w:tcPr>
            <w:tcW w:w="2410" w:type="dxa"/>
          </w:tcPr>
          <w:p w:rsidR="00000000" w:rsidRDefault="00000000">
            <w:pPr>
              <w:jc w:val="center"/>
              <w:rPr>
                <w:b/>
                <w:sz w:val="22"/>
              </w:rPr>
            </w:pPr>
            <w:r>
              <w:rPr>
                <w:b/>
                <w:sz w:val="22"/>
              </w:rPr>
              <w:t>Провинция</w:t>
            </w:r>
          </w:p>
        </w:tc>
        <w:tc>
          <w:tcPr>
            <w:tcW w:w="1949" w:type="dxa"/>
          </w:tcPr>
          <w:p w:rsidR="00000000" w:rsidRDefault="00000000">
            <w:pPr>
              <w:jc w:val="center"/>
              <w:rPr>
                <w:b/>
                <w:sz w:val="22"/>
              </w:rPr>
            </w:pPr>
            <w:r>
              <w:rPr>
                <w:b/>
                <w:sz w:val="22"/>
              </w:rPr>
              <w:t>Департамент</w:t>
            </w:r>
          </w:p>
        </w:tc>
      </w:tr>
      <w:tr w:rsidR="00000000">
        <w:tblPrEx>
          <w:tblCellMar>
            <w:top w:w="0" w:type="dxa"/>
            <w:bottom w:w="0" w:type="dxa"/>
          </w:tblCellMar>
        </w:tblPrEx>
        <w:tc>
          <w:tcPr>
            <w:tcW w:w="675" w:type="dxa"/>
          </w:tcPr>
          <w:p w:rsidR="00000000" w:rsidRDefault="00000000">
            <w:pPr>
              <w:pStyle w:val="FootnoteText"/>
              <w:spacing w:line="288" w:lineRule="auto"/>
              <w:rPr>
                <w:sz w:val="22"/>
              </w:rPr>
            </w:pPr>
            <w:r>
              <w:rPr>
                <w:sz w:val="22"/>
              </w:rPr>
              <w:t>1</w:t>
            </w:r>
          </w:p>
        </w:tc>
        <w:tc>
          <w:tcPr>
            <w:tcW w:w="2127" w:type="dxa"/>
          </w:tcPr>
          <w:p w:rsidR="00000000" w:rsidRDefault="00000000">
            <w:pPr>
              <w:rPr>
                <w:sz w:val="22"/>
              </w:rPr>
            </w:pPr>
            <w:proofErr w:type="spellStart"/>
            <w:r>
              <w:rPr>
                <w:sz w:val="22"/>
              </w:rPr>
              <w:t>Абуна</w:t>
            </w:r>
            <w:proofErr w:type="spellEnd"/>
          </w:p>
        </w:tc>
        <w:tc>
          <w:tcPr>
            <w:tcW w:w="1701" w:type="dxa"/>
          </w:tcPr>
          <w:p w:rsidR="00000000" w:rsidRDefault="00000000">
            <w:pPr>
              <w:rPr>
                <w:sz w:val="22"/>
              </w:rPr>
            </w:pPr>
            <w:proofErr w:type="spellStart"/>
            <w:r>
              <w:rPr>
                <w:sz w:val="22"/>
              </w:rPr>
              <w:t>Пандо</w:t>
            </w:r>
            <w:proofErr w:type="spellEnd"/>
          </w:p>
        </w:tc>
        <w:tc>
          <w:tcPr>
            <w:tcW w:w="708" w:type="dxa"/>
          </w:tcPr>
          <w:p w:rsidR="00000000" w:rsidRDefault="00000000">
            <w:pPr>
              <w:rPr>
                <w:sz w:val="22"/>
              </w:rPr>
            </w:pPr>
            <w:r>
              <w:rPr>
                <w:sz w:val="22"/>
              </w:rPr>
              <w:t>57</w:t>
            </w:r>
          </w:p>
        </w:tc>
        <w:tc>
          <w:tcPr>
            <w:tcW w:w="2410" w:type="dxa"/>
          </w:tcPr>
          <w:p w:rsidR="00000000" w:rsidRDefault="00000000">
            <w:pPr>
              <w:rPr>
                <w:sz w:val="22"/>
              </w:rPr>
            </w:pPr>
            <w:proofErr w:type="spellStart"/>
            <w:r>
              <w:rPr>
                <w:sz w:val="22"/>
              </w:rPr>
              <w:t>Манко-Капак</w:t>
            </w:r>
            <w:proofErr w:type="spellEnd"/>
          </w:p>
        </w:tc>
        <w:tc>
          <w:tcPr>
            <w:tcW w:w="1949" w:type="dxa"/>
          </w:tcPr>
          <w:p w:rsidR="00000000" w:rsidRDefault="00000000">
            <w:pPr>
              <w:pStyle w:val="FootnoteText"/>
              <w:spacing w:line="288" w:lineRule="auto"/>
              <w:rPr>
                <w:sz w:val="22"/>
              </w:rPr>
            </w:pPr>
            <w:r>
              <w:rPr>
                <w:sz w:val="22"/>
              </w:rPr>
              <w:t>Ла-Пас</w:t>
            </w:r>
          </w:p>
        </w:tc>
      </w:tr>
      <w:tr w:rsidR="00000000">
        <w:tblPrEx>
          <w:tblCellMar>
            <w:top w:w="0" w:type="dxa"/>
            <w:bottom w:w="0" w:type="dxa"/>
          </w:tblCellMar>
        </w:tblPrEx>
        <w:tc>
          <w:tcPr>
            <w:tcW w:w="675" w:type="dxa"/>
          </w:tcPr>
          <w:p w:rsidR="00000000" w:rsidRDefault="00000000">
            <w:pPr>
              <w:rPr>
                <w:sz w:val="22"/>
              </w:rPr>
            </w:pPr>
            <w:r>
              <w:rPr>
                <w:sz w:val="22"/>
              </w:rPr>
              <w:t>2</w:t>
            </w:r>
          </w:p>
        </w:tc>
        <w:tc>
          <w:tcPr>
            <w:tcW w:w="2127" w:type="dxa"/>
          </w:tcPr>
          <w:p w:rsidR="00000000" w:rsidRDefault="00000000">
            <w:pPr>
              <w:rPr>
                <w:sz w:val="22"/>
              </w:rPr>
            </w:pPr>
            <w:r>
              <w:rPr>
                <w:sz w:val="22"/>
              </w:rPr>
              <w:t>Арке</w:t>
            </w:r>
          </w:p>
        </w:tc>
        <w:tc>
          <w:tcPr>
            <w:tcW w:w="1701" w:type="dxa"/>
          </w:tcPr>
          <w:p w:rsidR="00000000" w:rsidRDefault="00000000">
            <w:pPr>
              <w:rPr>
                <w:sz w:val="22"/>
              </w:rPr>
            </w:pPr>
            <w:proofErr w:type="spellStart"/>
            <w:r>
              <w:rPr>
                <w:sz w:val="22"/>
              </w:rPr>
              <w:t>Кочабамба</w:t>
            </w:r>
            <w:proofErr w:type="spellEnd"/>
          </w:p>
        </w:tc>
        <w:tc>
          <w:tcPr>
            <w:tcW w:w="708" w:type="dxa"/>
          </w:tcPr>
          <w:p w:rsidR="00000000" w:rsidRDefault="00000000">
            <w:pPr>
              <w:rPr>
                <w:sz w:val="22"/>
              </w:rPr>
            </w:pPr>
            <w:r>
              <w:rPr>
                <w:sz w:val="22"/>
              </w:rPr>
              <w:t>58</w:t>
            </w:r>
          </w:p>
        </w:tc>
        <w:tc>
          <w:tcPr>
            <w:tcW w:w="2410" w:type="dxa"/>
          </w:tcPr>
          <w:p w:rsidR="00000000" w:rsidRDefault="00000000">
            <w:pPr>
              <w:rPr>
                <w:sz w:val="22"/>
              </w:rPr>
            </w:pPr>
            <w:proofErr w:type="spellStart"/>
            <w:r>
              <w:rPr>
                <w:sz w:val="22"/>
              </w:rPr>
              <w:t>Эрнандо-Силес</w:t>
            </w:r>
            <w:proofErr w:type="spellEnd"/>
          </w:p>
        </w:tc>
        <w:tc>
          <w:tcPr>
            <w:tcW w:w="1949" w:type="dxa"/>
          </w:tcPr>
          <w:p w:rsidR="00000000" w:rsidRDefault="00000000">
            <w:pPr>
              <w:rPr>
                <w:sz w:val="22"/>
              </w:rPr>
            </w:pPr>
            <w:proofErr w:type="spellStart"/>
            <w:r>
              <w:rPr>
                <w:sz w:val="22"/>
              </w:rPr>
              <w:t>Чукисака</w:t>
            </w:r>
            <w:proofErr w:type="spellEnd"/>
          </w:p>
        </w:tc>
      </w:tr>
      <w:tr w:rsidR="00000000">
        <w:tblPrEx>
          <w:tblCellMar>
            <w:top w:w="0" w:type="dxa"/>
            <w:bottom w:w="0" w:type="dxa"/>
          </w:tblCellMar>
        </w:tblPrEx>
        <w:tc>
          <w:tcPr>
            <w:tcW w:w="675" w:type="dxa"/>
          </w:tcPr>
          <w:p w:rsidR="00000000" w:rsidRDefault="00000000">
            <w:pPr>
              <w:rPr>
                <w:sz w:val="22"/>
              </w:rPr>
            </w:pPr>
            <w:r>
              <w:rPr>
                <w:sz w:val="22"/>
              </w:rPr>
              <w:t>3</w:t>
            </w:r>
          </w:p>
        </w:tc>
        <w:tc>
          <w:tcPr>
            <w:tcW w:w="2127" w:type="dxa"/>
          </w:tcPr>
          <w:p w:rsidR="00000000" w:rsidRDefault="00000000">
            <w:pPr>
              <w:rPr>
                <w:sz w:val="22"/>
              </w:rPr>
            </w:pPr>
            <w:proofErr w:type="spellStart"/>
            <w:r>
              <w:rPr>
                <w:sz w:val="22"/>
              </w:rPr>
              <w:t>Тапакари</w:t>
            </w:r>
            <w:proofErr w:type="spellEnd"/>
          </w:p>
        </w:tc>
        <w:tc>
          <w:tcPr>
            <w:tcW w:w="1701" w:type="dxa"/>
          </w:tcPr>
          <w:p w:rsidR="00000000" w:rsidRDefault="00000000">
            <w:pPr>
              <w:rPr>
                <w:sz w:val="22"/>
              </w:rPr>
            </w:pPr>
            <w:proofErr w:type="spellStart"/>
            <w:r>
              <w:rPr>
                <w:sz w:val="22"/>
              </w:rPr>
              <w:t>Кочабамба</w:t>
            </w:r>
            <w:proofErr w:type="spellEnd"/>
          </w:p>
        </w:tc>
        <w:tc>
          <w:tcPr>
            <w:tcW w:w="708" w:type="dxa"/>
          </w:tcPr>
          <w:p w:rsidR="00000000" w:rsidRDefault="00000000">
            <w:pPr>
              <w:rPr>
                <w:sz w:val="22"/>
              </w:rPr>
            </w:pPr>
            <w:r>
              <w:rPr>
                <w:sz w:val="22"/>
              </w:rPr>
              <w:t>59</w:t>
            </w:r>
          </w:p>
        </w:tc>
        <w:tc>
          <w:tcPr>
            <w:tcW w:w="2410" w:type="dxa"/>
          </w:tcPr>
          <w:p w:rsidR="00000000" w:rsidRDefault="00000000">
            <w:pPr>
              <w:rPr>
                <w:sz w:val="22"/>
              </w:rPr>
            </w:pPr>
            <w:proofErr w:type="spellStart"/>
            <w:r>
              <w:rPr>
                <w:sz w:val="22"/>
              </w:rPr>
              <w:t>Энрике-Бальдивьесо</w:t>
            </w:r>
            <w:proofErr w:type="spellEnd"/>
          </w:p>
        </w:tc>
        <w:tc>
          <w:tcPr>
            <w:tcW w:w="1949" w:type="dxa"/>
          </w:tcPr>
          <w:p w:rsidR="00000000" w:rsidRDefault="00000000">
            <w:pPr>
              <w:rPr>
                <w:sz w:val="22"/>
              </w:rPr>
            </w:pPr>
            <w:proofErr w:type="spellStart"/>
            <w:r>
              <w:rPr>
                <w:sz w:val="22"/>
              </w:rPr>
              <w:t>Потоси</w:t>
            </w:r>
            <w:proofErr w:type="spellEnd"/>
          </w:p>
        </w:tc>
      </w:tr>
      <w:tr w:rsidR="00000000">
        <w:tblPrEx>
          <w:tblCellMar>
            <w:top w:w="0" w:type="dxa"/>
            <w:bottom w:w="0" w:type="dxa"/>
          </w:tblCellMar>
        </w:tblPrEx>
        <w:tc>
          <w:tcPr>
            <w:tcW w:w="675" w:type="dxa"/>
          </w:tcPr>
          <w:p w:rsidR="00000000" w:rsidRDefault="00000000">
            <w:pPr>
              <w:rPr>
                <w:sz w:val="22"/>
              </w:rPr>
            </w:pPr>
            <w:r>
              <w:rPr>
                <w:sz w:val="22"/>
              </w:rPr>
              <w:t>4</w:t>
            </w:r>
          </w:p>
        </w:tc>
        <w:tc>
          <w:tcPr>
            <w:tcW w:w="2127" w:type="dxa"/>
          </w:tcPr>
          <w:p w:rsidR="00000000" w:rsidRDefault="00000000">
            <w:pPr>
              <w:rPr>
                <w:sz w:val="22"/>
              </w:rPr>
            </w:pPr>
            <w:proofErr w:type="spellStart"/>
            <w:r>
              <w:rPr>
                <w:sz w:val="22"/>
              </w:rPr>
              <w:t>Чаркас</w:t>
            </w:r>
            <w:proofErr w:type="spellEnd"/>
          </w:p>
        </w:tc>
        <w:tc>
          <w:tcPr>
            <w:tcW w:w="1701" w:type="dxa"/>
          </w:tcPr>
          <w:p w:rsidR="00000000" w:rsidRDefault="00000000">
            <w:pPr>
              <w:rPr>
                <w:sz w:val="22"/>
              </w:rPr>
            </w:pPr>
            <w:proofErr w:type="spellStart"/>
            <w:r>
              <w:rPr>
                <w:sz w:val="22"/>
              </w:rPr>
              <w:t>Потоси</w:t>
            </w:r>
            <w:proofErr w:type="spellEnd"/>
          </w:p>
        </w:tc>
        <w:tc>
          <w:tcPr>
            <w:tcW w:w="708" w:type="dxa"/>
          </w:tcPr>
          <w:p w:rsidR="00000000" w:rsidRDefault="00000000">
            <w:pPr>
              <w:rPr>
                <w:sz w:val="22"/>
              </w:rPr>
            </w:pPr>
            <w:r>
              <w:rPr>
                <w:sz w:val="22"/>
              </w:rPr>
              <w:t>60</w:t>
            </w:r>
          </w:p>
        </w:tc>
        <w:tc>
          <w:tcPr>
            <w:tcW w:w="2410" w:type="dxa"/>
          </w:tcPr>
          <w:p w:rsidR="00000000" w:rsidRDefault="00000000">
            <w:pPr>
              <w:rPr>
                <w:sz w:val="22"/>
              </w:rPr>
            </w:pPr>
            <w:proofErr w:type="spellStart"/>
            <w:r>
              <w:rPr>
                <w:sz w:val="22"/>
              </w:rPr>
              <w:t>С.-Сандовал</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5</w:t>
            </w:r>
          </w:p>
        </w:tc>
        <w:tc>
          <w:tcPr>
            <w:tcW w:w="2127" w:type="dxa"/>
          </w:tcPr>
          <w:p w:rsidR="00000000" w:rsidRDefault="00000000">
            <w:pPr>
              <w:rPr>
                <w:sz w:val="22"/>
              </w:rPr>
            </w:pPr>
            <w:proofErr w:type="spellStart"/>
            <w:r>
              <w:rPr>
                <w:sz w:val="22"/>
              </w:rPr>
              <w:t>Франс-Тамайо</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61</w:t>
            </w:r>
          </w:p>
        </w:tc>
        <w:tc>
          <w:tcPr>
            <w:tcW w:w="2410" w:type="dxa"/>
          </w:tcPr>
          <w:p w:rsidR="00000000" w:rsidRDefault="00000000">
            <w:pPr>
              <w:rPr>
                <w:sz w:val="22"/>
              </w:rPr>
            </w:pPr>
            <w:proofErr w:type="spellStart"/>
            <w:r>
              <w:rPr>
                <w:sz w:val="22"/>
              </w:rPr>
              <w:t>Луис-Кальво</w:t>
            </w:r>
            <w:proofErr w:type="spellEnd"/>
          </w:p>
        </w:tc>
        <w:tc>
          <w:tcPr>
            <w:tcW w:w="1949" w:type="dxa"/>
          </w:tcPr>
          <w:p w:rsidR="00000000" w:rsidRDefault="00000000">
            <w:pPr>
              <w:rPr>
                <w:sz w:val="22"/>
              </w:rPr>
            </w:pPr>
            <w:proofErr w:type="spellStart"/>
            <w:r>
              <w:rPr>
                <w:sz w:val="22"/>
              </w:rPr>
              <w:t>Чукисака</w:t>
            </w:r>
            <w:proofErr w:type="spellEnd"/>
          </w:p>
        </w:tc>
      </w:tr>
      <w:tr w:rsidR="00000000">
        <w:tblPrEx>
          <w:tblCellMar>
            <w:top w:w="0" w:type="dxa"/>
            <w:bottom w:w="0" w:type="dxa"/>
          </w:tblCellMar>
        </w:tblPrEx>
        <w:tc>
          <w:tcPr>
            <w:tcW w:w="675" w:type="dxa"/>
          </w:tcPr>
          <w:p w:rsidR="00000000" w:rsidRDefault="00000000">
            <w:pPr>
              <w:rPr>
                <w:sz w:val="22"/>
              </w:rPr>
            </w:pPr>
            <w:r>
              <w:rPr>
                <w:sz w:val="22"/>
              </w:rPr>
              <w:t>6</w:t>
            </w:r>
          </w:p>
        </w:tc>
        <w:tc>
          <w:tcPr>
            <w:tcW w:w="2127" w:type="dxa"/>
          </w:tcPr>
          <w:p w:rsidR="00000000" w:rsidRDefault="00000000">
            <w:pPr>
              <w:rPr>
                <w:sz w:val="22"/>
              </w:rPr>
            </w:pPr>
            <w:r>
              <w:rPr>
                <w:sz w:val="22"/>
              </w:rPr>
              <w:t>Боливар</w:t>
            </w:r>
          </w:p>
        </w:tc>
        <w:tc>
          <w:tcPr>
            <w:tcW w:w="1701" w:type="dxa"/>
          </w:tcPr>
          <w:p w:rsidR="00000000" w:rsidRDefault="00000000">
            <w:pPr>
              <w:rPr>
                <w:sz w:val="22"/>
              </w:rPr>
            </w:pPr>
            <w:proofErr w:type="spellStart"/>
            <w:r>
              <w:rPr>
                <w:sz w:val="22"/>
              </w:rPr>
              <w:t>Кочабамба</w:t>
            </w:r>
            <w:proofErr w:type="spellEnd"/>
          </w:p>
        </w:tc>
        <w:tc>
          <w:tcPr>
            <w:tcW w:w="708" w:type="dxa"/>
          </w:tcPr>
          <w:p w:rsidR="00000000" w:rsidRDefault="00000000">
            <w:pPr>
              <w:rPr>
                <w:sz w:val="22"/>
              </w:rPr>
            </w:pPr>
            <w:r>
              <w:rPr>
                <w:sz w:val="22"/>
              </w:rPr>
              <w:t>62</w:t>
            </w:r>
          </w:p>
        </w:tc>
        <w:tc>
          <w:tcPr>
            <w:tcW w:w="2410" w:type="dxa"/>
          </w:tcPr>
          <w:p w:rsidR="00000000" w:rsidRDefault="00000000">
            <w:pPr>
              <w:rPr>
                <w:sz w:val="22"/>
              </w:rPr>
            </w:pPr>
            <w:proofErr w:type="spellStart"/>
            <w:r>
              <w:rPr>
                <w:sz w:val="22"/>
              </w:rPr>
              <w:t>Гарайос</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7</w:t>
            </w:r>
          </w:p>
        </w:tc>
        <w:tc>
          <w:tcPr>
            <w:tcW w:w="2127" w:type="dxa"/>
          </w:tcPr>
          <w:p w:rsidR="00000000" w:rsidRDefault="00000000">
            <w:pPr>
              <w:rPr>
                <w:sz w:val="22"/>
              </w:rPr>
            </w:pPr>
            <w:proofErr w:type="spellStart"/>
            <w:r>
              <w:rPr>
                <w:sz w:val="22"/>
              </w:rPr>
              <w:t>Муньекас</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63</w:t>
            </w:r>
          </w:p>
        </w:tc>
        <w:tc>
          <w:tcPr>
            <w:tcW w:w="2410" w:type="dxa"/>
          </w:tcPr>
          <w:p w:rsidR="00000000" w:rsidRDefault="00000000">
            <w:pPr>
              <w:rPr>
                <w:sz w:val="22"/>
              </w:rPr>
            </w:pPr>
            <w:r>
              <w:rPr>
                <w:sz w:val="22"/>
              </w:rPr>
              <w:t xml:space="preserve">Нор </w:t>
            </w:r>
            <w:proofErr w:type="spellStart"/>
            <w:r>
              <w:rPr>
                <w:sz w:val="22"/>
              </w:rPr>
              <w:t>Чичас</w:t>
            </w:r>
            <w:proofErr w:type="spellEnd"/>
          </w:p>
        </w:tc>
        <w:tc>
          <w:tcPr>
            <w:tcW w:w="1949" w:type="dxa"/>
          </w:tcPr>
          <w:p w:rsidR="00000000" w:rsidRDefault="00000000">
            <w:pPr>
              <w:rPr>
                <w:sz w:val="22"/>
              </w:rPr>
            </w:pPr>
            <w:proofErr w:type="spellStart"/>
            <w:r>
              <w:rPr>
                <w:sz w:val="22"/>
              </w:rPr>
              <w:t>Потоси</w:t>
            </w:r>
            <w:proofErr w:type="spellEnd"/>
          </w:p>
        </w:tc>
      </w:tr>
      <w:tr w:rsidR="00000000">
        <w:tblPrEx>
          <w:tblCellMar>
            <w:top w:w="0" w:type="dxa"/>
            <w:bottom w:w="0" w:type="dxa"/>
          </w:tblCellMar>
        </w:tblPrEx>
        <w:tc>
          <w:tcPr>
            <w:tcW w:w="675" w:type="dxa"/>
          </w:tcPr>
          <w:p w:rsidR="00000000" w:rsidRDefault="00000000">
            <w:pPr>
              <w:rPr>
                <w:sz w:val="22"/>
              </w:rPr>
            </w:pPr>
            <w:r>
              <w:rPr>
                <w:sz w:val="22"/>
              </w:rPr>
              <w:t>8</w:t>
            </w:r>
          </w:p>
        </w:tc>
        <w:tc>
          <w:tcPr>
            <w:tcW w:w="2127" w:type="dxa"/>
          </w:tcPr>
          <w:p w:rsidR="00000000" w:rsidRDefault="00000000">
            <w:pPr>
              <w:rPr>
                <w:sz w:val="22"/>
              </w:rPr>
            </w:pPr>
            <w:proofErr w:type="spellStart"/>
            <w:r>
              <w:rPr>
                <w:sz w:val="22"/>
              </w:rPr>
              <w:t>Чайанта</w:t>
            </w:r>
            <w:proofErr w:type="spellEnd"/>
          </w:p>
        </w:tc>
        <w:tc>
          <w:tcPr>
            <w:tcW w:w="1701" w:type="dxa"/>
          </w:tcPr>
          <w:p w:rsidR="00000000" w:rsidRDefault="00000000">
            <w:pPr>
              <w:rPr>
                <w:sz w:val="22"/>
              </w:rPr>
            </w:pPr>
            <w:proofErr w:type="spellStart"/>
            <w:r>
              <w:rPr>
                <w:sz w:val="22"/>
              </w:rPr>
              <w:t>Потоси</w:t>
            </w:r>
            <w:proofErr w:type="spellEnd"/>
          </w:p>
        </w:tc>
        <w:tc>
          <w:tcPr>
            <w:tcW w:w="708" w:type="dxa"/>
          </w:tcPr>
          <w:p w:rsidR="00000000" w:rsidRDefault="00000000">
            <w:pPr>
              <w:rPr>
                <w:sz w:val="22"/>
              </w:rPr>
            </w:pPr>
            <w:r>
              <w:rPr>
                <w:sz w:val="22"/>
              </w:rPr>
              <w:t>64</w:t>
            </w:r>
          </w:p>
        </w:tc>
        <w:tc>
          <w:tcPr>
            <w:tcW w:w="2410" w:type="dxa"/>
          </w:tcPr>
          <w:p w:rsidR="00000000" w:rsidRDefault="00000000">
            <w:pPr>
              <w:rPr>
                <w:sz w:val="22"/>
              </w:rPr>
            </w:pPr>
            <w:proofErr w:type="spellStart"/>
            <w:r>
              <w:rPr>
                <w:sz w:val="22"/>
              </w:rPr>
              <w:t>Ингави</w:t>
            </w:r>
            <w:proofErr w:type="spellEnd"/>
          </w:p>
        </w:tc>
        <w:tc>
          <w:tcPr>
            <w:tcW w:w="1949" w:type="dxa"/>
          </w:tcPr>
          <w:p w:rsidR="00000000" w:rsidRDefault="00000000">
            <w:pPr>
              <w:rPr>
                <w:sz w:val="22"/>
              </w:rPr>
            </w:pPr>
            <w:r>
              <w:rPr>
                <w:sz w:val="22"/>
              </w:rPr>
              <w:t>Ла-Пас</w:t>
            </w:r>
          </w:p>
        </w:tc>
      </w:tr>
      <w:tr w:rsidR="00000000">
        <w:tblPrEx>
          <w:tblCellMar>
            <w:top w:w="0" w:type="dxa"/>
            <w:bottom w:w="0" w:type="dxa"/>
          </w:tblCellMar>
        </w:tblPrEx>
        <w:tc>
          <w:tcPr>
            <w:tcW w:w="675" w:type="dxa"/>
          </w:tcPr>
          <w:p w:rsidR="00000000" w:rsidRDefault="00000000">
            <w:pPr>
              <w:rPr>
                <w:sz w:val="22"/>
              </w:rPr>
            </w:pPr>
            <w:r>
              <w:rPr>
                <w:sz w:val="22"/>
              </w:rPr>
              <w:t>9</w:t>
            </w:r>
          </w:p>
        </w:tc>
        <w:tc>
          <w:tcPr>
            <w:tcW w:w="2127" w:type="dxa"/>
          </w:tcPr>
          <w:p w:rsidR="00000000" w:rsidRDefault="00000000">
            <w:pPr>
              <w:rPr>
                <w:sz w:val="22"/>
              </w:rPr>
            </w:pPr>
            <w:proofErr w:type="spellStart"/>
            <w:r>
              <w:rPr>
                <w:sz w:val="22"/>
              </w:rPr>
              <w:t>Алонсо-Ибаньес</w:t>
            </w:r>
            <w:proofErr w:type="spellEnd"/>
          </w:p>
        </w:tc>
        <w:tc>
          <w:tcPr>
            <w:tcW w:w="1701" w:type="dxa"/>
          </w:tcPr>
          <w:p w:rsidR="00000000" w:rsidRDefault="00000000">
            <w:pPr>
              <w:rPr>
                <w:sz w:val="22"/>
              </w:rPr>
            </w:pPr>
            <w:proofErr w:type="spellStart"/>
            <w:r>
              <w:rPr>
                <w:sz w:val="22"/>
              </w:rPr>
              <w:t>Потоси</w:t>
            </w:r>
            <w:proofErr w:type="spellEnd"/>
          </w:p>
        </w:tc>
        <w:tc>
          <w:tcPr>
            <w:tcW w:w="708" w:type="dxa"/>
          </w:tcPr>
          <w:p w:rsidR="00000000" w:rsidRDefault="00000000">
            <w:pPr>
              <w:rPr>
                <w:sz w:val="22"/>
              </w:rPr>
            </w:pPr>
            <w:r>
              <w:rPr>
                <w:sz w:val="22"/>
              </w:rPr>
              <w:t>65</w:t>
            </w:r>
          </w:p>
        </w:tc>
        <w:tc>
          <w:tcPr>
            <w:tcW w:w="2410" w:type="dxa"/>
          </w:tcPr>
          <w:p w:rsidR="00000000" w:rsidRDefault="00000000">
            <w:pPr>
              <w:rPr>
                <w:sz w:val="22"/>
              </w:rPr>
            </w:pPr>
            <w:proofErr w:type="spellStart"/>
            <w:r>
              <w:rPr>
                <w:sz w:val="22"/>
              </w:rPr>
              <w:t>Суд-Юнгас</w:t>
            </w:r>
            <w:proofErr w:type="spellEnd"/>
          </w:p>
        </w:tc>
        <w:tc>
          <w:tcPr>
            <w:tcW w:w="1949" w:type="dxa"/>
          </w:tcPr>
          <w:p w:rsidR="00000000" w:rsidRDefault="00000000">
            <w:pPr>
              <w:rPr>
                <w:sz w:val="22"/>
              </w:rPr>
            </w:pPr>
            <w:r>
              <w:rPr>
                <w:sz w:val="22"/>
              </w:rPr>
              <w:t>Ла-Пас</w:t>
            </w:r>
          </w:p>
        </w:tc>
      </w:tr>
      <w:tr w:rsidR="00000000">
        <w:tblPrEx>
          <w:tblCellMar>
            <w:top w:w="0" w:type="dxa"/>
            <w:bottom w:w="0" w:type="dxa"/>
          </w:tblCellMar>
        </w:tblPrEx>
        <w:tc>
          <w:tcPr>
            <w:tcW w:w="675" w:type="dxa"/>
          </w:tcPr>
          <w:p w:rsidR="00000000" w:rsidRDefault="00000000">
            <w:pPr>
              <w:rPr>
                <w:sz w:val="22"/>
              </w:rPr>
            </w:pPr>
            <w:r>
              <w:rPr>
                <w:sz w:val="22"/>
              </w:rPr>
              <w:t>10</w:t>
            </w:r>
          </w:p>
        </w:tc>
        <w:tc>
          <w:tcPr>
            <w:tcW w:w="2127" w:type="dxa"/>
          </w:tcPr>
          <w:p w:rsidR="00000000" w:rsidRDefault="00000000">
            <w:pPr>
              <w:rPr>
                <w:sz w:val="22"/>
              </w:rPr>
            </w:pPr>
            <w:proofErr w:type="spellStart"/>
            <w:r>
              <w:rPr>
                <w:sz w:val="22"/>
              </w:rPr>
              <w:t>Баутиста-Сааведра</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66</w:t>
            </w:r>
          </w:p>
        </w:tc>
        <w:tc>
          <w:tcPr>
            <w:tcW w:w="2410" w:type="dxa"/>
          </w:tcPr>
          <w:p w:rsidR="00000000" w:rsidRDefault="00000000">
            <w:pPr>
              <w:rPr>
                <w:sz w:val="22"/>
              </w:rPr>
            </w:pPr>
            <w:proofErr w:type="spellStart"/>
            <w:r>
              <w:rPr>
                <w:sz w:val="22"/>
              </w:rPr>
              <w:t>Бальивиан</w:t>
            </w:r>
            <w:proofErr w:type="spellEnd"/>
          </w:p>
        </w:tc>
        <w:tc>
          <w:tcPr>
            <w:tcW w:w="1949" w:type="dxa"/>
          </w:tcPr>
          <w:p w:rsidR="00000000" w:rsidRDefault="00000000">
            <w:pPr>
              <w:rPr>
                <w:sz w:val="22"/>
              </w:rPr>
            </w:pPr>
            <w:proofErr w:type="spellStart"/>
            <w:r>
              <w:rPr>
                <w:sz w:val="22"/>
              </w:rPr>
              <w:t>Бени</w:t>
            </w:r>
            <w:proofErr w:type="spellEnd"/>
          </w:p>
        </w:tc>
      </w:tr>
      <w:tr w:rsidR="00000000">
        <w:tblPrEx>
          <w:tblCellMar>
            <w:top w:w="0" w:type="dxa"/>
            <w:bottom w:w="0" w:type="dxa"/>
          </w:tblCellMar>
        </w:tblPrEx>
        <w:tc>
          <w:tcPr>
            <w:tcW w:w="675" w:type="dxa"/>
          </w:tcPr>
          <w:p w:rsidR="00000000" w:rsidRDefault="00000000">
            <w:pPr>
              <w:rPr>
                <w:sz w:val="22"/>
              </w:rPr>
            </w:pPr>
            <w:r>
              <w:rPr>
                <w:sz w:val="22"/>
              </w:rPr>
              <w:t>11</w:t>
            </w:r>
          </w:p>
        </w:tc>
        <w:tc>
          <w:tcPr>
            <w:tcW w:w="2127" w:type="dxa"/>
          </w:tcPr>
          <w:p w:rsidR="00000000" w:rsidRDefault="00000000">
            <w:pPr>
              <w:rPr>
                <w:sz w:val="22"/>
              </w:rPr>
            </w:pPr>
            <w:proofErr w:type="spellStart"/>
            <w:r>
              <w:rPr>
                <w:sz w:val="22"/>
              </w:rPr>
              <w:t>Азурдуй</w:t>
            </w:r>
            <w:proofErr w:type="spellEnd"/>
          </w:p>
        </w:tc>
        <w:tc>
          <w:tcPr>
            <w:tcW w:w="1701" w:type="dxa"/>
          </w:tcPr>
          <w:p w:rsidR="00000000" w:rsidRDefault="00000000">
            <w:pPr>
              <w:rPr>
                <w:sz w:val="22"/>
              </w:rPr>
            </w:pPr>
            <w:proofErr w:type="spellStart"/>
            <w:r>
              <w:rPr>
                <w:sz w:val="22"/>
              </w:rPr>
              <w:t>Чукисака</w:t>
            </w:r>
            <w:proofErr w:type="spellEnd"/>
          </w:p>
        </w:tc>
        <w:tc>
          <w:tcPr>
            <w:tcW w:w="708" w:type="dxa"/>
          </w:tcPr>
          <w:p w:rsidR="00000000" w:rsidRDefault="00000000">
            <w:pPr>
              <w:rPr>
                <w:sz w:val="22"/>
              </w:rPr>
            </w:pPr>
            <w:r>
              <w:rPr>
                <w:sz w:val="22"/>
              </w:rPr>
              <w:t>67</w:t>
            </w:r>
          </w:p>
        </w:tc>
        <w:tc>
          <w:tcPr>
            <w:tcW w:w="2410" w:type="dxa"/>
          </w:tcPr>
          <w:p w:rsidR="00000000" w:rsidRDefault="00000000">
            <w:pPr>
              <w:rPr>
                <w:sz w:val="22"/>
              </w:rPr>
            </w:pPr>
            <w:proofErr w:type="spellStart"/>
            <w:r>
              <w:rPr>
                <w:sz w:val="22"/>
              </w:rPr>
              <w:t>Атаульпа</w:t>
            </w:r>
            <w:proofErr w:type="spellEnd"/>
          </w:p>
        </w:tc>
        <w:tc>
          <w:tcPr>
            <w:tcW w:w="1949" w:type="dxa"/>
          </w:tcPr>
          <w:p w:rsidR="00000000" w:rsidRDefault="00000000">
            <w:pPr>
              <w:rPr>
                <w:sz w:val="22"/>
              </w:rPr>
            </w:pPr>
            <w:proofErr w:type="spellStart"/>
            <w:r>
              <w:rPr>
                <w:sz w:val="22"/>
              </w:rPr>
              <w:t>Оруро</w:t>
            </w:r>
            <w:proofErr w:type="spellEnd"/>
          </w:p>
        </w:tc>
      </w:tr>
      <w:tr w:rsidR="00000000">
        <w:tblPrEx>
          <w:tblCellMar>
            <w:top w:w="0" w:type="dxa"/>
            <w:bottom w:w="0" w:type="dxa"/>
          </w:tblCellMar>
        </w:tblPrEx>
        <w:tc>
          <w:tcPr>
            <w:tcW w:w="675" w:type="dxa"/>
          </w:tcPr>
          <w:p w:rsidR="00000000" w:rsidRDefault="00000000">
            <w:pPr>
              <w:rPr>
                <w:sz w:val="22"/>
              </w:rPr>
            </w:pPr>
            <w:r>
              <w:rPr>
                <w:sz w:val="22"/>
              </w:rPr>
              <w:t>12</w:t>
            </w:r>
          </w:p>
        </w:tc>
        <w:tc>
          <w:tcPr>
            <w:tcW w:w="2127" w:type="dxa"/>
          </w:tcPr>
          <w:p w:rsidR="00000000" w:rsidRDefault="00000000">
            <w:pPr>
              <w:rPr>
                <w:sz w:val="22"/>
              </w:rPr>
            </w:pPr>
            <w:proofErr w:type="spellStart"/>
            <w:r>
              <w:rPr>
                <w:sz w:val="22"/>
              </w:rPr>
              <w:t>Грал-Билбао</w:t>
            </w:r>
            <w:proofErr w:type="spellEnd"/>
          </w:p>
        </w:tc>
        <w:tc>
          <w:tcPr>
            <w:tcW w:w="1701" w:type="dxa"/>
          </w:tcPr>
          <w:p w:rsidR="00000000" w:rsidRDefault="00000000">
            <w:pPr>
              <w:rPr>
                <w:sz w:val="22"/>
              </w:rPr>
            </w:pPr>
            <w:proofErr w:type="spellStart"/>
            <w:r>
              <w:rPr>
                <w:sz w:val="22"/>
              </w:rPr>
              <w:t>Потоси</w:t>
            </w:r>
            <w:proofErr w:type="spellEnd"/>
          </w:p>
        </w:tc>
        <w:tc>
          <w:tcPr>
            <w:tcW w:w="708" w:type="dxa"/>
          </w:tcPr>
          <w:p w:rsidR="00000000" w:rsidRDefault="00000000">
            <w:pPr>
              <w:rPr>
                <w:sz w:val="22"/>
              </w:rPr>
            </w:pPr>
            <w:r>
              <w:rPr>
                <w:sz w:val="22"/>
              </w:rPr>
              <w:t>68</w:t>
            </w:r>
          </w:p>
        </w:tc>
        <w:tc>
          <w:tcPr>
            <w:tcW w:w="2410" w:type="dxa"/>
          </w:tcPr>
          <w:p w:rsidR="00000000" w:rsidRDefault="00000000">
            <w:pPr>
              <w:rPr>
                <w:sz w:val="22"/>
              </w:rPr>
            </w:pPr>
            <w:proofErr w:type="spellStart"/>
            <w:r>
              <w:rPr>
                <w:sz w:val="22"/>
              </w:rPr>
              <w:t>Эстебан-Арсе</w:t>
            </w:r>
            <w:proofErr w:type="spellEnd"/>
          </w:p>
        </w:tc>
        <w:tc>
          <w:tcPr>
            <w:tcW w:w="1949" w:type="dxa"/>
          </w:tcPr>
          <w:p w:rsidR="00000000" w:rsidRDefault="00000000">
            <w:pPr>
              <w:rPr>
                <w:sz w:val="22"/>
              </w:rPr>
            </w:pPr>
            <w:proofErr w:type="spellStart"/>
            <w:r>
              <w:rPr>
                <w:sz w:val="22"/>
              </w:rPr>
              <w:t>Кочабамба</w:t>
            </w:r>
            <w:proofErr w:type="spellEnd"/>
          </w:p>
        </w:tc>
      </w:tr>
      <w:tr w:rsidR="00000000">
        <w:tblPrEx>
          <w:tblCellMar>
            <w:top w:w="0" w:type="dxa"/>
            <w:bottom w:w="0" w:type="dxa"/>
          </w:tblCellMar>
        </w:tblPrEx>
        <w:tc>
          <w:tcPr>
            <w:tcW w:w="675" w:type="dxa"/>
          </w:tcPr>
          <w:p w:rsidR="00000000" w:rsidRDefault="00000000">
            <w:pPr>
              <w:rPr>
                <w:sz w:val="22"/>
              </w:rPr>
            </w:pPr>
            <w:r>
              <w:rPr>
                <w:sz w:val="22"/>
              </w:rPr>
              <w:t>13</w:t>
            </w:r>
          </w:p>
        </w:tc>
        <w:tc>
          <w:tcPr>
            <w:tcW w:w="2127" w:type="dxa"/>
          </w:tcPr>
          <w:p w:rsidR="00000000" w:rsidRDefault="00000000">
            <w:pPr>
              <w:rPr>
                <w:sz w:val="22"/>
              </w:rPr>
            </w:pPr>
            <w:proofErr w:type="spellStart"/>
            <w:r>
              <w:rPr>
                <w:sz w:val="22"/>
              </w:rPr>
              <w:t>Камачо</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69</w:t>
            </w:r>
          </w:p>
        </w:tc>
        <w:tc>
          <w:tcPr>
            <w:tcW w:w="2410" w:type="dxa"/>
          </w:tcPr>
          <w:p w:rsidR="00000000" w:rsidRDefault="00000000">
            <w:pPr>
              <w:rPr>
                <w:sz w:val="22"/>
              </w:rPr>
            </w:pPr>
            <w:proofErr w:type="spellStart"/>
            <w:r>
              <w:rPr>
                <w:sz w:val="22"/>
              </w:rPr>
              <w:t>Нор-Липес</w:t>
            </w:r>
            <w:proofErr w:type="spellEnd"/>
          </w:p>
        </w:tc>
        <w:tc>
          <w:tcPr>
            <w:tcW w:w="1949" w:type="dxa"/>
          </w:tcPr>
          <w:p w:rsidR="00000000" w:rsidRDefault="00000000">
            <w:pPr>
              <w:rPr>
                <w:sz w:val="22"/>
              </w:rPr>
            </w:pPr>
            <w:proofErr w:type="spellStart"/>
            <w:r>
              <w:rPr>
                <w:sz w:val="22"/>
              </w:rPr>
              <w:t>Потоси</w:t>
            </w:r>
            <w:proofErr w:type="spellEnd"/>
          </w:p>
        </w:tc>
      </w:tr>
      <w:tr w:rsidR="00000000">
        <w:tblPrEx>
          <w:tblCellMar>
            <w:top w:w="0" w:type="dxa"/>
            <w:bottom w:w="0" w:type="dxa"/>
          </w:tblCellMar>
        </w:tblPrEx>
        <w:tc>
          <w:tcPr>
            <w:tcW w:w="675" w:type="dxa"/>
          </w:tcPr>
          <w:p w:rsidR="00000000" w:rsidRDefault="00000000">
            <w:pPr>
              <w:rPr>
                <w:sz w:val="22"/>
              </w:rPr>
            </w:pPr>
            <w:r>
              <w:rPr>
                <w:sz w:val="22"/>
              </w:rPr>
              <w:t>14</w:t>
            </w:r>
          </w:p>
        </w:tc>
        <w:tc>
          <w:tcPr>
            <w:tcW w:w="2127" w:type="dxa"/>
          </w:tcPr>
          <w:p w:rsidR="00000000" w:rsidRDefault="00000000">
            <w:pPr>
              <w:rPr>
                <w:sz w:val="22"/>
              </w:rPr>
            </w:pPr>
            <w:proofErr w:type="spellStart"/>
            <w:r>
              <w:rPr>
                <w:sz w:val="22"/>
              </w:rPr>
              <w:t>Зуданьес</w:t>
            </w:r>
            <w:proofErr w:type="spellEnd"/>
          </w:p>
        </w:tc>
        <w:tc>
          <w:tcPr>
            <w:tcW w:w="1701" w:type="dxa"/>
          </w:tcPr>
          <w:p w:rsidR="00000000" w:rsidRDefault="00000000">
            <w:pPr>
              <w:rPr>
                <w:sz w:val="22"/>
              </w:rPr>
            </w:pPr>
            <w:proofErr w:type="spellStart"/>
            <w:r>
              <w:rPr>
                <w:sz w:val="22"/>
              </w:rPr>
              <w:t>Чукисака</w:t>
            </w:r>
            <w:proofErr w:type="spellEnd"/>
          </w:p>
        </w:tc>
        <w:tc>
          <w:tcPr>
            <w:tcW w:w="708" w:type="dxa"/>
          </w:tcPr>
          <w:p w:rsidR="00000000" w:rsidRDefault="00000000">
            <w:pPr>
              <w:rPr>
                <w:sz w:val="22"/>
              </w:rPr>
            </w:pPr>
            <w:r>
              <w:rPr>
                <w:sz w:val="22"/>
              </w:rPr>
              <w:t>70</w:t>
            </w:r>
          </w:p>
        </w:tc>
        <w:tc>
          <w:tcPr>
            <w:tcW w:w="2410" w:type="dxa"/>
          </w:tcPr>
          <w:p w:rsidR="00000000" w:rsidRDefault="00000000">
            <w:pPr>
              <w:rPr>
                <w:sz w:val="22"/>
              </w:rPr>
            </w:pPr>
            <w:proofErr w:type="spellStart"/>
            <w:r>
              <w:rPr>
                <w:sz w:val="22"/>
              </w:rPr>
              <w:t>Капинота</w:t>
            </w:r>
            <w:proofErr w:type="spellEnd"/>
          </w:p>
        </w:tc>
        <w:tc>
          <w:tcPr>
            <w:tcW w:w="1949" w:type="dxa"/>
          </w:tcPr>
          <w:p w:rsidR="00000000" w:rsidRDefault="00000000">
            <w:pPr>
              <w:rPr>
                <w:sz w:val="22"/>
              </w:rPr>
            </w:pPr>
            <w:proofErr w:type="spellStart"/>
            <w:r>
              <w:rPr>
                <w:sz w:val="22"/>
              </w:rPr>
              <w:t>Кочабамба</w:t>
            </w:r>
            <w:proofErr w:type="spellEnd"/>
          </w:p>
        </w:tc>
      </w:tr>
      <w:tr w:rsidR="00000000">
        <w:tblPrEx>
          <w:tblCellMar>
            <w:top w:w="0" w:type="dxa"/>
            <w:bottom w:w="0" w:type="dxa"/>
          </w:tblCellMar>
        </w:tblPrEx>
        <w:tc>
          <w:tcPr>
            <w:tcW w:w="675" w:type="dxa"/>
          </w:tcPr>
          <w:p w:rsidR="00000000" w:rsidRDefault="00000000">
            <w:pPr>
              <w:rPr>
                <w:sz w:val="22"/>
              </w:rPr>
            </w:pPr>
            <w:r>
              <w:rPr>
                <w:sz w:val="22"/>
              </w:rPr>
              <w:t>15</w:t>
            </w:r>
          </w:p>
        </w:tc>
        <w:tc>
          <w:tcPr>
            <w:tcW w:w="2127" w:type="dxa"/>
          </w:tcPr>
          <w:p w:rsidR="00000000" w:rsidRDefault="00000000">
            <w:pPr>
              <w:rPr>
                <w:sz w:val="22"/>
              </w:rPr>
            </w:pPr>
            <w:proofErr w:type="spellStart"/>
            <w:r>
              <w:rPr>
                <w:sz w:val="22"/>
              </w:rPr>
              <w:t>Нор-Синти</w:t>
            </w:r>
            <w:proofErr w:type="spellEnd"/>
          </w:p>
        </w:tc>
        <w:tc>
          <w:tcPr>
            <w:tcW w:w="1701" w:type="dxa"/>
          </w:tcPr>
          <w:p w:rsidR="00000000" w:rsidRDefault="00000000">
            <w:pPr>
              <w:rPr>
                <w:sz w:val="22"/>
              </w:rPr>
            </w:pPr>
            <w:proofErr w:type="spellStart"/>
            <w:r>
              <w:rPr>
                <w:sz w:val="22"/>
              </w:rPr>
              <w:t>Чукисака</w:t>
            </w:r>
            <w:proofErr w:type="spellEnd"/>
          </w:p>
        </w:tc>
        <w:tc>
          <w:tcPr>
            <w:tcW w:w="708" w:type="dxa"/>
          </w:tcPr>
          <w:p w:rsidR="00000000" w:rsidRDefault="00000000">
            <w:pPr>
              <w:rPr>
                <w:sz w:val="22"/>
              </w:rPr>
            </w:pPr>
            <w:r>
              <w:rPr>
                <w:sz w:val="22"/>
              </w:rPr>
              <w:t>71</w:t>
            </w:r>
          </w:p>
        </w:tc>
        <w:tc>
          <w:tcPr>
            <w:tcW w:w="2410" w:type="dxa"/>
          </w:tcPr>
          <w:p w:rsidR="00000000" w:rsidRDefault="00000000">
            <w:pPr>
              <w:rPr>
                <w:sz w:val="22"/>
              </w:rPr>
            </w:pPr>
            <w:proofErr w:type="spellStart"/>
            <w:r>
              <w:rPr>
                <w:sz w:val="22"/>
              </w:rPr>
              <w:t>Арани</w:t>
            </w:r>
            <w:proofErr w:type="spellEnd"/>
          </w:p>
        </w:tc>
        <w:tc>
          <w:tcPr>
            <w:tcW w:w="1949" w:type="dxa"/>
          </w:tcPr>
          <w:p w:rsidR="00000000" w:rsidRDefault="00000000">
            <w:pPr>
              <w:rPr>
                <w:sz w:val="22"/>
              </w:rPr>
            </w:pPr>
            <w:proofErr w:type="spellStart"/>
            <w:r>
              <w:rPr>
                <w:sz w:val="22"/>
              </w:rPr>
              <w:t>Кочабамба</w:t>
            </w:r>
            <w:proofErr w:type="spellEnd"/>
          </w:p>
        </w:tc>
      </w:tr>
      <w:tr w:rsidR="00000000">
        <w:tblPrEx>
          <w:tblCellMar>
            <w:top w:w="0" w:type="dxa"/>
            <w:bottom w:w="0" w:type="dxa"/>
          </w:tblCellMar>
        </w:tblPrEx>
        <w:tc>
          <w:tcPr>
            <w:tcW w:w="675" w:type="dxa"/>
          </w:tcPr>
          <w:p w:rsidR="00000000" w:rsidRDefault="00000000">
            <w:pPr>
              <w:rPr>
                <w:sz w:val="22"/>
              </w:rPr>
            </w:pPr>
            <w:r>
              <w:rPr>
                <w:sz w:val="22"/>
              </w:rPr>
              <w:t>16</w:t>
            </w:r>
          </w:p>
        </w:tc>
        <w:tc>
          <w:tcPr>
            <w:tcW w:w="2127" w:type="dxa"/>
          </w:tcPr>
          <w:p w:rsidR="00000000" w:rsidRDefault="00000000">
            <w:pPr>
              <w:rPr>
                <w:sz w:val="22"/>
              </w:rPr>
            </w:pPr>
            <w:r>
              <w:rPr>
                <w:sz w:val="22"/>
              </w:rPr>
              <w:t>Миске</w:t>
            </w:r>
          </w:p>
        </w:tc>
        <w:tc>
          <w:tcPr>
            <w:tcW w:w="1701" w:type="dxa"/>
          </w:tcPr>
          <w:p w:rsidR="00000000" w:rsidRDefault="00000000">
            <w:pPr>
              <w:rPr>
                <w:sz w:val="22"/>
              </w:rPr>
            </w:pPr>
            <w:proofErr w:type="spellStart"/>
            <w:r>
              <w:rPr>
                <w:sz w:val="22"/>
              </w:rPr>
              <w:t>Кочабамба</w:t>
            </w:r>
            <w:proofErr w:type="spellEnd"/>
          </w:p>
        </w:tc>
        <w:tc>
          <w:tcPr>
            <w:tcW w:w="708" w:type="dxa"/>
          </w:tcPr>
          <w:p w:rsidR="00000000" w:rsidRDefault="00000000">
            <w:pPr>
              <w:rPr>
                <w:sz w:val="22"/>
              </w:rPr>
            </w:pPr>
            <w:r>
              <w:rPr>
                <w:sz w:val="22"/>
              </w:rPr>
              <w:t>72</w:t>
            </w:r>
          </w:p>
        </w:tc>
        <w:tc>
          <w:tcPr>
            <w:tcW w:w="2410" w:type="dxa"/>
          </w:tcPr>
          <w:p w:rsidR="00000000" w:rsidRDefault="00000000">
            <w:pPr>
              <w:rPr>
                <w:sz w:val="22"/>
              </w:rPr>
            </w:pPr>
            <w:proofErr w:type="spellStart"/>
            <w:r>
              <w:rPr>
                <w:sz w:val="22"/>
              </w:rPr>
              <w:t>Литораль</w:t>
            </w:r>
            <w:proofErr w:type="spellEnd"/>
          </w:p>
        </w:tc>
        <w:tc>
          <w:tcPr>
            <w:tcW w:w="1949" w:type="dxa"/>
          </w:tcPr>
          <w:p w:rsidR="00000000" w:rsidRDefault="00000000">
            <w:pPr>
              <w:rPr>
                <w:sz w:val="22"/>
              </w:rPr>
            </w:pPr>
            <w:proofErr w:type="spellStart"/>
            <w:r>
              <w:rPr>
                <w:sz w:val="22"/>
              </w:rPr>
              <w:t>Оруро</w:t>
            </w:r>
            <w:proofErr w:type="spellEnd"/>
          </w:p>
        </w:tc>
      </w:tr>
      <w:tr w:rsidR="00000000">
        <w:tblPrEx>
          <w:tblCellMar>
            <w:top w:w="0" w:type="dxa"/>
            <w:bottom w:w="0" w:type="dxa"/>
          </w:tblCellMar>
        </w:tblPrEx>
        <w:tc>
          <w:tcPr>
            <w:tcW w:w="675" w:type="dxa"/>
          </w:tcPr>
          <w:p w:rsidR="00000000" w:rsidRDefault="00000000">
            <w:pPr>
              <w:rPr>
                <w:sz w:val="22"/>
              </w:rPr>
            </w:pPr>
            <w:r>
              <w:rPr>
                <w:sz w:val="22"/>
              </w:rPr>
              <w:t>17</w:t>
            </w:r>
          </w:p>
        </w:tc>
        <w:tc>
          <w:tcPr>
            <w:tcW w:w="2127" w:type="dxa"/>
          </w:tcPr>
          <w:p w:rsidR="00000000" w:rsidRDefault="00000000">
            <w:pPr>
              <w:rPr>
                <w:sz w:val="22"/>
              </w:rPr>
            </w:pPr>
            <w:proofErr w:type="spellStart"/>
            <w:r>
              <w:rPr>
                <w:sz w:val="22"/>
              </w:rPr>
              <w:t>Сан-Педро-де-Тотора</w:t>
            </w:r>
            <w:proofErr w:type="spellEnd"/>
          </w:p>
        </w:tc>
        <w:tc>
          <w:tcPr>
            <w:tcW w:w="1701" w:type="dxa"/>
          </w:tcPr>
          <w:p w:rsidR="00000000" w:rsidRDefault="00000000">
            <w:pPr>
              <w:rPr>
                <w:sz w:val="22"/>
              </w:rPr>
            </w:pPr>
            <w:proofErr w:type="spellStart"/>
            <w:r>
              <w:rPr>
                <w:sz w:val="22"/>
              </w:rPr>
              <w:t>Оруро</w:t>
            </w:r>
            <w:proofErr w:type="spellEnd"/>
          </w:p>
        </w:tc>
        <w:tc>
          <w:tcPr>
            <w:tcW w:w="708" w:type="dxa"/>
          </w:tcPr>
          <w:p w:rsidR="00000000" w:rsidRDefault="00000000">
            <w:pPr>
              <w:rPr>
                <w:sz w:val="22"/>
              </w:rPr>
            </w:pPr>
            <w:r>
              <w:rPr>
                <w:sz w:val="22"/>
              </w:rPr>
              <w:t>73</w:t>
            </w:r>
          </w:p>
        </w:tc>
        <w:tc>
          <w:tcPr>
            <w:tcW w:w="2410" w:type="dxa"/>
          </w:tcPr>
          <w:p w:rsidR="00000000" w:rsidRDefault="00000000">
            <w:pPr>
              <w:rPr>
                <w:sz w:val="22"/>
              </w:rPr>
            </w:pPr>
            <w:proofErr w:type="spellStart"/>
            <w:r>
              <w:rPr>
                <w:sz w:val="22"/>
              </w:rPr>
              <w:t>Чапаре</w:t>
            </w:r>
            <w:proofErr w:type="spellEnd"/>
          </w:p>
        </w:tc>
        <w:tc>
          <w:tcPr>
            <w:tcW w:w="1949" w:type="dxa"/>
          </w:tcPr>
          <w:p w:rsidR="00000000" w:rsidRDefault="00000000">
            <w:pPr>
              <w:rPr>
                <w:sz w:val="22"/>
              </w:rPr>
            </w:pPr>
            <w:proofErr w:type="spellStart"/>
            <w:r>
              <w:rPr>
                <w:sz w:val="22"/>
              </w:rPr>
              <w:t>Кочабамба</w:t>
            </w:r>
            <w:proofErr w:type="spellEnd"/>
          </w:p>
        </w:tc>
      </w:tr>
      <w:tr w:rsidR="00000000">
        <w:tblPrEx>
          <w:tblCellMar>
            <w:top w:w="0" w:type="dxa"/>
            <w:bottom w:w="0" w:type="dxa"/>
          </w:tblCellMar>
        </w:tblPrEx>
        <w:tc>
          <w:tcPr>
            <w:tcW w:w="675" w:type="dxa"/>
          </w:tcPr>
          <w:p w:rsidR="00000000" w:rsidRDefault="00000000">
            <w:pPr>
              <w:rPr>
                <w:sz w:val="22"/>
              </w:rPr>
            </w:pPr>
            <w:r>
              <w:rPr>
                <w:sz w:val="22"/>
              </w:rPr>
              <w:t>18</w:t>
            </w:r>
          </w:p>
        </w:tc>
        <w:tc>
          <w:tcPr>
            <w:tcW w:w="2127" w:type="dxa"/>
          </w:tcPr>
          <w:p w:rsidR="00000000" w:rsidRDefault="00000000">
            <w:pPr>
              <w:rPr>
                <w:sz w:val="22"/>
              </w:rPr>
            </w:pPr>
            <w:proofErr w:type="spellStart"/>
            <w:r>
              <w:rPr>
                <w:sz w:val="22"/>
              </w:rPr>
              <w:t>Пакахес</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74</w:t>
            </w:r>
          </w:p>
        </w:tc>
        <w:tc>
          <w:tcPr>
            <w:tcW w:w="2410" w:type="dxa"/>
          </w:tcPr>
          <w:p w:rsidR="00000000" w:rsidRDefault="00000000">
            <w:pPr>
              <w:rPr>
                <w:sz w:val="22"/>
              </w:rPr>
            </w:pPr>
            <w:proofErr w:type="spellStart"/>
            <w:r>
              <w:rPr>
                <w:sz w:val="22"/>
              </w:rPr>
              <w:t>Мануэль-Мария</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19</w:t>
            </w:r>
          </w:p>
        </w:tc>
        <w:tc>
          <w:tcPr>
            <w:tcW w:w="2127" w:type="dxa"/>
          </w:tcPr>
          <w:p w:rsidR="00000000" w:rsidRDefault="00000000">
            <w:pPr>
              <w:rPr>
                <w:sz w:val="22"/>
              </w:rPr>
            </w:pPr>
            <w:proofErr w:type="spellStart"/>
            <w:r>
              <w:rPr>
                <w:sz w:val="22"/>
              </w:rPr>
              <w:t>Айопайа</w:t>
            </w:r>
            <w:proofErr w:type="spellEnd"/>
          </w:p>
        </w:tc>
        <w:tc>
          <w:tcPr>
            <w:tcW w:w="1701" w:type="dxa"/>
          </w:tcPr>
          <w:p w:rsidR="00000000" w:rsidRDefault="00000000">
            <w:pPr>
              <w:rPr>
                <w:sz w:val="22"/>
              </w:rPr>
            </w:pPr>
            <w:proofErr w:type="spellStart"/>
            <w:r>
              <w:rPr>
                <w:sz w:val="22"/>
              </w:rPr>
              <w:t>Кочабамба</w:t>
            </w:r>
            <w:proofErr w:type="spellEnd"/>
          </w:p>
        </w:tc>
        <w:tc>
          <w:tcPr>
            <w:tcW w:w="708" w:type="dxa"/>
          </w:tcPr>
          <w:p w:rsidR="00000000" w:rsidRDefault="00000000">
            <w:pPr>
              <w:rPr>
                <w:sz w:val="22"/>
              </w:rPr>
            </w:pPr>
            <w:r>
              <w:rPr>
                <w:sz w:val="22"/>
              </w:rPr>
              <w:t>75</w:t>
            </w:r>
          </w:p>
        </w:tc>
        <w:tc>
          <w:tcPr>
            <w:tcW w:w="2410" w:type="dxa"/>
          </w:tcPr>
          <w:p w:rsidR="00000000" w:rsidRDefault="00000000">
            <w:pPr>
              <w:rPr>
                <w:sz w:val="22"/>
              </w:rPr>
            </w:pPr>
            <w:r>
              <w:rPr>
                <w:sz w:val="22"/>
              </w:rPr>
              <w:t>Кабальеро</w:t>
            </w:r>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20</w:t>
            </w:r>
          </w:p>
        </w:tc>
        <w:tc>
          <w:tcPr>
            <w:tcW w:w="2127" w:type="dxa"/>
          </w:tcPr>
          <w:p w:rsidR="00000000" w:rsidRDefault="00000000">
            <w:pPr>
              <w:rPr>
                <w:sz w:val="22"/>
              </w:rPr>
            </w:pPr>
            <w:proofErr w:type="spellStart"/>
            <w:r>
              <w:rPr>
                <w:sz w:val="22"/>
              </w:rPr>
              <w:t>Лоайса</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76</w:t>
            </w:r>
          </w:p>
        </w:tc>
        <w:tc>
          <w:tcPr>
            <w:tcW w:w="2410" w:type="dxa"/>
          </w:tcPr>
          <w:p w:rsidR="00000000" w:rsidRDefault="00000000">
            <w:pPr>
              <w:rPr>
                <w:sz w:val="22"/>
              </w:rPr>
            </w:pPr>
            <w:proofErr w:type="spellStart"/>
            <w:r>
              <w:rPr>
                <w:sz w:val="22"/>
              </w:rPr>
              <w:t>Веласко</w:t>
            </w:r>
            <w:proofErr w:type="spellEnd"/>
          </w:p>
        </w:tc>
        <w:tc>
          <w:tcPr>
            <w:tcW w:w="1949" w:type="dxa"/>
          </w:tcPr>
          <w:p w:rsidR="00000000" w:rsidRDefault="00000000">
            <w:pPr>
              <w:rPr>
                <w:sz w:val="22"/>
              </w:rPr>
            </w:pPr>
            <w:proofErr w:type="spellStart"/>
            <w:r>
              <w:rPr>
                <w:sz w:val="22"/>
              </w:rPr>
              <w:t>Бени</w:t>
            </w:r>
            <w:proofErr w:type="spellEnd"/>
          </w:p>
        </w:tc>
      </w:tr>
      <w:tr w:rsidR="00000000">
        <w:tblPrEx>
          <w:tblCellMar>
            <w:top w:w="0" w:type="dxa"/>
            <w:bottom w:w="0" w:type="dxa"/>
          </w:tblCellMar>
        </w:tblPrEx>
        <w:tc>
          <w:tcPr>
            <w:tcW w:w="675" w:type="dxa"/>
          </w:tcPr>
          <w:p w:rsidR="00000000" w:rsidRDefault="00000000">
            <w:pPr>
              <w:rPr>
                <w:sz w:val="22"/>
              </w:rPr>
            </w:pPr>
            <w:r>
              <w:rPr>
                <w:sz w:val="22"/>
              </w:rPr>
              <w:t>21</w:t>
            </w:r>
          </w:p>
        </w:tc>
        <w:tc>
          <w:tcPr>
            <w:tcW w:w="2127" w:type="dxa"/>
          </w:tcPr>
          <w:p w:rsidR="00000000" w:rsidRDefault="00000000">
            <w:pPr>
              <w:rPr>
                <w:sz w:val="22"/>
              </w:rPr>
            </w:pPr>
            <w:proofErr w:type="spellStart"/>
            <w:r>
              <w:rPr>
                <w:sz w:val="22"/>
              </w:rPr>
              <w:t>Гуальберто-Вильярроэль</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77</w:t>
            </w:r>
          </w:p>
        </w:tc>
        <w:tc>
          <w:tcPr>
            <w:tcW w:w="2410" w:type="dxa"/>
          </w:tcPr>
          <w:p w:rsidR="00000000" w:rsidRDefault="00000000">
            <w:pPr>
              <w:rPr>
                <w:sz w:val="22"/>
              </w:rPr>
            </w:pPr>
            <w:proofErr w:type="spellStart"/>
            <w:r>
              <w:rPr>
                <w:sz w:val="22"/>
              </w:rPr>
              <w:t>Итенес</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22</w:t>
            </w:r>
          </w:p>
        </w:tc>
        <w:tc>
          <w:tcPr>
            <w:tcW w:w="2127" w:type="dxa"/>
          </w:tcPr>
          <w:p w:rsidR="00000000" w:rsidRDefault="00000000">
            <w:pPr>
              <w:rPr>
                <w:sz w:val="22"/>
              </w:rPr>
            </w:pPr>
            <w:proofErr w:type="spellStart"/>
            <w:r>
              <w:rPr>
                <w:sz w:val="22"/>
              </w:rPr>
              <w:t>Саукари</w:t>
            </w:r>
            <w:proofErr w:type="spellEnd"/>
          </w:p>
        </w:tc>
        <w:tc>
          <w:tcPr>
            <w:tcW w:w="1701" w:type="dxa"/>
          </w:tcPr>
          <w:p w:rsidR="00000000" w:rsidRDefault="00000000">
            <w:pPr>
              <w:rPr>
                <w:sz w:val="22"/>
              </w:rPr>
            </w:pPr>
            <w:proofErr w:type="spellStart"/>
            <w:r>
              <w:rPr>
                <w:sz w:val="22"/>
              </w:rPr>
              <w:t>Оруро</w:t>
            </w:r>
            <w:proofErr w:type="spellEnd"/>
          </w:p>
        </w:tc>
        <w:tc>
          <w:tcPr>
            <w:tcW w:w="708" w:type="dxa"/>
          </w:tcPr>
          <w:p w:rsidR="00000000" w:rsidRDefault="00000000">
            <w:pPr>
              <w:rPr>
                <w:sz w:val="22"/>
              </w:rPr>
            </w:pPr>
            <w:r>
              <w:rPr>
                <w:sz w:val="22"/>
              </w:rPr>
              <w:t>78</w:t>
            </w:r>
          </w:p>
        </w:tc>
        <w:tc>
          <w:tcPr>
            <w:tcW w:w="2410" w:type="dxa"/>
          </w:tcPr>
          <w:p w:rsidR="00000000" w:rsidRDefault="00000000">
            <w:pPr>
              <w:rPr>
                <w:sz w:val="22"/>
              </w:rPr>
            </w:pPr>
            <w:proofErr w:type="spellStart"/>
            <w:r>
              <w:rPr>
                <w:sz w:val="22"/>
              </w:rPr>
              <w:t>Ичило</w:t>
            </w:r>
            <w:proofErr w:type="spellEnd"/>
          </w:p>
        </w:tc>
        <w:tc>
          <w:tcPr>
            <w:tcW w:w="1949" w:type="dxa"/>
          </w:tcPr>
          <w:p w:rsidR="00000000" w:rsidRDefault="00000000">
            <w:pPr>
              <w:rPr>
                <w:sz w:val="22"/>
              </w:rPr>
            </w:pPr>
            <w:proofErr w:type="spellStart"/>
            <w:r>
              <w:rPr>
                <w:sz w:val="22"/>
              </w:rPr>
              <w:t>Бени</w:t>
            </w:r>
            <w:proofErr w:type="spellEnd"/>
          </w:p>
        </w:tc>
      </w:tr>
      <w:tr w:rsidR="00000000">
        <w:tblPrEx>
          <w:tblCellMar>
            <w:top w:w="0" w:type="dxa"/>
            <w:bottom w:w="0" w:type="dxa"/>
          </w:tblCellMar>
        </w:tblPrEx>
        <w:tc>
          <w:tcPr>
            <w:tcW w:w="675" w:type="dxa"/>
          </w:tcPr>
          <w:p w:rsidR="00000000" w:rsidRDefault="00000000">
            <w:pPr>
              <w:rPr>
                <w:sz w:val="22"/>
              </w:rPr>
            </w:pPr>
            <w:r>
              <w:rPr>
                <w:sz w:val="22"/>
              </w:rPr>
              <w:t>23</w:t>
            </w:r>
          </w:p>
        </w:tc>
        <w:tc>
          <w:tcPr>
            <w:tcW w:w="2127" w:type="dxa"/>
          </w:tcPr>
          <w:p w:rsidR="00000000" w:rsidRDefault="00000000">
            <w:pPr>
              <w:rPr>
                <w:sz w:val="22"/>
              </w:rPr>
            </w:pPr>
            <w:proofErr w:type="spellStart"/>
            <w:r>
              <w:rPr>
                <w:sz w:val="22"/>
              </w:rPr>
              <w:t>Лос-Андес</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79</w:t>
            </w:r>
          </w:p>
        </w:tc>
        <w:tc>
          <w:tcPr>
            <w:tcW w:w="2410" w:type="dxa"/>
          </w:tcPr>
          <w:p w:rsidR="00000000" w:rsidRDefault="00000000">
            <w:pPr>
              <w:rPr>
                <w:sz w:val="22"/>
              </w:rPr>
            </w:pPr>
            <w:proofErr w:type="spellStart"/>
            <w:r>
              <w:rPr>
                <w:sz w:val="22"/>
              </w:rPr>
              <w:t>Маморе</w:t>
            </w:r>
            <w:proofErr w:type="spellEnd"/>
          </w:p>
        </w:tc>
        <w:tc>
          <w:tcPr>
            <w:tcW w:w="1949" w:type="dxa"/>
          </w:tcPr>
          <w:p w:rsidR="00000000" w:rsidRDefault="00000000">
            <w:pPr>
              <w:rPr>
                <w:sz w:val="22"/>
              </w:rPr>
            </w:pPr>
            <w:proofErr w:type="spellStart"/>
            <w:r>
              <w:rPr>
                <w:sz w:val="22"/>
              </w:rPr>
              <w:t>Бени</w:t>
            </w:r>
            <w:proofErr w:type="spellEnd"/>
          </w:p>
        </w:tc>
      </w:tr>
      <w:tr w:rsidR="00000000">
        <w:tblPrEx>
          <w:tblCellMar>
            <w:top w:w="0" w:type="dxa"/>
            <w:bottom w:w="0" w:type="dxa"/>
          </w:tblCellMar>
        </w:tblPrEx>
        <w:tc>
          <w:tcPr>
            <w:tcW w:w="675" w:type="dxa"/>
          </w:tcPr>
          <w:p w:rsidR="00000000" w:rsidRDefault="00000000">
            <w:pPr>
              <w:rPr>
                <w:sz w:val="22"/>
              </w:rPr>
            </w:pPr>
            <w:r>
              <w:rPr>
                <w:sz w:val="22"/>
              </w:rPr>
              <w:t>24</w:t>
            </w:r>
          </w:p>
        </w:tc>
        <w:tc>
          <w:tcPr>
            <w:tcW w:w="2127" w:type="dxa"/>
          </w:tcPr>
          <w:p w:rsidR="00000000" w:rsidRDefault="00000000">
            <w:pPr>
              <w:rPr>
                <w:sz w:val="22"/>
              </w:rPr>
            </w:pPr>
            <w:proofErr w:type="spellStart"/>
            <w:r>
              <w:rPr>
                <w:sz w:val="22"/>
              </w:rPr>
              <w:t>Моксос</w:t>
            </w:r>
            <w:proofErr w:type="spellEnd"/>
          </w:p>
        </w:tc>
        <w:tc>
          <w:tcPr>
            <w:tcW w:w="1701" w:type="dxa"/>
          </w:tcPr>
          <w:p w:rsidR="00000000" w:rsidRDefault="00000000">
            <w:pPr>
              <w:rPr>
                <w:sz w:val="22"/>
              </w:rPr>
            </w:pPr>
            <w:proofErr w:type="spellStart"/>
            <w:r>
              <w:rPr>
                <w:sz w:val="22"/>
              </w:rPr>
              <w:t>Бени</w:t>
            </w:r>
            <w:proofErr w:type="spellEnd"/>
          </w:p>
        </w:tc>
        <w:tc>
          <w:tcPr>
            <w:tcW w:w="708" w:type="dxa"/>
          </w:tcPr>
          <w:p w:rsidR="00000000" w:rsidRDefault="00000000">
            <w:pPr>
              <w:rPr>
                <w:sz w:val="22"/>
              </w:rPr>
            </w:pPr>
            <w:r>
              <w:rPr>
                <w:sz w:val="22"/>
              </w:rPr>
              <w:t>80</w:t>
            </w:r>
          </w:p>
        </w:tc>
        <w:tc>
          <w:tcPr>
            <w:tcW w:w="2410" w:type="dxa"/>
          </w:tcPr>
          <w:p w:rsidR="00000000" w:rsidRDefault="00000000">
            <w:pPr>
              <w:rPr>
                <w:sz w:val="22"/>
              </w:rPr>
            </w:pPr>
            <w:proofErr w:type="spellStart"/>
            <w:r>
              <w:rPr>
                <w:sz w:val="22"/>
              </w:rPr>
              <w:t>Якума</w:t>
            </w:r>
            <w:proofErr w:type="spellEnd"/>
          </w:p>
        </w:tc>
        <w:tc>
          <w:tcPr>
            <w:tcW w:w="1949" w:type="dxa"/>
          </w:tcPr>
          <w:p w:rsidR="00000000" w:rsidRDefault="00000000">
            <w:pPr>
              <w:rPr>
                <w:sz w:val="22"/>
              </w:rPr>
            </w:pPr>
            <w:proofErr w:type="spellStart"/>
            <w:r>
              <w:rPr>
                <w:sz w:val="22"/>
              </w:rPr>
              <w:t>Томас-Баррон</w:t>
            </w:r>
            <w:proofErr w:type="spellEnd"/>
          </w:p>
        </w:tc>
      </w:tr>
      <w:tr w:rsidR="00000000">
        <w:tblPrEx>
          <w:tblCellMar>
            <w:top w:w="0" w:type="dxa"/>
            <w:bottom w:w="0" w:type="dxa"/>
          </w:tblCellMar>
        </w:tblPrEx>
        <w:tc>
          <w:tcPr>
            <w:tcW w:w="675" w:type="dxa"/>
          </w:tcPr>
          <w:p w:rsidR="00000000" w:rsidRDefault="00000000">
            <w:pPr>
              <w:rPr>
                <w:sz w:val="22"/>
              </w:rPr>
            </w:pPr>
            <w:r>
              <w:rPr>
                <w:sz w:val="22"/>
              </w:rPr>
              <w:t>25</w:t>
            </w:r>
          </w:p>
        </w:tc>
        <w:tc>
          <w:tcPr>
            <w:tcW w:w="2127" w:type="dxa"/>
          </w:tcPr>
          <w:p w:rsidR="00000000" w:rsidRDefault="00000000">
            <w:pPr>
              <w:rPr>
                <w:sz w:val="22"/>
              </w:rPr>
            </w:pPr>
            <w:proofErr w:type="spellStart"/>
            <w:r>
              <w:rPr>
                <w:sz w:val="22"/>
              </w:rPr>
              <w:t>Корнелио-Сааведра</w:t>
            </w:r>
            <w:proofErr w:type="spellEnd"/>
          </w:p>
        </w:tc>
        <w:tc>
          <w:tcPr>
            <w:tcW w:w="1701" w:type="dxa"/>
          </w:tcPr>
          <w:p w:rsidR="00000000" w:rsidRDefault="00000000">
            <w:pPr>
              <w:rPr>
                <w:sz w:val="22"/>
              </w:rPr>
            </w:pPr>
            <w:proofErr w:type="spellStart"/>
            <w:r>
              <w:rPr>
                <w:sz w:val="22"/>
              </w:rPr>
              <w:t>Потоси</w:t>
            </w:r>
            <w:proofErr w:type="spellEnd"/>
          </w:p>
        </w:tc>
        <w:tc>
          <w:tcPr>
            <w:tcW w:w="708" w:type="dxa"/>
          </w:tcPr>
          <w:p w:rsidR="00000000" w:rsidRDefault="00000000">
            <w:pPr>
              <w:rPr>
                <w:sz w:val="22"/>
              </w:rPr>
            </w:pPr>
            <w:r>
              <w:rPr>
                <w:sz w:val="22"/>
              </w:rPr>
              <w:t>81</w:t>
            </w:r>
          </w:p>
        </w:tc>
        <w:tc>
          <w:tcPr>
            <w:tcW w:w="2410" w:type="dxa"/>
          </w:tcPr>
          <w:p w:rsidR="00000000" w:rsidRDefault="00000000">
            <w:pPr>
              <w:rPr>
                <w:sz w:val="22"/>
              </w:rPr>
            </w:pPr>
            <w:proofErr w:type="spellStart"/>
            <w:r>
              <w:rPr>
                <w:sz w:val="22"/>
              </w:rPr>
              <w:t>Томас-Баррон</w:t>
            </w:r>
            <w:proofErr w:type="spellEnd"/>
          </w:p>
        </w:tc>
        <w:tc>
          <w:tcPr>
            <w:tcW w:w="1949" w:type="dxa"/>
          </w:tcPr>
          <w:p w:rsidR="00000000" w:rsidRDefault="00000000">
            <w:pPr>
              <w:rPr>
                <w:sz w:val="22"/>
              </w:rPr>
            </w:pPr>
            <w:proofErr w:type="spellStart"/>
            <w:r>
              <w:rPr>
                <w:sz w:val="22"/>
              </w:rPr>
              <w:t>Рафаэль-Бустильо</w:t>
            </w:r>
            <w:proofErr w:type="spellEnd"/>
          </w:p>
        </w:tc>
      </w:tr>
      <w:tr w:rsidR="00000000">
        <w:tblPrEx>
          <w:tblCellMar>
            <w:top w:w="0" w:type="dxa"/>
            <w:bottom w:w="0" w:type="dxa"/>
          </w:tblCellMar>
        </w:tblPrEx>
        <w:tc>
          <w:tcPr>
            <w:tcW w:w="675" w:type="dxa"/>
          </w:tcPr>
          <w:p w:rsidR="00000000" w:rsidRDefault="00000000">
            <w:pPr>
              <w:rPr>
                <w:sz w:val="22"/>
              </w:rPr>
            </w:pPr>
            <w:r>
              <w:rPr>
                <w:sz w:val="22"/>
              </w:rPr>
              <w:t>26</w:t>
            </w:r>
          </w:p>
        </w:tc>
        <w:tc>
          <w:tcPr>
            <w:tcW w:w="2127" w:type="dxa"/>
          </w:tcPr>
          <w:p w:rsidR="00000000" w:rsidRDefault="00000000">
            <w:pPr>
              <w:rPr>
                <w:sz w:val="22"/>
              </w:rPr>
            </w:pPr>
            <w:proofErr w:type="spellStart"/>
            <w:r>
              <w:rPr>
                <w:sz w:val="22"/>
              </w:rPr>
              <w:t>Суд-Синти</w:t>
            </w:r>
            <w:proofErr w:type="spellEnd"/>
          </w:p>
        </w:tc>
        <w:tc>
          <w:tcPr>
            <w:tcW w:w="1701" w:type="dxa"/>
          </w:tcPr>
          <w:p w:rsidR="00000000" w:rsidRDefault="00000000">
            <w:pPr>
              <w:rPr>
                <w:sz w:val="22"/>
              </w:rPr>
            </w:pPr>
            <w:proofErr w:type="spellStart"/>
            <w:r>
              <w:rPr>
                <w:sz w:val="22"/>
              </w:rPr>
              <w:t>Чукисака</w:t>
            </w:r>
            <w:proofErr w:type="spellEnd"/>
          </w:p>
        </w:tc>
        <w:tc>
          <w:tcPr>
            <w:tcW w:w="708" w:type="dxa"/>
          </w:tcPr>
          <w:p w:rsidR="00000000" w:rsidRDefault="00000000">
            <w:pPr>
              <w:rPr>
                <w:sz w:val="22"/>
              </w:rPr>
            </w:pPr>
            <w:r>
              <w:rPr>
                <w:sz w:val="22"/>
              </w:rPr>
              <w:t>82</w:t>
            </w:r>
          </w:p>
        </w:tc>
        <w:tc>
          <w:tcPr>
            <w:tcW w:w="2410" w:type="dxa"/>
          </w:tcPr>
          <w:p w:rsidR="00000000" w:rsidRDefault="00000000">
            <w:pPr>
              <w:rPr>
                <w:sz w:val="22"/>
              </w:rPr>
            </w:pPr>
            <w:proofErr w:type="spellStart"/>
            <w:r>
              <w:rPr>
                <w:sz w:val="22"/>
              </w:rPr>
              <w:t>Рафаэль-Бустильо</w:t>
            </w:r>
            <w:proofErr w:type="spellEnd"/>
            <w:r>
              <w:rPr>
                <w:sz w:val="22"/>
              </w:rPr>
              <w:t xml:space="preserve"> </w:t>
            </w:r>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27</w:t>
            </w:r>
          </w:p>
        </w:tc>
        <w:tc>
          <w:tcPr>
            <w:tcW w:w="2127" w:type="dxa"/>
          </w:tcPr>
          <w:p w:rsidR="00000000" w:rsidRDefault="00000000">
            <w:pPr>
              <w:rPr>
                <w:sz w:val="22"/>
              </w:rPr>
            </w:pPr>
            <w:r>
              <w:rPr>
                <w:sz w:val="22"/>
              </w:rPr>
              <w:t>Томина</w:t>
            </w:r>
          </w:p>
        </w:tc>
        <w:tc>
          <w:tcPr>
            <w:tcW w:w="1701" w:type="dxa"/>
          </w:tcPr>
          <w:p w:rsidR="00000000" w:rsidRDefault="00000000">
            <w:pPr>
              <w:rPr>
                <w:sz w:val="22"/>
              </w:rPr>
            </w:pPr>
            <w:proofErr w:type="spellStart"/>
            <w:r>
              <w:rPr>
                <w:sz w:val="22"/>
              </w:rPr>
              <w:t>Чукисака</w:t>
            </w:r>
            <w:proofErr w:type="spellEnd"/>
          </w:p>
        </w:tc>
        <w:tc>
          <w:tcPr>
            <w:tcW w:w="708" w:type="dxa"/>
          </w:tcPr>
          <w:p w:rsidR="00000000" w:rsidRDefault="00000000">
            <w:pPr>
              <w:rPr>
                <w:sz w:val="22"/>
              </w:rPr>
            </w:pPr>
            <w:r>
              <w:rPr>
                <w:sz w:val="22"/>
              </w:rPr>
              <w:t>83</w:t>
            </w:r>
          </w:p>
        </w:tc>
        <w:tc>
          <w:tcPr>
            <w:tcW w:w="2410" w:type="dxa"/>
          </w:tcPr>
          <w:p w:rsidR="00000000" w:rsidRDefault="00000000">
            <w:pPr>
              <w:rPr>
                <w:sz w:val="22"/>
              </w:rPr>
            </w:pPr>
            <w:proofErr w:type="spellStart"/>
            <w:r>
              <w:rPr>
                <w:sz w:val="22"/>
              </w:rPr>
              <w:t>Бальегранде</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28</w:t>
            </w:r>
          </w:p>
        </w:tc>
        <w:tc>
          <w:tcPr>
            <w:tcW w:w="2127" w:type="dxa"/>
          </w:tcPr>
          <w:p w:rsidR="00000000" w:rsidRDefault="00000000">
            <w:pPr>
              <w:rPr>
                <w:sz w:val="22"/>
              </w:rPr>
            </w:pPr>
            <w:proofErr w:type="spellStart"/>
            <w:r>
              <w:rPr>
                <w:sz w:val="22"/>
              </w:rPr>
              <w:t>Марбан</w:t>
            </w:r>
            <w:proofErr w:type="spellEnd"/>
          </w:p>
        </w:tc>
        <w:tc>
          <w:tcPr>
            <w:tcW w:w="1701" w:type="dxa"/>
          </w:tcPr>
          <w:p w:rsidR="00000000" w:rsidRDefault="00000000">
            <w:pPr>
              <w:rPr>
                <w:sz w:val="22"/>
              </w:rPr>
            </w:pPr>
            <w:proofErr w:type="spellStart"/>
            <w:r>
              <w:rPr>
                <w:sz w:val="22"/>
              </w:rPr>
              <w:t>Бени</w:t>
            </w:r>
            <w:proofErr w:type="spellEnd"/>
          </w:p>
        </w:tc>
        <w:tc>
          <w:tcPr>
            <w:tcW w:w="708" w:type="dxa"/>
          </w:tcPr>
          <w:p w:rsidR="00000000" w:rsidRDefault="00000000">
            <w:pPr>
              <w:rPr>
                <w:sz w:val="22"/>
              </w:rPr>
            </w:pPr>
            <w:r>
              <w:rPr>
                <w:sz w:val="22"/>
              </w:rPr>
              <w:t>84</w:t>
            </w:r>
          </w:p>
        </w:tc>
        <w:tc>
          <w:tcPr>
            <w:tcW w:w="2410" w:type="dxa"/>
          </w:tcPr>
          <w:p w:rsidR="00000000" w:rsidRDefault="00000000">
            <w:pPr>
              <w:rPr>
                <w:sz w:val="22"/>
              </w:rPr>
            </w:pPr>
            <w:r>
              <w:rPr>
                <w:sz w:val="22"/>
              </w:rPr>
              <w:t>Флорида</w:t>
            </w:r>
          </w:p>
        </w:tc>
        <w:tc>
          <w:tcPr>
            <w:tcW w:w="1949" w:type="dxa"/>
          </w:tcPr>
          <w:p w:rsidR="00000000" w:rsidRDefault="00000000">
            <w:pPr>
              <w:rPr>
                <w:sz w:val="22"/>
              </w:rPr>
            </w:pPr>
            <w:proofErr w:type="spellStart"/>
            <w:r>
              <w:rPr>
                <w:sz w:val="22"/>
              </w:rPr>
              <w:t>Потоси</w:t>
            </w:r>
            <w:proofErr w:type="spellEnd"/>
          </w:p>
        </w:tc>
      </w:tr>
      <w:tr w:rsidR="00000000">
        <w:tblPrEx>
          <w:tblCellMar>
            <w:top w:w="0" w:type="dxa"/>
            <w:bottom w:w="0" w:type="dxa"/>
          </w:tblCellMar>
        </w:tblPrEx>
        <w:tc>
          <w:tcPr>
            <w:tcW w:w="675" w:type="dxa"/>
          </w:tcPr>
          <w:p w:rsidR="00000000" w:rsidRDefault="00000000">
            <w:pPr>
              <w:rPr>
                <w:sz w:val="22"/>
              </w:rPr>
            </w:pPr>
            <w:r>
              <w:rPr>
                <w:sz w:val="22"/>
              </w:rPr>
              <w:t>29</w:t>
            </w:r>
          </w:p>
        </w:tc>
        <w:tc>
          <w:tcPr>
            <w:tcW w:w="2127" w:type="dxa"/>
          </w:tcPr>
          <w:p w:rsidR="00000000" w:rsidRDefault="00000000">
            <w:pPr>
              <w:rPr>
                <w:sz w:val="22"/>
              </w:rPr>
            </w:pPr>
            <w:proofErr w:type="spellStart"/>
            <w:r>
              <w:rPr>
                <w:sz w:val="22"/>
              </w:rPr>
              <w:t>Ямпараес</w:t>
            </w:r>
            <w:proofErr w:type="spellEnd"/>
          </w:p>
        </w:tc>
        <w:tc>
          <w:tcPr>
            <w:tcW w:w="1701" w:type="dxa"/>
          </w:tcPr>
          <w:p w:rsidR="00000000" w:rsidRDefault="00000000">
            <w:pPr>
              <w:rPr>
                <w:sz w:val="22"/>
              </w:rPr>
            </w:pPr>
            <w:proofErr w:type="spellStart"/>
            <w:r>
              <w:rPr>
                <w:sz w:val="22"/>
              </w:rPr>
              <w:t>Чукисака</w:t>
            </w:r>
            <w:proofErr w:type="spellEnd"/>
          </w:p>
        </w:tc>
        <w:tc>
          <w:tcPr>
            <w:tcW w:w="708" w:type="dxa"/>
          </w:tcPr>
          <w:p w:rsidR="00000000" w:rsidRDefault="00000000">
            <w:pPr>
              <w:rPr>
                <w:sz w:val="22"/>
              </w:rPr>
            </w:pPr>
            <w:r>
              <w:rPr>
                <w:sz w:val="22"/>
              </w:rPr>
              <w:t>85</w:t>
            </w:r>
          </w:p>
        </w:tc>
        <w:tc>
          <w:tcPr>
            <w:tcW w:w="2410" w:type="dxa"/>
          </w:tcPr>
          <w:p w:rsidR="00000000" w:rsidRDefault="00000000">
            <w:pPr>
              <w:rPr>
                <w:sz w:val="22"/>
              </w:rPr>
            </w:pPr>
            <w:proofErr w:type="spellStart"/>
            <w:r>
              <w:rPr>
                <w:sz w:val="22"/>
              </w:rPr>
              <w:t>Антонио</w:t>
            </w:r>
            <w:proofErr w:type="spellEnd"/>
            <w:r>
              <w:rPr>
                <w:sz w:val="22"/>
              </w:rPr>
              <w:t xml:space="preserve"> </w:t>
            </w:r>
            <w:proofErr w:type="spellStart"/>
            <w:r>
              <w:rPr>
                <w:sz w:val="22"/>
              </w:rPr>
              <w:t>Кихарро</w:t>
            </w:r>
            <w:proofErr w:type="spellEnd"/>
          </w:p>
        </w:tc>
        <w:tc>
          <w:tcPr>
            <w:tcW w:w="1949" w:type="dxa"/>
          </w:tcPr>
          <w:p w:rsidR="00000000" w:rsidRDefault="00000000">
            <w:pPr>
              <w:rPr>
                <w:sz w:val="22"/>
              </w:rPr>
            </w:pPr>
            <w:proofErr w:type="spellStart"/>
            <w:r>
              <w:rPr>
                <w:sz w:val="22"/>
              </w:rPr>
              <w:t>Оруро</w:t>
            </w:r>
            <w:proofErr w:type="spellEnd"/>
          </w:p>
        </w:tc>
      </w:tr>
      <w:tr w:rsidR="00000000">
        <w:tblPrEx>
          <w:tblCellMar>
            <w:top w:w="0" w:type="dxa"/>
            <w:bottom w:w="0" w:type="dxa"/>
          </w:tblCellMar>
        </w:tblPrEx>
        <w:tc>
          <w:tcPr>
            <w:tcW w:w="675" w:type="dxa"/>
          </w:tcPr>
          <w:p w:rsidR="00000000" w:rsidRDefault="00000000">
            <w:pPr>
              <w:rPr>
                <w:sz w:val="22"/>
              </w:rPr>
            </w:pPr>
            <w:r>
              <w:rPr>
                <w:sz w:val="22"/>
              </w:rPr>
              <w:t>30</w:t>
            </w:r>
          </w:p>
        </w:tc>
        <w:tc>
          <w:tcPr>
            <w:tcW w:w="2127" w:type="dxa"/>
          </w:tcPr>
          <w:p w:rsidR="00000000" w:rsidRDefault="00000000">
            <w:pPr>
              <w:rPr>
                <w:sz w:val="22"/>
              </w:rPr>
            </w:pPr>
            <w:proofErr w:type="spellStart"/>
            <w:r>
              <w:rPr>
                <w:sz w:val="22"/>
              </w:rPr>
              <w:t>Нор-Карангас</w:t>
            </w:r>
            <w:proofErr w:type="spellEnd"/>
          </w:p>
        </w:tc>
        <w:tc>
          <w:tcPr>
            <w:tcW w:w="1701" w:type="dxa"/>
          </w:tcPr>
          <w:p w:rsidR="00000000" w:rsidRDefault="00000000">
            <w:pPr>
              <w:rPr>
                <w:sz w:val="22"/>
              </w:rPr>
            </w:pPr>
            <w:proofErr w:type="spellStart"/>
            <w:r>
              <w:rPr>
                <w:sz w:val="22"/>
              </w:rPr>
              <w:t>Оруро</w:t>
            </w:r>
            <w:proofErr w:type="spellEnd"/>
          </w:p>
        </w:tc>
        <w:tc>
          <w:tcPr>
            <w:tcW w:w="708" w:type="dxa"/>
          </w:tcPr>
          <w:p w:rsidR="00000000" w:rsidRDefault="00000000">
            <w:pPr>
              <w:rPr>
                <w:sz w:val="22"/>
              </w:rPr>
            </w:pPr>
            <w:r>
              <w:rPr>
                <w:sz w:val="22"/>
              </w:rPr>
              <w:t>86</w:t>
            </w:r>
          </w:p>
        </w:tc>
        <w:tc>
          <w:tcPr>
            <w:tcW w:w="2410" w:type="dxa"/>
          </w:tcPr>
          <w:p w:rsidR="00000000" w:rsidRDefault="00000000">
            <w:pPr>
              <w:rPr>
                <w:sz w:val="22"/>
              </w:rPr>
            </w:pPr>
            <w:proofErr w:type="spellStart"/>
            <w:r>
              <w:rPr>
                <w:sz w:val="22"/>
              </w:rPr>
              <w:t>Мехильонес</w:t>
            </w:r>
            <w:proofErr w:type="spellEnd"/>
          </w:p>
        </w:tc>
        <w:tc>
          <w:tcPr>
            <w:tcW w:w="1949" w:type="dxa"/>
          </w:tcPr>
          <w:p w:rsidR="00000000" w:rsidRDefault="00000000">
            <w:pPr>
              <w:rPr>
                <w:sz w:val="22"/>
              </w:rPr>
            </w:pPr>
            <w:proofErr w:type="spellStart"/>
            <w:r>
              <w:rPr>
                <w:sz w:val="22"/>
              </w:rPr>
              <w:t>Потоси</w:t>
            </w:r>
            <w:proofErr w:type="spellEnd"/>
          </w:p>
        </w:tc>
      </w:tr>
      <w:tr w:rsidR="00000000">
        <w:tblPrEx>
          <w:tblCellMar>
            <w:top w:w="0" w:type="dxa"/>
            <w:bottom w:w="0" w:type="dxa"/>
          </w:tblCellMar>
        </w:tblPrEx>
        <w:tc>
          <w:tcPr>
            <w:tcW w:w="675" w:type="dxa"/>
          </w:tcPr>
          <w:p w:rsidR="00000000" w:rsidRDefault="00000000">
            <w:pPr>
              <w:rPr>
                <w:sz w:val="22"/>
              </w:rPr>
            </w:pPr>
            <w:r>
              <w:rPr>
                <w:sz w:val="22"/>
              </w:rPr>
              <w:t>31</w:t>
            </w:r>
          </w:p>
        </w:tc>
        <w:tc>
          <w:tcPr>
            <w:tcW w:w="2127" w:type="dxa"/>
          </w:tcPr>
          <w:p w:rsidR="00000000" w:rsidRDefault="00000000">
            <w:pPr>
              <w:rPr>
                <w:sz w:val="22"/>
              </w:rPr>
            </w:pPr>
            <w:proofErr w:type="spellStart"/>
            <w:r>
              <w:rPr>
                <w:sz w:val="22"/>
              </w:rPr>
              <w:t>Каранхас</w:t>
            </w:r>
            <w:proofErr w:type="spellEnd"/>
          </w:p>
        </w:tc>
        <w:tc>
          <w:tcPr>
            <w:tcW w:w="1701" w:type="dxa"/>
          </w:tcPr>
          <w:p w:rsidR="00000000" w:rsidRDefault="00000000">
            <w:pPr>
              <w:rPr>
                <w:sz w:val="22"/>
              </w:rPr>
            </w:pPr>
            <w:proofErr w:type="spellStart"/>
            <w:r>
              <w:rPr>
                <w:sz w:val="22"/>
              </w:rPr>
              <w:t>Оруро</w:t>
            </w:r>
            <w:proofErr w:type="spellEnd"/>
          </w:p>
        </w:tc>
        <w:tc>
          <w:tcPr>
            <w:tcW w:w="708" w:type="dxa"/>
          </w:tcPr>
          <w:p w:rsidR="00000000" w:rsidRDefault="00000000">
            <w:pPr>
              <w:rPr>
                <w:sz w:val="22"/>
              </w:rPr>
            </w:pPr>
            <w:r>
              <w:rPr>
                <w:sz w:val="22"/>
              </w:rPr>
              <w:t>87</w:t>
            </w:r>
          </w:p>
        </w:tc>
        <w:tc>
          <w:tcPr>
            <w:tcW w:w="2410" w:type="dxa"/>
          </w:tcPr>
          <w:p w:rsidR="00000000" w:rsidRDefault="00000000">
            <w:pPr>
              <w:rPr>
                <w:sz w:val="22"/>
              </w:rPr>
            </w:pPr>
            <w:proofErr w:type="spellStart"/>
            <w:r>
              <w:rPr>
                <w:sz w:val="22"/>
              </w:rPr>
              <w:t>Даниэль-Кампос</w:t>
            </w:r>
            <w:proofErr w:type="spellEnd"/>
          </w:p>
        </w:tc>
        <w:tc>
          <w:tcPr>
            <w:tcW w:w="1949" w:type="dxa"/>
          </w:tcPr>
          <w:p w:rsidR="00000000" w:rsidRDefault="00000000">
            <w:pPr>
              <w:rPr>
                <w:sz w:val="22"/>
              </w:rPr>
            </w:pPr>
            <w:proofErr w:type="spellStart"/>
            <w:r>
              <w:rPr>
                <w:sz w:val="22"/>
              </w:rPr>
              <w:t>Оруро</w:t>
            </w:r>
            <w:proofErr w:type="spellEnd"/>
          </w:p>
        </w:tc>
      </w:tr>
      <w:tr w:rsidR="00000000">
        <w:tblPrEx>
          <w:tblCellMar>
            <w:top w:w="0" w:type="dxa"/>
            <w:bottom w:w="0" w:type="dxa"/>
          </w:tblCellMar>
        </w:tblPrEx>
        <w:tc>
          <w:tcPr>
            <w:tcW w:w="675" w:type="dxa"/>
          </w:tcPr>
          <w:p w:rsidR="00000000" w:rsidRDefault="00000000">
            <w:pPr>
              <w:rPr>
                <w:sz w:val="22"/>
              </w:rPr>
            </w:pPr>
            <w:r>
              <w:rPr>
                <w:sz w:val="22"/>
              </w:rPr>
              <w:t>32</w:t>
            </w:r>
          </w:p>
        </w:tc>
        <w:tc>
          <w:tcPr>
            <w:tcW w:w="2127" w:type="dxa"/>
          </w:tcPr>
          <w:p w:rsidR="00000000" w:rsidRDefault="00000000">
            <w:pPr>
              <w:rPr>
                <w:sz w:val="22"/>
              </w:rPr>
            </w:pPr>
            <w:proofErr w:type="spellStart"/>
            <w:r>
              <w:rPr>
                <w:sz w:val="22"/>
              </w:rPr>
              <w:t>Манурипи</w:t>
            </w:r>
            <w:proofErr w:type="spellEnd"/>
          </w:p>
        </w:tc>
        <w:tc>
          <w:tcPr>
            <w:tcW w:w="1701" w:type="dxa"/>
          </w:tcPr>
          <w:p w:rsidR="00000000" w:rsidRDefault="00000000">
            <w:pPr>
              <w:rPr>
                <w:sz w:val="22"/>
              </w:rPr>
            </w:pPr>
            <w:proofErr w:type="spellStart"/>
            <w:r>
              <w:rPr>
                <w:sz w:val="22"/>
              </w:rPr>
              <w:t>Бени</w:t>
            </w:r>
            <w:proofErr w:type="spellEnd"/>
          </w:p>
        </w:tc>
        <w:tc>
          <w:tcPr>
            <w:tcW w:w="708" w:type="dxa"/>
          </w:tcPr>
          <w:p w:rsidR="00000000" w:rsidRDefault="00000000">
            <w:pPr>
              <w:rPr>
                <w:sz w:val="22"/>
              </w:rPr>
            </w:pPr>
            <w:r>
              <w:rPr>
                <w:sz w:val="22"/>
              </w:rPr>
              <w:t>88</w:t>
            </w:r>
          </w:p>
        </w:tc>
        <w:tc>
          <w:tcPr>
            <w:tcW w:w="2410" w:type="dxa"/>
          </w:tcPr>
          <w:p w:rsidR="00000000" w:rsidRDefault="00000000">
            <w:pPr>
              <w:rPr>
                <w:sz w:val="22"/>
              </w:rPr>
            </w:pPr>
            <w:proofErr w:type="spellStart"/>
            <w:r>
              <w:rPr>
                <w:sz w:val="22"/>
              </w:rPr>
              <w:t>Поопо</w:t>
            </w:r>
            <w:proofErr w:type="spellEnd"/>
          </w:p>
        </w:tc>
        <w:tc>
          <w:tcPr>
            <w:tcW w:w="1949" w:type="dxa"/>
          </w:tcPr>
          <w:p w:rsidR="00000000" w:rsidRDefault="00000000">
            <w:pPr>
              <w:rPr>
                <w:sz w:val="22"/>
              </w:rPr>
            </w:pPr>
            <w:proofErr w:type="spellStart"/>
            <w:r>
              <w:rPr>
                <w:sz w:val="22"/>
              </w:rPr>
              <w:t>Тариха</w:t>
            </w:r>
            <w:proofErr w:type="spellEnd"/>
          </w:p>
        </w:tc>
      </w:tr>
      <w:tr w:rsidR="00000000">
        <w:tblPrEx>
          <w:tblCellMar>
            <w:top w:w="0" w:type="dxa"/>
            <w:bottom w:w="0" w:type="dxa"/>
          </w:tblCellMar>
        </w:tblPrEx>
        <w:tc>
          <w:tcPr>
            <w:tcW w:w="675" w:type="dxa"/>
          </w:tcPr>
          <w:p w:rsidR="00000000" w:rsidRDefault="00000000">
            <w:pPr>
              <w:rPr>
                <w:sz w:val="22"/>
              </w:rPr>
            </w:pPr>
            <w:r>
              <w:rPr>
                <w:sz w:val="22"/>
              </w:rPr>
              <w:t>33</w:t>
            </w:r>
          </w:p>
        </w:tc>
        <w:tc>
          <w:tcPr>
            <w:tcW w:w="2127" w:type="dxa"/>
          </w:tcPr>
          <w:p w:rsidR="00000000" w:rsidRDefault="00000000">
            <w:pPr>
              <w:rPr>
                <w:sz w:val="22"/>
              </w:rPr>
            </w:pPr>
            <w:proofErr w:type="spellStart"/>
            <w:r>
              <w:rPr>
                <w:sz w:val="22"/>
              </w:rPr>
              <w:t>Грал</w:t>
            </w:r>
            <w:proofErr w:type="spellEnd"/>
            <w:r>
              <w:rPr>
                <w:sz w:val="22"/>
              </w:rPr>
              <w:t xml:space="preserve">. </w:t>
            </w:r>
            <w:proofErr w:type="spellStart"/>
            <w:r>
              <w:rPr>
                <w:sz w:val="22"/>
              </w:rPr>
              <w:t>Хосе</w:t>
            </w:r>
            <w:proofErr w:type="spellEnd"/>
            <w:r>
              <w:rPr>
                <w:sz w:val="22"/>
              </w:rPr>
              <w:t xml:space="preserve"> </w:t>
            </w:r>
            <w:proofErr w:type="spellStart"/>
            <w:r>
              <w:rPr>
                <w:sz w:val="22"/>
              </w:rPr>
              <w:t>Мануэль</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89</w:t>
            </w:r>
          </w:p>
        </w:tc>
        <w:tc>
          <w:tcPr>
            <w:tcW w:w="2410" w:type="dxa"/>
          </w:tcPr>
          <w:p w:rsidR="00000000" w:rsidRDefault="00000000">
            <w:pPr>
              <w:rPr>
                <w:sz w:val="22"/>
              </w:rPr>
            </w:pPr>
            <w:proofErr w:type="spellStart"/>
            <w:r>
              <w:rPr>
                <w:sz w:val="22"/>
              </w:rPr>
              <w:t>Арсе</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34</w:t>
            </w:r>
          </w:p>
        </w:tc>
        <w:tc>
          <w:tcPr>
            <w:tcW w:w="2127" w:type="dxa"/>
          </w:tcPr>
          <w:p w:rsidR="00000000" w:rsidRDefault="00000000">
            <w:pPr>
              <w:rPr>
                <w:sz w:val="22"/>
              </w:rPr>
            </w:pPr>
            <w:proofErr w:type="spellStart"/>
            <w:r>
              <w:rPr>
                <w:sz w:val="22"/>
              </w:rPr>
              <w:t>Пандо</w:t>
            </w:r>
            <w:proofErr w:type="spellEnd"/>
          </w:p>
        </w:tc>
        <w:tc>
          <w:tcPr>
            <w:tcW w:w="1701" w:type="dxa"/>
          </w:tcPr>
          <w:p w:rsidR="00000000" w:rsidRDefault="00000000">
            <w:pPr>
              <w:rPr>
                <w:sz w:val="22"/>
              </w:rPr>
            </w:pPr>
            <w:proofErr w:type="spellStart"/>
            <w:r>
              <w:rPr>
                <w:sz w:val="22"/>
              </w:rPr>
              <w:t>Кочабамба</w:t>
            </w:r>
            <w:proofErr w:type="spellEnd"/>
          </w:p>
        </w:tc>
        <w:tc>
          <w:tcPr>
            <w:tcW w:w="708" w:type="dxa"/>
          </w:tcPr>
          <w:p w:rsidR="00000000" w:rsidRDefault="00000000">
            <w:pPr>
              <w:rPr>
                <w:sz w:val="22"/>
              </w:rPr>
            </w:pPr>
            <w:r>
              <w:rPr>
                <w:sz w:val="22"/>
              </w:rPr>
              <w:t>90</w:t>
            </w:r>
          </w:p>
        </w:tc>
        <w:tc>
          <w:tcPr>
            <w:tcW w:w="2410" w:type="dxa"/>
          </w:tcPr>
          <w:p w:rsidR="00000000" w:rsidRDefault="00000000">
            <w:pPr>
              <w:rPr>
                <w:sz w:val="22"/>
              </w:rPr>
            </w:pPr>
            <w:proofErr w:type="spellStart"/>
            <w:r>
              <w:rPr>
                <w:sz w:val="22"/>
              </w:rPr>
              <w:t>Кордильера</w:t>
            </w:r>
            <w:proofErr w:type="spellEnd"/>
          </w:p>
        </w:tc>
        <w:tc>
          <w:tcPr>
            <w:tcW w:w="1949" w:type="dxa"/>
          </w:tcPr>
          <w:p w:rsidR="00000000" w:rsidRDefault="00000000">
            <w:pPr>
              <w:rPr>
                <w:sz w:val="22"/>
              </w:rPr>
            </w:pPr>
            <w:proofErr w:type="spellStart"/>
            <w:r>
              <w:rPr>
                <w:sz w:val="22"/>
              </w:rPr>
              <w:t>Пандо</w:t>
            </w:r>
            <w:proofErr w:type="spellEnd"/>
          </w:p>
        </w:tc>
      </w:tr>
      <w:tr w:rsidR="00000000">
        <w:tblPrEx>
          <w:tblCellMar>
            <w:top w:w="0" w:type="dxa"/>
            <w:bottom w:w="0" w:type="dxa"/>
          </w:tblCellMar>
        </w:tblPrEx>
        <w:tc>
          <w:tcPr>
            <w:tcW w:w="675" w:type="dxa"/>
          </w:tcPr>
          <w:p w:rsidR="00000000" w:rsidRDefault="00000000">
            <w:pPr>
              <w:rPr>
                <w:sz w:val="22"/>
              </w:rPr>
            </w:pPr>
            <w:r>
              <w:rPr>
                <w:sz w:val="22"/>
              </w:rPr>
              <w:t>35</w:t>
            </w:r>
          </w:p>
        </w:tc>
        <w:tc>
          <w:tcPr>
            <w:tcW w:w="2127" w:type="dxa"/>
          </w:tcPr>
          <w:p w:rsidR="00000000" w:rsidRDefault="00000000">
            <w:pPr>
              <w:rPr>
                <w:sz w:val="22"/>
              </w:rPr>
            </w:pPr>
            <w:proofErr w:type="spellStart"/>
            <w:r>
              <w:rPr>
                <w:sz w:val="22"/>
              </w:rPr>
              <w:t>Карраско</w:t>
            </w:r>
            <w:proofErr w:type="spellEnd"/>
          </w:p>
        </w:tc>
        <w:tc>
          <w:tcPr>
            <w:tcW w:w="1701" w:type="dxa"/>
          </w:tcPr>
          <w:p w:rsidR="00000000" w:rsidRDefault="00000000">
            <w:pPr>
              <w:rPr>
                <w:sz w:val="22"/>
              </w:rPr>
            </w:pPr>
            <w:proofErr w:type="spellStart"/>
            <w:r>
              <w:rPr>
                <w:sz w:val="22"/>
              </w:rPr>
              <w:t>Оруро</w:t>
            </w:r>
            <w:proofErr w:type="spellEnd"/>
          </w:p>
        </w:tc>
        <w:tc>
          <w:tcPr>
            <w:tcW w:w="708" w:type="dxa"/>
          </w:tcPr>
          <w:p w:rsidR="00000000" w:rsidRDefault="00000000">
            <w:pPr>
              <w:rPr>
                <w:sz w:val="22"/>
              </w:rPr>
            </w:pPr>
            <w:r>
              <w:rPr>
                <w:sz w:val="22"/>
              </w:rPr>
              <w:t>91</w:t>
            </w:r>
          </w:p>
        </w:tc>
        <w:tc>
          <w:tcPr>
            <w:tcW w:w="2410" w:type="dxa"/>
          </w:tcPr>
          <w:p w:rsidR="00000000" w:rsidRDefault="00000000">
            <w:pPr>
              <w:rPr>
                <w:sz w:val="22"/>
              </w:rPr>
            </w:pPr>
            <w:proofErr w:type="spellStart"/>
            <w:r>
              <w:rPr>
                <w:sz w:val="22"/>
              </w:rPr>
              <w:t>Николас-Суарес</w:t>
            </w:r>
            <w:proofErr w:type="spellEnd"/>
          </w:p>
        </w:tc>
        <w:tc>
          <w:tcPr>
            <w:tcW w:w="1949" w:type="dxa"/>
          </w:tcPr>
          <w:p w:rsidR="00000000" w:rsidRDefault="00000000">
            <w:pPr>
              <w:rPr>
                <w:sz w:val="22"/>
              </w:rPr>
            </w:pPr>
            <w:proofErr w:type="spellStart"/>
            <w:r>
              <w:rPr>
                <w:sz w:val="22"/>
              </w:rPr>
              <w:t>Кочабамба</w:t>
            </w:r>
            <w:proofErr w:type="spellEnd"/>
          </w:p>
        </w:tc>
      </w:tr>
      <w:tr w:rsidR="00000000">
        <w:tblPrEx>
          <w:tblCellMar>
            <w:top w:w="0" w:type="dxa"/>
            <w:bottom w:w="0" w:type="dxa"/>
          </w:tblCellMar>
        </w:tblPrEx>
        <w:tc>
          <w:tcPr>
            <w:tcW w:w="675" w:type="dxa"/>
          </w:tcPr>
          <w:p w:rsidR="00000000" w:rsidRDefault="00000000">
            <w:pPr>
              <w:rPr>
                <w:sz w:val="22"/>
              </w:rPr>
            </w:pPr>
            <w:r>
              <w:rPr>
                <w:sz w:val="22"/>
              </w:rPr>
              <w:t>36</w:t>
            </w:r>
          </w:p>
        </w:tc>
        <w:tc>
          <w:tcPr>
            <w:tcW w:w="2127" w:type="dxa"/>
          </w:tcPr>
          <w:p w:rsidR="00000000" w:rsidRDefault="00000000">
            <w:pPr>
              <w:rPr>
                <w:sz w:val="22"/>
              </w:rPr>
            </w:pPr>
            <w:proofErr w:type="spellStart"/>
            <w:r>
              <w:rPr>
                <w:sz w:val="22"/>
              </w:rPr>
              <w:t>Суд-Карангас</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92</w:t>
            </w:r>
          </w:p>
        </w:tc>
        <w:tc>
          <w:tcPr>
            <w:tcW w:w="2410" w:type="dxa"/>
          </w:tcPr>
          <w:p w:rsidR="00000000" w:rsidRDefault="00000000">
            <w:pPr>
              <w:rPr>
                <w:sz w:val="22"/>
              </w:rPr>
            </w:pPr>
            <w:proofErr w:type="spellStart"/>
            <w:r>
              <w:rPr>
                <w:sz w:val="22"/>
              </w:rPr>
              <w:t>Герман-Хордан</w:t>
            </w:r>
            <w:proofErr w:type="spellEnd"/>
          </w:p>
        </w:tc>
        <w:tc>
          <w:tcPr>
            <w:tcW w:w="1949" w:type="dxa"/>
          </w:tcPr>
          <w:p w:rsidR="00000000" w:rsidRDefault="00000000">
            <w:pPr>
              <w:rPr>
                <w:sz w:val="22"/>
              </w:rPr>
            </w:pPr>
            <w:proofErr w:type="spellStart"/>
            <w:r>
              <w:rPr>
                <w:sz w:val="22"/>
              </w:rPr>
              <w:t>Кочабамба</w:t>
            </w:r>
            <w:proofErr w:type="spellEnd"/>
          </w:p>
        </w:tc>
      </w:tr>
      <w:tr w:rsidR="00000000">
        <w:tblPrEx>
          <w:tblCellMar>
            <w:top w:w="0" w:type="dxa"/>
            <w:bottom w:w="0" w:type="dxa"/>
          </w:tblCellMar>
        </w:tblPrEx>
        <w:tc>
          <w:tcPr>
            <w:tcW w:w="675" w:type="dxa"/>
          </w:tcPr>
          <w:p w:rsidR="00000000" w:rsidRDefault="00000000">
            <w:pPr>
              <w:rPr>
                <w:sz w:val="22"/>
              </w:rPr>
            </w:pPr>
            <w:r>
              <w:rPr>
                <w:sz w:val="22"/>
              </w:rPr>
              <w:t>37</w:t>
            </w:r>
          </w:p>
        </w:tc>
        <w:tc>
          <w:tcPr>
            <w:tcW w:w="2127" w:type="dxa"/>
          </w:tcPr>
          <w:p w:rsidR="00000000" w:rsidRDefault="00000000">
            <w:pPr>
              <w:rPr>
                <w:sz w:val="22"/>
              </w:rPr>
            </w:pPr>
            <w:proofErr w:type="spellStart"/>
            <w:r>
              <w:rPr>
                <w:sz w:val="22"/>
              </w:rPr>
              <w:t>Арома</w:t>
            </w:r>
            <w:proofErr w:type="spellEnd"/>
          </w:p>
        </w:tc>
        <w:tc>
          <w:tcPr>
            <w:tcW w:w="1701" w:type="dxa"/>
          </w:tcPr>
          <w:p w:rsidR="00000000" w:rsidRDefault="00000000">
            <w:pPr>
              <w:rPr>
                <w:sz w:val="22"/>
              </w:rPr>
            </w:pPr>
            <w:proofErr w:type="spellStart"/>
            <w:r>
              <w:rPr>
                <w:sz w:val="22"/>
              </w:rPr>
              <w:t>Оруро</w:t>
            </w:r>
            <w:proofErr w:type="spellEnd"/>
          </w:p>
        </w:tc>
        <w:tc>
          <w:tcPr>
            <w:tcW w:w="708" w:type="dxa"/>
          </w:tcPr>
          <w:p w:rsidR="00000000" w:rsidRDefault="00000000">
            <w:pPr>
              <w:rPr>
                <w:sz w:val="22"/>
              </w:rPr>
            </w:pPr>
            <w:r>
              <w:rPr>
                <w:sz w:val="22"/>
              </w:rPr>
              <w:t>93</w:t>
            </w:r>
          </w:p>
        </w:tc>
        <w:tc>
          <w:tcPr>
            <w:tcW w:w="2410" w:type="dxa"/>
          </w:tcPr>
          <w:p w:rsidR="00000000" w:rsidRDefault="00000000">
            <w:pPr>
              <w:rPr>
                <w:sz w:val="22"/>
              </w:rPr>
            </w:pPr>
            <w:proofErr w:type="spellStart"/>
            <w:r>
              <w:rPr>
                <w:sz w:val="22"/>
              </w:rPr>
              <w:t>Пуната</w:t>
            </w:r>
            <w:proofErr w:type="spellEnd"/>
          </w:p>
        </w:tc>
        <w:tc>
          <w:tcPr>
            <w:tcW w:w="1949" w:type="dxa"/>
          </w:tcPr>
          <w:p w:rsidR="00000000" w:rsidRDefault="00000000">
            <w:pPr>
              <w:rPr>
                <w:sz w:val="22"/>
              </w:rPr>
            </w:pPr>
            <w:proofErr w:type="spellStart"/>
            <w:r>
              <w:rPr>
                <w:sz w:val="22"/>
              </w:rPr>
              <w:t>Бени</w:t>
            </w:r>
            <w:proofErr w:type="spellEnd"/>
          </w:p>
        </w:tc>
      </w:tr>
      <w:tr w:rsidR="00000000">
        <w:tblPrEx>
          <w:tblCellMar>
            <w:top w:w="0" w:type="dxa"/>
            <w:bottom w:w="0" w:type="dxa"/>
          </w:tblCellMar>
        </w:tblPrEx>
        <w:tc>
          <w:tcPr>
            <w:tcW w:w="675" w:type="dxa"/>
          </w:tcPr>
          <w:p w:rsidR="00000000" w:rsidRDefault="00000000">
            <w:pPr>
              <w:rPr>
                <w:sz w:val="22"/>
              </w:rPr>
            </w:pPr>
            <w:r>
              <w:rPr>
                <w:sz w:val="22"/>
              </w:rPr>
              <w:t>38</w:t>
            </w:r>
          </w:p>
        </w:tc>
        <w:tc>
          <w:tcPr>
            <w:tcW w:w="2127" w:type="dxa"/>
          </w:tcPr>
          <w:p w:rsidR="00000000" w:rsidRDefault="00000000">
            <w:pPr>
              <w:rPr>
                <w:sz w:val="22"/>
              </w:rPr>
            </w:pPr>
            <w:proofErr w:type="spellStart"/>
            <w:r>
              <w:rPr>
                <w:sz w:val="22"/>
              </w:rPr>
              <w:t>Сахама</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94</w:t>
            </w:r>
          </w:p>
        </w:tc>
        <w:tc>
          <w:tcPr>
            <w:tcW w:w="2410" w:type="dxa"/>
          </w:tcPr>
          <w:p w:rsidR="00000000" w:rsidRDefault="00000000">
            <w:pPr>
              <w:rPr>
                <w:sz w:val="22"/>
              </w:rPr>
            </w:pPr>
            <w:proofErr w:type="spellStart"/>
            <w:r>
              <w:rPr>
                <w:sz w:val="22"/>
              </w:rPr>
              <w:t>Вака-Диес</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39</w:t>
            </w:r>
          </w:p>
        </w:tc>
        <w:tc>
          <w:tcPr>
            <w:tcW w:w="2127" w:type="dxa"/>
          </w:tcPr>
          <w:p w:rsidR="00000000" w:rsidRDefault="00000000">
            <w:pPr>
              <w:rPr>
                <w:sz w:val="22"/>
              </w:rPr>
            </w:pPr>
            <w:proofErr w:type="spellStart"/>
            <w:r>
              <w:rPr>
                <w:sz w:val="22"/>
              </w:rPr>
              <w:t>Инкисиви</w:t>
            </w:r>
            <w:proofErr w:type="spellEnd"/>
          </w:p>
        </w:tc>
        <w:tc>
          <w:tcPr>
            <w:tcW w:w="1701" w:type="dxa"/>
          </w:tcPr>
          <w:p w:rsidR="00000000" w:rsidRDefault="00000000">
            <w:pPr>
              <w:rPr>
                <w:sz w:val="22"/>
              </w:rPr>
            </w:pPr>
            <w:proofErr w:type="spellStart"/>
            <w:r>
              <w:rPr>
                <w:sz w:val="22"/>
              </w:rPr>
              <w:t>Тариха</w:t>
            </w:r>
            <w:proofErr w:type="spellEnd"/>
          </w:p>
        </w:tc>
        <w:tc>
          <w:tcPr>
            <w:tcW w:w="708" w:type="dxa"/>
          </w:tcPr>
          <w:p w:rsidR="00000000" w:rsidRDefault="00000000">
            <w:pPr>
              <w:rPr>
                <w:sz w:val="22"/>
              </w:rPr>
            </w:pPr>
            <w:r>
              <w:rPr>
                <w:sz w:val="22"/>
              </w:rPr>
              <w:t>95</w:t>
            </w:r>
          </w:p>
        </w:tc>
        <w:tc>
          <w:tcPr>
            <w:tcW w:w="2410" w:type="dxa"/>
          </w:tcPr>
          <w:p w:rsidR="00000000" w:rsidRDefault="00000000">
            <w:pPr>
              <w:rPr>
                <w:sz w:val="22"/>
              </w:rPr>
            </w:pPr>
            <w:r>
              <w:rPr>
                <w:sz w:val="22"/>
              </w:rPr>
              <w:t>Сара</w:t>
            </w:r>
          </w:p>
        </w:tc>
        <w:tc>
          <w:tcPr>
            <w:tcW w:w="1949" w:type="dxa"/>
          </w:tcPr>
          <w:p w:rsidR="00000000" w:rsidRDefault="00000000">
            <w:pPr>
              <w:rPr>
                <w:sz w:val="22"/>
              </w:rPr>
            </w:pPr>
            <w:proofErr w:type="spellStart"/>
            <w:r>
              <w:rPr>
                <w:sz w:val="22"/>
              </w:rPr>
              <w:t>Потоси</w:t>
            </w:r>
            <w:proofErr w:type="spellEnd"/>
          </w:p>
        </w:tc>
      </w:tr>
      <w:tr w:rsidR="00000000">
        <w:tblPrEx>
          <w:tblCellMar>
            <w:top w:w="0" w:type="dxa"/>
            <w:bottom w:w="0" w:type="dxa"/>
          </w:tblCellMar>
        </w:tblPrEx>
        <w:tc>
          <w:tcPr>
            <w:tcW w:w="675" w:type="dxa"/>
          </w:tcPr>
          <w:p w:rsidR="00000000" w:rsidRDefault="00000000">
            <w:pPr>
              <w:rPr>
                <w:sz w:val="22"/>
              </w:rPr>
            </w:pPr>
            <w:r>
              <w:rPr>
                <w:sz w:val="22"/>
              </w:rPr>
              <w:t>40</w:t>
            </w:r>
          </w:p>
        </w:tc>
        <w:tc>
          <w:tcPr>
            <w:tcW w:w="2127" w:type="dxa"/>
          </w:tcPr>
          <w:p w:rsidR="00000000" w:rsidRDefault="00000000">
            <w:pPr>
              <w:rPr>
                <w:sz w:val="22"/>
              </w:rPr>
            </w:pPr>
            <w:proofErr w:type="spellStart"/>
            <w:r>
              <w:rPr>
                <w:sz w:val="22"/>
              </w:rPr>
              <w:t>О'Коннор</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96</w:t>
            </w:r>
          </w:p>
        </w:tc>
        <w:tc>
          <w:tcPr>
            <w:tcW w:w="2410" w:type="dxa"/>
          </w:tcPr>
          <w:p w:rsidR="00000000" w:rsidRDefault="00000000">
            <w:pPr>
              <w:rPr>
                <w:sz w:val="22"/>
              </w:rPr>
            </w:pPr>
            <w:proofErr w:type="spellStart"/>
            <w:r>
              <w:rPr>
                <w:sz w:val="22"/>
              </w:rPr>
              <w:t>Модесто-Омисте</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41</w:t>
            </w:r>
          </w:p>
        </w:tc>
        <w:tc>
          <w:tcPr>
            <w:tcW w:w="2127" w:type="dxa"/>
          </w:tcPr>
          <w:p w:rsidR="00000000" w:rsidRDefault="00000000">
            <w:pPr>
              <w:rPr>
                <w:sz w:val="22"/>
              </w:rPr>
            </w:pPr>
            <w:proofErr w:type="spellStart"/>
            <w:r>
              <w:rPr>
                <w:sz w:val="22"/>
              </w:rPr>
              <w:t>Омасуйос</w:t>
            </w:r>
            <w:proofErr w:type="spellEnd"/>
          </w:p>
        </w:tc>
        <w:tc>
          <w:tcPr>
            <w:tcW w:w="1701" w:type="dxa"/>
          </w:tcPr>
          <w:p w:rsidR="00000000" w:rsidRDefault="00000000">
            <w:pPr>
              <w:rPr>
                <w:sz w:val="22"/>
              </w:rPr>
            </w:pPr>
            <w:proofErr w:type="spellStart"/>
            <w:r>
              <w:rPr>
                <w:sz w:val="22"/>
              </w:rPr>
              <w:t>Оруро</w:t>
            </w:r>
            <w:proofErr w:type="spellEnd"/>
          </w:p>
        </w:tc>
        <w:tc>
          <w:tcPr>
            <w:tcW w:w="708" w:type="dxa"/>
          </w:tcPr>
          <w:p w:rsidR="00000000" w:rsidRDefault="00000000">
            <w:pPr>
              <w:rPr>
                <w:sz w:val="22"/>
              </w:rPr>
            </w:pPr>
            <w:r>
              <w:rPr>
                <w:sz w:val="22"/>
              </w:rPr>
              <w:t>97</w:t>
            </w:r>
          </w:p>
        </w:tc>
        <w:tc>
          <w:tcPr>
            <w:tcW w:w="2410" w:type="dxa"/>
          </w:tcPr>
          <w:p w:rsidR="00000000" w:rsidRDefault="00000000">
            <w:pPr>
              <w:rPr>
                <w:sz w:val="22"/>
              </w:rPr>
            </w:pPr>
            <w:proofErr w:type="spellStart"/>
            <w:r>
              <w:rPr>
                <w:sz w:val="22"/>
              </w:rPr>
              <w:t>Варнес</w:t>
            </w:r>
            <w:proofErr w:type="spellEnd"/>
          </w:p>
        </w:tc>
        <w:tc>
          <w:tcPr>
            <w:tcW w:w="1949" w:type="dxa"/>
          </w:tcPr>
          <w:p w:rsidR="00000000" w:rsidRDefault="00000000">
            <w:pPr>
              <w:rPr>
                <w:sz w:val="22"/>
              </w:rPr>
            </w:pPr>
            <w:proofErr w:type="spellStart"/>
            <w:r>
              <w:rPr>
                <w:sz w:val="22"/>
              </w:rPr>
              <w:t>Тариха</w:t>
            </w:r>
            <w:proofErr w:type="spellEnd"/>
          </w:p>
        </w:tc>
      </w:tr>
      <w:tr w:rsidR="00000000">
        <w:tblPrEx>
          <w:tblCellMar>
            <w:top w:w="0" w:type="dxa"/>
            <w:bottom w:w="0" w:type="dxa"/>
          </w:tblCellMar>
        </w:tblPrEx>
        <w:tc>
          <w:tcPr>
            <w:tcW w:w="675" w:type="dxa"/>
          </w:tcPr>
          <w:p w:rsidR="00000000" w:rsidRDefault="00000000">
            <w:pPr>
              <w:rPr>
                <w:sz w:val="22"/>
              </w:rPr>
            </w:pPr>
            <w:r>
              <w:rPr>
                <w:sz w:val="22"/>
              </w:rPr>
              <w:t>42</w:t>
            </w:r>
          </w:p>
        </w:tc>
        <w:tc>
          <w:tcPr>
            <w:tcW w:w="2127" w:type="dxa"/>
          </w:tcPr>
          <w:p w:rsidR="00000000" w:rsidRDefault="00000000">
            <w:pPr>
              <w:rPr>
                <w:sz w:val="22"/>
              </w:rPr>
            </w:pPr>
            <w:proofErr w:type="spellStart"/>
            <w:r>
              <w:rPr>
                <w:sz w:val="22"/>
              </w:rPr>
              <w:t>Чальяпата-о-Авароа</w:t>
            </w:r>
            <w:proofErr w:type="spellEnd"/>
          </w:p>
        </w:tc>
        <w:tc>
          <w:tcPr>
            <w:tcW w:w="1701" w:type="dxa"/>
          </w:tcPr>
          <w:p w:rsidR="00000000" w:rsidRDefault="00000000">
            <w:pPr>
              <w:rPr>
                <w:sz w:val="22"/>
              </w:rPr>
            </w:pPr>
            <w:proofErr w:type="spellStart"/>
            <w:r>
              <w:rPr>
                <w:sz w:val="22"/>
              </w:rPr>
              <w:t>Оруро</w:t>
            </w:r>
            <w:proofErr w:type="spellEnd"/>
          </w:p>
        </w:tc>
        <w:tc>
          <w:tcPr>
            <w:tcW w:w="708" w:type="dxa"/>
          </w:tcPr>
          <w:p w:rsidR="00000000" w:rsidRDefault="00000000">
            <w:pPr>
              <w:rPr>
                <w:sz w:val="22"/>
              </w:rPr>
            </w:pPr>
            <w:r>
              <w:rPr>
                <w:sz w:val="22"/>
              </w:rPr>
              <w:t>98</w:t>
            </w:r>
          </w:p>
        </w:tc>
        <w:tc>
          <w:tcPr>
            <w:tcW w:w="2410" w:type="dxa"/>
          </w:tcPr>
          <w:p w:rsidR="00000000" w:rsidRDefault="00000000">
            <w:pPr>
              <w:rPr>
                <w:sz w:val="22"/>
              </w:rPr>
            </w:pPr>
            <w:proofErr w:type="spellStart"/>
            <w:r>
              <w:rPr>
                <w:sz w:val="22"/>
              </w:rPr>
              <w:t>Гран-Чако</w:t>
            </w:r>
            <w:proofErr w:type="spellEnd"/>
          </w:p>
        </w:tc>
        <w:tc>
          <w:tcPr>
            <w:tcW w:w="1949" w:type="dxa"/>
          </w:tcPr>
          <w:p w:rsidR="00000000" w:rsidRDefault="00000000">
            <w:pPr>
              <w:rPr>
                <w:sz w:val="22"/>
              </w:rPr>
            </w:pPr>
            <w:proofErr w:type="spellStart"/>
            <w:r>
              <w:rPr>
                <w:sz w:val="22"/>
              </w:rPr>
              <w:t>Потоси</w:t>
            </w:r>
            <w:proofErr w:type="spellEnd"/>
          </w:p>
        </w:tc>
      </w:tr>
      <w:tr w:rsidR="00000000">
        <w:tblPrEx>
          <w:tblCellMar>
            <w:top w:w="0" w:type="dxa"/>
            <w:bottom w:w="0" w:type="dxa"/>
          </w:tblCellMar>
        </w:tblPrEx>
        <w:tc>
          <w:tcPr>
            <w:tcW w:w="675" w:type="dxa"/>
          </w:tcPr>
          <w:p w:rsidR="00000000" w:rsidRDefault="00000000">
            <w:pPr>
              <w:rPr>
                <w:sz w:val="22"/>
              </w:rPr>
            </w:pPr>
            <w:r>
              <w:rPr>
                <w:sz w:val="22"/>
              </w:rPr>
              <w:t>43</w:t>
            </w:r>
          </w:p>
        </w:tc>
        <w:tc>
          <w:tcPr>
            <w:tcW w:w="2127" w:type="dxa"/>
          </w:tcPr>
          <w:p w:rsidR="00000000" w:rsidRDefault="00000000">
            <w:pPr>
              <w:rPr>
                <w:sz w:val="22"/>
              </w:rPr>
            </w:pPr>
            <w:proofErr w:type="spellStart"/>
            <w:r>
              <w:rPr>
                <w:sz w:val="22"/>
              </w:rPr>
              <w:t>Себастьян-Пагадор</w:t>
            </w:r>
            <w:proofErr w:type="spellEnd"/>
          </w:p>
        </w:tc>
        <w:tc>
          <w:tcPr>
            <w:tcW w:w="1701" w:type="dxa"/>
          </w:tcPr>
          <w:p w:rsidR="00000000" w:rsidRDefault="00000000">
            <w:pPr>
              <w:rPr>
                <w:sz w:val="22"/>
              </w:rPr>
            </w:pPr>
            <w:proofErr w:type="spellStart"/>
            <w:r>
              <w:rPr>
                <w:sz w:val="22"/>
              </w:rPr>
              <w:t>Оруро</w:t>
            </w:r>
            <w:proofErr w:type="spellEnd"/>
          </w:p>
        </w:tc>
        <w:tc>
          <w:tcPr>
            <w:tcW w:w="708" w:type="dxa"/>
          </w:tcPr>
          <w:p w:rsidR="00000000" w:rsidRDefault="00000000">
            <w:pPr>
              <w:rPr>
                <w:sz w:val="22"/>
              </w:rPr>
            </w:pPr>
            <w:r>
              <w:rPr>
                <w:sz w:val="22"/>
              </w:rPr>
              <w:t>99</w:t>
            </w:r>
          </w:p>
        </w:tc>
        <w:tc>
          <w:tcPr>
            <w:tcW w:w="2410" w:type="dxa"/>
          </w:tcPr>
          <w:p w:rsidR="00000000" w:rsidRDefault="00000000">
            <w:pPr>
              <w:rPr>
                <w:sz w:val="22"/>
              </w:rPr>
            </w:pPr>
            <w:proofErr w:type="spellStart"/>
            <w:r>
              <w:rPr>
                <w:sz w:val="22"/>
              </w:rPr>
              <w:t>Суд-Чичас</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44</w:t>
            </w:r>
          </w:p>
        </w:tc>
        <w:tc>
          <w:tcPr>
            <w:tcW w:w="2127" w:type="dxa"/>
          </w:tcPr>
          <w:p w:rsidR="00000000" w:rsidRDefault="00000000">
            <w:pPr>
              <w:rPr>
                <w:sz w:val="22"/>
              </w:rPr>
            </w:pPr>
            <w:proofErr w:type="spellStart"/>
            <w:r>
              <w:rPr>
                <w:sz w:val="22"/>
              </w:rPr>
              <w:t>Ладислао-Кабрера</w:t>
            </w:r>
            <w:proofErr w:type="spellEnd"/>
          </w:p>
        </w:tc>
        <w:tc>
          <w:tcPr>
            <w:tcW w:w="1701" w:type="dxa"/>
          </w:tcPr>
          <w:p w:rsidR="00000000" w:rsidRDefault="00000000">
            <w:pPr>
              <w:rPr>
                <w:sz w:val="22"/>
              </w:rPr>
            </w:pPr>
            <w:proofErr w:type="spellStart"/>
            <w:r>
              <w:rPr>
                <w:sz w:val="22"/>
              </w:rPr>
              <w:t>Пандо</w:t>
            </w:r>
            <w:proofErr w:type="spellEnd"/>
          </w:p>
        </w:tc>
        <w:tc>
          <w:tcPr>
            <w:tcW w:w="708" w:type="dxa"/>
          </w:tcPr>
          <w:p w:rsidR="00000000" w:rsidRDefault="00000000">
            <w:pPr>
              <w:rPr>
                <w:sz w:val="22"/>
              </w:rPr>
            </w:pPr>
            <w:r>
              <w:rPr>
                <w:sz w:val="22"/>
              </w:rPr>
              <w:t>100</w:t>
            </w:r>
          </w:p>
        </w:tc>
        <w:tc>
          <w:tcPr>
            <w:tcW w:w="2410" w:type="dxa"/>
          </w:tcPr>
          <w:p w:rsidR="00000000" w:rsidRDefault="00000000">
            <w:pPr>
              <w:rPr>
                <w:sz w:val="22"/>
              </w:rPr>
            </w:pPr>
            <w:proofErr w:type="spellStart"/>
            <w:r>
              <w:rPr>
                <w:sz w:val="22"/>
              </w:rPr>
              <w:t>Чикитос</w:t>
            </w:r>
            <w:proofErr w:type="spellEnd"/>
          </w:p>
        </w:tc>
        <w:tc>
          <w:tcPr>
            <w:tcW w:w="1949" w:type="dxa"/>
          </w:tcPr>
          <w:p w:rsidR="00000000" w:rsidRDefault="00000000">
            <w:pPr>
              <w:rPr>
                <w:sz w:val="22"/>
              </w:rPr>
            </w:pPr>
            <w:proofErr w:type="spellStart"/>
            <w:r>
              <w:rPr>
                <w:sz w:val="22"/>
              </w:rPr>
              <w:t>Оруро</w:t>
            </w:r>
            <w:proofErr w:type="spellEnd"/>
          </w:p>
        </w:tc>
      </w:tr>
      <w:tr w:rsidR="00000000">
        <w:tblPrEx>
          <w:tblCellMar>
            <w:top w:w="0" w:type="dxa"/>
            <w:bottom w:w="0" w:type="dxa"/>
          </w:tblCellMar>
        </w:tblPrEx>
        <w:tc>
          <w:tcPr>
            <w:tcW w:w="675" w:type="dxa"/>
          </w:tcPr>
          <w:p w:rsidR="00000000" w:rsidRDefault="00000000">
            <w:pPr>
              <w:rPr>
                <w:sz w:val="22"/>
              </w:rPr>
            </w:pPr>
            <w:r>
              <w:rPr>
                <w:sz w:val="22"/>
              </w:rPr>
              <w:t>45</w:t>
            </w:r>
          </w:p>
        </w:tc>
        <w:tc>
          <w:tcPr>
            <w:tcW w:w="2127" w:type="dxa"/>
          </w:tcPr>
          <w:p w:rsidR="00000000" w:rsidRDefault="00000000">
            <w:pPr>
              <w:rPr>
                <w:sz w:val="22"/>
              </w:rPr>
            </w:pPr>
            <w:proofErr w:type="spellStart"/>
            <w:r>
              <w:rPr>
                <w:sz w:val="22"/>
              </w:rPr>
              <w:t>Мадре-де-Дьос</w:t>
            </w:r>
            <w:proofErr w:type="spellEnd"/>
          </w:p>
        </w:tc>
        <w:tc>
          <w:tcPr>
            <w:tcW w:w="1701" w:type="dxa"/>
          </w:tcPr>
          <w:p w:rsidR="00000000" w:rsidRDefault="00000000">
            <w:pPr>
              <w:rPr>
                <w:sz w:val="22"/>
              </w:rPr>
            </w:pPr>
            <w:proofErr w:type="spellStart"/>
            <w:r>
              <w:rPr>
                <w:sz w:val="22"/>
              </w:rPr>
              <w:t>Потоси</w:t>
            </w:r>
            <w:proofErr w:type="spellEnd"/>
          </w:p>
        </w:tc>
        <w:tc>
          <w:tcPr>
            <w:tcW w:w="708" w:type="dxa"/>
          </w:tcPr>
          <w:p w:rsidR="00000000" w:rsidRDefault="00000000">
            <w:pPr>
              <w:rPr>
                <w:sz w:val="22"/>
              </w:rPr>
            </w:pPr>
            <w:r>
              <w:rPr>
                <w:sz w:val="22"/>
              </w:rPr>
              <w:t>101</w:t>
            </w:r>
          </w:p>
        </w:tc>
        <w:tc>
          <w:tcPr>
            <w:tcW w:w="2410" w:type="dxa"/>
          </w:tcPr>
          <w:p w:rsidR="00000000" w:rsidRDefault="00000000">
            <w:pPr>
              <w:rPr>
                <w:sz w:val="22"/>
              </w:rPr>
            </w:pPr>
            <w:proofErr w:type="spellStart"/>
            <w:r>
              <w:rPr>
                <w:sz w:val="22"/>
              </w:rPr>
              <w:t>Панталеон-Далансе</w:t>
            </w:r>
            <w:proofErr w:type="spellEnd"/>
          </w:p>
        </w:tc>
        <w:tc>
          <w:tcPr>
            <w:tcW w:w="1949" w:type="dxa"/>
          </w:tcPr>
          <w:p w:rsidR="00000000" w:rsidRDefault="00000000">
            <w:pPr>
              <w:rPr>
                <w:sz w:val="22"/>
              </w:rPr>
            </w:pPr>
            <w:proofErr w:type="spellStart"/>
            <w:r>
              <w:rPr>
                <w:sz w:val="22"/>
              </w:rPr>
              <w:t>Кочабамба</w:t>
            </w:r>
            <w:proofErr w:type="spellEnd"/>
          </w:p>
        </w:tc>
      </w:tr>
      <w:tr w:rsidR="00000000">
        <w:tblPrEx>
          <w:tblCellMar>
            <w:top w:w="0" w:type="dxa"/>
            <w:bottom w:w="0" w:type="dxa"/>
          </w:tblCellMar>
        </w:tblPrEx>
        <w:tc>
          <w:tcPr>
            <w:tcW w:w="675" w:type="dxa"/>
          </w:tcPr>
          <w:p w:rsidR="00000000" w:rsidRDefault="00000000">
            <w:pPr>
              <w:rPr>
                <w:sz w:val="22"/>
              </w:rPr>
            </w:pPr>
            <w:r>
              <w:rPr>
                <w:sz w:val="22"/>
              </w:rPr>
              <w:t>46</w:t>
            </w:r>
          </w:p>
        </w:tc>
        <w:tc>
          <w:tcPr>
            <w:tcW w:w="2127" w:type="dxa"/>
          </w:tcPr>
          <w:p w:rsidR="00000000" w:rsidRDefault="00000000">
            <w:pPr>
              <w:rPr>
                <w:sz w:val="22"/>
              </w:rPr>
            </w:pPr>
            <w:proofErr w:type="spellStart"/>
            <w:r>
              <w:rPr>
                <w:sz w:val="22"/>
              </w:rPr>
              <w:t>Суд-Липес</w:t>
            </w:r>
            <w:proofErr w:type="spellEnd"/>
          </w:p>
        </w:tc>
        <w:tc>
          <w:tcPr>
            <w:tcW w:w="1701" w:type="dxa"/>
          </w:tcPr>
          <w:p w:rsidR="00000000" w:rsidRDefault="00000000">
            <w:pPr>
              <w:rPr>
                <w:sz w:val="22"/>
              </w:rPr>
            </w:pPr>
            <w:proofErr w:type="spellStart"/>
            <w:r>
              <w:rPr>
                <w:sz w:val="22"/>
              </w:rPr>
              <w:t>Санта-Крус</w:t>
            </w:r>
            <w:proofErr w:type="spellEnd"/>
          </w:p>
        </w:tc>
        <w:tc>
          <w:tcPr>
            <w:tcW w:w="708" w:type="dxa"/>
          </w:tcPr>
          <w:p w:rsidR="00000000" w:rsidRDefault="00000000">
            <w:pPr>
              <w:rPr>
                <w:sz w:val="22"/>
              </w:rPr>
            </w:pPr>
            <w:r>
              <w:rPr>
                <w:sz w:val="22"/>
              </w:rPr>
              <w:t>102</w:t>
            </w:r>
          </w:p>
        </w:tc>
        <w:tc>
          <w:tcPr>
            <w:tcW w:w="2410" w:type="dxa"/>
          </w:tcPr>
          <w:p w:rsidR="00000000" w:rsidRDefault="00000000">
            <w:pPr>
              <w:rPr>
                <w:sz w:val="22"/>
              </w:rPr>
            </w:pPr>
            <w:proofErr w:type="spellStart"/>
            <w:r>
              <w:rPr>
                <w:sz w:val="22"/>
              </w:rPr>
              <w:t>Кильяколо</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47</w:t>
            </w:r>
          </w:p>
        </w:tc>
        <w:tc>
          <w:tcPr>
            <w:tcW w:w="2127" w:type="dxa"/>
          </w:tcPr>
          <w:p w:rsidR="00000000" w:rsidRDefault="00000000">
            <w:pPr>
              <w:rPr>
                <w:sz w:val="22"/>
              </w:rPr>
            </w:pPr>
            <w:proofErr w:type="spellStart"/>
            <w:r>
              <w:rPr>
                <w:sz w:val="22"/>
              </w:rPr>
              <w:t>Ньюфло-де-Чавес</w:t>
            </w:r>
            <w:proofErr w:type="spellEnd"/>
          </w:p>
        </w:tc>
        <w:tc>
          <w:tcPr>
            <w:tcW w:w="1701" w:type="dxa"/>
          </w:tcPr>
          <w:p w:rsidR="00000000" w:rsidRDefault="00000000">
            <w:pPr>
              <w:rPr>
                <w:sz w:val="22"/>
              </w:rPr>
            </w:pPr>
            <w:proofErr w:type="spellStart"/>
            <w:r>
              <w:rPr>
                <w:sz w:val="22"/>
              </w:rPr>
              <w:t>Кочабамба</w:t>
            </w:r>
            <w:proofErr w:type="spellEnd"/>
          </w:p>
        </w:tc>
        <w:tc>
          <w:tcPr>
            <w:tcW w:w="708" w:type="dxa"/>
          </w:tcPr>
          <w:p w:rsidR="00000000" w:rsidRDefault="00000000">
            <w:pPr>
              <w:rPr>
                <w:sz w:val="22"/>
              </w:rPr>
            </w:pPr>
            <w:r>
              <w:rPr>
                <w:sz w:val="22"/>
              </w:rPr>
              <w:t>103</w:t>
            </w:r>
          </w:p>
        </w:tc>
        <w:tc>
          <w:tcPr>
            <w:tcW w:w="2410" w:type="dxa"/>
          </w:tcPr>
          <w:p w:rsidR="00000000" w:rsidRDefault="00000000">
            <w:pPr>
              <w:rPr>
                <w:sz w:val="22"/>
              </w:rPr>
            </w:pPr>
            <w:proofErr w:type="spellStart"/>
            <w:r>
              <w:rPr>
                <w:sz w:val="22"/>
              </w:rPr>
              <w:t>Обиспо-Сантьестебан</w:t>
            </w:r>
            <w:proofErr w:type="spellEnd"/>
          </w:p>
        </w:tc>
        <w:tc>
          <w:tcPr>
            <w:tcW w:w="1949" w:type="dxa"/>
          </w:tcPr>
          <w:p w:rsidR="00000000" w:rsidRDefault="00000000">
            <w:pPr>
              <w:rPr>
                <w:sz w:val="22"/>
              </w:rPr>
            </w:pPr>
            <w:proofErr w:type="spellStart"/>
            <w:r>
              <w:rPr>
                <w:sz w:val="22"/>
              </w:rPr>
              <w:t>Потоси</w:t>
            </w:r>
            <w:proofErr w:type="spellEnd"/>
          </w:p>
        </w:tc>
      </w:tr>
      <w:tr w:rsidR="00000000">
        <w:tblPrEx>
          <w:tblCellMar>
            <w:top w:w="0" w:type="dxa"/>
            <w:bottom w:w="0" w:type="dxa"/>
          </w:tblCellMar>
        </w:tblPrEx>
        <w:tc>
          <w:tcPr>
            <w:tcW w:w="675" w:type="dxa"/>
          </w:tcPr>
          <w:p w:rsidR="00000000" w:rsidRDefault="00000000">
            <w:pPr>
              <w:rPr>
                <w:sz w:val="22"/>
              </w:rPr>
            </w:pPr>
            <w:r>
              <w:rPr>
                <w:sz w:val="22"/>
              </w:rPr>
              <w:t>48</w:t>
            </w:r>
          </w:p>
        </w:tc>
        <w:tc>
          <w:tcPr>
            <w:tcW w:w="2127" w:type="dxa"/>
          </w:tcPr>
          <w:p w:rsidR="00000000" w:rsidRDefault="00000000">
            <w:pPr>
              <w:rPr>
                <w:sz w:val="22"/>
              </w:rPr>
            </w:pPr>
            <w:proofErr w:type="spellStart"/>
            <w:r>
              <w:rPr>
                <w:sz w:val="22"/>
              </w:rPr>
              <w:t>Камперо</w:t>
            </w:r>
            <w:proofErr w:type="spellEnd"/>
          </w:p>
        </w:tc>
        <w:tc>
          <w:tcPr>
            <w:tcW w:w="1701" w:type="dxa"/>
          </w:tcPr>
          <w:p w:rsidR="00000000" w:rsidRDefault="00000000">
            <w:pPr>
              <w:rPr>
                <w:sz w:val="22"/>
              </w:rPr>
            </w:pPr>
            <w:proofErr w:type="spellStart"/>
            <w:r>
              <w:rPr>
                <w:sz w:val="22"/>
              </w:rPr>
              <w:t>Потоси</w:t>
            </w:r>
            <w:proofErr w:type="spellEnd"/>
          </w:p>
        </w:tc>
        <w:tc>
          <w:tcPr>
            <w:tcW w:w="708" w:type="dxa"/>
          </w:tcPr>
          <w:p w:rsidR="00000000" w:rsidRDefault="00000000">
            <w:pPr>
              <w:rPr>
                <w:sz w:val="22"/>
              </w:rPr>
            </w:pPr>
            <w:r>
              <w:rPr>
                <w:sz w:val="22"/>
              </w:rPr>
              <w:t>104</w:t>
            </w:r>
          </w:p>
        </w:tc>
        <w:tc>
          <w:tcPr>
            <w:tcW w:w="2410" w:type="dxa"/>
          </w:tcPr>
          <w:p w:rsidR="00000000" w:rsidRDefault="00000000">
            <w:pPr>
              <w:rPr>
                <w:sz w:val="22"/>
              </w:rPr>
            </w:pPr>
            <w:proofErr w:type="spellStart"/>
            <w:r>
              <w:rPr>
                <w:sz w:val="22"/>
              </w:rPr>
              <w:t>Томас-Фриас</w:t>
            </w:r>
            <w:proofErr w:type="spellEnd"/>
          </w:p>
        </w:tc>
        <w:tc>
          <w:tcPr>
            <w:tcW w:w="1949" w:type="dxa"/>
          </w:tcPr>
          <w:p w:rsidR="00000000" w:rsidRDefault="00000000">
            <w:pPr>
              <w:rPr>
                <w:sz w:val="22"/>
              </w:rPr>
            </w:pPr>
            <w:proofErr w:type="spellStart"/>
            <w:r>
              <w:rPr>
                <w:sz w:val="22"/>
              </w:rPr>
              <w:t>Чукисака</w:t>
            </w:r>
            <w:proofErr w:type="spellEnd"/>
          </w:p>
        </w:tc>
      </w:tr>
      <w:tr w:rsidR="00000000">
        <w:tblPrEx>
          <w:tblCellMar>
            <w:top w:w="0" w:type="dxa"/>
            <w:bottom w:w="0" w:type="dxa"/>
          </w:tblCellMar>
        </w:tblPrEx>
        <w:tc>
          <w:tcPr>
            <w:tcW w:w="675" w:type="dxa"/>
          </w:tcPr>
          <w:p w:rsidR="00000000" w:rsidRDefault="00000000">
            <w:pPr>
              <w:rPr>
                <w:sz w:val="22"/>
              </w:rPr>
            </w:pPr>
            <w:r>
              <w:rPr>
                <w:sz w:val="22"/>
              </w:rPr>
              <w:t>49</w:t>
            </w:r>
          </w:p>
        </w:tc>
        <w:tc>
          <w:tcPr>
            <w:tcW w:w="2127" w:type="dxa"/>
          </w:tcPr>
          <w:p w:rsidR="00000000" w:rsidRDefault="00000000">
            <w:pPr>
              <w:rPr>
                <w:sz w:val="22"/>
              </w:rPr>
            </w:pPr>
            <w:proofErr w:type="spellStart"/>
            <w:r>
              <w:rPr>
                <w:sz w:val="22"/>
              </w:rPr>
              <w:t>Хосе-Мария-Линарес</w:t>
            </w:r>
            <w:proofErr w:type="spellEnd"/>
          </w:p>
        </w:tc>
        <w:tc>
          <w:tcPr>
            <w:tcW w:w="1701" w:type="dxa"/>
          </w:tcPr>
          <w:p w:rsidR="00000000" w:rsidRDefault="00000000">
            <w:pPr>
              <w:rPr>
                <w:sz w:val="22"/>
              </w:rPr>
            </w:pPr>
            <w:proofErr w:type="spellStart"/>
            <w:r>
              <w:rPr>
                <w:sz w:val="22"/>
              </w:rPr>
              <w:t>Пандо</w:t>
            </w:r>
            <w:proofErr w:type="spellEnd"/>
          </w:p>
        </w:tc>
        <w:tc>
          <w:tcPr>
            <w:tcW w:w="708" w:type="dxa"/>
          </w:tcPr>
          <w:p w:rsidR="00000000" w:rsidRDefault="00000000">
            <w:pPr>
              <w:rPr>
                <w:sz w:val="22"/>
              </w:rPr>
            </w:pPr>
            <w:r>
              <w:rPr>
                <w:sz w:val="22"/>
              </w:rPr>
              <w:t>105</w:t>
            </w:r>
          </w:p>
        </w:tc>
        <w:tc>
          <w:tcPr>
            <w:tcW w:w="2410" w:type="dxa"/>
          </w:tcPr>
          <w:p w:rsidR="00000000" w:rsidRDefault="00000000">
            <w:pPr>
              <w:rPr>
                <w:sz w:val="22"/>
              </w:rPr>
            </w:pPr>
            <w:proofErr w:type="spellStart"/>
            <w:r>
              <w:rPr>
                <w:sz w:val="22"/>
              </w:rPr>
              <w:t>Оропеса</w:t>
            </w:r>
            <w:proofErr w:type="spellEnd"/>
          </w:p>
        </w:tc>
        <w:tc>
          <w:tcPr>
            <w:tcW w:w="1949" w:type="dxa"/>
          </w:tcPr>
          <w:p w:rsidR="00000000" w:rsidRDefault="00000000">
            <w:pPr>
              <w:rPr>
                <w:sz w:val="22"/>
              </w:rPr>
            </w:pPr>
            <w:proofErr w:type="spellStart"/>
            <w:r>
              <w:rPr>
                <w:sz w:val="22"/>
              </w:rPr>
              <w:t>Бени</w:t>
            </w:r>
            <w:proofErr w:type="spellEnd"/>
          </w:p>
        </w:tc>
      </w:tr>
      <w:tr w:rsidR="00000000">
        <w:tblPrEx>
          <w:tblCellMar>
            <w:top w:w="0" w:type="dxa"/>
            <w:bottom w:w="0" w:type="dxa"/>
          </w:tblCellMar>
        </w:tblPrEx>
        <w:tc>
          <w:tcPr>
            <w:tcW w:w="675" w:type="dxa"/>
          </w:tcPr>
          <w:p w:rsidR="00000000" w:rsidRDefault="00000000">
            <w:pPr>
              <w:rPr>
                <w:sz w:val="22"/>
              </w:rPr>
            </w:pPr>
            <w:r>
              <w:rPr>
                <w:sz w:val="22"/>
              </w:rPr>
              <w:t>50</w:t>
            </w:r>
          </w:p>
        </w:tc>
        <w:tc>
          <w:tcPr>
            <w:tcW w:w="2127" w:type="dxa"/>
          </w:tcPr>
          <w:p w:rsidR="00000000" w:rsidRDefault="00000000">
            <w:pPr>
              <w:rPr>
                <w:sz w:val="22"/>
              </w:rPr>
            </w:pPr>
            <w:proofErr w:type="spellStart"/>
            <w:r>
              <w:rPr>
                <w:sz w:val="22"/>
              </w:rPr>
              <w:t>Грал</w:t>
            </w:r>
            <w:proofErr w:type="spellEnd"/>
            <w:r>
              <w:rPr>
                <w:sz w:val="22"/>
              </w:rPr>
              <w:t xml:space="preserve">. </w:t>
            </w:r>
            <w:proofErr w:type="spellStart"/>
            <w:r>
              <w:rPr>
                <w:sz w:val="22"/>
              </w:rPr>
              <w:t>Федерико</w:t>
            </w:r>
            <w:proofErr w:type="spellEnd"/>
          </w:p>
        </w:tc>
        <w:tc>
          <w:tcPr>
            <w:tcW w:w="1701" w:type="dxa"/>
          </w:tcPr>
          <w:p w:rsidR="00000000" w:rsidRDefault="00000000">
            <w:pPr>
              <w:rPr>
                <w:sz w:val="22"/>
              </w:rPr>
            </w:pPr>
            <w:proofErr w:type="spellStart"/>
            <w:r>
              <w:rPr>
                <w:sz w:val="22"/>
              </w:rPr>
              <w:t>Тариха</w:t>
            </w:r>
            <w:proofErr w:type="spellEnd"/>
          </w:p>
        </w:tc>
        <w:tc>
          <w:tcPr>
            <w:tcW w:w="708" w:type="dxa"/>
          </w:tcPr>
          <w:p w:rsidR="00000000" w:rsidRDefault="00000000">
            <w:pPr>
              <w:rPr>
                <w:sz w:val="22"/>
              </w:rPr>
            </w:pPr>
            <w:r>
              <w:rPr>
                <w:sz w:val="22"/>
              </w:rPr>
              <w:t>106</w:t>
            </w:r>
          </w:p>
        </w:tc>
        <w:tc>
          <w:tcPr>
            <w:tcW w:w="2410" w:type="dxa"/>
          </w:tcPr>
          <w:p w:rsidR="00000000" w:rsidRDefault="00000000">
            <w:pPr>
              <w:rPr>
                <w:sz w:val="22"/>
              </w:rPr>
            </w:pPr>
            <w:proofErr w:type="spellStart"/>
            <w:r>
              <w:rPr>
                <w:sz w:val="22"/>
              </w:rPr>
              <w:t>Серкадо</w:t>
            </w:r>
            <w:proofErr w:type="spellEnd"/>
          </w:p>
        </w:tc>
        <w:tc>
          <w:tcPr>
            <w:tcW w:w="1949" w:type="dxa"/>
          </w:tcPr>
          <w:p w:rsidR="00000000" w:rsidRDefault="00000000">
            <w:pPr>
              <w:rPr>
                <w:sz w:val="22"/>
              </w:rPr>
            </w:pPr>
            <w:proofErr w:type="spellStart"/>
            <w:r>
              <w:rPr>
                <w:sz w:val="22"/>
              </w:rPr>
              <w:t>Оруро</w:t>
            </w:r>
            <w:proofErr w:type="spellEnd"/>
          </w:p>
        </w:tc>
      </w:tr>
      <w:tr w:rsidR="00000000">
        <w:tblPrEx>
          <w:tblCellMar>
            <w:top w:w="0" w:type="dxa"/>
            <w:bottom w:w="0" w:type="dxa"/>
          </w:tblCellMar>
        </w:tblPrEx>
        <w:tc>
          <w:tcPr>
            <w:tcW w:w="675" w:type="dxa"/>
          </w:tcPr>
          <w:p w:rsidR="00000000" w:rsidRDefault="00000000">
            <w:pPr>
              <w:rPr>
                <w:sz w:val="22"/>
              </w:rPr>
            </w:pPr>
            <w:r>
              <w:rPr>
                <w:sz w:val="22"/>
              </w:rPr>
              <w:t>51</w:t>
            </w:r>
          </w:p>
        </w:tc>
        <w:tc>
          <w:tcPr>
            <w:tcW w:w="2127" w:type="dxa"/>
          </w:tcPr>
          <w:p w:rsidR="00000000" w:rsidRDefault="00000000">
            <w:pPr>
              <w:rPr>
                <w:sz w:val="22"/>
              </w:rPr>
            </w:pPr>
            <w:r>
              <w:rPr>
                <w:sz w:val="22"/>
              </w:rPr>
              <w:t>Роман</w:t>
            </w:r>
          </w:p>
        </w:tc>
        <w:tc>
          <w:tcPr>
            <w:tcW w:w="1701" w:type="dxa"/>
          </w:tcPr>
          <w:p w:rsidR="00000000" w:rsidRDefault="00000000">
            <w:pPr>
              <w:rPr>
                <w:sz w:val="22"/>
              </w:rPr>
            </w:pPr>
            <w:proofErr w:type="spellStart"/>
            <w:r>
              <w:rPr>
                <w:sz w:val="22"/>
              </w:rPr>
              <w:t>Чукисака</w:t>
            </w:r>
            <w:proofErr w:type="spellEnd"/>
          </w:p>
        </w:tc>
        <w:tc>
          <w:tcPr>
            <w:tcW w:w="708" w:type="dxa"/>
          </w:tcPr>
          <w:p w:rsidR="00000000" w:rsidRDefault="00000000">
            <w:pPr>
              <w:rPr>
                <w:sz w:val="22"/>
              </w:rPr>
            </w:pPr>
            <w:r>
              <w:rPr>
                <w:sz w:val="22"/>
              </w:rPr>
              <w:t>107</w:t>
            </w:r>
          </w:p>
        </w:tc>
        <w:tc>
          <w:tcPr>
            <w:tcW w:w="2410" w:type="dxa"/>
          </w:tcPr>
          <w:p w:rsidR="00000000" w:rsidRDefault="00000000">
            <w:pPr>
              <w:rPr>
                <w:sz w:val="22"/>
              </w:rPr>
            </w:pPr>
            <w:proofErr w:type="spellStart"/>
            <w:r>
              <w:rPr>
                <w:sz w:val="22"/>
              </w:rPr>
              <w:t>Серкадо</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52</w:t>
            </w:r>
          </w:p>
        </w:tc>
        <w:tc>
          <w:tcPr>
            <w:tcW w:w="2127" w:type="dxa"/>
          </w:tcPr>
          <w:p w:rsidR="00000000" w:rsidRDefault="00000000">
            <w:pPr>
              <w:rPr>
                <w:sz w:val="22"/>
              </w:rPr>
            </w:pPr>
            <w:proofErr w:type="spellStart"/>
            <w:r>
              <w:rPr>
                <w:sz w:val="22"/>
              </w:rPr>
              <w:t>Авилес</w:t>
            </w:r>
            <w:proofErr w:type="spellEnd"/>
          </w:p>
        </w:tc>
        <w:tc>
          <w:tcPr>
            <w:tcW w:w="1701" w:type="dxa"/>
          </w:tcPr>
          <w:p w:rsidR="00000000" w:rsidRDefault="00000000">
            <w:pPr>
              <w:rPr>
                <w:sz w:val="22"/>
              </w:rPr>
            </w:pPr>
            <w:proofErr w:type="spellStart"/>
            <w:r>
              <w:rPr>
                <w:sz w:val="22"/>
              </w:rPr>
              <w:t>Кочабамба</w:t>
            </w:r>
            <w:proofErr w:type="spellEnd"/>
          </w:p>
        </w:tc>
        <w:tc>
          <w:tcPr>
            <w:tcW w:w="708" w:type="dxa"/>
          </w:tcPr>
          <w:p w:rsidR="00000000" w:rsidRDefault="00000000">
            <w:pPr>
              <w:rPr>
                <w:sz w:val="22"/>
              </w:rPr>
            </w:pPr>
            <w:r>
              <w:rPr>
                <w:sz w:val="22"/>
              </w:rPr>
              <w:t>108</w:t>
            </w:r>
          </w:p>
        </w:tc>
        <w:tc>
          <w:tcPr>
            <w:tcW w:w="2410" w:type="dxa"/>
          </w:tcPr>
          <w:p w:rsidR="00000000" w:rsidRDefault="00000000">
            <w:pPr>
              <w:rPr>
                <w:sz w:val="22"/>
              </w:rPr>
            </w:pPr>
            <w:r>
              <w:rPr>
                <w:sz w:val="22"/>
              </w:rPr>
              <w:t>Герман-Буш</w:t>
            </w:r>
          </w:p>
        </w:tc>
        <w:tc>
          <w:tcPr>
            <w:tcW w:w="1949" w:type="dxa"/>
          </w:tcPr>
          <w:p w:rsidR="00000000" w:rsidRDefault="00000000">
            <w:pPr>
              <w:rPr>
                <w:sz w:val="22"/>
              </w:rPr>
            </w:pPr>
            <w:r>
              <w:rPr>
                <w:sz w:val="22"/>
              </w:rPr>
              <w:t>Ла-Пас</w:t>
            </w:r>
          </w:p>
        </w:tc>
      </w:tr>
      <w:tr w:rsidR="00000000">
        <w:tblPrEx>
          <w:tblCellMar>
            <w:top w:w="0" w:type="dxa"/>
            <w:bottom w:w="0" w:type="dxa"/>
          </w:tblCellMar>
        </w:tblPrEx>
        <w:tc>
          <w:tcPr>
            <w:tcW w:w="675" w:type="dxa"/>
          </w:tcPr>
          <w:p w:rsidR="00000000" w:rsidRDefault="00000000">
            <w:pPr>
              <w:rPr>
                <w:sz w:val="22"/>
              </w:rPr>
            </w:pPr>
            <w:r>
              <w:rPr>
                <w:sz w:val="22"/>
              </w:rPr>
              <w:t>53</w:t>
            </w:r>
          </w:p>
        </w:tc>
        <w:tc>
          <w:tcPr>
            <w:tcW w:w="2127" w:type="dxa"/>
          </w:tcPr>
          <w:p w:rsidR="00000000" w:rsidRDefault="00000000">
            <w:pPr>
              <w:rPr>
                <w:sz w:val="22"/>
              </w:rPr>
            </w:pPr>
            <w:proofErr w:type="spellStart"/>
            <w:r>
              <w:rPr>
                <w:sz w:val="22"/>
              </w:rPr>
              <w:t>Белисарио-Боэто</w:t>
            </w:r>
            <w:proofErr w:type="spellEnd"/>
          </w:p>
        </w:tc>
        <w:tc>
          <w:tcPr>
            <w:tcW w:w="1701" w:type="dxa"/>
          </w:tcPr>
          <w:p w:rsidR="00000000" w:rsidRDefault="00000000">
            <w:pPr>
              <w:rPr>
                <w:sz w:val="22"/>
              </w:rPr>
            </w:pPr>
            <w:proofErr w:type="spellStart"/>
            <w:r>
              <w:rPr>
                <w:sz w:val="22"/>
              </w:rPr>
              <w:t>Тариха</w:t>
            </w:r>
            <w:proofErr w:type="spellEnd"/>
          </w:p>
        </w:tc>
        <w:tc>
          <w:tcPr>
            <w:tcW w:w="708" w:type="dxa"/>
          </w:tcPr>
          <w:p w:rsidR="00000000" w:rsidRDefault="00000000">
            <w:pPr>
              <w:rPr>
                <w:sz w:val="22"/>
              </w:rPr>
            </w:pPr>
            <w:r>
              <w:rPr>
                <w:sz w:val="22"/>
              </w:rPr>
              <w:t>109</w:t>
            </w:r>
          </w:p>
        </w:tc>
        <w:tc>
          <w:tcPr>
            <w:tcW w:w="2410" w:type="dxa"/>
          </w:tcPr>
          <w:p w:rsidR="00000000" w:rsidRDefault="00000000">
            <w:pPr>
              <w:rPr>
                <w:sz w:val="22"/>
              </w:rPr>
            </w:pPr>
            <w:proofErr w:type="spellStart"/>
            <w:r>
              <w:rPr>
                <w:sz w:val="22"/>
              </w:rPr>
              <w:t>Мурильо</w:t>
            </w:r>
            <w:proofErr w:type="spellEnd"/>
          </w:p>
        </w:tc>
        <w:tc>
          <w:tcPr>
            <w:tcW w:w="1949" w:type="dxa"/>
          </w:tcPr>
          <w:p w:rsidR="00000000" w:rsidRDefault="00000000">
            <w:pPr>
              <w:rPr>
                <w:sz w:val="22"/>
              </w:rPr>
            </w:pPr>
            <w:proofErr w:type="spellStart"/>
            <w:r>
              <w:rPr>
                <w:sz w:val="22"/>
              </w:rPr>
              <w:t>Тариха</w:t>
            </w:r>
            <w:proofErr w:type="spellEnd"/>
          </w:p>
        </w:tc>
      </w:tr>
      <w:tr w:rsidR="00000000">
        <w:tblPrEx>
          <w:tblCellMar>
            <w:top w:w="0" w:type="dxa"/>
            <w:bottom w:w="0" w:type="dxa"/>
          </w:tblCellMar>
        </w:tblPrEx>
        <w:tc>
          <w:tcPr>
            <w:tcW w:w="675" w:type="dxa"/>
          </w:tcPr>
          <w:p w:rsidR="00000000" w:rsidRDefault="00000000">
            <w:pPr>
              <w:rPr>
                <w:sz w:val="22"/>
              </w:rPr>
            </w:pPr>
            <w:r>
              <w:rPr>
                <w:sz w:val="22"/>
              </w:rPr>
              <w:t>54</w:t>
            </w:r>
          </w:p>
        </w:tc>
        <w:tc>
          <w:tcPr>
            <w:tcW w:w="2127" w:type="dxa"/>
          </w:tcPr>
          <w:p w:rsidR="00000000" w:rsidRDefault="00000000">
            <w:pPr>
              <w:rPr>
                <w:sz w:val="22"/>
              </w:rPr>
            </w:pPr>
            <w:proofErr w:type="spellStart"/>
            <w:r>
              <w:rPr>
                <w:sz w:val="22"/>
              </w:rPr>
              <w:t>Тираке</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110</w:t>
            </w:r>
          </w:p>
        </w:tc>
        <w:tc>
          <w:tcPr>
            <w:tcW w:w="2410" w:type="dxa"/>
          </w:tcPr>
          <w:p w:rsidR="00000000" w:rsidRDefault="00000000">
            <w:pPr>
              <w:rPr>
                <w:sz w:val="22"/>
              </w:rPr>
            </w:pPr>
            <w:proofErr w:type="spellStart"/>
            <w:r>
              <w:rPr>
                <w:sz w:val="22"/>
              </w:rPr>
              <w:t>Серкадо</w:t>
            </w:r>
            <w:proofErr w:type="spellEnd"/>
          </w:p>
        </w:tc>
        <w:tc>
          <w:tcPr>
            <w:tcW w:w="1949" w:type="dxa"/>
          </w:tcPr>
          <w:p w:rsidR="00000000" w:rsidRDefault="00000000">
            <w:pPr>
              <w:rPr>
                <w:sz w:val="22"/>
              </w:rPr>
            </w:pPr>
            <w:proofErr w:type="spellStart"/>
            <w:r>
              <w:rPr>
                <w:sz w:val="22"/>
              </w:rPr>
              <w:t>Кочабамба</w:t>
            </w:r>
            <w:proofErr w:type="spellEnd"/>
          </w:p>
        </w:tc>
      </w:tr>
      <w:tr w:rsidR="00000000">
        <w:tblPrEx>
          <w:tblCellMar>
            <w:top w:w="0" w:type="dxa"/>
            <w:bottom w:w="0" w:type="dxa"/>
          </w:tblCellMar>
        </w:tblPrEx>
        <w:tc>
          <w:tcPr>
            <w:tcW w:w="675" w:type="dxa"/>
          </w:tcPr>
          <w:p w:rsidR="00000000" w:rsidRDefault="00000000">
            <w:pPr>
              <w:rPr>
                <w:sz w:val="22"/>
              </w:rPr>
            </w:pPr>
            <w:r>
              <w:rPr>
                <w:sz w:val="22"/>
              </w:rPr>
              <w:t>55</w:t>
            </w:r>
          </w:p>
        </w:tc>
        <w:tc>
          <w:tcPr>
            <w:tcW w:w="2127" w:type="dxa"/>
          </w:tcPr>
          <w:p w:rsidR="00000000" w:rsidRDefault="00000000">
            <w:pPr>
              <w:rPr>
                <w:sz w:val="22"/>
              </w:rPr>
            </w:pPr>
            <w:proofErr w:type="spellStart"/>
            <w:r>
              <w:rPr>
                <w:sz w:val="22"/>
              </w:rPr>
              <w:t>Мендес</w:t>
            </w:r>
            <w:proofErr w:type="spellEnd"/>
          </w:p>
        </w:tc>
        <w:tc>
          <w:tcPr>
            <w:tcW w:w="1701" w:type="dxa"/>
          </w:tcPr>
          <w:p w:rsidR="00000000" w:rsidRDefault="00000000">
            <w:pPr>
              <w:rPr>
                <w:sz w:val="22"/>
              </w:rPr>
            </w:pPr>
            <w:r>
              <w:rPr>
                <w:sz w:val="22"/>
              </w:rPr>
              <w:t>Ла-Пас</w:t>
            </w:r>
          </w:p>
        </w:tc>
        <w:tc>
          <w:tcPr>
            <w:tcW w:w="708" w:type="dxa"/>
          </w:tcPr>
          <w:p w:rsidR="00000000" w:rsidRDefault="00000000">
            <w:pPr>
              <w:rPr>
                <w:sz w:val="22"/>
              </w:rPr>
            </w:pPr>
            <w:r>
              <w:rPr>
                <w:sz w:val="22"/>
              </w:rPr>
              <w:t>111</w:t>
            </w:r>
          </w:p>
        </w:tc>
        <w:tc>
          <w:tcPr>
            <w:tcW w:w="2410" w:type="dxa"/>
          </w:tcPr>
          <w:p w:rsidR="00000000" w:rsidRDefault="00000000">
            <w:pPr>
              <w:rPr>
                <w:sz w:val="22"/>
              </w:rPr>
            </w:pPr>
            <w:proofErr w:type="spellStart"/>
            <w:r>
              <w:rPr>
                <w:sz w:val="22"/>
              </w:rPr>
              <w:t>Серкадо</w:t>
            </w:r>
            <w:proofErr w:type="spellEnd"/>
          </w:p>
        </w:tc>
        <w:tc>
          <w:tcPr>
            <w:tcW w:w="1949" w:type="dxa"/>
          </w:tcPr>
          <w:p w:rsidR="00000000" w:rsidRDefault="00000000">
            <w:pPr>
              <w:rPr>
                <w:sz w:val="22"/>
              </w:rPr>
            </w:pPr>
            <w:proofErr w:type="spellStart"/>
            <w:r>
              <w:rPr>
                <w:sz w:val="22"/>
              </w:rPr>
              <w:t>Санта-Крус</w:t>
            </w:r>
            <w:proofErr w:type="spellEnd"/>
          </w:p>
        </w:tc>
      </w:tr>
      <w:tr w:rsidR="00000000">
        <w:tblPrEx>
          <w:tblCellMar>
            <w:top w:w="0" w:type="dxa"/>
            <w:bottom w:w="0" w:type="dxa"/>
          </w:tblCellMar>
        </w:tblPrEx>
        <w:tc>
          <w:tcPr>
            <w:tcW w:w="675" w:type="dxa"/>
          </w:tcPr>
          <w:p w:rsidR="00000000" w:rsidRDefault="00000000">
            <w:pPr>
              <w:rPr>
                <w:sz w:val="22"/>
              </w:rPr>
            </w:pPr>
            <w:r>
              <w:rPr>
                <w:sz w:val="22"/>
              </w:rPr>
              <w:t>56</w:t>
            </w:r>
          </w:p>
        </w:tc>
        <w:tc>
          <w:tcPr>
            <w:tcW w:w="2127" w:type="dxa"/>
          </w:tcPr>
          <w:p w:rsidR="00000000" w:rsidRDefault="00000000">
            <w:pPr>
              <w:rPr>
                <w:sz w:val="22"/>
              </w:rPr>
            </w:pPr>
            <w:proofErr w:type="spellStart"/>
            <w:r>
              <w:rPr>
                <w:sz w:val="22"/>
              </w:rPr>
              <w:t>Ларекаха</w:t>
            </w:r>
            <w:proofErr w:type="spellEnd"/>
          </w:p>
          <w:p w:rsidR="00000000" w:rsidRDefault="00000000">
            <w:pPr>
              <w:rPr>
                <w:sz w:val="22"/>
              </w:rPr>
            </w:pPr>
            <w:proofErr w:type="spellStart"/>
            <w:r>
              <w:rPr>
                <w:sz w:val="22"/>
              </w:rPr>
              <w:t>Абель-Итурралде</w:t>
            </w:r>
            <w:proofErr w:type="spellEnd"/>
          </w:p>
          <w:p w:rsidR="00000000" w:rsidRDefault="00000000">
            <w:pPr>
              <w:rPr>
                <w:sz w:val="22"/>
              </w:rPr>
            </w:pPr>
            <w:proofErr w:type="spellStart"/>
            <w:r>
              <w:rPr>
                <w:sz w:val="22"/>
              </w:rPr>
              <w:t>Нор-Юнгас</w:t>
            </w:r>
            <w:proofErr w:type="spellEnd"/>
          </w:p>
        </w:tc>
        <w:tc>
          <w:tcPr>
            <w:tcW w:w="1701" w:type="dxa"/>
          </w:tcPr>
          <w:p w:rsidR="00000000" w:rsidRDefault="00000000">
            <w:pPr>
              <w:rPr>
                <w:sz w:val="22"/>
              </w:rPr>
            </w:pPr>
            <w:r>
              <w:rPr>
                <w:sz w:val="22"/>
              </w:rPr>
              <w:t>Ла-Пас</w:t>
            </w:r>
          </w:p>
          <w:p w:rsidR="00000000" w:rsidRDefault="00000000">
            <w:pPr>
              <w:rPr>
                <w:sz w:val="22"/>
              </w:rPr>
            </w:pPr>
          </w:p>
          <w:p w:rsidR="00000000" w:rsidRDefault="00000000">
            <w:pPr>
              <w:rPr>
                <w:sz w:val="22"/>
              </w:rPr>
            </w:pPr>
          </w:p>
        </w:tc>
        <w:tc>
          <w:tcPr>
            <w:tcW w:w="708" w:type="dxa"/>
          </w:tcPr>
          <w:p w:rsidR="00000000" w:rsidRDefault="00000000">
            <w:pPr>
              <w:rPr>
                <w:sz w:val="22"/>
              </w:rPr>
            </w:pPr>
            <w:r>
              <w:rPr>
                <w:sz w:val="22"/>
              </w:rPr>
              <w:t>112</w:t>
            </w:r>
          </w:p>
        </w:tc>
        <w:tc>
          <w:tcPr>
            <w:tcW w:w="2410" w:type="dxa"/>
          </w:tcPr>
          <w:p w:rsidR="00000000" w:rsidRDefault="00000000">
            <w:pPr>
              <w:rPr>
                <w:sz w:val="22"/>
              </w:rPr>
            </w:pPr>
            <w:proofErr w:type="spellStart"/>
            <w:r>
              <w:rPr>
                <w:sz w:val="22"/>
              </w:rPr>
              <w:t>Андрес-Ибаньес</w:t>
            </w:r>
            <w:proofErr w:type="spellEnd"/>
          </w:p>
        </w:tc>
        <w:tc>
          <w:tcPr>
            <w:tcW w:w="1949" w:type="dxa"/>
          </w:tcPr>
          <w:p w:rsidR="00000000" w:rsidRDefault="00000000">
            <w:pPr>
              <w:rPr>
                <w:sz w:val="22"/>
              </w:rPr>
            </w:pPr>
          </w:p>
        </w:tc>
      </w:tr>
    </w:tbl>
    <w:p w:rsidR="00000000" w:rsidRDefault="00000000"/>
    <w:p w:rsidR="00000000" w:rsidRDefault="00000000">
      <w:r>
        <w:rPr>
          <w:u w:val="single"/>
        </w:rPr>
        <w:t>Источник</w:t>
      </w:r>
      <w:r>
        <w:t>:  Министерство развития людских ресурсов, 1993 год.</w:t>
      </w:r>
    </w:p>
    <w:p w:rsidR="00000000" w:rsidRDefault="00000000"/>
    <w:p w:rsidR="00000000" w:rsidRDefault="00000000">
      <w:r>
        <w:rPr>
          <w:u w:val="single"/>
        </w:rPr>
        <w:t>Подготовлено</w:t>
      </w:r>
      <w:r>
        <w:t>:  Департаментом экономического анализа - Министерство сельского хозяйства, животноводства и развития сельских районов.</w:t>
      </w:r>
    </w:p>
    <w:p w:rsidR="00000000" w:rsidRDefault="00000000"/>
    <w:p w:rsidR="00000000" w:rsidRDefault="00000000">
      <w:r>
        <w:t>277.</w:t>
      </w:r>
      <w:r>
        <w:tab/>
        <w:t>Показатели потребления продовольствия и расходов на продукты питания являются самыми низкими среди населения с наименьшим уровнем доходов.</w:t>
      </w:r>
    </w:p>
    <w:p w:rsidR="00000000" w:rsidRDefault="00000000"/>
    <w:p w:rsidR="00000000" w:rsidRDefault="00000000">
      <w:r>
        <w:t>278.</w:t>
      </w:r>
      <w:r>
        <w:tab/>
        <w:t>Результаты исследования "Реальный уровень потребления", проведенного в различных районах страны путем непосредственного опроса населения, свидетельствуют, что показатель потребления калорий составляет 1 300 ккал/чел./день или менее.  На низком уровне также находится потребление высококачественных белков, особенно в пригородных и сельских районах.</w:t>
      </w:r>
    </w:p>
    <w:p w:rsidR="00000000" w:rsidRDefault="00000000"/>
    <w:p w:rsidR="00000000" w:rsidRDefault="00000000">
      <w:r>
        <w:t>279.</w:t>
      </w:r>
      <w:r>
        <w:tab/>
        <w:t>Сравнительное обследование структуры расходов домашних хозяйств в городах Ла</w:t>
      </w:r>
      <w:r>
        <w:noBreakHyphen/>
        <w:t>Пас, Эль-Альто, Кочабамба и Санта-Крус, проведенное в рамках анализа бюджета в 1990 году, показало, что в городе Эль-Альто основной статьей расходов в семейном бюджете являются продукты питания и напитки (61%), в то время как расходы на здравоохранение являются самыми незначительными (2%), на низком уровне также находятся и расходы на образование (3%).</w:t>
      </w:r>
    </w:p>
    <w:p w:rsidR="00000000" w:rsidRDefault="00000000"/>
    <w:p w:rsidR="00000000" w:rsidRDefault="00000000">
      <w:r>
        <w:t>280.</w:t>
      </w:r>
      <w:r>
        <w:tab/>
        <w:t>В городе Кочабабма доля расходов на здравоохранение и образование является более высокой, чем в других городах.  В городе Санта-Крус важными статьями расходов являются одежда, бытовая техника и транспорт.  Существенное место в бюджете домашних хозяйств города Ла-Пас занимают расходы на культурные мероприятия и развлечения.</w:t>
      </w:r>
    </w:p>
    <w:p w:rsidR="00000000" w:rsidRDefault="00000000"/>
    <w:p w:rsidR="00000000" w:rsidRDefault="00000000">
      <w:r>
        <w:t>281.</w:t>
      </w:r>
      <w:r>
        <w:tab/>
        <w:t>Согласно результатам обследования потребления продовольственных товаров (ОППТ) за 1992 год ежемесячные расходы на покупку продуктов питания в сельских районах Ла-Паса составляют 204 боливиано в месяц, т.е. в день потребляется 752 грамма или 1 590 ккал.</w:t>
      </w:r>
    </w:p>
    <w:p w:rsidR="00000000" w:rsidRDefault="00000000"/>
    <w:p w:rsidR="00000000" w:rsidRDefault="00000000">
      <w:r>
        <w:t>282.</w:t>
      </w:r>
      <w:r>
        <w:tab/>
        <w:t>Если исходить из того, что минимальная заработная плата в Боливии составляет приблизительно 50 долл. США в месяц, то доход семьи из пяти человек, получающей предположительно 3,5 оклада, равняется 175 долл. США.</w:t>
      </w:r>
    </w:p>
    <w:p w:rsidR="00000000" w:rsidRDefault="00000000"/>
    <w:p w:rsidR="00000000" w:rsidRDefault="00000000">
      <w:pPr>
        <w:pStyle w:val="BodyText"/>
        <w:keepNext/>
        <w:spacing w:line="288" w:lineRule="auto"/>
      </w:pPr>
      <w:r>
        <w:t xml:space="preserve">Средние показатели потребления </w:t>
      </w:r>
      <w:proofErr w:type="spellStart"/>
      <w:r>
        <w:t>продутов</w:t>
      </w:r>
      <w:proofErr w:type="spellEnd"/>
      <w:r>
        <w:t xml:space="preserve"> питания в стране (ккал/чел)</w:t>
      </w:r>
    </w:p>
    <w:p w:rsidR="00000000" w:rsidRDefault="00000000">
      <w:pPr>
        <w:pStyle w:val="BodyText"/>
        <w:keepNext/>
        <w:spacing w:line="288" w:lineRule="auto"/>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701"/>
        <w:gridCol w:w="1984"/>
        <w:gridCol w:w="1027"/>
        <w:gridCol w:w="1595"/>
        <w:gridCol w:w="1595"/>
      </w:tblGrid>
      <w:tr w:rsidR="00000000">
        <w:tblPrEx>
          <w:tblCellMar>
            <w:top w:w="0" w:type="dxa"/>
            <w:bottom w:w="0" w:type="dxa"/>
          </w:tblCellMar>
        </w:tblPrEx>
        <w:tc>
          <w:tcPr>
            <w:tcW w:w="1668" w:type="dxa"/>
          </w:tcPr>
          <w:p w:rsidR="00000000" w:rsidRDefault="00000000">
            <w:pPr>
              <w:keepNext/>
              <w:spacing w:line="240" w:lineRule="auto"/>
              <w:jc w:val="center"/>
              <w:rPr>
                <w:sz w:val="22"/>
              </w:rPr>
            </w:pPr>
            <w:r>
              <w:rPr>
                <w:sz w:val="22"/>
              </w:rPr>
              <w:t>Зоны</w:t>
            </w:r>
          </w:p>
        </w:tc>
        <w:tc>
          <w:tcPr>
            <w:tcW w:w="1701" w:type="dxa"/>
          </w:tcPr>
          <w:p w:rsidR="00000000" w:rsidRDefault="00000000">
            <w:pPr>
              <w:keepNext/>
              <w:spacing w:line="240" w:lineRule="auto"/>
              <w:jc w:val="center"/>
              <w:rPr>
                <w:sz w:val="22"/>
              </w:rPr>
            </w:pPr>
            <w:r>
              <w:rPr>
                <w:sz w:val="22"/>
              </w:rPr>
              <w:t>Фактический показатель потребления</w:t>
            </w:r>
          </w:p>
        </w:tc>
        <w:tc>
          <w:tcPr>
            <w:tcW w:w="1984" w:type="dxa"/>
          </w:tcPr>
          <w:p w:rsidR="00000000" w:rsidRDefault="00000000">
            <w:pPr>
              <w:keepNext/>
              <w:spacing w:line="240" w:lineRule="auto"/>
              <w:jc w:val="center"/>
              <w:rPr>
                <w:sz w:val="22"/>
              </w:rPr>
            </w:pPr>
            <w:r>
              <w:rPr>
                <w:sz w:val="22"/>
              </w:rPr>
              <w:t>Рекомендованный показатель потребления</w:t>
            </w:r>
          </w:p>
        </w:tc>
        <w:tc>
          <w:tcPr>
            <w:tcW w:w="1027" w:type="dxa"/>
          </w:tcPr>
          <w:p w:rsidR="00000000" w:rsidRDefault="00000000">
            <w:pPr>
              <w:keepNext/>
              <w:spacing w:line="240" w:lineRule="auto"/>
              <w:jc w:val="center"/>
              <w:rPr>
                <w:sz w:val="22"/>
              </w:rPr>
            </w:pPr>
            <w:r>
              <w:rPr>
                <w:sz w:val="22"/>
              </w:rPr>
              <w:t>Разница</w:t>
            </w:r>
          </w:p>
        </w:tc>
        <w:tc>
          <w:tcPr>
            <w:tcW w:w="1595" w:type="dxa"/>
          </w:tcPr>
          <w:p w:rsidR="00000000" w:rsidRDefault="00000000">
            <w:pPr>
              <w:keepNext/>
              <w:spacing w:line="240" w:lineRule="auto"/>
              <w:jc w:val="center"/>
              <w:rPr>
                <w:sz w:val="22"/>
              </w:rPr>
            </w:pPr>
            <w:r>
              <w:rPr>
                <w:sz w:val="22"/>
              </w:rPr>
              <w:t>Фактический коэффициент калорийности в %</w:t>
            </w:r>
          </w:p>
        </w:tc>
        <w:tc>
          <w:tcPr>
            <w:tcW w:w="1595" w:type="dxa"/>
          </w:tcPr>
          <w:p w:rsidR="00000000" w:rsidRDefault="00000000">
            <w:pPr>
              <w:keepNext/>
              <w:spacing w:line="240" w:lineRule="auto"/>
              <w:jc w:val="center"/>
              <w:rPr>
                <w:sz w:val="22"/>
              </w:rPr>
            </w:pPr>
            <w:r>
              <w:rPr>
                <w:sz w:val="22"/>
              </w:rPr>
              <w:t>Дефицит калорийности питания в %</w:t>
            </w:r>
          </w:p>
        </w:tc>
      </w:tr>
      <w:tr w:rsidR="00000000">
        <w:tblPrEx>
          <w:tblCellMar>
            <w:top w:w="0" w:type="dxa"/>
            <w:bottom w:w="0" w:type="dxa"/>
          </w:tblCellMar>
        </w:tblPrEx>
        <w:tc>
          <w:tcPr>
            <w:tcW w:w="1668" w:type="dxa"/>
          </w:tcPr>
          <w:p w:rsidR="00000000" w:rsidRDefault="00000000">
            <w:pPr>
              <w:keepNext/>
              <w:rPr>
                <w:sz w:val="22"/>
              </w:rPr>
            </w:pPr>
            <w:r>
              <w:rPr>
                <w:sz w:val="22"/>
              </w:rPr>
              <w:t>Нагорье</w:t>
            </w:r>
          </w:p>
        </w:tc>
        <w:tc>
          <w:tcPr>
            <w:tcW w:w="1701" w:type="dxa"/>
          </w:tcPr>
          <w:p w:rsidR="00000000" w:rsidRDefault="00000000">
            <w:pPr>
              <w:pStyle w:val="16"/>
              <w:keepNext/>
              <w:rPr>
                <w:sz w:val="22"/>
              </w:rPr>
            </w:pPr>
            <w:r>
              <w:rPr>
                <w:sz w:val="22"/>
              </w:rPr>
              <w:t>1610</w:t>
            </w:r>
          </w:p>
        </w:tc>
        <w:tc>
          <w:tcPr>
            <w:tcW w:w="1984" w:type="dxa"/>
          </w:tcPr>
          <w:p w:rsidR="00000000" w:rsidRDefault="00000000">
            <w:pPr>
              <w:keepNext/>
              <w:jc w:val="center"/>
              <w:rPr>
                <w:sz w:val="22"/>
              </w:rPr>
            </w:pPr>
            <w:r>
              <w:rPr>
                <w:sz w:val="22"/>
              </w:rPr>
              <w:t>2254</w:t>
            </w:r>
          </w:p>
        </w:tc>
        <w:tc>
          <w:tcPr>
            <w:tcW w:w="1027" w:type="dxa"/>
          </w:tcPr>
          <w:p w:rsidR="00000000" w:rsidRDefault="00000000">
            <w:pPr>
              <w:keepNext/>
              <w:jc w:val="center"/>
              <w:rPr>
                <w:sz w:val="22"/>
              </w:rPr>
            </w:pPr>
            <w:r>
              <w:rPr>
                <w:sz w:val="22"/>
              </w:rPr>
              <w:t>-644</w:t>
            </w:r>
          </w:p>
        </w:tc>
        <w:tc>
          <w:tcPr>
            <w:tcW w:w="1595" w:type="dxa"/>
          </w:tcPr>
          <w:p w:rsidR="00000000" w:rsidRDefault="00000000">
            <w:pPr>
              <w:keepNext/>
              <w:jc w:val="center"/>
              <w:rPr>
                <w:sz w:val="22"/>
              </w:rPr>
            </w:pPr>
            <w:r>
              <w:rPr>
                <w:sz w:val="22"/>
              </w:rPr>
              <w:t>71,4</w:t>
            </w:r>
          </w:p>
        </w:tc>
        <w:tc>
          <w:tcPr>
            <w:tcW w:w="1595" w:type="dxa"/>
          </w:tcPr>
          <w:p w:rsidR="00000000" w:rsidRDefault="00000000">
            <w:pPr>
              <w:keepNext/>
              <w:jc w:val="center"/>
              <w:rPr>
                <w:sz w:val="22"/>
              </w:rPr>
            </w:pPr>
            <w:r>
              <w:rPr>
                <w:sz w:val="22"/>
              </w:rPr>
              <w:t>-28,6</w:t>
            </w:r>
          </w:p>
        </w:tc>
      </w:tr>
      <w:tr w:rsidR="00000000">
        <w:tblPrEx>
          <w:tblCellMar>
            <w:top w:w="0" w:type="dxa"/>
            <w:bottom w:w="0" w:type="dxa"/>
          </w:tblCellMar>
        </w:tblPrEx>
        <w:tc>
          <w:tcPr>
            <w:tcW w:w="1668" w:type="dxa"/>
          </w:tcPr>
          <w:p w:rsidR="00000000" w:rsidRDefault="00000000">
            <w:pPr>
              <w:keepNext/>
              <w:rPr>
                <w:sz w:val="22"/>
              </w:rPr>
            </w:pPr>
            <w:r>
              <w:rPr>
                <w:sz w:val="22"/>
              </w:rPr>
              <w:t>Равнины</w:t>
            </w:r>
          </w:p>
        </w:tc>
        <w:tc>
          <w:tcPr>
            <w:tcW w:w="1701" w:type="dxa"/>
          </w:tcPr>
          <w:p w:rsidR="00000000" w:rsidRDefault="00000000">
            <w:pPr>
              <w:keepNext/>
              <w:jc w:val="center"/>
              <w:rPr>
                <w:sz w:val="22"/>
              </w:rPr>
            </w:pPr>
            <w:r>
              <w:rPr>
                <w:sz w:val="22"/>
              </w:rPr>
              <w:t>1845</w:t>
            </w:r>
          </w:p>
        </w:tc>
        <w:tc>
          <w:tcPr>
            <w:tcW w:w="1984" w:type="dxa"/>
          </w:tcPr>
          <w:p w:rsidR="00000000" w:rsidRDefault="00000000">
            <w:pPr>
              <w:keepNext/>
              <w:jc w:val="center"/>
              <w:rPr>
                <w:sz w:val="22"/>
              </w:rPr>
            </w:pPr>
            <w:r>
              <w:rPr>
                <w:sz w:val="22"/>
              </w:rPr>
              <w:t>2249</w:t>
            </w:r>
          </w:p>
        </w:tc>
        <w:tc>
          <w:tcPr>
            <w:tcW w:w="1027" w:type="dxa"/>
          </w:tcPr>
          <w:p w:rsidR="00000000" w:rsidRDefault="00000000">
            <w:pPr>
              <w:keepNext/>
              <w:jc w:val="center"/>
              <w:rPr>
                <w:sz w:val="22"/>
              </w:rPr>
            </w:pPr>
            <w:r>
              <w:rPr>
                <w:sz w:val="22"/>
              </w:rPr>
              <w:t>-404</w:t>
            </w:r>
          </w:p>
        </w:tc>
        <w:tc>
          <w:tcPr>
            <w:tcW w:w="1595" w:type="dxa"/>
          </w:tcPr>
          <w:p w:rsidR="00000000" w:rsidRDefault="00000000">
            <w:pPr>
              <w:keepNext/>
              <w:jc w:val="center"/>
              <w:rPr>
                <w:sz w:val="22"/>
              </w:rPr>
            </w:pPr>
            <w:r>
              <w:rPr>
                <w:sz w:val="22"/>
              </w:rPr>
              <w:t>82,0</w:t>
            </w:r>
          </w:p>
        </w:tc>
        <w:tc>
          <w:tcPr>
            <w:tcW w:w="1595" w:type="dxa"/>
          </w:tcPr>
          <w:p w:rsidR="00000000" w:rsidRDefault="00000000">
            <w:pPr>
              <w:keepNext/>
              <w:jc w:val="center"/>
              <w:rPr>
                <w:sz w:val="22"/>
              </w:rPr>
            </w:pPr>
            <w:r>
              <w:rPr>
                <w:sz w:val="22"/>
              </w:rPr>
              <w:t>-18,0</w:t>
            </w:r>
          </w:p>
        </w:tc>
      </w:tr>
      <w:tr w:rsidR="00000000">
        <w:tblPrEx>
          <w:tblCellMar>
            <w:top w:w="0" w:type="dxa"/>
            <w:bottom w:w="0" w:type="dxa"/>
          </w:tblCellMar>
        </w:tblPrEx>
        <w:tc>
          <w:tcPr>
            <w:tcW w:w="1668" w:type="dxa"/>
          </w:tcPr>
          <w:p w:rsidR="00000000" w:rsidRDefault="00000000">
            <w:pPr>
              <w:keepNext/>
              <w:rPr>
                <w:sz w:val="22"/>
              </w:rPr>
            </w:pPr>
            <w:r>
              <w:rPr>
                <w:sz w:val="22"/>
              </w:rPr>
              <w:t>Тропические районы Санта-Круса</w:t>
            </w:r>
          </w:p>
        </w:tc>
        <w:tc>
          <w:tcPr>
            <w:tcW w:w="1701" w:type="dxa"/>
          </w:tcPr>
          <w:p w:rsidR="00000000" w:rsidRDefault="00000000">
            <w:pPr>
              <w:keepNext/>
              <w:jc w:val="center"/>
              <w:rPr>
                <w:sz w:val="22"/>
              </w:rPr>
            </w:pPr>
            <w:r>
              <w:rPr>
                <w:sz w:val="22"/>
              </w:rPr>
              <w:t>1805</w:t>
            </w:r>
          </w:p>
        </w:tc>
        <w:tc>
          <w:tcPr>
            <w:tcW w:w="1984" w:type="dxa"/>
          </w:tcPr>
          <w:p w:rsidR="00000000" w:rsidRDefault="00000000">
            <w:pPr>
              <w:keepNext/>
              <w:jc w:val="center"/>
              <w:rPr>
                <w:sz w:val="22"/>
              </w:rPr>
            </w:pPr>
            <w:r>
              <w:rPr>
                <w:sz w:val="22"/>
              </w:rPr>
              <w:t>2247</w:t>
            </w:r>
          </w:p>
        </w:tc>
        <w:tc>
          <w:tcPr>
            <w:tcW w:w="1027" w:type="dxa"/>
          </w:tcPr>
          <w:p w:rsidR="00000000" w:rsidRDefault="00000000">
            <w:pPr>
              <w:keepNext/>
              <w:jc w:val="center"/>
              <w:rPr>
                <w:sz w:val="22"/>
              </w:rPr>
            </w:pPr>
            <w:r>
              <w:rPr>
                <w:sz w:val="22"/>
              </w:rPr>
              <w:t>-442</w:t>
            </w:r>
          </w:p>
        </w:tc>
        <w:tc>
          <w:tcPr>
            <w:tcW w:w="1595" w:type="dxa"/>
          </w:tcPr>
          <w:p w:rsidR="00000000" w:rsidRDefault="00000000">
            <w:pPr>
              <w:keepNext/>
              <w:jc w:val="center"/>
              <w:rPr>
                <w:sz w:val="22"/>
              </w:rPr>
            </w:pPr>
            <w:r>
              <w:rPr>
                <w:sz w:val="22"/>
              </w:rPr>
              <w:t>80,3</w:t>
            </w:r>
          </w:p>
        </w:tc>
        <w:tc>
          <w:tcPr>
            <w:tcW w:w="1595" w:type="dxa"/>
          </w:tcPr>
          <w:p w:rsidR="00000000" w:rsidRDefault="00000000">
            <w:pPr>
              <w:keepNext/>
              <w:jc w:val="center"/>
              <w:rPr>
                <w:sz w:val="22"/>
              </w:rPr>
            </w:pPr>
            <w:r>
              <w:rPr>
                <w:sz w:val="22"/>
              </w:rPr>
              <w:t>-19,7</w:t>
            </w:r>
          </w:p>
        </w:tc>
      </w:tr>
      <w:tr w:rsidR="00000000">
        <w:tblPrEx>
          <w:tblCellMar>
            <w:top w:w="0" w:type="dxa"/>
            <w:bottom w:w="0" w:type="dxa"/>
          </w:tblCellMar>
        </w:tblPrEx>
        <w:tc>
          <w:tcPr>
            <w:tcW w:w="1668" w:type="dxa"/>
          </w:tcPr>
          <w:p w:rsidR="00000000" w:rsidRDefault="00000000">
            <w:pPr>
              <w:keepNext/>
              <w:rPr>
                <w:sz w:val="22"/>
              </w:rPr>
            </w:pPr>
            <w:r>
              <w:rPr>
                <w:sz w:val="22"/>
              </w:rPr>
              <w:t>Тропические районы Бени</w:t>
            </w:r>
          </w:p>
        </w:tc>
        <w:tc>
          <w:tcPr>
            <w:tcW w:w="1701" w:type="dxa"/>
          </w:tcPr>
          <w:p w:rsidR="00000000" w:rsidRDefault="00000000">
            <w:pPr>
              <w:keepNext/>
              <w:jc w:val="center"/>
              <w:rPr>
                <w:sz w:val="22"/>
              </w:rPr>
            </w:pPr>
            <w:r>
              <w:rPr>
                <w:sz w:val="22"/>
              </w:rPr>
              <w:t>1759</w:t>
            </w:r>
          </w:p>
        </w:tc>
        <w:tc>
          <w:tcPr>
            <w:tcW w:w="1984" w:type="dxa"/>
          </w:tcPr>
          <w:p w:rsidR="00000000" w:rsidRDefault="00000000">
            <w:pPr>
              <w:keepNext/>
              <w:jc w:val="center"/>
              <w:rPr>
                <w:sz w:val="22"/>
              </w:rPr>
            </w:pPr>
            <w:r>
              <w:rPr>
                <w:sz w:val="22"/>
              </w:rPr>
              <w:t>2247</w:t>
            </w:r>
          </w:p>
        </w:tc>
        <w:tc>
          <w:tcPr>
            <w:tcW w:w="1027" w:type="dxa"/>
          </w:tcPr>
          <w:p w:rsidR="00000000" w:rsidRDefault="00000000">
            <w:pPr>
              <w:keepNext/>
              <w:jc w:val="center"/>
              <w:rPr>
                <w:sz w:val="22"/>
              </w:rPr>
            </w:pPr>
            <w:r>
              <w:rPr>
                <w:sz w:val="22"/>
              </w:rPr>
              <w:t>-488</w:t>
            </w:r>
          </w:p>
        </w:tc>
        <w:tc>
          <w:tcPr>
            <w:tcW w:w="1595" w:type="dxa"/>
          </w:tcPr>
          <w:p w:rsidR="00000000" w:rsidRDefault="00000000">
            <w:pPr>
              <w:keepNext/>
              <w:jc w:val="center"/>
              <w:rPr>
                <w:sz w:val="22"/>
              </w:rPr>
            </w:pPr>
            <w:r>
              <w:rPr>
                <w:sz w:val="22"/>
              </w:rPr>
              <w:t>78,3</w:t>
            </w:r>
          </w:p>
        </w:tc>
        <w:tc>
          <w:tcPr>
            <w:tcW w:w="1595" w:type="dxa"/>
          </w:tcPr>
          <w:p w:rsidR="00000000" w:rsidRDefault="00000000">
            <w:pPr>
              <w:keepNext/>
              <w:jc w:val="center"/>
              <w:rPr>
                <w:sz w:val="22"/>
              </w:rPr>
            </w:pPr>
            <w:r>
              <w:rPr>
                <w:sz w:val="22"/>
              </w:rPr>
              <w:t>-21,7</w:t>
            </w:r>
          </w:p>
        </w:tc>
      </w:tr>
      <w:tr w:rsidR="00000000">
        <w:tblPrEx>
          <w:tblCellMar>
            <w:top w:w="0" w:type="dxa"/>
            <w:bottom w:w="0" w:type="dxa"/>
          </w:tblCellMar>
        </w:tblPrEx>
        <w:tc>
          <w:tcPr>
            <w:tcW w:w="1668" w:type="dxa"/>
          </w:tcPr>
          <w:p w:rsidR="00000000" w:rsidRDefault="00000000">
            <w:pPr>
              <w:keepNext/>
              <w:rPr>
                <w:sz w:val="22"/>
              </w:rPr>
            </w:pPr>
            <w:r>
              <w:rPr>
                <w:sz w:val="22"/>
              </w:rPr>
              <w:t>Чако</w:t>
            </w:r>
          </w:p>
        </w:tc>
        <w:tc>
          <w:tcPr>
            <w:tcW w:w="1701" w:type="dxa"/>
          </w:tcPr>
          <w:p w:rsidR="00000000" w:rsidRDefault="00000000">
            <w:pPr>
              <w:keepNext/>
              <w:jc w:val="center"/>
              <w:rPr>
                <w:sz w:val="22"/>
              </w:rPr>
            </w:pPr>
            <w:r>
              <w:rPr>
                <w:sz w:val="22"/>
              </w:rPr>
              <w:t>1627</w:t>
            </w:r>
          </w:p>
        </w:tc>
        <w:tc>
          <w:tcPr>
            <w:tcW w:w="1984" w:type="dxa"/>
          </w:tcPr>
          <w:p w:rsidR="00000000" w:rsidRDefault="00000000">
            <w:pPr>
              <w:keepNext/>
              <w:jc w:val="center"/>
              <w:rPr>
                <w:sz w:val="22"/>
              </w:rPr>
            </w:pPr>
            <w:r>
              <w:rPr>
                <w:sz w:val="22"/>
              </w:rPr>
              <w:t>2244</w:t>
            </w:r>
          </w:p>
        </w:tc>
        <w:tc>
          <w:tcPr>
            <w:tcW w:w="1027" w:type="dxa"/>
          </w:tcPr>
          <w:p w:rsidR="00000000" w:rsidRDefault="00000000">
            <w:pPr>
              <w:keepNext/>
              <w:jc w:val="center"/>
              <w:rPr>
                <w:sz w:val="22"/>
              </w:rPr>
            </w:pPr>
            <w:r>
              <w:rPr>
                <w:sz w:val="22"/>
              </w:rPr>
              <w:t>-617</w:t>
            </w:r>
          </w:p>
        </w:tc>
        <w:tc>
          <w:tcPr>
            <w:tcW w:w="1595" w:type="dxa"/>
          </w:tcPr>
          <w:p w:rsidR="00000000" w:rsidRDefault="00000000">
            <w:pPr>
              <w:keepNext/>
              <w:jc w:val="center"/>
              <w:rPr>
                <w:sz w:val="22"/>
              </w:rPr>
            </w:pPr>
            <w:r>
              <w:rPr>
                <w:sz w:val="22"/>
              </w:rPr>
              <w:t>72,5</w:t>
            </w:r>
          </w:p>
        </w:tc>
        <w:tc>
          <w:tcPr>
            <w:tcW w:w="1595" w:type="dxa"/>
          </w:tcPr>
          <w:p w:rsidR="00000000" w:rsidRDefault="00000000">
            <w:pPr>
              <w:keepNext/>
              <w:jc w:val="center"/>
              <w:rPr>
                <w:sz w:val="22"/>
              </w:rPr>
            </w:pPr>
            <w:r>
              <w:rPr>
                <w:sz w:val="22"/>
              </w:rPr>
              <w:t>-27,5</w:t>
            </w:r>
          </w:p>
        </w:tc>
      </w:tr>
      <w:tr w:rsidR="00000000">
        <w:tblPrEx>
          <w:tblCellMar>
            <w:top w:w="0" w:type="dxa"/>
            <w:bottom w:w="0" w:type="dxa"/>
          </w:tblCellMar>
        </w:tblPrEx>
        <w:tc>
          <w:tcPr>
            <w:tcW w:w="1668" w:type="dxa"/>
          </w:tcPr>
          <w:p w:rsidR="00000000" w:rsidRDefault="00000000">
            <w:pPr>
              <w:keepNext/>
              <w:rPr>
                <w:sz w:val="22"/>
              </w:rPr>
            </w:pPr>
            <w:r>
              <w:rPr>
                <w:sz w:val="22"/>
              </w:rPr>
              <w:t>Средний показатель по стране</w:t>
            </w:r>
          </w:p>
        </w:tc>
        <w:tc>
          <w:tcPr>
            <w:tcW w:w="1701" w:type="dxa"/>
          </w:tcPr>
          <w:p w:rsidR="00000000" w:rsidRDefault="00000000">
            <w:pPr>
              <w:keepNext/>
              <w:jc w:val="center"/>
              <w:rPr>
                <w:sz w:val="22"/>
              </w:rPr>
            </w:pPr>
            <w:r>
              <w:rPr>
                <w:sz w:val="22"/>
              </w:rPr>
              <w:t>1729</w:t>
            </w:r>
          </w:p>
        </w:tc>
        <w:tc>
          <w:tcPr>
            <w:tcW w:w="1984" w:type="dxa"/>
          </w:tcPr>
          <w:p w:rsidR="00000000" w:rsidRDefault="00000000">
            <w:pPr>
              <w:keepNext/>
              <w:jc w:val="center"/>
              <w:rPr>
                <w:sz w:val="22"/>
              </w:rPr>
            </w:pPr>
            <w:r>
              <w:rPr>
                <w:sz w:val="22"/>
              </w:rPr>
              <w:t>2248</w:t>
            </w:r>
          </w:p>
        </w:tc>
        <w:tc>
          <w:tcPr>
            <w:tcW w:w="1027" w:type="dxa"/>
          </w:tcPr>
          <w:p w:rsidR="00000000" w:rsidRDefault="00000000">
            <w:pPr>
              <w:keepNext/>
              <w:jc w:val="center"/>
              <w:rPr>
                <w:sz w:val="22"/>
              </w:rPr>
            </w:pPr>
            <w:r>
              <w:rPr>
                <w:sz w:val="22"/>
              </w:rPr>
              <w:t>-519</w:t>
            </w:r>
          </w:p>
        </w:tc>
        <w:tc>
          <w:tcPr>
            <w:tcW w:w="1595" w:type="dxa"/>
          </w:tcPr>
          <w:p w:rsidR="00000000" w:rsidRDefault="00000000">
            <w:pPr>
              <w:keepNext/>
              <w:jc w:val="center"/>
              <w:rPr>
                <w:sz w:val="22"/>
              </w:rPr>
            </w:pPr>
            <w:r>
              <w:rPr>
                <w:sz w:val="22"/>
              </w:rPr>
              <w:t>76,9</w:t>
            </w:r>
          </w:p>
        </w:tc>
        <w:tc>
          <w:tcPr>
            <w:tcW w:w="1595" w:type="dxa"/>
          </w:tcPr>
          <w:p w:rsidR="00000000" w:rsidRDefault="00000000">
            <w:pPr>
              <w:keepNext/>
              <w:jc w:val="center"/>
              <w:rPr>
                <w:sz w:val="22"/>
              </w:rPr>
            </w:pPr>
            <w:r>
              <w:rPr>
                <w:sz w:val="22"/>
              </w:rPr>
              <w:t>-23,1</w:t>
            </w:r>
          </w:p>
        </w:tc>
      </w:tr>
    </w:tbl>
    <w:p w:rsidR="00000000" w:rsidRDefault="00000000">
      <w:pPr>
        <w:keepNext/>
        <w:rPr>
          <w:sz w:val="22"/>
        </w:rPr>
      </w:pPr>
    </w:p>
    <w:p w:rsidR="00000000" w:rsidRDefault="00000000">
      <w:pPr>
        <w:keepNext/>
        <w:rPr>
          <w:lang w:val="en-US"/>
        </w:rPr>
      </w:pPr>
      <w:r>
        <w:rPr>
          <w:lang w:val="en-US"/>
        </w:rPr>
        <w:tab/>
      </w:r>
      <w:r>
        <w:rPr>
          <w:u w:val="single"/>
        </w:rPr>
        <w:t>Источник</w:t>
      </w:r>
      <w:r>
        <w:t xml:space="preserve">:  </w:t>
      </w:r>
      <w:r>
        <w:rPr>
          <w:lang w:val="en-US"/>
        </w:rPr>
        <w:t>UDAPPSO-PROVIAN-</w:t>
      </w:r>
      <w:proofErr w:type="spellStart"/>
      <w:r>
        <w:rPr>
          <w:lang w:val="en-US"/>
        </w:rPr>
        <w:t>Consultoría</w:t>
      </w:r>
      <w:proofErr w:type="spellEnd"/>
      <w:r>
        <w:rPr>
          <w:lang w:val="en-US"/>
        </w:rPr>
        <w:t>.</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rPr>
      </w:pPr>
    </w:p>
    <w:p w:rsidR="00000000" w:rsidRDefault="00000000">
      <w:pPr>
        <w:pStyle w:val="BodyText"/>
        <w:keepNext/>
        <w:spacing w:line="240" w:lineRule="auto"/>
        <w:jc w:val="center"/>
        <w:rPr>
          <w:lang w:val="en-US"/>
        </w:rPr>
      </w:pPr>
      <w:proofErr w:type="spellStart"/>
      <w:r>
        <w:rPr>
          <w:lang w:val="en-US"/>
        </w:rPr>
        <w:t>Структура</w:t>
      </w:r>
      <w:proofErr w:type="spellEnd"/>
      <w:r>
        <w:rPr>
          <w:lang w:val="en-US"/>
        </w:rPr>
        <w:t xml:space="preserve"> </w:t>
      </w:r>
      <w:proofErr w:type="spellStart"/>
      <w:r>
        <w:rPr>
          <w:lang w:val="en-US"/>
        </w:rPr>
        <w:t>расходов</w:t>
      </w:r>
      <w:proofErr w:type="spellEnd"/>
      <w:r>
        <w:rPr>
          <w:lang w:val="en-US"/>
        </w:rPr>
        <w:t xml:space="preserve"> </w:t>
      </w:r>
      <w:proofErr w:type="spellStart"/>
      <w:r>
        <w:rPr>
          <w:lang w:val="en-US"/>
        </w:rPr>
        <w:t>домашних</w:t>
      </w:r>
      <w:proofErr w:type="spellEnd"/>
      <w:r>
        <w:rPr>
          <w:lang w:val="en-US"/>
        </w:rPr>
        <w:t xml:space="preserve"> </w:t>
      </w:r>
      <w:proofErr w:type="spellStart"/>
      <w:r>
        <w:rPr>
          <w:lang w:val="en-US"/>
        </w:rPr>
        <w:t>хозяйств</w:t>
      </w:r>
      <w:proofErr w:type="spellEnd"/>
      <w:r>
        <w:rPr>
          <w:lang w:val="en-US"/>
        </w:rPr>
        <w:t xml:space="preserve"> в </w:t>
      </w:r>
      <w:proofErr w:type="spellStart"/>
      <w:r>
        <w:rPr>
          <w:lang w:val="en-US"/>
        </w:rPr>
        <w:t>некоторых</w:t>
      </w:r>
      <w:proofErr w:type="spellEnd"/>
      <w:r>
        <w:rPr>
          <w:lang w:val="en-US"/>
        </w:rPr>
        <w:t xml:space="preserve"> </w:t>
      </w:r>
      <w:proofErr w:type="spellStart"/>
      <w:r>
        <w:rPr>
          <w:lang w:val="en-US"/>
        </w:rPr>
        <w:t>департаментах</w:t>
      </w:r>
      <w:proofErr w:type="spellEnd"/>
      <w:r>
        <w:rPr>
          <w:lang w:val="en-US"/>
        </w:rPr>
        <w:t xml:space="preserve"> </w:t>
      </w:r>
      <w:proofErr w:type="spellStart"/>
      <w:r>
        <w:rPr>
          <w:lang w:val="en-US"/>
        </w:rPr>
        <w:t>Боливии</w:t>
      </w:r>
      <w:proofErr w:type="spellEnd"/>
    </w:p>
    <w:p w:rsidR="00000000" w:rsidRDefault="00000000">
      <w:pPr>
        <w:pStyle w:val="BodyText"/>
        <w:keepNext/>
        <w:spacing w:line="240" w:lineRule="auto"/>
        <w:jc w:val="center"/>
        <w:rPr>
          <w:lang w:val="en-US"/>
        </w:rPr>
      </w:pPr>
      <w:r>
        <w:rPr>
          <w:lang w:val="en-US"/>
        </w:rPr>
        <w:t xml:space="preserve">в 1990 </w:t>
      </w:r>
      <w:proofErr w:type="spellStart"/>
      <w:r>
        <w:rPr>
          <w:lang w:val="en-US"/>
        </w:rPr>
        <w:t>году</w:t>
      </w:r>
      <w:proofErr w:type="spellEnd"/>
      <w:r>
        <w:rPr>
          <w:lang w:val="en-US"/>
        </w:rPr>
        <w:t xml:space="preserve"> в </w:t>
      </w:r>
      <w:proofErr w:type="spellStart"/>
      <w:r>
        <w:rPr>
          <w:lang w:val="en-US"/>
        </w:rPr>
        <w:t>разбивке</w:t>
      </w:r>
      <w:proofErr w:type="spellEnd"/>
      <w:r>
        <w:rPr>
          <w:lang w:val="en-US"/>
        </w:rPr>
        <w:t xml:space="preserve"> </w:t>
      </w:r>
      <w:proofErr w:type="spellStart"/>
      <w:r>
        <w:rPr>
          <w:lang w:val="en-US"/>
        </w:rPr>
        <w:t>по</w:t>
      </w:r>
      <w:proofErr w:type="spellEnd"/>
      <w:r>
        <w:rPr>
          <w:lang w:val="en-US"/>
        </w:rPr>
        <w:t xml:space="preserve"> </w:t>
      </w:r>
      <w:proofErr w:type="spellStart"/>
      <w:r>
        <w:rPr>
          <w:lang w:val="en-US"/>
        </w:rPr>
        <w:t>статьям</w:t>
      </w:r>
      <w:proofErr w:type="spellEnd"/>
      <w:r>
        <w:rPr>
          <w:lang w:val="en-US"/>
        </w:rPr>
        <w:t xml:space="preserve"> </w:t>
      </w:r>
      <w:proofErr w:type="spellStart"/>
      <w:r>
        <w:rPr>
          <w:lang w:val="en-US"/>
        </w:rPr>
        <w:t>расходов</w:t>
      </w:r>
      <w:proofErr w:type="spellEnd"/>
      <w:r>
        <w:rPr>
          <w:lang w:val="en-US"/>
        </w:rPr>
        <w:t xml:space="preserve">, </w:t>
      </w:r>
      <w:proofErr w:type="spellStart"/>
      <w:r>
        <w:rPr>
          <w:lang w:val="en-US"/>
        </w:rPr>
        <w:t>включенных</w:t>
      </w:r>
      <w:proofErr w:type="spellEnd"/>
      <w:r>
        <w:rPr>
          <w:lang w:val="en-US"/>
        </w:rPr>
        <w:t xml:space="preserve"> в </w:t>
      </w:r>
      <w:proofErr w:type="spellStart"/>
      <w:r>
        <w:rPr>
          <w:lang w:val="en-US"/>
        </w:rPr>
        <w:t>потребительскую</w:t>
      </w:r>
      <w:proofErr w:type="spellEnd"/>
      <w:r>
        <w:rPr>
          <w:lang w:val="en-US"/>
        </w:rPr>
        <w:t xml:space="preserve"> </w:t>
      </w:r>
      <w:proofErr w:type="spellStart"/>
      <w:r>
        <w:rPr>
          <w:lang w:val="en-US"/>
        </w:rPr>
        <w:t>корзину</w:t>
      </w:r>
      <w:proofErr w:type="spellEnd"/>
      <w:r>
        <w:rPr>
          <w:lang w:val="en-US"/>
        </w:rPr>
        <w:t xml:space="preserve"> </w:t>
      </w:r>
      <w:proofErr w:type="spellStart"/>
      <w:r>
        <w:rPr>
          <w:lang w:val="en-US"/>
        </w:rPr>
        <w:t>домашних</w:t>
      </w:r>
      <w:proofErr w:type="spellEnd"/>
      <w:r>
        <w:rPr>
          <w:lang w:val="en-US"/>
        </w:rPr>
        <w:t xml:space="preserve"> </w:t>
      </w:r>
      <w:proofErr w:type="spellStart"/>
      <w:r>
        <w:rPr>
          <w:lang w:val="en-US"/>
        </w:rPr>
        <w:t>хозяйств</w:t>
      </w:r>
      <w:proofErr w:type="spellEnd"/>
    </w:p>
    <w:p w:rsidR="00000000" w:rsidRDefault="00000000">
      <w:pPr>
        <w:pStyle w:val="BodyText"/>
        <w:keepNext/>
        <w:spacing w:line="288" w:lineRule="auto"/>
        <w:jc w:val="center"/>
        <w:rPr>
          <w:lang w:val="en-US"/>
        </w:rPr>
      </w:pPr>
      <w:r>
        <w:rPr>
          <w:lang w:val="en-US"/>
        </w:rPr>
        <w:t xml:space="preserve">(в </w:t>
      </w:r>
      <w:proofErr w:type="spellStart"/>
      <w:r>
        <w:rPr>
          <w:lang w:val="en-US"/>
        </w:rPr>
        <w:t>процентах</w:t>
      </w:r>
      <w:proofErr w:type="spellEnd"/>
      <w:r>
        <w:rPr>
          <w:lang w:val="en-US"/>
        </w:rPr>
        <w:t>)</w:t>
      </w:r>
    </w:p>
    <w:p w:rsidR="00000000" w:rsidRDefault="00000000">
      <w:pPr>
        <w:pStyle w:val="BodyText"/>
        <w:keepNext/>
        <w:spacing w:line="288" w:lineRule="auto"/>
        <w:rPr>
          <w:lang w:val="en-US"/>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1134"/>
        <w:gridCol w:w="1559"/>
        <w:gridCol w:w="1559"/>
        <w:gridCol w:w="1701"/>
        <w:gridCol w:w="1418"/>
      </w:tblGrid>
      <w:tr w:rsidR="00000000">
        <w:tblPrEx>
          <w:tblCellMar>
            <w:top w:w="0" w:type="dxa"/>
            <w:bottom w:w="0" w:type="dxa"/>
          </w:tblCellMar>
        </w:tblPrEx>
        <w:tc>
          <w:tcPr>
            <w:tcW w:w="2269" w:type="dxa"/>
          </w:tcPr>
          <w:p w:rsidR="00000000" w:rsidRDefault="00000000">
            <w:pPr>
              <w:keepNext/>
              <w:jc w:val="center"/>
              <w:rPr>
                <w:sz w:val="22"/>
              </w:rPr>
            </w:pPr>
            <w:r>
              <w:rPr>
                <w:sz w:val="22"/>
              </w:rPr>
              <w:t>Статья расходов</w:t>
            </w:r>
          </w:p>
        </w:tc>
        <w:tc>
          <w:tcPr>
            <w:tcW w:w="1134" w:type="dxa"/>
          </w:tcPr>
          <w:p w:rsidR="00000000" w:rsidRDefault="00000000">
            <w:pPr>
              <w:keepNext/>
              <w:jc w:val="center"/>
              <w:rPr>
                <w:sz w:val="22"/>
              </w:rPr>
            </w:pPr>
            <w:r>
              <w:rPr>
                <w:sz w:val="22"/>
              </w:rPr>
              <w:t>Ла-Пас</w:t>
            </w:r>
          </w:p>
        </w:tc>
        <w:tc>
          <w:tcPr>
            <w:tcW w:w="1559" w:type="dxa"/>
          </w:tcPr>
          <w:p w:rsidR="00000000" w:rsidRDefault="00000000">
            <w:pPr>
              <w:keepNext/>
              <w:jc w:val="center"/>
              <w:rPr>
                <w:sz w:val="22"/>
              </w:rPr>
            </w:pPr>
            <w:r>
              <w:rPr>
                <w:sz w:val="22"/>
              </w:rPr>
              <w:t>Эль-Альто</w:t>
            </w:r>
          </w:p>
        </w:tc>
        <w:tc>
          <w:tcPr>
            <w:tcW w:w="1559" w:type="dxa"/>
          </w:tcPr>
          <w:p w:rsidR="00000000" w:rsidRDefault="00000000">
            <w:pPr>
              <w:keepNext/>
              <w:jc w:val="center"/>
              <w:rPr>
                <w:sz w:val="22"/>
              </w:rPr>
            </w:pPr>
            <w:r>
              <w:rPr>
                <w:sz w:val="22"/>
              </w:rPr>
              <w:t>Кочабамба</w:t>
            </w:r>
          </w:p>
        </w:tc>
        <w:tc>
          <w:tcPr>
            <w:tcW w:w="1701" w:type="dxa"/>
          </w:tcPr>
          <w:p w:rsidR="00000000" w:rsidRDefault="00000000">
            <w:pPr>
              <w:keepNext/>
              <w:jc w:val="center"/>
              <w:rPr>
                <w:sz w:val="22"/>
              </w:rPr>
            </w:pPr>
            <w:r>
              <w:rPr>
                <w:sz w:val="22"/>
              </w:rPr>
              <w:t>Санта-Крус</w:t>
            </w:r>
          </w:p>
        </w:tc>
        <w:tc>
          <w:tcPr>
            <w:tcW w:w="1418" w:type="dxa"/>
          </w:tcPr>
          <w:p w:rsidR="00000000" w:rsidRDefault="00000000">
            <w:pPr>
              <w:keepNext/>
              <w:jc w:val="center"/>
              <w:rPr>
                <w:sz w:val="22"/>
              </w:rPr>
            </w:pPr>
            <w:r>
              <w:rPr>
                <w:sz w:val="22"/>
              </w:rPr>
              <w:t>Средний показатель</w:t>
            </w:r>
          </w:p>
        </w:tc>
      </w:tr>
      <w:tr w:rsidR="00000000">
        <w:tblPrEx>
          <w:tblCellMar>
            <w:top w:w="0" w:type="dxa"/>
            <w:bottom w:w="0" w:type="dxa"/>
          </w:tblCellMar>
        </w:tblPrEx>
        <w:tc>
          <w:tcPr>
            <w:tcW w:w="2269" w:type="dxa"/>
          </w:tcPr>
          <w:p w:rsidR="00000000" w:rsidRDefault="00000000">
            <w:pPr>
              <w:pStyle w:val="FootnoteText"/>
              <w:keepNext/>
              <w:spacing w:line="288" w:lineRule="auto"/>
              <w:rPr>
                <w:sz w:val="22"/>
              </w:rPr>
            </w:pPr>
            <w:r>
              <w:rPr>
                <w:sz w:val="22"/>
              </w:rPr>
              <w:t>Продукты питания и напитки</w:t>
            </w:r>
          </w:p>
        </w:tc>
        <w:tc>
          <w:tcPr>
            <w:tcW w:w="1134" w:type="dxa"/>
          </w:tcPr>
          <w:p w:rsidR="00000000" w:rsidRDefault="00000000">
            <w:pPr>
              <w:keepNext/>
              <w:jc w:val="center"/>
              <w:rPr>
                <w:sz w:val="22"/>
              </w:rPr>
            </w:pPr>
            <w:r>
              <w:rPr>
                <w:sz w:val="22"/>
              </w:rPr>
              <w:t>45,3</w:t>
            </w:r>
          </w:p>
        </w:tc>
        <w:tc>
          <w:tcPr>
            <w:tcW w:w="1559" w:type="dxa"/>
          </w:tcPr>
          <w:p w:rsidR="00000000" w:rsidRDefault="00000000">
            <w:pPr>
              <w:keepNext/>
              <w:jc w:val="center"/>
              <w:rPr>
                <w:sz w:val="22"/>
              </w:rPr>
            </w:pPr>
            <w:r>
              <w:rPr>
                <w:sz w:val="22"/>
              </w:rPr>
              <w:t>60,9</w:t>
            </w:r>
          </w:p>
        </w:tc>
        <w:tc>
          <w:tcPr>
            <w:tcW w:w="1559" w:type="dxa"/>
          </w:tcPr>
          <w:p w:rsidR="00000000" w:rsidRDefault="00000000">
            <w:pPr>
              <w:keepNext/>
              <w:jc w:val="center"/>
              <w:rPr>
                <w:sz w:val="22"/>
              </w:rPr>
            </w:pPr>
            <w:r>
              <w:rPr>
                <w:sz w:val="22"/>
              </w:rPr>
              <w:t>44,1</w:t>
            </w:r>
          </w:p>
        </w:tc>
        <w:tc>
          <w:tcPr>
            <w:tcW w:w="1701" w:type="dxa"/>
          </w:tcPr>
          <w:p w:rsidR="00000000" w:rsidRDefault="00000000">
            <w:pPr>
              <w:keepNext/>
              <w:jc w:val="center"/>
              <w:rPr>
                <w:sz w:val="22"/>
              </w:rPr>
            </w:pPr>
            <w:r>
              <w:rPr>
                <w:sz w:val="22"/>
              </w:rPr>
              <w:t>41,6</w:t>
            </w:r>
          </w:p>
        </w:tc>
        <w:tc>
          <w:tcPr>
            <w:tcW w:w="1418" w:type="dxa"/>
          </w:tcPr>
          <w:p w:rsidR="00000000" w:rsidRDefault="00000000">
            <w:pPr>
              <w:keepNext/>
              <w:jc w:val="center"/>
              <w:rPr>
                <w:sz w:val="22"/>
              </w:rPr>
            </w:pPr>
            <w:r>
              <w:rPr>
                <w:sz w:val="22"/>
              </w:rPr>
              <w:t>47,9</w:t>
            </w:r>
          </w:p>
        </w:tc>
      </w:tr>
      <w:tr w:rsidR="00000000">
        <w:tblPrEx>
          <w:tblCellMar>
            <w:top w:w="0" w:type="dxa"/>
            <w:bottom w:w="0" w:type="dxa"/>
          </w:tblCellMar>
        </w:tblPrEx>
        <w:tc>
          <w:tcPr>
            <w:tcW w:w="2269" w:type="dxa"/>
          </w:tcPr>
          <w:p w:rsidR="00000000" w:rsidRDefault="00000000">
            <w:pPr>
              <w:pStyle w:val="FootnoteText"/>
              <w:keepNext/>
              <w:spacing w:line="288" w:lineRule="auto"/>
              <w:rPr>
                <w:sz w:val="22"/>
              </w:rPr>
            </w:pPr>
            <w:r>
              <w:rPr>
                <w:sz w:val="22"/>
              </w:rPr>
              <w:t>Одежда и обувь</w:t>
            </w:r>
          </w:p>
        </w:tc>
        <w:tc>
          <w:tcPr>
            <w:tcW w:w="1134" w:type="dxa"/>
          </w:tcPr>
          <w:p w:rsidR="00000000" w:rsidRDefault="00000000">
            <w:pPr>
              <w:keepNext/>
              <w:jc w:val="center"/>
              <w:rPr>
                <w:sz w:val="22"/>
              </w:rPr>
            </w:pPr>
            <w:r>
              <w:rPr>
                <w:sz w:val="22"/>
              </w:rPr>
              <w:t>8,0</w:t>
            </w:r>
          </w:p>
        </w:tc>
        <w:tc>
          <w:tcPr>
            <w:tcW w:w="1559" w:type="dxa"/>
          </w:tcPr>
          <w:p w:rsidR="00000000" w:rsidRDefault="00000000">
            <w:pPr>
              <w:keepNext/>
              <w:jc w:val="center"/>
              <w:rPr>
                <w:sz w:val="22"/>
              </w:rPr>
            </w:pPr>
            <w:r>
              <w:rPr>
                <w:sz w:val="22"/>
              </w:rPr>
              <w:t>7,4</w:t>
            </w:r>
          </w:p>
        </w:tc>
        <w:tc>
          <w:tcPr>
            <w:tcW w:w="1559" w:type="dxa"/>
          </w:tcPr>
          <w:p w:rsidR="00000000" w:rsidRDefault="00000000">
            <w:pPr>
              <w:keepNext/>
              <w:jc w:val="center"/>
              <w:rPr>
                <w:sz w:val="22"/>
              </w:rPr>
            </w:pPr>
            <w:r>
              <w:rPr>
                <w:sz w:val="22"/>
              </w:rPr>
              <w:t>7,3</w:t>
            </w:r>
          </w:p>
        </w:tc>
        <w:tc>
          <w:tcPr>
            <w:tcW w:w="1701" w:type="dxa"/>
          </w:tcPr>
          <w:p w:rsidR="00000000" w:rsidRDefault="00000000">
            <w:pPr>
              <w:keepNext/>
              <w:jc w:val="center"/>
              <w:rPr>
                <w:sz w:val="22"/>
              </w:rPr>
            </w:pPr>
            <w:r>
              <w:rPr>
                <w:sz w:val="22"/>
              </w:rPr>
              <w:t>9,4</w:t>
            </w:r>
          </w:p>
        </w:tc>
        <w:tc>
          <w:tcPr>
            <w:tcW w:w="1418" w:type="dxa"/>
          </w:tcPr>
          <w:p w:rsidR="00000000" w:rsidRDefault="00000000">
            <w:pPr>
              <w:keepNext/>
              <w:jc w:val="center"/>
              <w:rPr>
                <w:sz w:val="22"/>
              </w:rPr>
            </w:pPr>
            <w:r>
              <w:rPr>
                <w:sz w:val="22"/>
              </w:rPr>
              <w:t>8,0</w:t>
            </w:r>
          </w:p>
        </w:tc>
      </w:tr>
      <w:tr w:rsidR="00000000">
        <w:tblPrEx>
          <w:tblCellMar>
            <w:top w:w="0" w:type="dxa"/>
            <w:bottom w:w="0" w:type="dxa"/>
          </w:tblCellMar>
        </w:tblPrEx>
        <w:tc>
          <w:tcPr>
            <w:tcW w:w="2269" w:type="dxa"/>
          </w:tcPr>
          <w:p w:rsidR="00000000" w:rsidRDefault="00000000">
            <w:pPr>
              <w:pStyle w:val="FootnoteText"/>
              <w:keepNext/>
              <w:spacing w:line="288" w:lineRule="auto"/>
              <w:rPr>
                <w:sz w:val="22"/>
              </w:rPr>
            </w:pPr>
            <w:r>
              <w:rPr>
                <w:sz w:val="22"/>
              </w:rPr>
              <w:t>Жилье</w:t>
            </w:r>
          </w:p>
        </w:tc>
        <w:tc>
          <w:tcPr>
            <w:tcW w:w="1134" w:type="dxa"/>
          </w:tcPr>
          <w:p w:rsidR="00000000" w:rsidRDefault="00000000">
            <w:pPr>
              <w:keepNext/>
              <w:jc w:val="center"/>
              <w:rPr>
                <w:sz w:val="22"/>
              </w:rPr>
            </w:pPr>
            <w:r>
              <w:rPr>
                <w:sz w:val="22"/>
              </w:rPr>
              <w:t>8,5</w:t>
            </w:r>
          </w:p>
        </w:tc>
        <w:tc>
          <w:tcPr>
            <w:tcW w:w="1559" w:type="dxa"/>
          </w:tcPr>
          <w:p w:rsidR="00000000" w:rsidRDefault="00000000">
            <w:pPr>
              <w:keepNext/>
              <w:jc w:val="center"/>
              <w:rPr>
                <w:sz w:val="22"/>
              </w:rPr>
            </w:pPr>
            <w:r>
              <w:rPr>
                <w:sz w:val="22"/>
              </w:rPr>
              <w:t>7,4</w:t>
            </w:r>
          </w:p>
        </w:tc>
        <w:tc>
          <w:tcPr>
            <w:tcW w:w="1559" w:type="dxa"/>
          </w:tcPr>
          <w:p w:rsidR="00000000" w:rsidRDefault="00000000">
            <w:pPr>
              <w:keepNext/>
              <w:jc w:val="center"/>
              <w:rPr>
                <w:sz w:val="22"/>
              </w:rPr>
            </w:pPr>
            <w:r>
              <w:rPr>
                <w:sz w:val="22"/>
              </w:rPr>
              <w:t>8,3</w:t>
            </w:r>
          </w:p>
        </w:tc>
        <w:tc>
          <w:tcPr>
            <w:tcW w:w="1701" w:type="dxa"/>
          </w:tcPr>
          <w:p w:rsidR="00000000" w:rsidRDefault="00000000">
            <w:pPr>
              <w:keepNext/>
              <w:jc w:val="center"/>
              <w:rPr>
                <w:sz w:val="22"/>
              </w:rPr>
            </w:pPr>
            <w:r>
              <w:rPr>
                <w:sz w:val="22"/>
              </w:rPr>
              <w:t>8,0</w:t>
            </w:r>
          </w:p>
        </w:tc>
        <w:tc>
          <w:tcPr>
            <w:tcW w:w="1418" w:type="dxa"/>
          </w:tcPr>
          <w:p w:rsidR="00000000" w:rsidRDefault="00000000">
            <w:pPr>
              <w:keepNext/>
              <w:jc w:val="center"/>
              <w:rPr>
                <w:sz w:val="22"/>
              </w:rPr>
            </w:pPr>
            <w:r>
              <w:rPr>
                <w:sz w:val="22"/>
              </w:rPr>
              <w:t>8,1</w:t>
            </w:r>
          </w:p>
        </w:tc>
      </w:tr>
      <w:tr w:rsidR="00000000">
        <w:tblPrEx>
          <w:tblCellMar>
            <w:top w:w="0" w:type="dxa"/>
            <w:bottom w:w="0" w:type="dxa"/>
          </w:tblCellMar>
        </w:tblPrEx>
        <w:tc>
          <w:tcPr>
            <w:tcW w:w="2269" w:type="dxa"/>
          </w:tcPr>
          <w:p w:rsidR="00000000" w:rsidRDefault="00000000">
            <w:pPr>
              <w:pStyle w:val="FootnoteText"/>
              <w:keepNext/>
              <w:spacing w:line="288" w:lineRule="auto"/>
              <w:rPr>
                <w:sz w:val="22"/>
              </w:rPr>
            </w:pPr>
            <w:r>
              <w:rPr>
                <w:sz w:val="22"/>
              </w:rPr>
              <w:t>Бытовая техника</w:t>
            </w:r>
          </w:p>
        </w:tc>
        <w:tc>
          <w:tcPr>
            <w:tcW w:w="1134" w:type="dxa"/>
          </w:tcPr>
          <w:p w:rsidR="00000000" w:rsidRDefault="00000000">
            <w:pPr>
              <w:keepNext/>
              <w:jc w:val="center"/>
              <w:rPr>
                <w:sz w:val="22"/>
              </w:rPr>
            </w:pPr>
            <w:r>
              <w:rPr>
                <w:sz w:val="22"/>
              </w:rPr>
              <w:t>8,5</w:t>
            </w:r>
          </w:p>
        </w:tc>
        <w:tc>
          <w:tcPr>
            <w:tcW w:w="1559" w:type="dxa"/>
          </w:tcPr>
          <w:p w:rsidR="00000000" w:rsidRDefault="00000000">
            <w:pPr>
              <w:keepNext/>
              <w:jc w:val="center"/>
              <w:rPr>
                <w:sz w:val="22"/>
              </w:rPr>
            </w:pPr>
            <w:r>
              <w:rPr>
                <w:sz w:val="22"/>
              </w:rPr>
              <w:t>4,1</w:t>
            </w:r>
          </w:p>
        </w:tc>
        <w:tc>
          <w:tcPr>
            <w:tcW w:w="1559" w:type="dxa"/>
          </w:tcPr>
          <w:p w:rsidR="00000000" w:rsidRDefault="00000000">
            <w:pPr>
              <w:keepNext/>
              <w:jc w:val="center"/>
              <w:rPr>
                <w:sz w:val="22"/>
              </w:rPr>
            </w:pPr>
            <w:r>
              <w:rPr>
                <w:sz w:val="22"/>
              </w:rPr>
              <w:t>8,0</w:t>
            </w:r>
          </w:p>
        </w:tc>
        <w:tc>
          <w:tcPr>
            <w:tcW w:w="1701" w:type="dxa"/>
          </w:tcPr>
          <w:p w:rsidR="00000000" w:rsidRDefault="00000000">
            <w:pPr>
              <w:keepNext/>
              <w:jc w:val="center"/>
              <w:rPr>
                <w:sz w:val="22"/>
              </w:rPr>
            </w:pPr>
            <w:r>
              <w:rPr>
                <w:sz w:val="22"/>
              </w:rPr>
              <w:t>9,0</w:t>
            </w:r>
          </w:p>
        </w:tc>
        <w:tc>
          <w:tcPr>
            <w:tcW w:w="1418" w:type="dxa"/>
          </w:tcPr>
          <w:p w:rsidR="00000000" w:rsidRDefault="00000000">
            <w:pPr>
              <w:keepNext/>
              <w:jc w:val="center"/>
              <w:rPr>
                <w:sz w:val="22"/>
              </w:rPr>
            </w:pPr>
            <w:r>
              <w:rPr>
                <w:sz w:val="22"/>
              </w:rPr>
              <w:t>7,4</w:t>
            </w:r>
          </w:p>
        </w:tc>
      </w:tr>
      <w:tr w:rsidR="00000000">
        <w:tblPrEx>
          <w:tblCellMar>
            <w:top w:w="0" w:type="dxa"/>
            <w:bottom w:w="0" w:type="dxa"/>
          </w:tblCellMar>
        </w:tblPrEx>
        <w:tc>
          <w:tcPr>
            <w:tcW w:w="2269" w:type="dxa"/>
          </w:tcPr>
          <w:p w:rsidR="00000000" w:rsidRDefault="00000000">
            <w:pPr>
              <w:pStyle w:val="FootnoteText"/>
              <w:keepNext/>
              <w:spacing w:line="288" w:lineRule="auto"/>
              <w:rPr>
                <w:sz w:val="22"/>
              </w:rPr>
            </w:pPr>
            <w:r>
              <w:rPr>
                <w:sz w:val="22"/>
              </w:rPr>
              <w:t>Здравоохранение</w:t>
            </w:r>
          </w:p>
        </w:tc>
        <w:tc>
          <w:tcPr>
            <w:tcW w:w="1134" w:type="dxa"/>
          </w:tcPr>
          <w:p w:rsidR="00000000" w:rsidRDefault="00000000">
            <w:pPr>
              <w:keepNext/>
              <w:jc w:val="center"/>
              <w:rPr>
                <w:sz w:val="22"/>
              </w:rPr>
            </w:pPr>
            <w:r>
              <w:rPr>
                <w:sz w:val="22"/>
              </w:rPr>
              <w:t>4,4</w:t>
            </w:r>
          </w:p>
        </w:tc>
        <w:tc>
          <w:tcPr>
            <w:tcW w:w="1559" w:type="dxa"/>
          </w:tcPr>
          <w:p w:rsidR="00000000" w:rsidRDefault="00000000">
            <w:pPr>
              <w:keepNext/>
              <w:jc w:val="center"/>
              <w:rPr>
                <w:sz w:val="22"/>
              </w:rPr>
            </w:pPr>
            <w:r>
              <w:rPr>
                <w:sz w:val="22"/>
              </w:rPr>
              <w:t>2,1</w:t>
            </w:r>
          </w:p>
        </w:tc>
        <w:tc>
          <w:tcPr>
            <w:tcW w:w="1559" w:type="dxa"/>
          </w:tcPr>
          <w:p w:rsidR="00000000" w:rsidRDefault="00000000">
            <w:pPr>
              <w:keepNext/>
              <w:jc w:val="center"/>
              <w:rPr>
                <w:sz w:val="22"/>
              </w:rPr>
            </w:pPr>
            <w:r>
              <w:rPr>
                <w:sz w:val="22"/>
              </w:rPr>
              <w:t>5,0</w:t>
            </w:r>
          </w:p>
        </w:tc>
        <w:tc>
          <w:tcPr>
            <w:tcW w:w="1701" w:type="dxa"/>
          </w:tcPr>
          <w:p w:rsidR="00000000" w:rsidRDefault="00000000">
            <w:pPr>
              <w:keepNext/>
              <w:jc w:val="center"/>
              <w:rPr>
                <w:sz w:val="22"/>
              </w:rPr>
            </w:pPr>
            <w:r>
              <w:rPr>
                <w:sz w:val="22"/>
              </w:rPr>
              <w:t>4,3</w:t>
            </w:r>
          </w:p>
        </w:tc>
        <w:tc>
          <w:tcPr>
            <w:tcW w:w="1418" w:type="dxa"/>
          </w:tcPr>
          <w:p w:rsidR="00000000" w:rsidRDefault="00000000">
            <w:pPr>
              <w:keepNext/>
              <w:jc w:val="center"/>
              <w:rPr>
                <w:sz w:val="22"/>
              </w:rPr>
            </w:pPr>
            <w:r>
              <w:rPr>
                <w:sz w:val="22"/>
              </w:rPr>
              <w:t>12,1</w:t>
            </w:r>
          </w:p>
        </w:tc>
      </w:tr>
      <w:tr w:rsidR="00000000">
        <w:tblPrEx>
          <w:tblCellMar>
            <w:top w:w="0" w:type="dxa"/>
            <w:bottom w:w="0" w:type="dxa"/>
          </w:tblCellMar>
        </w:tblPrEx>
        <w:tc>
          <w:tcPr>
            <w:tcW w:w="2269" w:type="dxa"/>
          </w:tcPr>
          <w:p w:rsidR="00000000" w:rsidRDefault="00000000">
            <w:pPr>
              <w:pStyle w:val="FootnoteText"/>
              <w:keepNext/>
              <w:spacing w:line="288" w:lineRule="auto"/>
              <w:rPr>
                <w:sz w:val="22"/>
              </w:rPr>
            </w:pPr>
            <w:r>
              <w:rPr>
                <w:sz w:val="22"/>
              </w:rPr>
              <w:t>Транспорт и связь</w:t>
            </w:r>
          </w:p>
        </w:tc>
        <w:tc>
          <w:tcPr>
            <w:tcW w:w="1134" w:type="dxa"/>
          </w:tcPr>
          <w:p w:rsidR="00000000" w:rsidRDefault="00000000">
            <w:pPr>
              <w:keepNext/>
              <w:jc w:val="center"/>
              <w:rPr>
                <w:sz w:val="22"/>
              </w:rPr>
            </w:pPr>
            <w:r>
              <w:rPr>
                <w:sz w:val="22"/>
              </w:rPr>
              <w:t>11,4</w:t>
            </w:r>
          </w:p>
        </w:tc>
        <w:tc>
          <w:tcPr>
            <w:tcW w:w="1559" w:type="dxa"/>
          </w:tcPr>
          <w:p w:rsidR="00000000" w:rsidRDefault="00000000">
            <w:pPr>
              <w:keepNext/>
              <w:jc w:val="center"/>
              <w:rPr>
                <w:sz w:val="22"/>
              </w:rPr>
            </w:pPr>
            <w:r>
              <w:rPr>
                <w:sz w:val="22"/>
              </w:rPr>
              <w:t>10,1</w:t>
            </w:r>
          </w:p>
        </w:tc>
        <w:tc>
          <w:tcPr>
            <w:tcW w:w="1559" w:type="dxa"/>
          </w:tcPr>
          <w:p w:rsidR="00000000" w:rsidRDefault="00000000">
            <w:pPr>
              <w:keepNext/>
              <w:jc w:val="center"/>
              <w:rPr>
                <w:sz w:val="22"/>
              </w:rPr>
            </w:pPr>
            <w:r>
              <w:rPr>
                <w:sz w:val="22"/>
              </w:rPr>
              <w:t>13,1</w:t>
            </w:r>
          </w:p>
        </w:tc>
        <w:tc>
          <w:tcPr>
            <w:tcW w:w="1701" w:type="dxa"/>
          </w:tcPr>
          <w:p w:rsidR="00000000" w:rsidRDefault="00000000">
            <w:pPr>
              <w:keepNext/>
              <w:jc w:val="center"/>
              <w:rPr>
                <w:sz w:val="22"/>
              </w:rPr>
            </w:pPr>
            <w:r>
              <w:rPr>
                <w:sz w:val="22"/>
              </w:rPr>
              <w:t>14,1</w:t>
            </w:r>
          </w:p>
        </w:tc>
        <w:tc>
          <w:tcPr>
            <w:tcW w:w="1418" w:type="dxa"/>
          </w:tcPr>
          <w:p w:rsidR="00000000" w:rsidRDefault="00000000">
            <w:pPr>
              <w:keepNext/>
              <w:jc w:val="center"/>
              <w:rPr>
                <w:sz w:val="22"/>
              </w:rPr>
            </w:pPr>
            <w:r>
              <w:rPr>
                <w:sz w:val="22"/>
              </w:rPr>
              <w:t>4,5</w:t>
            </w:r>
          </w:p>
        </w:tc>
      </w:tr>
      <w:tr w:rsidR="00000000">
        <w:tblPrEx>
          <w:tblCellMar>
            <w:top w:w="0" w:type="dxa"/>
            <w:bottom w:w="0" w:type="dxa"/>
          </w:tblCellMar>
        </w:tblPrEx>
        <w:tc>
          <w:tcPr>
            <w:tcW w:w="2269" w:type="dxa"/>
          </w:tcPr>
          <w:p w:rsidR="00000000" w:rsidRDefault="00000000">
            <w:pPr>
              <w:pStyle w:val="FootnoteText"/>
              <w:keepNext/>
              <w:spacing w:line="288" w:lineRule="auto"/>
              <w:rPr>
                <w:sz w:val="22"/>
              </w:rPr>
            </w:pPr>
            <w:r>
              <w:rPr>
                <w:sz w:val="22"/>
              </w:rPr>
              <w:t>Образование</w:t>
            </w:r>
          </w:p>
        </w:tc>
        <w:tc>
          <w:tcPr>
            <w:tcW w:w="1134" w:type="dxa"/>
          </w:tcPr>
          <w:p w:rsidR="00000000" w:rsidRDefault="00000000">
            <w:pPr>
              <w:keepNext/>
              <w:jc w:val="center"/>
              <w:rPr>
                <w:sz w:val="22"/>
              </w:rPr>
            </w:pPr>
            <w:r>
              <w:rPr>
                <w:sz w:val="22"/>
              </w:rPr>
              <w:t>4,7</w:t>
            </w:r>
          </w:p>
        </w:tc>
        <w:tc>
          <w:tcPr>
            <w:tcW w:w="1559" w:type="dxa"/>
          </w:tcPr>
          <w:p w:rsidR="00000000" w:rsidRDefault="00000000">
            <w:pPr>
              <w:keepNext/>
              <w:jc w:val="center"/>
              <w:rPr>
                <w:sz w:val="22"/>
              </w:rPr>
            </w:pPr>
            <w:r>
              <w:rPr>
                <w:sz w:val="22"/>
              </w:rPr>
              <w:t>2,6</w:t>
            </w:r>
          </w:p>
        </w:tc>
        <w:tc>
          <w:tcPr>
            <w:tcW w:w="1559" w:type="dxa"/>
          </w:tcPr>
          <w:p w:rsidR="00000000" w:rsidRDefault="00000000">
            <w:pPr>
              <w:keepNext/>
              <w:jc w:val="center"/>
              <w:rPr>
                <w:sz w:val="22"/>
              </w:rPr>
            </w:pPr>
            <w:r>
              <w:rPr>
                <w:sz w:val="22"/>
              </w:rPr>
              <w:t>5,5</w:t>
            </w:r>
          </w:p>
        </w:tc>
        <w:tc>
          <w:tcPr>
            <w:tcW w:w="1701" w:type="dxa"/>
          </w:tcPr>
          <w:p w:rsidR="00000000" w:rsidRDefault="00000000">
            <w:pPr>
              <w:keepNext/>
              <w:jc w:val="center"/>
              <w:rPr>
                <w:sz w:val="22"/>
              </w:rPr>
            </w:pPr>
            <w:r>
              <w:rPr>
                <w:sz w:val="22"/>
              </w:rPr>
              <w:t>5,3</w:t>
            </w:r>
          </w:p>
        </w:tc>
        <w:tc>
          <w:tcPr>
            <w:tcW w:w="1418" w:type="dxa"/>
          </w:tcPr>
          <w:p w:rsidR="00000000" w:rsidRDefault="00000000">
            <w:pPr>
              <w:keepNext/>
              <w:jc w:val="center"/>
              <w:rPr>
                <w:sz w:val="22"/>
              </w:rPr>
            </w:pPr>
            <w:r>
              <w:rPr>
                <w:sz w:val="22"/>
              </w:rPr>
              <w:t>3,8</w:t>
            </w:r>
          </w:p>
        </w:tc>
      </w:tr>
      <w:tr w:rsidR="00000000">
        <w:tblPrEx>
          <w:tblCellMar>
            <w:top w:w="0" w:type="dxa"/>
            <w:bottom w:w="0" w:type="dxa"/>
          </w:tblCellMar>
        </w:tblPrEx>
        <w:tc>
          <w:tcPr>
            <w:tcW w:w="2269" w:type="dxa"/>
          </w:tcPr>
          <w:p w:rsidR="00000000" w:rsidRDefault="00000000">
            <w:pPr>
              <w:pStyle w:val="FootnoteText"/>
              <w:keepNext/>
              <w:spacing w:line="288" w:lineRule="auto"/>
              <w:rPr>
                <w:sz w:val="22"/>
              </w:rPr>
            </w:pPr>
            <w:r>
              <w:rPr>
                <w:sz w:val="22"/>
              </w:rPr>
              <w:t>Культурные мероприятия и развлечения</w:t>
            </w:r>
          </w:p>
        </w:tc>
        <w:tc>
          <w:tcPr>
            <w:tcW w:w="1134" w:type="dxa"/>
          </w:tcPr>
          <w:p w:rsidR="00000000" w:rsidRDefault="00000000">
            <w:pPr>
              <w:keepNext/>
              <w:jc w:val="center"/>
              <w:rPr>
                <w:sz w:val="22"/>
              </w:rPr>
            </w:pPr>
            <w:r>
              <w:rPr>
                <w:sz w:val="22"/>
              </w:rPr>
              <w:t>4,9</w:t>
            </w:r>
          </w:p>
        </w:tc>
        <w:tc>
          <w:tcPr>
            <w:tcW w:w="1559" w:type="dxa"/>
          </w:tcPr>
          <w:p w:rsidR="00000000" w:rsidRDefault="00000000">
            <w:pPr>
              <w:keepNext/>
              <w:jc w:val="center"/>
              <w:rPr>
                <w:sz w:val="22"/>
              </w:rPr>
            </w:pPr>
            <w:r>
              <w:rPr>
                <w:sz w:val="22"/>
              </w:rPr>
              <w:t>2,6</w:t>
            </w:r>
          </w:p>
        </w:tc>
        <w:tc>
          <w:tcPr>
            <w:tcW w:w="1559" w:type="dxa"/>
          </w:tcPr>
          <w:p w:rsidR="00000000" w:rsidRDefault="00000000">
            <w:pPr>
              <w:keepNext/>
              <w:jc w:val="center"/>
              <w:rPr>
                <w:sz w:val="22"/>
              </w:rPr>
            </w:pPr>
            <w:r>
              <w:rPr>
                <w:sz w:val="22"/>
              </w:rPr>
              <w:t>4,1</w:t>
            </w:r>
          </w:p>
        </w:tc>
        <w:tc>
          <w:tcPr>
            <w:tcW w:w="1701" w:type="dxa"/>
          </w:tcPr>
          <w:p w:rsidR="00000000" w:rsidRDefault="00000000">
            <w:pPr>
              <w:keepNext/>
              <w:jc w:val="center"/>
              <w:rPr>
                <w:sz w:val="22"/>
              </w:rPr>
            </w:pPr>
            <w:r>
              <w:rPr>
                <w:sz w:val="22"/>
              </w:rPr>
              <w:t>3,6</w:t>
            </w:r>
          </w:p>
        </w:tc>
        <w:tc>
          <w:tcPr>
            <w:tcW w:w="1418" w:type="dxa"/>
          </w:tcPr>
          <w:p w:rsidR="00000000" w:rsidRDefault="00000000">
            <w:pPr>
              <w:keepNext/>
              <w:jc w:val="center"/>
              <w:rPr>
                <w:sz w:val="22"/>
              </w:rPr>
            </w:pPr>
            <w:r>
              <w:rPr>
                <w:sz w:val="22"/>
              </w:rPr>
              <w:t>4,2</w:t>
            </w:r>
          </w:p>
        </w:tc>
      </w:tr>
      <w:tr w:rsidR="00000000">
        <w:tblPrEx>
          <w:tblCellMar>
            <w:top w:w="0" w:type="dxa"/>
            <w:bottom w:w="0" w:type="dxa"/>
          </w:tblCellMar>
        </w:tblPrEx>
        <w:tc>
          <w:tcPr>
            <w:tcW w:w="2269" w:type="dxa"/>
          </w:tcPr>
          <w:p w:rsidR="00000000" w:rsidRDefault="00000000">
            <w:pPr>
              <w:pStyle w:val="FootnoteText"/>
              <w:keepNext/>
              <w:spacing w:line="288" w:lineRule="auto"/>
              <w:rPr>
                <w:sz w:val="22"/>
              </w:rPr>
            </w:pPr>
            <w:r>
              <w:rPr>
                <w:sz w:val="22"/>
              </w:rPr>
              <w:t>Прочие расходы</w:t>
            </w:r>
          </w:p>
        </w:tc>
        <w:tc>
          <w:tcPr>
            <w:tcW w:w="1134" w:type="dxa"/>
          </w:tcPr>
          <w:p w:rsidR="00000000" w:rsidRDefault="00000000">
            <w:pPr>
              <w:keepNext/>
              <w:jc w:val="center"/>
              <w:rPr>
                <w:sz w:val="22"/>
              </w:rPr>
            </w:pPr>
            <w:r>
              <w:rPr>
                <w:sz w:val="22"/>
              </w:rPr>
              <w:t>4,3</w:t>
            </w:r>
          </w:p>
        </w:tc>
        <w:tc>
          <w:tcPr>
            <w:tcW w:w="1559" w:type="dxa"/>
          </w:tcPr>
          <w:p w:rsidR="00000000" w:rsidRDefault="00000000">
            <w:pPr>
              <w:keepNext/>
              <w:jc w:val="center"/>
              <w:rPr>
                <w:sz w:val="22"/>
              </w:rPr>
            </w:pPr>
            <w:r>
              <w:rPr>
                <w:sz w:val="22"/>
              </w:rPr>
              <w:t>2,8</w:t>
            </w:r>
          </w:p>
        </w:tc>
        <w:tc>
          <w:tcPr>
            <w:tcW w:w="1559" w:type="dxa"/>
          </w:tcPr>
          <w:p w:rsidR="00000000" w:rsidRDefault="00000000">
            <w:pPr>
              <w:keepNext/>
              <w:jc w:val="center"/>
              <w:rPr>
                <w:sz w:val="22"/>
              </w:rPr>
            </w:pPr>
            <w:r>
              <w:rPr>
                <w:sz w:val="22"/>
              </w:rPr>
              <w:t>4,6</w:t>
            </w:r>
          </w:p>
        </w:tc>
        <w:tc>
          <w:tcPr>
            <w:tcW w:w="1701" w:type="dxa"/>
          </w:tcPr>
          <w:p w:rsidR="00000000" w:rsidRDefault="00000000">
            <w:pPr>
              <w:keepNext/>
              <w:jc w:val="center"/>
              <w:rPr>
                <w:sz w:val="22"/>
              </w:rPr>
            </w:pPr>
            <w:r>
              <w:rPr>
                <w:sz w:val="22"/>
              </w:rPr>
              <w:t>4.8</w:t>
            </w:r>
          </w:p>
        </w:tc>
        <w:tc>
          <w:tcPr>
            <w:tcW w:w="1418" w:type="dxa"/>
          </w:tcPr>
          <w:p w:rsidR="00000000" w:rsidRDefault="00000000">
            <w:pPr>
              <w:keepNext/>
              <w:jc w:val="center"/>
              <w:rPr>
                <w:sz w:val="22"/>
              </w:rPr>
            </w:pPr>
            <w:r>
              <w:rPr>
                <w:sz w:val="22"/>
              </w:rPr>
              <w:t>4,2</w:t>
            </w:r>
          </w:p>
        </w:tc>
      </w:tr>
    </w:tbl>
    <w:p w:rsidR="00000000" w:rsidRDefault="00000000">
      <w:pPr>
        <w:keepNext/>
        <w:rPr>
          <w:sz w:val="22"/>
          <w:lang w:val="en-US"/>
        </w:rPr>
      </w:pPr>
    </w:p>
    <w:p w:rsidR="00000000" w:rsidRDefault="00000000">
      <w:pPr>
        <w:keepNext/>
        <w:rPr>
          <w:lang w:val="en-US"/>
        </w:rPr>
      </w:pPr>
      <w:r>
        <w:rPr>
          <w:lang w:val="en-US"/>
        </w:rPr>
        <w:tab/>
      </w:r>
      <w:proofErr w:type="spellStart"/>
      <w:r>
        <w:rPr>
          <w:u w:val="single"/>
          <w:lang w:val="en-US"/>
        </w:rPr>
        <w:t>Источник</w:t>
      </w:r>
      <w:proofErr w:type="spellEnd"/>
      <w:r>
        <w:rPr>
          <w:lang w:val="en-US"/>
        </w:rPr>
        <w:t>:  EPF, 1994.</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rPr>
      </w:pPr>
    </w:p>
    <w:p w:rsidR="00000000" w:rsidRDefault="00000000">
      <w:r>
        <w:t>283.</w:t>
      </w:r>
      <w:r>
        <w:tab/>
        <w:t xml:space="preserve">Из двух работающих в семье (муж и жена) средний доход домашнего хозяйства составляет 350 долл. США в месяц.  Однако стоимость базовой потребительской корзины семьи из пяти человек, т.е. стоимость продуктов питания при средней дневной норме потребления в 2 250 ккал на человека составляет 175 долл. США в месяц, в связи с чем для оплаты всех других расходов у семьи остается всего 175 долл. США, которых явно не достаточно для покрытия расходов на жилье, одежду, бытовую технику, здравоохранение, транспорт, связь, образование, культуру, развлечения и т.д. </w:t>
      </w:r>
    </w:p>
    <w:p w:rsidR="00000000" w:rsidRDefault="00000000"/>
    <w:p w:rsidR="00000000" w:rsidRDefault="00000000">
      <w:pPr>
        <w:rPr>
          <w:u w:val="single"/>
          <w:lang w:val="en-US"/>
        </w:rPr>
      </w:pPr>
      <w:r>
        <w:rPr>
          <w:u w:val="single"/>
        </w:rPr>
        <w:t xml:space="preserve">Пункт 1 </w:t>
      </w:r>
      <w:r>
        <w:rPr>
          <w:u w:val="single"/>
          <w:lang w:val="en-US"/>
        </w:rPr>
        <w:t>b</w:t>
      </w:r>
      <w:r>
        <w:rPr>
          <w:lang w:val="en-US"/>
        </w:rPr>
        <w:t>)</w:t>
      </w:r>
    </w:p>
    <w:p w:rsidR="00000000" w:rsidRDefault="00000000">
      <w:pPr>
        <w:rPr>
          <w:u w:val="single"/>
          <w:lang w:val="en-US"/>
        </w:rPr>
      </w:pPr>
    </w:p>
    <w:p w:rsidR="00000000" w:rsidRDefault="00000000">
      <w:pPr>
        <w:rPr>
          <w:lang w:val="en-US"/>
        </w:rPr>
      </w:pPr>
      <w:r>
        <w:rPr>
          <w:lang w:val="en-US"/>
        </w:rPr>
        <w:t>284.</w:t>
      </w:r>
      <w:r>
        <w:rPr>
          <w:lang w:val="en-US"/>
        </w:rPr>
        <w:tab/>
      </w:r>
      <w:r>
        <w:t>Такого рода доклад представляется впервые</w:t>
      </w:r>
      <w:r>
        <w:rPr>
          <w:lang w:val="en-US"/>
        </w:rPr>
        <w:t>.</w:t>
      </w:r>
    </w:p>
    <w:p w:rsidR="00000000" w:rsidRDefault="00000000">
      <w:pPr>
        <w:rPr>
          <w:lang w:val="en-US"/>
        </w:rPr>
      </w:pPr>
    </w:p>
    <w:p w:rsidR="00000000" w:rsidRDefault="00000000">
      <w:pPr>
        <w:rPr>
          <w:u w:val="single"/>
          <w:lang w:val="en-US"/>
        </w:rPr>
      </w:pPr>
      <w:r>
        <w:rPr>
          <w:u w:val="single"/>
          <w:lang w:val="en-US"/>
        </w:rPr>
        <w:t>Пункт 1 с</w:t>
      </w:r>
      <w:r>
        <w:rPr>
          <w:lang w:val="en-US"/>
        </w:rPr>
        <w:t>)</w:t>
      </w:r>
    </w:p>
    <w:p w:rsidR="00000000" w:rsidRDefault="00000000">
      <w:pPr>
        <w:rPr>
          <w:u w:val="single"/>
          <w:lang w:val="en-US"/>
        </w:rPr>
      </w:pPr>
    </w:p>
    <w:p w:rsidR="00000000" w:rsidRDefault="00000000">
      <w:r>
        <w:rPr>
          <w:lang w:val="en-US"/>
        </w:rPr>
        <w:t>285.</w:t>
      </w:r>
      <w:r>
        <w:tab/>
        <w:t>Существует черта бедности, которая определена в документе "Карта бедности – руководство для действий в социальной сфере" ("</w:t>
      </w:r>
      <w:proofErr w:type="spellStart"/>
      <w:r>
        <w:rPr>
          <w:lang w:val="en-US"/>
        </w:rPr>
        <w:t>Mapa</w:t>
      </w:r>
      <w:proofErr w:type="spellEnd"/>
      <w:r>
        <w:rPr>
          <w:lang w:val="en-US"/>
        </w:rPr>
        <w:t xml:space="preserve"> De </w:t>
      </w:r>
      <w:proofErr w:type="spellStart"/>
      <w:r>
        <w:rPr>
          <w:lang w:val="en-US"/>
        </w:rPr>
        <w:t>Pobreza</w:t>
      </w:r>
      <w:proofErr w:type="spellEnd"/>
      <w:r>
        <w:rPr>
          <w:lang w:val="en-US"/>
        </w:rPr>
        <w:t xml:space="preserve"> – </w:t>
      </w:r>
      <w:proofErr w:type="spellStart"/>
      <w:r>
        <w:rPr>
          <w:lang w:val="en-US"/>
        </w:rPr>
        <w:t>Una</w:t>
      </w:r>
      <w:proofErr w:type="spellEnd"/>
      <w:r>
        <w:rPr>
          <w:lang w:val="en-US"/>
        </w:rPr>
        <w:t xml:space="preserve"> </w:t>
      </w:r>
      <w:proofErr w:type="spellStart"/>
      <w:r>
        <w:rPr>
          <w:lang w:val="en-US"/>
        </w:rPr>
        <w:t>guía</w:t>
      </w:r>
      <w:proofErr w:type="spellEnd"/>
      <w:r>
        <w:rPr>
          <w:lang w:val="en-US"/>
        </w:rPr>
        <w:t xml:space="preserve"> </w:t>
      </w:r>
      <w:proofErr w:type="spellStart"/>
      <w:r>
        <w:rPr>
          <w:lang w:val="en-US"/>
        </w:rPr>
        <w:t>para</w:t>
      </w:r>
      <w:proofErr w:type="spellEnd"/>
      <w:r>
        <w:rPr>
          <w:lang w:val="en-US"/>
        </w:rPr>
        <w:t xml:space="preserve"> la </w:t>
      </w:r>
      <w:proofErr w:type="spellStart"/>
      <w:r>
        <w:rPr>
          <w:lang w:val="en-US"/>
        </w:rPr>
        <w:t>Acción</w:t>
      </w:r>
      <w:proofErr w:type="spellEnd"/>
      <w:r>
        <w:rPr>
          <w:lang w:val="en-US"/>
        </w:rPr>
        <w:t xml:space="preserve"> Social").</w:t>
      </w:r>
    </w:p>
    <w:p w:rsidR="00000000" w:rsidRDefault="00000000"/>
    <w:p w:rsidR="00000000" w:rsidRDefault="00000000">
      <w:r>
        <w:t>286.</w:t>
      </w:r>
      <w:r>
        <w:tab/>
        <w:t>Критерием для определения минимального уровня жизни может служить показатель относительной нищеты, который рассчитывается с учетом жизненного уклада каждой общины (</w:t>
      </w:r>
      <w:r>
        <w:rPr>
          <w:lang w:val="en-US"/>
        </w:rPr>
        <w:t xml:space="preserve">Altimir, 1979).  </w:t>
      </w:r>
      <w:r>
        <w:t>Подходы, используемые при определении уровня абсолютной и относительной нищеты не обязательно являются взаимоисключающими, они могут и дополнять друг друга (</w:t>
      </w:r>
      <w:r>
        <w:rPr>
          <w:lang w:val="en-US"/>
        </w:rPr>
        <w:t>Senso, 1981</w:t>
      </w:r>
      <w:r>
        <w:t>).</w:t>
      </w:r>
    </w:p>
    <w:p w:rsidR="00000000" w:rsidRDefault="00000000"/>
    <w:p w:rsidR="00000000" w:rsidRDefault="00000000">
      <w:r>
        <w:t>287.</w:t>
      </w:r>
      <w:r>
        <w:tab/>
        <w:t>Потребности человека, которые учтены в этом показателе, подразделены на четыре общие группы:  жилье, услуги и товары первой необходимости, образование, а также здравоохранение и социальное обеспечение.</w:t>
      </w:r>
    </w:p>
    <w:p w:rsidR="00000000" w:rsidRDefault="00000000"/>
    <w:p w:rsidR="00000000" w:rsidRDefault="00000000">
      <w:r>
        <w:t>288.</w:t>
      </w:r>
      <w:r>
        <w:tab/>
        <w:t>Доля лиц школьного возраста, не посещающих образовательные учреждения, составляет 12,1%.  30,0% населения в возрасте от 6 лет и старше имеют определенный уровень начального образования, 28,5% - неполное среднее образование, 23,1% - среднее образование и 13,9% - высшее образование.  58,4% населения говорит только на испанском языке, а 37,6% – на испанском языке и одном из языков коренных жителей.</w:t>
      </w:r>
    </w:p>
    <w:p w:rsidR="00000000" w:rsidRDefault="00000000"/>
    <w:p w:rsidR="00000000" w:rsidRDefault="00000000">
      <w:r>
        <w:t>289.</w:t>
      </w:r>
      <w:r>
        <w:tab/>
        <w:t>Доля экономически активного населения в общей численности населения трудоспособного возраста (НТВ) равняется 41,3%, в сельских районах она несколько выше – 50,6%.  Бóльшую часть экономически неактивного НТВ составляют учащиеся (38,3%.).  Население, находящееся на пороге бедности, занято главным образом в секторе услуг (36,5%), а также в секторе торговли и транспорта (28,3%);  в сельских районах соответствующие показатели по сектору услуг составляют 36,8%, а по сельскому хозяйству - 33,3%.</w:t>
      </w:r>
    </w:p>
    <w:p w:rsidR="00000000" w:rsidRDefault="00000000"/>
    <w:p w:rsidR="00000000" w:rsidRDefault="00000000">
      <w:r>
        <w:t>290.</w:t>
      </w:r>
      <w:r>
        <w:tab/>
        <w:t>Основными отраслями, определявшими уровень экономической активности в секторе в 1988 – 1996 годах, являлись земледелие, доля которого в ВВП сектора составила 66,18%, животноводство – 27,90%, а также лесное хозяйство, охота и рыболовство - 5,92%.</w:t>
      </w:r>
    </w:p>
    <w:p w:rsidR="00000000" w:rsidRDefault="00000000"/>
    <w:p w:rsidR="00000000" w:rsidRDefault="00000000">
      <w:r>
        <w:t>291.</w:t>
      </w:r>
      <w:r>
        <w:tab/>
        <w:t>Крестьянские хозяйства обеспечивают 75% ВВП сельскохозяйственного сектора, при этом они наиболее широко распространены в районах надгорья и равнин и представляют собой состоящие из нескольких мелких наделов небольшие поместья, в которых проживают приблизительно 700 000 крестьянских семей.  Оставшиеся 25% приходятся на товарное сельскохозяйственное производство, которое сосредоточено на востоке Боливии, где имеются обширные малонаселенные земельные площади.</w:t>
      </w:r>
    </w:p>
    <w:p w:rsidR="00000000" w:rsidRDefault="00000000"/>
    <w:p w:rsidR="00000000" w:rsidRDefault="00000000">
      <w:r>
        <w:t>292.</w:t>
      </w:r>
      <w:r>
        <w:tab/>
        <w:t>В 1997 году на наиболее бедные домашние хозяйства, доля которых составляет 40%, приходилось 11,5% совокупного национального дохода.  Эта информация была получена на основе национального обследования занятости за 1997 год, которым были охвачены все административные центры, а также город Эль-Альто.</w:t>
      </w:r>
    </w:p>
    <w:p w:rsidR="00000000" w:rsidRDefault="00000000"/>
    <w:p w:rsidR="00000000" w:rsidRDefault="00000000">
      <w:r>
        <w:t>293.</w:t>
      </w:r>
      <w:r>
        <w:tab/>
        <w:t>Средний "порог" или черта бедности в городах составляет 59 долл.  США.  Этот показатель независимо рассчитывается для каждого города центральной оси страны (Ла</w:t>
      </w:r>
      <w:r>
        <w:noBreakHyphen/>
        <w:t>Пас, Кочабамба и Сант-Крус) на основе корзины продовольственных товаров первой необходимости.  Включаемое в эти корзины количество продовольственных товаров позволяет удовлетворять средние потребности населения и соответствует потребительским привычкам базовой группы.  Информация о потребительских привычках была получена в рамках обследования бюджета домашних хозяйств 1990 года.</w:t>
      </w:r>
    </w:p>
    <w:p w:rsidR="00000000" w:rsidRDefault="00000000"/>
    <w:p w:rsidR="00000000" w:rsidRDefault="00000000">
      <w:pPr>
        <w:rPr>
          <w:u w:val="single"/>
          <w:lang w:val="en-US"/>
        </w:rPr>
      </w:pPr>
      <w:r>
        <w:rPr>
          <w:u w:val="single"/>
        </w:rPr>
        <w:t>Пункт 1</w:t>
      </w:r>
      <w:r>
        <w:rPr>
          <w:u w:val="single"/>
          <w:lang w:val="en-US"/>
        </w:rPr>
        <w:t xml:space="preserve"> d</w:t>
      </w:r>
      <w:r>
        <w:rPr>
          <w:lang w:val="en-US"/>
        </w:rPr>
        <w:t>)</w:t>
      </w:r>
    </w:p>
    <w:p w:rsidR="00000000" w:rsidRDefault="00000000">
      <w:pPr>
        <w:rPr>
          <w:u w:val="single"/>
          <w:lang w:val="en-US"/>
        </w:rPr>
      </w:pPr>
    </w:p>
    <w:p w:rsidR="00000000" w:rsidRDefault="00000000">
      <w:r>
        <w:t>294.</w:t>
      </w:r>
      <w:r>
        <w:tab/>
        <w:t xml:space="preserve">В рамках исследования, проведенного в 1993 году министерством развития людских ресурсов с использованием показателя уровня бедности, был сделан вывод, что 70,5% или две трети населения страны живет в условиях бедности (1/3 в условиях нищеты и 1/3 в условиях бедности, что в сумме составляет приблизительно 4 млн. человек).  Таким образом, Боливия является одной из наиболее отсталых стран Латинской Америки и занимает 116 место среди 175 стран, включенных в </w:t>
      </w:r>
      <w:r>
        <w:rPr>
          <w:u w:val="single"/>
        </w:rPr>
        <w:t>Доклад о развитии человеческого потенциала</w:t>
      </w:r>
      <w:r>
        <w:t xml:space="preserve"> за 1998 год, при этом ее индекс развития человеческого потенциала составляет 0,593, т.е. из стран американского континента и Карибского бассейна она обгоняет лишь Гаити, Гондурас и Никарагуа.</w:t>
      </w:r>
    </w:p>
    <w:p w:rsidR="00000000" w:rsidRDefault="00000000"/>
    <w:p w:rsidR="00000000" w:rsidRDefault="00000000">
      <w:r>
        <w:t>295.</w:t>
      </w:r>
      <w:r>
        <w:tab/>
        <w:t>Что касается сельских районов, то в условиях бедности живет 95% сельского населения или приблизительно 2,3 млн.человек.  Исходя из показателя НОП (1992 год) 69% населения сельских районов можно отнести к категории неимущих, 5% - к категории обеспеченных и 26% - к категории малообеспеченных.</w:t>
      </w:r>
    </w:p>
    <w:p w:rsidR="00000000" w:rsidRDefault="00000000"/>
    <w:p w:rsidR="00000000" w:rsidRDefault="00000000">
      <w:pPr>
        <w:keepNext/>
        <w:rPr>
          <w:u w:val="single"/>
        </w:rPr>
      </w:pPr>
      <w:r>
        <w:rPr>
          <w:u w:val="single"/>
        </w:rPr>
        <w:t>Пункт 2 а</w:t>
      </w:r>
      <w:r>
        <w:t>)</w:t>
      </w:r>
    </w:p>
    <w:p w:rsidR="00000000" w:rsidRDefault="00000000">
      <w:pPr>
        <w:keepNext/>
        <w:rPr>
          <w:u w:val="single"/>
        </w:rPr>
      </w:pPr>
    </w:p>
    <w:p w:rsidR="00000000" w:rsidRDefault="00000000">
      <w:pPr>
        <w:rPr>
          <w:lang w:val="en-US"/>
        </w:rPr>
      </w:pPr>
      <w:r>
        <w:t>296.</w:t>
      </w:r>
      <w:r>
        <w:tab/>
        <w:t>Крайняя нищета, царящая в стране, является причиной низкого уровня продовольственной безопасности в сельских районах.  Показатель производства продовольствия на душу населения составляет в стране 1 880 калорий на человека в день, а потребления – в среднем – 1 729 калорий на человека в день, что обуславливает высокий уровень недоедания в сельских районах – 37% детей в возрасте до трех лет (</w:t>
      </w:r>
      <w:r>
        <w:rPr>
          <w:lang w:val="en-US"/>
        </w:rPr>
        <w:t>INE, 1994)</w:t>
      </w:r>
      <w:r>
        <w:t>.</w:t>
      </w:r>
    </w:p>
    <w:p w:rsidR="00000000" w:rsidRDefault="00000000"/>
    <w:p w:rsidR="00000000" w:rsidRDefault="00000000">
      <w:pPr>
        <w:keepNext/>
      </w:pPr>
      <w:r>
        <w:rPr>
          <w:u w:val="single"/>
        </w:rPr>
        <w:t>Пункт 2 </w:t>
      </w:r>
      <w:r>
        <w:rPr>
          <w:u w:val="single"/>
          <w:lang w:val="en-US"/>
        </w:rPr>
        <w:t>b</w:t>
      </w:r>
      <w:r>
        <w:t>)</w:t>
      </w:r>
    </w:p>
    <w:p w:rsidR="00000000" w:rsidRDefault="00000000">
      <w:pPr>
        <w:keepNext/>
      </w:pPr>
    </w:p>
    <w:p w:rsidR="00000000" w:rsidRDefault="00000000">
      <w:r>
        <w:t>297.</w:t>
      </w:r>
      <w:r>
        <w:tab/>
        <w:t>В Боливии существовала Система пищевого эпидемиологического контроля (СПЭК), которая позволяла получать информацию о питании населения Боливии;  впоследствии СПЭК была поглощена Национальной системой информации о здоровье населения (НСИЗН).</w:t>
      </w:r>
    </w:p>
    <w:p w:rsidR="00000000" w:rsidRDefault="00000000"/>
    <w:p w:rsidR="00000000" w:rsidRDefault="00000000">
      <w:r>
        <w:t>298.</w:t>
      </w:r>
      <w:r>
        <w:tab/>
        <w:t>На основе информации, полученной с помощью СПЭК, в документе, озаглавленном "Боливия:  показатели недоедания, 1990-1992 годы", был проведен количественный анализ положения в области недоедания населения в разбивке по географическим регионам.  В рамках этого исследования, основные результаты которого содержатся в приложении 2, использовались показатели вес/возраст и рост/возраст, благодаря чему была получена информация о состоянии питания детей в возрасте младше пяти лет в отдельных департаментах и провинциях;  наиболее неблагоприятное положение сложилось в департаменте Потоси, где почти в четверти провинций показатель недоедания детей в возрасте младше пяти лет превышал средний показатель по стране.</w:t>
      </w:r>
    </w:p>
    <w:p w:rsidR="00000000" w:rsidRDefault="00000000"/>
    <w:p w:rsidR="00000000" w:rsidRDefault="00000000">
      <w:r>
        <w:t>299.</w:t>
      </w:r>
      <w:r>
        <w:tab/>
        <w:t>Еще одним источником информации о недоедании в Боливии являются национальные исследования в области народонаселения и здравоохранения (НИНЗ) за 1989, 1994 и 1998 годы, в рамках которых для изучения состояния питания детей в возрасте младше трех лет использовался показатель вес/возраст.  Согласно результатам этих исследований показатель недоедания в 1994 году увеличился, а в 1998 году - значительно сократился.</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5"/>
        <w:gridCol w:w="1595"/>
        <w:gridCol w:w="1595"/>
        <w:gridCol w:w="1595"/>
      </w:tblGrid>
      <w:tr w:rsidR="00000000">
        <w:tblPrEx>
          <w:tblCellMar>
            <w:top w:w="0" w:type="dxa"/>
            <w:bottom w:w="0" w:type="dxa"/>
          </w:tblCellMar>
        </w:tblPrEx>
        <w:trPr>
          <w:cantSplit/>
        </w:trPr>
        <w:tc>
          <w:tcPr>
            <w:tcW w:w="4785" w:type="dxa"/>
          </w:tcPr>
          <w:p w:rsidR="00000000" w:rsidRDefault="00000000">
            <w:pPr>
              <w:pStyle w:val="Heading1"/>
              <w:jc w:val="center"/>
            </w:pPr>
            <w:r>
              <w:t>ПОКАЗАТЕЛИ НЕДОЕДАНИЯ</w:t>
            </w:r>
          </w:p>
          <w:p w:rsidR="00000000" w:rsidRDefault="00000000">
            <w:pPr>
              <w:pStyle w:val="Heading1"/>
              <w:jc w:val="center"/>
            </w:pPr>
          </w:p>
          <w:p w:rsidR="00000000" w:rsidRDefault="00000000">
            <w:r>
              <w:tab/>
              <w:t>* Показатели недоедания детей в возрасте младше 3 лет</w:t>
            </w:r>
          </w:p>
        </w:tc>
        <w:tc>
          <w:tcPr>
            <w:tcW w:w="1595" w:type="dxa"/>
          </w:tcPr>
          <w:p w:rsidR="00000000" w:rsidRDefault="00000000">
            <w:pPr>
              <w:jc w:val="center"/>
              <w:rPr>
                <w:b/>
              </w:rPr>
            </w:pPr>
            <w:r>
              <w:rPr>
                <w:b/>
              </w:rPr>
              <w:t>1989</w:t>
            </w:r>
          </w:p>
          <w:p w:rsidR="00000000" w:rsidRDefault="00000000">
            <w:pPr>
              <w:jc w:val="center"/>
              <w:rPr>
                <w:b/>
              </w:rPr>
            </w:pPr>
          </w:p>
          <w:p w:rsidR="00000000" w:rsidRDefault="00000000">
            <w:pPr>
              <w:jc w:val="center"/>
            </w:pPr>
            <w:r>
              <w:t>13,3</w:t>
            </w:r>
          </w:p>
        </w:tc>
        <w:tc>
          <w:tcPr>
            <w:tcW w:w="1595" w:type="dxa"/>
          </w:tcPr>
          <w:p w:rsidR="00000000" w:rsidRDefault="00000000">
            <w:pPr>
              <w:jc w:val="center"/>
              <w:rPr>
                <w:b/>
              </w:rPr>
            </w:pPr>
            <w:r>
              <w:rPr>
                <w:b/>
              </w:rPr>
              <w:t>1994</w:t>
            </w:r>
          </w:p>
          <w:p w:rsidR="00000000" w:rsidRDefault="00000000">
            <w:pPr>
              <w:jc w:val="center"/>
              <w:rPr>
                <w:b/>
              </w:rPr>
            </w:pPr>
          </w:p>
          <w:p w:rsidR="00000000" w:rsidRDefault="00000000">
            <w:pPr>
              <w:jc w:val="center"/>
            </w:pPr>
            <w:r>
              <w:t>15,7</w:t>
            </w:r>
          </w:p>
        </w:tc>
        <w:tc>
          <w:tcPr>
            <w:tcW w:w="1595" w:type="dxa"/>
          </w:tcPr>
          <w:p w:rsidR="00000000" w:rsidRDefault="00000000">
            <w:pPr>
              <w:jc w:val="center"/>
              <w:rPr>
                <w:b/>
              </w:rPr>
            </w:pPr>
            <w:r>
              <w:rPr>
                <w:b/>
              </w:rPr>
              <w:t>1998</w:t>
            </w:r>
          </w:p>
          <w:p w:rsidR="00000000" w:rsidRDefault="00000000">
            <w:pPr>
              <w:jc w:val="center"/>
              <w:rPr>
                <w:b/>
              </w:rPr>
            </w:pPr>
          </w:p>
          <w:p w:rsidR="00000000" w:rsidRDefault="00000000">
            <w:pPr>
              <w:jc w:val="center"/>
            </w:pPr>
            <w:r>
              <w:t>9,5</w:t>
            </w:r>
          </w:p>
        </w:tc>
      </w:tr>
    </w:tbl>
    <w:p w:rsidR="00000000" w:rsidRDefault="00000000"/>
    <w:p w:rsidR="00000000" w:rsidRDefault="00000000">
      <w:r>
        <w:t xml:space="preserve">Источник:  </w:t>
      </w:r>
      <w:r>
        <w:rPr>
          <w:lang w:val="en-US"/>
        </w:rPr>
        <w:t>ENDSA</w:t>
      </w:r>
      <w:r>
        <w:t>.</w:t>
      </w:r>
    </w:p>
    <w:p w:rsidR="00000000" w:rsidRDefault="00000000"/>
    <w:p w:rsidR="00000000" w:rsidRDefault="00000000">
      <w:pPr>
        <w:rPr>
          <w:lang w:val="en-US"/>
        </w:rPr>
      </w:pPr>
      <w:r>
        <w:rPr>
          <w:u w:val="single"/>
        </w:rPr>
        <w:t>Пункт 2 </w:t>
      </w:r>
      <w:r>
        <w:rPr>
          <w:u w:val="single"/>
          <w:lang w:val="en-US"/>
        </w:rPr>
        <w:t>b) i</w:t>
      </w:r>
      <w:r>
        <w:rPr>
          <w:lang w:val="en-US"/>
        </w:rPr>
        <w:t>)</w:t>
      </w:r>
    </w:p>
    <w:p w:rsidR="00000000" w:rsidRDefault="00000000">
      <w:pPr>
        <w:rPr>
          <w:lang w:val="en-US"/>
        </w:rPr>
      </w:pPr>
    </w:p>
    <w:p w:rsidR="00000000" w:rsidRDefault="00000000">
      <w:r>
        <w:t>300.</w:t>
      </w:r>
      <w:r>
        <w:tab/>
      </w:r>
      <w:r>
        <w:rPr>
          <w:b/>
        </w:rPr>
        <w:t xml:space="preserve">Особо уязвимые группы или группы, находящиеся в неблагоприятном положении, в частности:  </w:t>
      </w:r>
      <w:r>
        <w:t>безземельные крестьяне, крестьяне-бедняки, сельскохозяйственные рабочие, сельские безработные, городские безработные, малоимущие жители городов, трудящиеся-мигранты, коренные жители, дети, лица пожилого возраста и другие затрагиваемые группы.</w:t>
      </w:r>
    </w:p>
    <w:p w:rsidR="00000000" w:rsidRDefault="00000000"/>
    <w:p w:rsidR="00000000" w:rsidRDefault="00000000">
      <w:r>
        <w:t>301.</w:t>
      </w:r>
      <w:r>
        <w:tab/>
        <w:t xml:space="preserve">Боливия является одной из латиноамериканских стран с наиболее высоким показателем недоедания, который измеряется на основе соотношения веса и возраста.  В 1992 году этот показатель составил 37,7%, т.е. из 100 детей в возрасте младше пяти лет 38% в той или иной мере страдали от недоедания.  Это также означает, что на каждые десять детей, не страдающих от недоедания, приходится шесть детей, страдающих от недоедания.  </w:t>
      </w:r>
    </w:p>
    <w:p w:rsidR="00000000" w:rsidRDefault="00000000"/>
    <w:p w:rsidR="00000000" w:rsidRDefault="00000000">
      <w:r>
        <w:t>302.</w:t>
      </w:r>
      <w:r>
        <w:tab/>
        <w:t xml:space="preserve">В 1990-1992 годах показатели недоедания в стране не претерпели сколь-либо существенных изменений.  В этот период они составляли соответственно 35,5%, 36,0% и 37,7%.  </w:t>
      </w:r>
    </w:p>
    <w:p w:rsidR="00000000" w:rsidRDefault="00000000"/>
    <w:p w:rsidR="00000000" w:rsidRDefault="00000000">
      <w:r>
        <w:t>303.</w:t>
      </w:r>
      <w:r>
        <w:tab/>
        <w:t>Показатели умеренного и сильного недоедания среди детей в возрасте младше пяти лет в 1990 году составили соответственно 11,1% и 12%, а в 1991 году 11,4% и 2,4%;  в 1992 году оба показателя равнялись 2,2%.  Эти показатели означают, что двое из 100 детей младше 5 лет умерли.</w:t>
      </w:r>
    </w:p>
    <w:p w:rsidR="00000000" w:rsidRDefault="00000000"/>
    <w:p w:rsidR="00000000" w:rsidRDefault="00000000">
      <w:pPr>
        <w:rPr>
          <w:lang w:val="en-US"/>
        </w:rPr>
      </w:pPr>
      <w:r>
        <w:rPr>
          <w:u w:val="single"/>
        </w:rPr>
        <w:t>Пункт 2</w:t>
      </w:r>
      <w:r>
        <w:rPr>
          <w:u w:val="single"/>
          <w:lang w:val="en-US"/>
        </w:rPr>
        <w:t xml:space="preserve"> b) ii</w:t>
      </w:r>
      <w:r>
        <w:rPr>
          <w:lang w:val="en-US"/>
        </w:rPr>
        <w:t>)</w:t>
      </w:r>
    </w:p>
    <w:p w:rsidR="00000000" w:rsidRDefault="00000000">
      <w:pPr>
        <w:rPr>
          <w:lang w:val="en-US"/>
        </w:rPr>
      </w:pPr>
    </w:p>
    <w:p w:rsidR="00000000" w:rsidRDefault="00000000">
      <w:r>
        <w:t>304.</w:t>
      </w:r>
      <w:r>
        <w:tab/>
        <w:t xml:space="preserve">Сбор информации о положении мужчин и женщин пока еще не завершен.  </w:t>
      </w:r>
    </w:p>
    <w:p w:rsidR="00000000" w:rsidRDefault="00000000"/>
    <w:p w:rsidR="00000000" w:rsidRDefault="00000000">
      <w:pPr>
        <w:rPr>
          <w:lang w:val="en-US"/>
        </w:rPr>
      </w:pPr>
      <w:r>
        <w:rPr>
          <w:u w:val="single"/>
        </w:rPr>
        <w:t>Пункт 2</w:t>
      </w:r>
      <w:r>
        <w:rPr>
          <w:u w:val="single"/>
          <w:lang w:val="en-US"/>
        </w:rPr>
        <w:t xml:space="preserve"> b) iii</w:t>
      </w:r>
      <w:r>
        <w:rPr>
          <w:lang w:val="en-US"/>
        </w:rPr>
        <w:t>)</w:t>
      </w:r>
    </w:p>
    <w:p w:rsidR="00000000" w:rsidRDefault="00000000">
      <w:pPr>
        <w:rPr>
          <w:lang w:val="en-US"/>
        </w:rPr>
      </w:pPr>
    </w:p>
    <w:p w:rsidR="00000000" w:rsidRDefault="00000000">
      <w:r>
        <w:t>305.</w:t>
      </w:r>
      <w:r>
        <w:tab/>
        <w:t>Сбор информации об изменениях</w:t>
      </w:r>
      <w:r>
        <w:rPr>
          <w:lang w:val="en-US"/>
        </w:rPr>
        <w:t xml:space="preserve">, </w:t>
      </w:r>
      <w:r>
        <w:t>происшедших в течение последних 5 лет, также еще не завершен.</w:t>
      </w:r>
    </w:p>
    <w:p w:rsidR="00000000" w:rsidRDefault="00000000"/>
    <w:p w:rsidR="00000000" w:rsidRDefault="00000000">
      <w:pPr>
        <w:rPr>
          <w:lang w:val="en-US"/>
        </w:rPr>
      </w:pPr>
      <w:r>
        <w:rPr>
          <w:u w:val="single"/>
        </w:rPr>
        <w:t>Пункт 2</w:t>
      </w:r>
      <w:r>
        <w:rPr>
          <w:u w:val="single"/>
          <w:lang w:val="en-US"/>
        </w:rPr>
        <w:t xml:space="preserve"> с</w:t>
      </w:r>
      <w:r>
        <w:rPr>
          <w:lang w:val="en-US"/>
        </w:rPr>
        <w:t>)</w:t>
      </w:r>
    </w:p>
    <w:p w:rsidR="00000000" w:rsidRDefault="00000000">
      <w:pPr>
        <w:rPr>
          <w:lang w:val="en-US"/>
        </w:rPr>
      </w:pPr>
    </w:p>
    <w:p w:rsidR="00000000" w:rsidRDefault="00000000">
      <w:r>
        <w:rPr>
          <w:lang w:val="en-US"/>
        </w:rPr>
        <w:t>306.</w:t>
      </w:r>
      <w:r>
        <w:rPr>
          <w:lang w:val="en-US"/>
        </w:rPr>
        <w:tab/>
      </w:r>
      <w:r>
        <w:t>В политике, законодательстве и практических мероприятиях, направленных на обеспечение уязвимым группам и малоимущим слоям населения доступа к достаточному питанию, каких-либо изменений не произошло.  Правительство, и в частности министерство сельского хозяйства, животноводства и развития сельских районов, продолжает предпринимать усилия в целях решения объективных проблем, обусловливающих высокий уровень бедности в сельских районах;  создания социальных, технологических, санитарных, инфраструктурных и рыночных условий для сохранения и увеличения доли сельскохозяйственного сектора в ВВП;  а также обеспечения устойчивого развития сектора и устойчивости экспорта сельскохозяйственной продукции как основного источника валютных поступлений.</w:t>
      </w:r>
    </w:p>
    <w:p w:rsidR="00000000" w:rsidRDefault="00000000"/>
    <w:p w:rsidR="00000000" w:rsidRDefault="00000000">
      <w:pPr>
        <w:keepNext/>
      </w:pPr>
      <w:r>
        <w:rPr>
          <w:u w:val="single"/>
        </w:rPr>
        <w:t>Пункт 2</w:t>
      </w:r>
      <w:r>
        <w:rPr>
          <w:u w:val="single"/>
          <w:lang w:val="en-US"/>
        </w:rPr>
        <w:t xml:space="preserve"> d</w:t>
      </w:r>
      <w:r>
        <w:rPr>
          <w:lang w:val="en-US"/>
        </w:rPr>
        <w:t>)</w:t>
      </w:r>
    </w:p>
    <w:p w:rsidR="00000000" w:rsidRDefault="00000000">
      <w:pPr>
        <w:keepNext/>
      </w:pPr>
    </w:p>
    <w:p w:rsidR="00000000" w:rsidRDefault="00000000">
      <w:r>
        <w:t>307.</w:t>
      </w:r>
      <w:r>
        <w:tab/>
        <w:t>В период 1983-1987 годов вся деятельность, связанная с координацией, разработкой и проведением мероприятий в области обеспечения продовольственной безопасности, осуществлялась прежним министерством планирования и координации через его Управление социального планирования и глобальной политики, которое выполняло функции специального технического департамента по вопросам реализации Национальной программы продовольственной безопасности.  Также была поставлена цель создания Национального совета по вопросам продовольствия и питания (НСПП) в составе девяти государственных министров, который отвечал бы за принятие политических решений и руководил осуществлением Национальной программы продовольственной безопасности (НППБ).  Однако соответствующее решение не было принято в законодательном порядке.</w:t>
      </w:r>
    </w:p>
    <w:p w:rsidR="00000000" w:rsidRDefault="00000000"/>
    <w:p w:rsidR="00000000" w:rsidRDefault="00000000">
      <w:r>
        <w:t>308.</w:t>
      </w:r>
      <w:r>
        <w:tab/>
        <w:t>Впоследствии правительство приняло решение возложить ответственность за координацию, разработку и проведение мероприятий по обеспечению продовольственной безопасности на министерство по делам крестьян, сельского и рыбного хозяйства, которому было поручено определить обязанности различных институциональных механизмов в целях достижения более высокого уровня продовольственной безопасности в стране.  С этой целью был создан Национальный совет по вопросам продовольственной безопасности (НСПБ), который имел статус министерства, однако впоследствии в 1997 году этот институт был ликвидирован в рамках реформы исполнительной власти.</w:t>
      </w:r>
    </w:p>
    <w:p w:rsidR="00000000" w:rsidRDefault="00000000"/>
    <w:p w:rsidR="00000000" w:rsidRDefault="00000000">
      <w:r>
        <w:t>309.</w:t>
      </w:r>
      <w:r>
        <w:tab/>
        <w:t xml:space="preserve">Таким образом с момента принятия Советом </w:t>
      </w:r>
      <w:proofErr w:type="spellStart"/>
      <w:r>
        <w:t>Картахенского</w:t>
      </w:r>
      <w:proofErr w:type="spellEnd"/>
      <w:r>
        <w:t xml:space="preserve"> соглашения решения № 182 в усилиях, направленных на создание национальной системы продовольственной безопасности и развитие ее двух основных элементов:  национального продовольственного плана и системы институциональной организации, были  отмечены как положительные сдвиги, так и неудачи.  На восьмом совещании Комитета по мировой продовольственной безопасности Генеральный директор ФАО выступил с сообщением о достигнутом прогрессе и существующих проблемах и предложил пересмотреть концепцию и элементы всемирной продовольственной безопасности, подчеркнув при этом, что основное внимание следует уделять следующим двум основным аспектам: </w:t>
      </w:r>
    </w:p>
    <w:p w:rsidR="00000000" w:rsidRDefault="00000000"/>
    <w:p w:rsidR="00000000" w:rsidRDefault="00000000">
      <w:r>
        <w:tab/>
        <w:t>а)</w:t>
      </w:r>
      <w:r>
        <w:tab/>
        <w:t>проблемам обеспечения всеобщего доступа к минимуму продуктов питания;  и</w:t>
      </w:r>
    </w:p>
    <w:p w:rsidR="00000000" w:rsidRDefault="00000000"/>
    <w:p w:rsidR="00000000" w:rsidRDefault="00000000">
      <w:r>
        <w:tab/>
      </w:r>
      <w:r>
        <w:rPr>
          <w:lang w:val="en-US"/>
        </w:rPr>
        <w:t>b</w:t>
      </w:r>
      <w:r>
        <w:t>)</w:t>
      </w:r>
      <w:r>
        <w:tab/>
        <w:t>проблемам циклического характера, присущим сельскохозяйственному производству, и структурным проблемам, обусловливающим хронический дефицит предложения и существование групп населения, доходы которых на постоянной основе находятся ниже уровня, необходимого для удовлетворения их потребностей в продуктах питания первой необходимости.</w:t>
      </w:r>
    </w:p>
    <w:p w:rsidR="00000000" w:rsidRDefault="00000000"/>
    <w:p w:rsidR="00000000" w:rsidRDefault="00000000">
      <w:r>
        <w:t>310.</w:t>
      </w:r>
      <w:r>
        <w:tab/>
        <w:t xml:space="preserve">На тридцать шестой чрезвычайной сессии министров сельского хозяйства, состоявшейся в Каракасе 25 июля 1983 года, Комиссия </w:t>
      </w:r>
      <w:proofErr w:type="spellStart"/>
      <w:r>
        <w:t>Картахенского</w:t>
      </w:r>
      <w:proofErr w:type="spellEnd"/>
      <w:r>
        <w:t xml:space="preserve"> соглашения приняла решение № 182 о создании Андской системы развития сельского хозяйства, обеспечения продовольственной безопасности и охраны окружающей среды, "</w:t>
      </w:r>
      <w:proofErr w:type="spellStart"/>
      <w:r>
        <w:t>Хосе</w:t>
      </w:r>
      <w:proofErr w:type="spellEnd"/>
      <w:r>
        <w:t xml:space="preserve"> </w:t>
      </w:r>
      <w:proofErr w:type="spellStart"/>
      <w:r>
        <w:t>Селестино</w:t>
      </w:r>
      <w:proofErr w:type="spellEnd"/>
      <w:r>
        <w:t xml:space="preserve"> </w:t>
      </w:r>
      <w:proofErr w:type="spellStart"/>
      <w:r>
        <w:t>Мутис</w:t>
      </w:r>
      <w:proofErr w:type="spellEnd"/>
      <w:r>
        <w:t>".</w:t>
      </w:r>
    </w:p>
    <w:p w:rsidR="00000000" w:rsidRDefault="00000000"/>
    <w:p w:rsidR="00000000" w:rsidRDefault="00000000">
      <w:r>
        <w:rPr>
          <w:u w:val="single"/>
        </w:rPr>
        <w:t>Пункт 2</w:t>
      </w:r>
      <w:r>
        <w:rPr>
          <w:u w:val="single"/>
          <w:lang w:val="en-US"/>
        </w:rPr>
        <w:t xml:space="preserve"> е</w:t>
      </w:r>
      <w:r>
        <w:rPr>
          <w:lang w:val="en-US"/>
        </w:rPr>
        <w:t>)</w:t>
      </w:r>
    </w:p>
    <w:p w:rsidR="00000000" w:rsidRDefault="00000000"/>
    <w:p w:rsidR="00000000" w:rsidRDefault="00000000">
      <w:pPr>
        <w:pStyle w:val="FootnoteText"/>
        <w:spacing w:line="288" w:lineRule="auto"/>
      </w:pPr>
      <w:r>
        <w:t>311.</w:t>
      </w:r>
      <w:r>
        <w:tab/>
        <w:t>Начиная с 80</w:t>
      </w:r>
      <w:r>
        <w:noBreakHyphen/>
        <w:t>х годов в сельском хозяйстве Боливии происходят позитивные изменения, что вызвано применением следующих методов:</w:t>
      </w:r>
    </w:p>
    <w:p w:rsidR="00000000" w:rsidRDefault="00000000">
      <w:pPr>
        <w:pStyle w:val="FootnoteText"/>
        <w:spacing w:line="288" w:lineRule="auto"/>
      </w:pPr>
    </w:p>
    <w:p w:rsidR="00000000" w:rsidRDefault="00000000">
      <w:pPr>
        <w:pStyle w:val="ListBullet"/>
        <w:ind w:left="1134" w:hanging="1134"/>
      </w:pPr>
      <w:r>
        <w:tab/>
        <w:t>-</w:t>
      </w:r>
      <w:r>
        <w:tab/>
        <w:t>расширение использования сертифицированных семян улучшенного качества;</w:t>
      </w:r>
    </w:p>
    <w:p w:rsidR="00000000" w:rsidRDefault="00000000">
      <w:pPr>
        <w:pStyle w:val="ListBullet"/>
        <w:ind w:left="1134" w:hanging="1134"/>
      </w:pPr>
    </w:p>
    <w:p w:rsidR="00000000" w:rsidRDefault="00000000">
      <w:pPr>
        <w:pStyle w:val="ListBullet"/>
        <w:ind w:left="1134" w:hanging="1134"/>
      </w:pPr>
      <w:r>
        <w:tab/>
        <w:t>-</w:t>
      </w:r>
      <w:r>
        <w:tab/>
        <w:t>расширение использования удобрений;</w:t>
      </w:r>
    </w:p>
    <w:p w:rsidR="00000000" w:rsidRDefault="00000000">
      <w:pPr>
        <w:pStyle w:val="ListBullet"/>
      </w:pPr>
    </w:p>
    <w:p w:rsidR="00000000" w:rsidRDefault="00000000">
      <w:pPr>
        <w:pStyle w:val="ListBullet"/>
        <w:ind w:left="1134" w:hanging="1134"/>
      </w:pPr>
      <w:r>
        <w:tab/>
        <w:t>-</w:t>
      </w:r>
      <w:r>
        <w:tab/>
        <w:t>осуществление ирригационных проектов по линии Национальной программы мелиорации;</w:t>
      </w:r>
    </w:p>
    <w:p w:rsidR="00000000" w:rsidRDefault="00000000">
      <w:pPr>
        <w:pStyle w:val="ListBullet"/>
      </w:pPr>
    </w:p>
    <w:p w:rsidR="00000000" w:rsidRDefault="00000000">
      <w:pPr>
        <w:pStyle w:val="ListBullet"/>
        <w:ind w:left="1134" w:hanging="1134"/>
      </w:pPr>
      <w:r>
        <w:tab/>
        <w:t>-</w:t>
      </w:r>
      <w:r>
        <w:tab/>
        <w:t>проведение политики, направленной на развитие видов хозяйственной деятельности, замещающих возделывание кустарника кока;</w:t>
      </w:r>
    </w:p>
    <w:p w:rsidR="00000000" w:rsidRDefault="00000000">
      <w:pPr>
        <w:pStyle w:val="ListBullet"/>
      </w:pPr>
    </w:p>
    <w:p w:rsidR="00000000" w:rsidRDefault="00000000">
      <w:pPr>
        <w:pStyle w:val="ListBullet"/>
      </w:pPr>
      <w:r>
        <w:tab/>
        <w:t>-</w:t>
      </w:r>
      <w:r>
        <w:tab/>
        <w:t>внедрение новых технологий;</w:t>
      </w:r>
    </w:p>
    <w:p w:rsidR="00000000" w:rsidRDefault="00000000">
      <w:pPr>
        <w:pStyle w:val="ListBullet"/>
      </w:pPr>
    </w:p>
    <w:p w:rsidR="00000000" w:rsidRDefault="00000000">
      <w:pPr>
        <w:pStyle w:val="ListBullet"/>
        <w:ind w:left="1134" w:hanging="1134"/>
      </w:pPr>
      <w:r>
        <w:tab/>
        <w:t>-</w:t>
      </w:r>
      <w:r>
        <w:tab/>
        <w:t>осуществление программ поддержки в области обеспечения продовольственной безопасности, например НСПБ, Программы поддержки деятельности по обеспечению продовольственной безопасности (ПППБ), Специальной программы в области продовольственной безопасности (СППБ) и т.д.</w:t>
      </w:r>
    </w:p>
    <w:p w:rsidR="00000000" w:rsidRDefault="00000000">
      <w:pPr>
        <w:pStyle w:val="ListBullet"/>
      </w:pPr>
    </w:p>
    <w:p w:rsidR="00000000" w:rsidRDefault="00000000">
      <w:pPr>
        <w:pStyle w:val="ListBullet"/>
      </w:pPr>
      <w:r>
        <w:t>312.  Использование сертифицированных семян улучшенного качества является одним из наиболее важных изменений, происшедших в сельском хозяйстве страны.  В 1980 году объем производства сертифицированных семян чеснока, хлопчатника, кормовых культур, подсолнечника, бобовых, кукурузы, картофеля, гречихи, сорго, сои, пшеницы и других культур составил 194 </w:t>
      </w:r>
      <w:proofErr w:type="spellStart"/>
      <w:r>
        <w:t>метрич</w:t>
      </w:r>
      <w:proofErr w:type="spellEnd"/>
      <w:r>
        <w:t>. т, а в 1997 году – более 43 155,13 </w:t>
      </w:r>
      <w:proofErr w:type="spellStart"/>
      <w:r>
        <w:t>метрич</w:t>
      </w:r>
      <w:proofErr w:type="spellEnd"/>
      <w:r>
        <w:t xml:space="preserve">. т.  Использование сертифицированных семян способствовало и продолжает способствовать повышению производительности в сельском хозяйстве. </w:t>
      </w:r>
    </w:p>
    <w:p w:rsidR="00000000" w:rsidRDefault="00000000">
      <w:pPr>
        <w:ind w:firstLine="567"/>
      </w:pPr>
    </w:p>
    <w:p w:rsidR="00000000" w:rsidRDefault="00000000">
      <w:r>
        <w:t>313.</w:t>
      </w:r>
      <w:r>
        <w:tab/>
        <w:t>Увеличение площади орошаемых земель и программа по расширению использования удобрений (которая является правительственной программой) позволили мелким и крупным производителям убедиться в преимуществах, которые дает надлежащее применение этих двух методов.</w:t>
      </w:r>
    </w:p>
    <w:p w:rsidR="00000000" w:rsidRDefault="00000000"/>
    <w:p w:rsidR="00000000" w:rsidRDefault="00000000">
      <w:r>
        <w:t>314.</w:t>
      </w:r>
      <w:r>
        <w:tab/>
        <w:t>Внедрение новых технологий, приспособленных к местным условиям, например производство сертифицированных семян, ирригация, использование удобрений, проведение послеуборочных работ, позволило повысить производительность в сельском хозяйстве, хотя, конечно, не до максимального уровня.  В сельскохозяйственном секторе в районе  нагорья широкое развитие получило тепличное хозяйство, что способствовало улучшению рациона питания и решению проблем в области снабжения продовольствием в этом районе, климатические условия в котором характеризуются резкими перепадами температур.</w:t>
      </w:r>
    </w:p>
    <w:p w:rsidR="00000000" w:rsidRDefault="00000000">
      <w:pPr>
        <w:rPr>
          <w:lang w:val="en-US"/>
        </w:rPr>
      </w:pPr>
    </w:p>
    <w:p w:rsidR="00000000" w:rsidRDefault="00000000">
      <w:r>
        <w:t>315.</w:t>
      </w:r>
      <w:r>
        <w:tab/>
        <w:t>В своем большинстве производители пищевых продуктов – это крестьянские семьи, которые используют традиционные технологии и проживают в районах нагорья и равнин, а также в зонах осваиваемых земель.  Крестьянские хозяйства выращивают в зонах сурового и умеренного климата картофель, овощи, пшеницу, гречиху, ячмень, кормовую и продовольственную кукурузу.  Кроме того, в районах тропического и субтропического климата они являются основными производителями риса, кофе, фруктов, маниока, бобовых и фасоли.</w:t>
      </w:r>
    </w:p>
    <w:p w:rsidR="00000000" w:rsidRDefault="00000000"/>
    <w:p w:rsidR="00000000" w:rsidRDefault="00000000">
      <w:r>
        <w:t>316.</w:t>
      </w:r>
      <w:r>
        <w:tab/>
        <w:t>Большинство крестьян не организовано ни в плане объединения их продуктивных земель, ни в том, что касается сбыта их продукции или получения субсидий.</w:t>
      </w:r>
    </w:p>
    <w:p w:rsidR="00000000" w:rsidRDefault="00000000"/>
    <w:p w:rsidR="00000000" w:rsidRDefault="00000000">
      <w:r>
        <w:t>317.</w:t>
      </w:r>
      <w:r>
        <w:tab/>
        <w:t>В рамках программы заселения восточной части страны земельные участки были также выделены иностранцам (меннонитам, японцам и бразильцам русского происхождения), владения которых можно отнести к категории средних хозяйств.  Первые являются производителями сои, они также выращивают кукурузу, озимую пшеницу и производят другую сельскохозяйственную и молочную продукцию.  Японцы производят главным образом сою и рис, а также занимаются птицеводством.  Последние выращивают почти исключительно рис.  Уровень механизации в их хозяйствах значительно выше, чем в хозяйствах местных жителей.</w:t>
      </w:r>
    </w:p>
    <w:p w:rsidR="00000000" w:rsidRDefault="00000000"/>
    <w:p w:rsidR="00000000" w:rsidRDefault="00000000">
      <w:r>
        <w:t>318.</w:t>
      </w:r>
      <w:r>
        <w:tab/>
        <w:t>В последние десятилетия, главным образом на востоке страны, стали появляться средние и крупные земледельческие и животноводческие товарные хозяйства.  Средние хозяйства (размеры земельных угодий которых составляют от 100 до 200 га) специализируются на производстве сахарного тростника, хлопка, молока, винограда, желтой кукурузы, мяса птицы, а также сорго и арахиса.  Крупные хозяйства (площадь угодий которых составляет от 200 до 50 000 га) занимаются главным образом выращиванием сои и разведением крупного рогатого скота.</w:t>
      </w:r>
    </w:p>
    <w:p w:rsidR="00000000" w:rsidRDefault="00000000"/>
    <w:p w:rsidR="00000000" w:rsidRDefault="00000000">
      <w:r>
        <w:t>319.</w:t>
      </w:r>
      <w:r>
        <w:tab/>
        <w:t xml:space="preserve">В заключение можно отметить, что крестьянские хозяйства, в пересчете на калорийность ежедневно потребляемой пищи, производят несколько более 50% потребляемых в стране пищевых продуктов, соответствующая доля импорта составляет 25 - 28%, а оставшаяся часть приходится на товарное сельское хозяйство и агропромышленный сектор страны.  </w:t>
      </w:r>
    </w:p>
    <w:p w:rsidR="00000000" w:rsidRDefault="00000000"/>
    <w:p w:rsidR="00000000" w:rsidRDefault="00000000">
      <w:r>
        <w:rPr>
          <w:u w:val="single"/>
        </w:rPr>
        <w:t xml:space="preserve">Пункт 2 </w:t>
      </w:r>
      <w:proofErr w:type="spellStart"/>
      <w:r>
        <w:rPr>
          <w:u w:val="single"/>
        </w:rPr>
        <w:t>f</w:t>
      </w:r>
      <w:proofErr w:type="spellEnd"/>
      <w:r>
        <w:t>)</w:t>
      </w:r>
    </w:p>
    <w:p w:rsidR="00000000" w:rsidRDefault="00000000"/>
    <w:p w:rsidR="00000000" w:rsidRDefault="00000000">
      <w:r>
        <w:t>320.</w:t>
      </w:r>
      <w:r>
        <w:tab/>
        <w:t xml:space="preserve">Основным средством пропаганды принципов питания является Национальный план продовольственной безопасности (НППБ), разработанный на основе общих принципов Генерального плана социально-экономического развития (ГПСЭР), распространение которого в свою очередь обеспечивается префектурами и муниципалитетами в рамках информационно-просветительских кампаний, проводимых на всех уровнях.  </w:t>
      </w:r>
    </w:p>
    <w:p w:rsidR="00000000" w:rsidRDefault="00000000"/>
    <w:p w:rsidR="00000000" w:rsidRDefault="00000000">
      <w:r>
        <w:rPr>
          <w:u w:val="single"/>
        </w:rPr>
        <w:t xml:space="preserve">Пункт 2 </w:t>
      </w:r>
      <w:proofErr w:type="spellStart"/>
      <w:r>
        <w:rPr>
          <w:u w:val="single"/>
        </w:rPr>
        <w:t>g</w:t>
      </w:r>
      <w:proofErr w:type="spellEnd"/>
      <w:r>
        <w:rPr>
          <w:u w:val="single"/>
        </w:rPr>
        <w:t>) i</w:t>
      </w:r>
      <w:r>
        <w:t>)</w:t>
      </w:r>
    </w:p>
    <w:p w:rsidR="00000000" w:rsidRDefault="00000000"/>
    <w:p w:rsidR="00000000" w:rsidRDefault="00000000">
      <w:r>
        <w:t>321.</w:t>
      </w:r>
      <w:r>
        <w:tab/>
        <w:t>В настоящее время по просьбе и предложению Палаты сельского хозяйства восточной части страны планируется внести поправки в Закон о Национальном институте по вопросам аграрной реформы (НИАР) (Закон № 1715 от 18 октября 1996 года).</w:t>
      </w:r>
    </w:p>
    <w:p w:rsidR="00000000" w:rsidRDefault="00000000"/>
    <w:p w:rsidR="00000000" w:rsidRDefault="00000000">
      <w:pPr>
        <w:keepNext/>
      </w:pPr>
      <w:r>
        <w:rPr>
          <w:u w:val="single"/>
        </w:rPr>
        <w:t xml:space="preserve">Пункт 2 </w:t>
      </w:r>
      <w:proofErr w:type="spellStart"/>
      <w:r>
        <w:rPr>
          <w:u w:val="single"/>
        </w:rPr>
        <w:t>g</w:t>
      </w:r>
      <w:proofErr w:type="spellEnd"/>
      <w:r>
        <w:rPr>
          <w:u w:val="single"/>
        </w:rPr>
        <w:t>) ii</w:t>
      </w:r>
      <w:r>
        <w:t>)</w:t>
      </w:r>
    </w:p>
    <w:p w:rsidR="00000000" w:rsidRDefault="00000000">
      <w:pPr>
        <w:keepNext/>
      </w:pPr>
    </w:p>
    <w:p w:rsidR="00000000" w:rsidRDefault="00000000">
      <w:pPr>
        <w:keepNext/>
      </w:pPr>
      <w:r>
        <w:t>322.</w:t>
      </w:r>
      <w:r>
        <w:tab/>
        <w:t>Закон о НИАР, несмотря на все существующие в нем пробелы и противоречия, направлен на достижение эффективного, сбалансированного и устойчивого природопользования путем развития и укрепления аграрной структуры на базе главным образом мелких и средних хозяйств.</w:t>
      </w:r>
    </w:p>
    <w:p w:rsidR="00000000" w:rsidRDefault="00000000"/>
    <w:p w:rsidR="00000000" w:rsidRDefault="00000000">
      <w:r>
        <w:t>323.</w:t>
      </w:r>
      <w:r>
        <w:tab/>
        <w:t>Несмотря на то, что Закон о НИАР был принят более двух лет назад, в области проверки и регистрации прав собственности на землю с 1993 года каких-либо изменений не произошло, и вопросы земельной собственности по</w:t>
      </w:r>
      <w:r>
        <w:noBreakHyphen/>
        <w:t xml:space="preserve">прежнему не урегулированы в юридическом порядке, в результате чего земельные собственники продолжают страдать от произвольных действий как со стороны крестьян, так и со стороны крупных землевладельцев в различных районах страны.  Проблема, связанная с незаконным захватом земель, остается нерешенной даже в охраняемых районах. </w:t>
      </w:r>
    </w:p>
    <w:p w:rsidR="00000000" w:rsidRDefault="00000000"/>
    <w:p w:rsidR="00000000" w:rsidRDefault="00000000">
      <w:r>
        <w:t>324.</w:t>
      </w:r>
      <w:r>
        <w:tab/>
        <w:t>Положения Закона о НИАР выполняются очень медленно, что обусловлено масштабами проблем, которые накопились за 40 лет неэффективного осуществления аграрной реформы и которые сегодня, хотя это и связано с большими трудностями, необходимо преодолеть для проведения этой реформы.  В частности, речь идет о большом числе правовых споров в связи с наличием нескольких юридических владельцев, а также о нехватке ресурсов, квалифицированного персонала и эффективных административных механизмов, которые необходимы для составления земельного кадастра и проверки прав собственности, не говоря уже о проблемах политического и социального характера, существующих на уровне отдельных департаментов и всей страны в целом.</w:t>
      </w:r>
    </w:p>
    <w:p w:rsidR="00000000" w:rsidRDefault="00000000"/>
    <w:p w:rsidR="00000000" w:rsidRDefault="00000000">
      <w:r>
        <w:t>325.</w:t>
      </w:r>
      <w:r>
        <w:tab/>
        <w:t>Существующие в стране экстремальные формы латифундизма и мелконадельного землевладения обуславливают хищническую эксплуатацию ресурсов продуктивной базы и тем самым вызывают экологические проблемы, в связи с чем возникает необходимость в политике, которая способствовала бы повышению эффективности производства, улучшению и сохранению природных ресурсов, решению проблемы социальной несправедливости и ликвидации бедности в сельских районах, одной из причин которой является низкая продуктивность земель и их деградация.</w:t>
      </w:r>
    </w:p>
    <w:p w:rsidR="00000000" w:rsidRDefault="00000000"/>
    <w:p w:rsidR="00000000" w:rsidRDefault="00000000">
      <w:r>
        <w:t>326.</w:t>
      </w:r>
      <w:r>
        <w:tab/>
        <w:t>Что касается Закона о НИАР, то заслуживает внимания позиция Палаты сельского хозяйства восточной части страны, которая считает, что создание населенных пунктов в приграничных районах страны в целях развития земледелия или животноводства имеет негативные последствия для лесных ресурсов и биологического разнообразия, поскольку продуктивные земли, пригодные для трансформации в сельскохозяйственные угодья в этих районах либо отсутствуют, либо имеются в ограниченных масштабах.</w:t>
      </w:r>
    </w:p>
    <w:p w:rsidR="00000000" w:rsidRDefault="00000000"/>
    <w:p w:rsidR="00000000" w:rsidRDefault="00000000">
      <w:r>
        <w:t>327.</w:t>
      </w:r>
      <w:r>
        <w:tab/>
        <w:t>Программы по линии аграрной реформы должны разрабатываться на комплексной основе и должны предусматривать предоставление бенефициарам не только земель, но и других элементов, необходимых для ведения сельскохозяйственной деятельности.  С этой целью любые структурные преобразования в сельском хозяйстве должны сопровождаться созданием механизмов поддержки, например, в области кредитования, субсидирования, сельскохозяйственной пропаганды и организации сбыта, поскольку в ином случае возможности для достижения успеха будут весьма ограниченными.</w:t>
      </w:r>
    </w:p>
    <w:p w:rsidR="00000000" w:rsidRDefault="00000000"/>
    <w:p w:rsidR="00000000" w:rsidRDefault="00000000">
      <w:r>
        <w:t>328.</w:t>
      </w:r>
      <w:r>
        <w:tab/>
        <w:t>В рамках процесса аграрной реформы возникли серьезные конфликты, касающиеся права владения землей и права собственности на землю.  В частности, речь идет о:</w:t>
      </w:r>
    </w:p>
    <w:p w:rsidR="00000000" w:rsidRDefault="00000000"/>
    <w:p w:rsidR="00000000" w:rsidRDefault="00000000">
      <w:pPr>
        <w:ind w:left="1134" w:hanging="1134"/>
      </w:pPr>
      <w:r>
        <w:tab/>
        <w:t>-</w:t>
      </w:r>
      <w:r>
        <w:tab/>
        <w:t>ограничениях в отношении пользования землей и права собственности на землю;</w:t>
      </w:r>
    </w:p>
    <w:p w:rsidR="00000000" w:rsidRDefault="00000000">
      <w:pPr>
        <w:ind w:left="1134" w:hanging="1134"/>
      </w:pPr>
      <w:r>
        <w:tab/>
        <w:t>-</w:t>
      </w:r>
      <w:r>
        <w:tab/>
        <w:t>отсутствии гарантий, обеспечивающих право владения землей;</w:t>
      </w:r>
    </w:p>
    <w:p w:rsidR="00000000" w:rsidRDefault="00000000">
      <w:pPr>
        <w:ind w:left="1134" w:hanging="1134"/>
      </w:pPr>
      <w:r>
        <w:tab/>
        <w:t>-</w:t>
      </w:r>
      <w:r>
        <w:tab/>
        <w:t>неравенстве, существующем в области владения землей;</w:t>
      </w:r>
    </w:p>
    <w:p w:rsidR="00000000" w:rsidRDefault="00000000">
      <w:pPr>
        <w:ind w:left="1134" w:hanging="1134"/>
      </w:pPr>
      <w:r>
        <w:tab/>
        <w:t>-</w:t>
      </w:r>
      <w:r>
        <w:tab/>
        <w:t>низком или нулевом уровне участия крестьян и общин в процессе сельскохозяйственного планирования и развития сельских районов;</w:t>
      </w:r>
    </w:p>
    <w:p w:rsidR="00000000" w:rsidRDefault="00000000">
      <w:pPr>
        <w:ind w:left="1134" w:hanging="1134"/>
      </w:pPr>
      <w:r>
        <w:tab/>
        <w:t>-</w:t>
      </w:r>
      <w:r>
        <w:tab/>
        <w:t>широкомасштабной миграции в города;</w:t>
      </w:r>
    </w:p>
    <w:p w:rsidR="00000000" w:rsidRDefault="00000000">
      <w:pPr>
        <w:ind w:left="1134" w:hanging="1134"/>
      </w:pPr>
      <w:r>
        <w:tab/>
        <w:t>-</w:t>
      </w:r>
      <w:r>
        <w:tab/>
        <w:t>чрезмерной раздробленности земельных участков.</w:t>
      </w:r>
    </w:p>
    <w:p w:rsidR="00000000" w:rsidRDefault="00000000">
      <w:pPr>
        <w:ind w:left="1134" w:hanging="1134"/>
      </w:pPr>
    </w:p>
    <w:p w:rsidR="00000000" w:rsidRDefault="00000000">
      <w:r>
        <w:t>329.</w:t>
      </w:r>
      <w:r>
        <w:tab/>
        <w:t>Одной из проблем, с которой ежедневно вынуждены сталкиваться крестьяне, является крайнее малоземелье.  В районе озера Титикака размеры владений измеряются не гектарами, а бороздами, при этом в 70-80-е годы процесс дробления земельных участков в районе нагорья настолько ускорился, что в год в среднем появлялось до 16 000 новых мелких хозяйств.</w:t>
      </w:r>
    </w:p>
    <w:p w:rsidR="00000000" w:rsidRDefault="00000000"/>
    <w:p w:rsidR="00000000" w:rsidRDefault="00000000">
      <w:pPr>
        <w:pStyle w:val="Heading7"/>
        <w:spacing w:line="240" w:lineRule="auto"/>
        <w:rPr>
          <w:b/>
          <w:u w:val="none"/>
        </w:rPr>
      </w:pPr>
      <w:r>
        <w:rPr>
          <w:b/>
          <w:u w:val="none"/>
        </w:rPr>
        <w:t>Структура собственности на землю</w:t>
      </w:r>
    </w:p>
    <w:p w:rsidR="00000000" w:rsidRDefault="00000000">
      <w:pPr>
        <w:keepNext/>
        <w:spacing w:line="240" w:lineRule="auto"/>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2163"/>
        <w:gridCol w:w="2127"/>
        <w:gridCol w:w="1452"/>
        <w:gridCol w:w="1914"/>
      </w:tblGrid>
      <w:tr w:rsidR="00000000">
        <w:tblPrEx>
          <w:tblCellMar>
            <w:top w:w="0" w:type="dxa"/>
            <w:bottom w:w="0" w:type="dxa"/>
          </w:tblCellMar>
        </w:tblPrEx>
        <w:tc>
          <w:tcPr>
            <w:tcW w:w="1914" w:type="dxa"/>
          </w:tcPr>
          <w:p w:rsidR="00000000" w:rsidRDefault="00000000">
            <w:pPr>
              <w:keepNext/>
              <w:spacing w:line="240" w:lineRule="auto"/>
              <w:jc w:val="center"/>
            </w:pPr>
            <w:r>
              <w:t>Размеры владений в га</w:t>
            </w:r>
          </w:p>
        </w:tc>
        <w:tc>
          <w:tcPr>
            <w:tcW w:w="2163" w:type="dxa"/>
          </w:tcPr>
          <w:p w:rsidR="00000000" w:rsidRDefault="00000000">
            <w:pPr>
              <w:keepNext/>
              <w:spacing w:line="240" w:lineRule="auto"/>
              <w:jc w:val="center"/>
            </w:pPr>
            <w:r>
              <w:t>Общая площадь владений соответствующей категории в га</w:t>
            </w:r>
          </w:p>
        </w:tc>
        <w:tc>
          <w:tcPr>
            <w:tcW w:w="2127" w:type="dxa"/>
          </w:tcPr>
          <w:p w:rsidR="00000000" w:rsidRDefault="00000000">
            <w:pPr>
              <w:keepNext/>
              <w:spacing w:line="240" w:lineRule="auto"/>
              <w:jc w:val="center"/>
            </w:pPr>
            <w:r>
              <w:t xml:space="preserve">Процентная доля в общей площади </w:t>
            </w:r>
            <w:proofErr w:type="spellStart"/>
            <w:r>
              <w:t>сельскохозяйст-венных</w:t>
            </w:r>
            <w:proofErr w:type="spellEnd"/>
            <w:r>
              <w:t xml:space="preserve"> угодий</w:t>
            </w:r>
          </w:p>
        </w:tc>
        <w:tc>
          <w:tcPr>
            <w:tcW w:w="1452" w:type="dxa"/>
          </w:tcPr>
          <w:p w:rsidR="00000000" w:rsidRDefault="00000000">
            <w:pPr>
              <w:keepNext/>
              <w:spacing w:line="240" w:lineRule="auto"/>
              <w:jc w:val="center"/>
            </w:pPr>
            <w:r>
              <w:t>Число владений</w:t>
            </w:r>
          </w:p>
        </w:tc>
        <w:tc>
          <w:tcPr>
            <w:tcW w:w="1914" w:type="dxa"/>
          </w:tcPr>
          <w:p w:rsidR="00000000" w:rsidRDefault="00000000">
            <w:pPr>
              <w:keepNext/>
              <w:spacing w:line="240" w:lineRule="auto"/>
              <w:jc w:val="center"/>
            </w:pPr>
            <w:r>
              <w:t>Процентная доля в общем числе владений</w:t>
            </w:r>
          </w:p>
        </w:tc>
      </w:tr>
      <w:tr w:rsidR="00000000">
        <w:tblPrEx>
          <w:tblCellMar>
            <w:top w:w="0" w:type="dxa"/>
            <w:bottom w:w="0" w:type="dxa"/>
          </w:tblCellMar>
        </w:tblPrEx>
        <w:tc>
          <w:tcPr>
            <w:tcW w:w="1914" w:type="dxa"/>
          </w:tcPr>
          <w:p w:rsidR="00000000" w:rsidRDefault="00000000">
            <w:pPr>
              <w:keepNext/>
              <w:jc w:val="center"/>
            </w:pPr>
            <w:r>
              <w:t>&lt; 1</w:t>
            </w:r>
          </w:p>
        </w:tc>
        <w:tc>
          <w:tcPr>
            <w:tcW w:w="2163" w:type="dxa"/>
          </w:tcPr>
          <w:p w:rsidR="00000000" w:rsidRDefault="00000000">
            <w:pPr>
              <w:keepNext/>
              <w:jc w:val="right"/>
            </w:pPr>
            <w:r>
              <w:t>26 300</w:t>
            </w:r>
          </w:p>
        </w:tc>
        <w:tc>
          <w:tcPr>
            <w:tcW w:w="2127" w:type="dxa"/>
          </w:tcPr>
          <w:p w:rsidR="00000000" w:rsidRDefault="00000000">
            <w:pPr>
              <w:keepNext/>
              <w:jc w:val="right"/>
            </w:pPr>
            <w:r>
              <w:t>0,1</w:t>
            </w:r>
          </w:p>
        </w:tc>
        <w:tc>
          <w:tcPr>
            <w:tcW w:w="1452" w:type="dxa"/>
          </w:tcPr>
          <w:p w:rsidR="00000000" w:rsidRDefault="00000000">
            <w:pPr>
              <w:keepNext/>
              <w:tabs>
                <w:tab w:val="clear" w:pos="1134"/>
              </w:tabs>
              <w:jc w:val="right"/>
            </w:pPr>
            <w:r>
              <w:t>85 300</w:t>
            </w:r>
          </w:p>
        </w:tc>
        <w:tc>
          <w:tcPr>
            <w:tcW w:w="1914" w:type="dxa"/>
          </w:tcPr>
          <w:p w:rsidR="00000000" w:rsidRDefault="00000000">
            <w:pPr>
              <w:keepNext/>
              <w:tabs>
                <w:tab w:val="clear" w:pos="567"/>
                <w:tab w:val="clear" w:pos="1134"/>
                <w:tab w:val="clear" w:pos="1701"/>
              </w:tabs>
              <w:jc w:val="right"/>
            </w:pPr>
            <w:r>
              <w:t>27,1</w:t>
            </w:r>
          </w:p>
        </w:tc>
      </w:tr>
      <w:tr w:rsidR="00000000">
        <w:tblPrEx>
          <w:tblCellMar>
            <w:top w:w="0" w:type="dxa"/>
            <w:bottom w:w="0" w:type="dxa"/>
          </w:tblCellMar>
        </w:tblPrEx>
        <w:tc>
          <w:tcPr>
            <w:tcW w:w="1914" w:type="dxa"/>
          </w:tcPr>
          <w:p w:rsidR="00000000" w:rsidRDefault="00000000">
            <w:pPr>
              <w:keepNext/>
              <w:jc w:val="center"/>
            </w:pPr>
            <w:r>
              <w:t>1 – 2</w:t>
            </w:r>
          </w:p>
        </w:tc>
        <w:tc>
          <w:tcPr>
            <w:tcW w:w="2163" w:type="dxa"/>
          </w:tcPr>
          <w:p w:rsidR="00000000" w:rsidRDefault="00000000">
            <w:pPr>
              <w:keepNext/>
              <w:jc w:val="right"/>
            </w:pPr>
            <w:r>
              <w:t>65 500</w:t>
            </w:r>
          </w:p>
        </w:tc>
        <w:tc>
          <w:tcPr>
            <w:tcW w:w="2127" w:type="dxa"/>
          </w:tcPr>
          <w:p w:rsidR="00000000" w:rsidRDefault="00000000">
            <w:pPr>
              <w:keepNext/>
              <w:jc w:val="right"/>
            </w:pPr>
            <w:r>
              <w:t>0,3</w:t>
            </w:r>
          </w:p>
        </w:tc>
        <w:tc>
          <w:tcPr>
            <w:tcW w:w="1452" w:type="dxa"/>
          </w:tcPr>
          <w:p w:rsidR="00000000" w:rsidRDefault="00000000">
            <w:pPr>
              <w:keepNext/>
              <w:tabs>
                <w:tab w:val="clear" w:pos="1134"/>
              </w:tabs>
              <w:jc w:val="right"/>
            </w:pPr>
            <w:r>
              <w:t>51 100</w:t>
            </w:r>
          </w:p>
        </w:tc>
        <w:tc>
          <w:tcPr>
            <w:tcW w:w="1914" w:type="dxa"/>
          </w:tcPr>
          <w:p w:rsidR="00000000" w:rsidRDefault="00000000">
            <w:pPr>
              <w:keepNext/>
              <w:tabs>
                <w:tab w:val="clear" w:pos="567"/>
                <w:tab w:val="clear" w:pos="1134"/>
                <w:tab w:val="clear" w:pos="1701"/>
              </w:tabs>
              <w:jc w:val="right"/>
            </w:pPr>
            <w:r>
              <w:t>16,2</w:t>
            </w:r>
          </w:p>
        </w:tc>
      </w:tr>
      <w:tr w:rsidR="00000000">
        <w:tblPrEx>
          <w:tblCellMar>
            <w:top w:w="0" w:type="dxa"/>
            <w:bottom w:w="0" w:type="dxa"/>
          </w:tblCellMar>
        </w:tblPrEx>
        <w:tc>
          <w:tcPr>
            <w:tcW w:w="1914" w:type="dxa"/>
          </w:tcPr>
          <w:p w:rsidR="00000000" w:rsidRDefault="00000000">
            <w:pPr>
              <w:keepNext/>
              <w:jc w:val="center"/>
            </w:pPr>
            <w:r>
              <w:t>2 – 5</w:t>
            </w:r>
          </w:p>
        </w:tc>
        <w:tc>
          <w:tcPr>
            <w:tcW w:w="2163" w:type="dxa"/>
          </w:tcPr>
          <w:p w:rsidR="00000000" w:rsidRDefault="00000000">
            <w:pPr>
              <w:keepNext/>
              <w:jc w:val="right"/>
            </w:pPr>
            <w:r>
              <w:t>231 000</w:t>
            </w:r>
          </w:p>
        </w:tc>
        <w:tc>
          <w:tcPr>
            <w:tcW w:w="2127" w:type="dxa"/>
          </w:tcPr>
          <w:p w:rsidR="00000000" w:rsidRDefault="00000000">
            <w:pPr>
              <w:keepNext/>
              <w:jc w:val="right"/>
            </w:pPr>
            <w:r>
              <w:t>1,1</w:t>
            </w:r>
          </w:p>
        </w:tc>
        <w:tc>
          <w:tcPr>
            <w:tcW w:w="1452" w:type="dxa"/>
          </w:tcPr>
          <w:p w:rsidR="00000000" w:rsidRDefault="00000000">
            <w:pPr>
              <w:keepNext/>
              <w:tabs>
                <w:tab w:val="clear" w:pos="1134"/>
              </w:tabs>
              <w:jc w:val="right"/>
            </w:pPr>
            <w:r>
              <w:t>78 200</w:t>
            </w:r>
          </w:p>
        </w:tc>
        <w:tc>
          <w:tcPr>
            <w:tcW w:w="1914" w:type="dxa"/>
          </w:tcPr>
          <w:p w:rsidR="00000000" w:rsidRDefault="00000000">
            <w:pPr>
              <w:keepNext/>
              <w:tabs>
                <w:tab w:val="clear" w:pos="567"/>
                <w:tab w:val="clear" w:pos="1134"/>
                <w:tab w:val="clear" w:pos="1701"/>
              </w:tabs>
              <w:jc w:val="right"/>
            </w:pPr>
            <w:r>
              <w:t>24,9</w:t>
            </w:r>
          </w:p>
        </w:tc>
      </w:tr>
      <w:tr w:rsidR="00000000">
        <w:tblPrEx>
          <w:tblCellMar>
            <w:top w:w="0" w:type="dxa"/>
            <w:bottom w:w="0" w:type="dxa"/>
          </w:tblCellMar>
        </w:tblPrEx>
        <w:tc>
          <w:tcPr>
            <w:tcW w:w="1914" w:type="dxa"/>
          </w:tcPr>
          <w:p w:rsidR="00000000" w:rsidRDefault="00000000">
            <w:pPr>
              <w:keepNext/>
              <w:jc w:val="center"/>
            </w:pPr>
            <w:r>
              <w:t>5 – 10</w:t>
            </w:r>
          </w:p>
        </w:tc>
        <w:tc>
          <w:tcPr>
            <w:tcW w:w="2163" w:type="dxa"/>
          </w:tcPr>
          <w:p w:rsidR="00000000" w:rsidRDefault="00000000">
            <w:pPr>
              <w:keepNext/>
              <w:jc w:val="right"/>
            </w:pPr>
            <w:r>
              <w:t>243 600</w:t>
            </w:r>
          </w:p>
        </w:tc>
        <w:tc>
          <w:tcPr>
            <w:tcW w:w="2127" w:type="dxa"/>
          </w:tcPr>
          <w:p w:rsidR="00000000" w:rsidRDefault="00000000">
            <w:pPr>
              <w:keepNext/>
              <w:jc w:val="right"/>
            </w:pPr>
            <w:r>
              <w:t>1,1</w:t>
            </w:r>
          </w:p>
        </w:tc>
        <w:tc>
          <w:tcPr>
            <w:tcW w:w="1452" w:type="dxa"/>
          </w:tcPr>
          <w:p w:rsidR="00000000" w:rsidRDefault="00000000">
            <w:pPr>
              <w:keepNext/>
              <w:tabs>
                <w:tab w:val="clear" w:pos="1134"/>
              </w:tabs>
              <w:jc w:val="right"/>
            </w:pPr>
            <w:r>
              <w:t>37 100</w:t>
            </w:r>
          </w:p>
        </w:tc>
        <w:tc>
          <w:tcPr>
            <w:tcW w:w="1914" w:type="dxa"/>
          </w:tcPr>
          <w:p w:rsidR="00000000" w:rsidRDefault="00000000">
            <w:pPr>
              <w:keepNext/>
              <w:tabs>
                <w:tab w:val="clear" w:pos="567"/>
                <w:tab w:val="clear" w:pos="1134"/>
                <w:tab w:val="clear" w:pos="1701"/>
              </w:tabs>
              <w:jc w:val="right"/>
            </w:pPr>
            <w:r>
              <w:t>11,8</w:t>
            </w:r>
          </w:p>
        </w:tc>
      </w:tr>
      <w:tr w:rsidR="00000000">
        <w:tblPrEx>
          <w:tblCellMar>
            <w:top w:w="0" w:type="dxa"/>
            <w:bottom w:w="0" w:type="dxa"/>
          </w:tblCellMar>
        </w:tblPrEx>
        <w:tc>
          <w:tcPr>
            <w:tcW w:w="1914" w:type="dxa"/>
          </w:tcPr>
          <w:p w:rsidR="00000000" w:rsidRDefault="00000000">
            <w:pPr>
              <w:keepNext/>
              <w:jc w:val="center"/>
            </w:pPr>
            <w:r>
              <w:t>10 – 50</w:t>
            </w:r>
          </w:p>
        </w:tc>
        <w:tc>
          <w:tcPr>
            <w:tcW w:w="2163" w:type="dxa"/>
          </w:tcPr>
          <w:p w:rsidR="00000000" w:rsidRDefault="00000000">
            <w:pPr>
              <w:keepNext/>
              <w:jc w:val="right"/>
            </w:pPr>
            <w:r>
              <w:t>824 000</w:t>
            </w:r>
          </w:p>
        </w:tc>
        <w:tc>
          <w:tcPr>
            <w:tcW w:w="2127" w:type="dxa"/>
          </w:tcPr>
          <w:p w:rsidR="00000000" w:rsidRDefault="00000000">
            <w:pPr>
              <w:keepNext/>
              <w:jc w:val="right"/>
            </w:pPr>
            <w:r>
              <w:t>3,6</w:t>
            </w:r>
          </w:p>
        </w:tc>
        <w:tc>
          <w:tcPr>
            <w:tcW w:w="1452" w:type="dxa"/>
          </w:tcPr>
          <w:p w:rsidR="00000000" w:rsidRDefault="00000000">
            <w:pPr>
              <w:keepNext/>
              <w:tabs>
                <w:tab w:val="clear" w:pos="1134"/>
              </w:tabs>
              <w:jc w:val="right"/>
            </w:pPr>
            <w:r>
              <w:t>39 400</w:t>
            </w:r>
          </w:p>
        </w:tc>
        <w:tc>
          <w:tcPr>
            <w:tcW w:w="1914" w:type="dxa"/>
          </w:tcPr>
          <w:p w:rsidR="00000000" w:rsidRDefault="00000000">
            <w:pPr>
              <w:keepNext/>
              <w:tabs>
                <w:tab w:val="clear" w:pos="567"/>
                <w:tab w:val="clear" w:pos="1134"/>
                <w:tab w:val="clear" w:pos="1701"/>
              </w:tabs>
              <w:jc w:val="right"/>
            </w:pPr>
            <w:r>
              <w:t>12,5</w:t>
            </w:r>
          </w:p>
        </w:tc>
      </w:tr>
      <w:tr w:rsidR="00000000">
        <w:tblPrEx>
          <w:tblCellMar>
            <w:top w:w="0" w:type="dxa"/>
            <w:bottom w:w="0" w:type="dxa"/>
          </w:tblCellMar>
        </w:tblPrEx>
        <w:tc>
          <w:tcPr>
            <w:tcW w:w="1914" w:type="dxa"/>
          </w:tcPr>
          <w:p w:rsidR="00000000" w:rsidRDefault="00000000">
            <w:pPr>
              <w:keepNext/>
              <w:jc w:val="center"/>
            </w:pPr>
            <w:r>
              <w:t>50 - 100</w:t>
            </w:r>
          </w:p>
        </w:tc>
        <w:tc>
          <w:tcPr>
            <w:tcW w:w="2163" w:type="dxa"/>
          </w:tcPr>
          <w:p w:rsidR="00000000" w:rsidRDefault="00000000">
            <w:pPr>
              <w:keepNext/>
              <w:jc w:val="right"/>
            </w:pPr>
            <w:r>
              <w:t>661 000</w:t>
            </w:r>
          </w:p>
        </w:tc>
        <w:tc>
          <w:tcPr>
            <w:tcW w:w="2127" w:type="dxa"/>
          </w:tcPr>
          <w:p w:rsidR="00000000" w:rsidRDefault="00000000">
            <w:pPr>
              <w:keepNext/>
              <w:jc w:val="right"/>
            </w:pPr>
            <w:r>
              <w:t>2,9</w:t>
            </w:r>
          </w:p>
        </w:tc>
        <w:tc>
          <w:tcPr>
            <w:tcW w:w="1452" w:type="dxa"/>
          </w:tcPr>
          <w:p w:rsidR="00000000" w:rsidRDefault="00000000">
            <w:pPr>
              <w:keepNext/>
              <w:tabs>
                <w:tab w:val="clear" w:pos="1134"/>
              </w:tabs>
              <w:jc w:val="right"/>
            </w:pPr>
            <w:r>
              <w:t>11 400</w:t>
            </w:r>
          </w:p>
        </w:tc>
        <w:tc>
          <w:tcPr>
            <w:tcW w:w="1914" w:type="dxa"/>
          </w:tcPr>
          <w:p w:rsidR="00000000" w:rsidRDefault="00000000">
            <w:pPr>
              <w:keepNext/>
              <w:tabs>
                <w:tab w:val="clear" w:pos="567"/>
                <w:tab w:val="clear" w:pos="1134"/>
                <w:tab w:val="clear" w:pos="1701"/>
              </w:tabs>
              <w:jc w:val="right"/>
            </w:pPr>
            <w:r>
              <w:t>3,6</w:t>
            </w:r>
          </w:p>
        </w:tc>
      </w:tr>
      <w:tr w:rsidR="00000000">
        <w:tblPrEx>
          <w:tblCellMar>
            <w:top w:w="0" w:type="dxa"/>
            <w:bottom w:w="0" w:type="dxa"/>
          </w:tblCellMar>
        </w:tblPrEx>
        <w:tc>
          <w:tcPr>
            <w:tcW w:w="1914" w:type="dxa"/>
          </w:tcPr>
          <w:p w:rsidR="00000000" w:rsidRDefault="00000000">
            <w:pPr>
              <w:keepNext/>
              <w:jc w:val="center"/>
            </w:pPr>
            <w:r>
              <w:t>100 – 500</w:t>
            </w:r>
          </w:p>
        </w:tc>
        <w:tc>
          <w:tcPr>
            <w:tcW w:w="2163" w:type="dxa"/>
          </w:tcPr>
          <w:p w:rsidR="00000000" w:rsidRDefault="00000000">
            <w:pPr>
              <w:keepNext/>
              <w:jc w:val="right"/>
            </w:pPr>
            <w:r>
              <w:t>1 266 800</w:t>
            </w:r>
          </w:p>
        </w:tc>
        <w:tc>
          <w:tcPr>
            <w:tcW w:w="2127" w:type="dxa"/>
          </w:tcPr>
          <w:p w:rsidR="00000000" w:rsidRDefault="00000000">
            <w:pPr>
              <w:keepNext/>
              <w:jc w:val="right"/>
            </w:pPr>
            <w:r>
              <w:t>5,6</w:t>
            </w:r>
          </w:p>
        </w:tc>
        <w:tc>
          <w:tcPr>
            <w:tcW w:w="1452" w:type="dxa"/>
          </w:tcPr>
          <w:p w:rsidR="00000000" w:rsidRDefault="00000000">
            <w:pPr>
              <w:keepNext/>
              <w:tabs>
                <w:tab w:val="clear" w:pos="1134"/>
              </w:tabs>
              <w:jc w:val="right"/>
            </w:pPr>
            <w:r>
              <w:t>6 300</w:t>
            </w:r>
          </w:p>
        </w:tc>
        <w:tc>
          <w:tcPr>
            <w:tcW w:w="1914" w:type="dxa"/>
          </w:tcPr>
          <w:p w:rsidR="00000000" w:rsidRDefault="00000000">
            <w:pPr>
              <w:keepNext/>
              <w:tabs>
                <w:tab w:val="clear" w:pos="567"/>
                <w:tab w:val="clear" w:pos="1134"/>
                <w:tab w:val="clear" w:pos="1701"/>
              </w:tabs>
              <w:jc w:val="right"/>
            </w:pPr>
            <w:r>
              <w:t>2,1</w:t>
            </w:r>
          </w:p>
        </w:tc>
      </w:tr>
      <w:tr w:rsidR="00000000">
        <w:tblPrEx>
          <w:tblCellMar>
            <w:top w:w="0" w:type="dxa"/>
            <w:bottom w:w="0" w:type="dxa"/>
          </w:tblCellMar>
        </w:tblPrEx>
        <w:tc>
          <w:tcPr>
            <w:tcW w:w="1914" w:type="dxa"/>
          </w:tcPr>
          <w:p w:rsidR="00000000" w:rsidRDefault="00000000">
            <w:pPr>
              <w:keepNext/>
              <w:jc w:val="center"/>
            </w:pPr>
            <w:r>
              <w:t>500 – 5 000</w:t>
            </w:r>
          </w:p>
        </w:tc>
        <w:tc>
          <w:tcPr>
            <w:tcW w:w="2163" w:type="dxa"/>
          </w:tcPr>
          <w:p w:rsidR="00000000" w:rsidRDefault="00000000">
            <w:pPr>
              <w:keepNext/>
              <w:jc w:val="right"/>
            </w:pPr>
            <w:r>
              <w:t>8 302 800</w:t>
            </w:r>
          </w:p>
        </w:tc>
        <w:tc>
          <w:tcPr>
            <w:tcW w:w="2127" w:type="dxa"/>
          </w:tcPr>
          <w:p w:rsidR="00000000" w:rsidRDefault="00000000">
            <w:pPr>
              <w:keepNext/>
              <w:jc w:val="right"/>
            </w:pPr>
            <w:r>
              <w:t>36,6</w:t>
            </w:r>
          </w:p>
        </w:tc>
        <w:tc>
          <w:tcPr>
            <w:tcW w:w="1452" w:type="dxa"/>
          </w:tcPr>
          <w:p w:rsidR="00000000" w:rsidRDefault="00000000">
            <w:pPr>
              <w:keepNext/>
              <w:tabs>
                <w:tab w:val="clear" w:pos="1134"/>
              </w:tabs>
              <w:jc w:val="right"/>
            </w:pPr>
            <w:r>
              <w:t>5 100</w:t>
            </w:r>
          </w:p>
        </w:tc>
        <w:tc>
          <w:tcPr>
            <w:tcW w:w="1914" w:type="dxa"/>
          </w:tcPr>
          <w:p w:rsidR="00000000" w:rsidRDefault="00000000">
            <w:pPr>
              <w:keepNext/>
              <w:tabs>
                <w:tab w:val="clear" w:pos="567"/>
                <w:tab w:val="clear" w:pos="1134"/>
                <w:tab w:val="clear" w:pos="1701"/>
              </w:tabs>
              <w:jc w:val="right"/>
            </w:pPr>
            <w:r>
              <w:t>1,6</w:t>
            </w:r>
          </w:p>
        </w:tc>
      </w:tr>
      <w:tr w:rsidR="00000000">
        <w:tblPrEx>
          <w:tblCellMar>
            <w:top w:w="0" w:type="dxa"/>
            <w:bottom w:w="0" w:type="dxa"/>
          </w:tblCellMar>
        </w:tblPrEx>
        <w:tc>
          <w:tcPr>
            <w:tcW w:w="1914" w:type="dxa"/>
          </w:tcPr>
          <w:p w:rsidR="00000000" w:rsidRDefault="00000000">
            <w:pPr>
              <w:keepNext/>
              <w:jc w:val="center"/>
            </w:pPr>
            <w:r>
              <w:t>&gt; 5 000</w:t>
            </w:r>
          </w:p>
        </w:tc>
        <w:tc>
          <w:tcPr>
            <w:tcW w:w="2163" w:type="dxa"/>
          </w:tcPr>
          <w:p w:rsidR="00000000" w:rsidRDefault="00000000">
            <w:pPr>
              <w:keepNext/>
              <w:jc w:val="right"/>
            </w:pPr>
            <w:r>
              <w:t>11 047 800</w:t>
            </w:r>
          </w:p>
        </w:tc>
        <w:tc>
          <w:tcPr>
            <w:tcW w:w="2127" w:type="dxa"/>
          </w:tcPr>
          <w:p w:rsidR="00000000" w:rsidRDefault="00000000">
            <w:pPr>
              <w:keepNext/>
              <w:jc w:val="right"/>
            </w:pPr>
            <w:r>
              <w:t>48,7</w:t>
            </w:r>
          </w:p>
        </w:tc>
        <w:tc>
          <w:tcPr>
            <w:tcW w:w="1452" w:type="dxa"/>
          </w:tcPr>
          <w:p w:rsidR="00000000" w:rsidRDefault="00000000">
            <w:pPr>
              <w:keepNext/>
              <w:tabs>
                <w:tab w:val="clear" w:pos="1134"/>
              </w:tabs>
              <w:jc w:val="right"/>
            </w:pPr>
            <w:r>
              <w:t>700</w:t>
            </w:r>
          </w:p>
        </w:tc>
        <w:tc>
          <w:tcPr>
            <w:tcW w:w="1914" w:type="dxa"/>
          </w:tcPr>
          <w:p w:rsidR="00000000" w:rsidRDefault="00000000">
            <w:pPr>
              <w:keepNext/>
              <w:tabs>
                <w:tab w:val="clear" w:pos="567"/>
                <w:tab w:val="clear" w:pos="1134"/>
                <w:tab w:val="clear" w:pos="1701"/>
              </w:tabs>
              <w:jc w:val="right"/>
            </w:pPr>
            <w:r>
              <w:t>0,2</w:t>
            </w:r>
          </w:p>
        </w:tc>
      </w:tr>
      <w:tr w:rsidR="00000000">
        <w:tblPrEx>
          <w:tblCellMar>
            <w:top w:w="0" w:type="dxa"/>
            <w:bottom w:w="0" w:type="dxa"/>
          </w:tblCellMar>
        </w:tblPrEx>
        <w:tc>
          <w:tcPr>
            <w:tcW w:w="1914" w:type="dxa"/>
          </w:tcPr>
          <w:p w:rsidR="00000000" w:rsidRDefault="00000000">
            <w:pPr>
              <w:pStyle w:val="Heading7"/>
              <w:spacing w:line="288" w:lineRule="auto"/>
            </w:pPr>
            <w:r>
              <w:t>Всего</w:t>
            </w:r>
          </w:p>
        </w:tc>
        <w:tc>
          <w:tcPr>
            <w:tcW w:w="2163" w:type="dxa"/>
          </w:tcPr>
          <w:p w:rsidR="00000000" w:rsidRDefault="00000000">
            <w:pPr>
              <w:keepNext/>
              <w:jc w:val="right"/>
              <w:rPr>
                <w:b/>
              </w:rPr>
            </w:pPr>
            <w:r>
              <w:rPr>
                <w:b/>
              </w:rPr>
              <w:t>22 670 300</w:t>
            </w:r>
          </w:p>
        </w:tc>
        <w:tc>
          <w:tcPr>
            <w:tcW w:w="2127" w:type="dxa"/>
          </w:tcPr>
          <w:p w:rsidR="00000000" w:rsidRDefault="00000000">
            <w:pPr>
              <w:keepNext/>
              <w:jc w:val="right"/>
              <w:rPr>
                <w:b/>
              </w:rPr>
            </w:pPr>
            <w:r>
              <w:rPr>
                <w:b/>
              </w:rPr>
              <w:t>100</w:t>
            </w:r>
          </w:p>
        </w:tc>
        <w:tc>
          <w:tcPr>
            <w:tcW w:w="1452" w:type="dxa"/>
          </w:tcPr>
          <w:p w:rsidR="00000000" w:rsidRDefault="00000000">
            <w:pPr>
              <w:keepNext/>
              <w:tabs>
                <w:tab w:val="clear" w:pos="1134"/>
              </w:tabs>
              <w:jc w:val="right"/>
              <w:rPr>
                <w:b/>
              </w:rPr>
            </w:pPr>
            <w:r>
              <w:rPr>
                <w:b/>
              </w:rPr>
              <w:t>314 600</w:t>
            </w:r>
          </w:p>
        </w:tc>
        <w:tc>
          <w:tcPr>
            <w:tcW w:w="1914" w:type="dxa"/>
          </w:tcPr>
          <w:p w:rsidR="00000000" w:rsidRDefault="00000000">
            <w:pPr>
              <w:keepNext/>
              <w:tabs>
                <w:tab w:val="clear" w:pos="567"/>
                <w:tab w:val="clear" w:pos="1134"/>
                <w:tab w:val="clear" w:pos="1701"/>
              </w:tabs>
              <w:jc w:val="right"/>
              <w:rPr>
                <w:b/>
              </w:rPr>
            </w:pPr>
            <w:r>
              <w:rPr>
                <w:b/>
              </w:rPr>
              <w:t>100</w:t>
            </w:r>
          </w:p>
        </w:tc>
      </w:tr>
    </w:tbl>
    <w:p w:rsidR="00000000" w:rsidRDefault="00000000">
      <w:pPr>
        <w:keepNext/>
        <w:jc w:val="center"/>
      </w:pPr>
    </w:p>
    <w:p w:rsidR="00000000" w:rsidRDefault="00000000">
      <w:pPr>
        <w:pStyle w:val="FootnoteText"/>
        <w:keepNext/>
        <w:spacing w:line="288" w:lineRule="auto"/>
      </w:pPr>
      <w:r>
        <w:tab/>
      </w:r>
      <w:r>
        <w:rPr>
          <w:u w:val="single"/>
        </w:rPr>
        <w:t>Источник</w:t>
      </w:r>
      <w:r>
        <w:t>:  Ismael Mantes de Oca 1997.</w:t>
      </w:r>
    </w:p>
    <w:p w:rsidR="00000000" w:rsidRDefault="00000000">
      <w:pPr>
        <w:pStyle w:val="FootnoteText"/>
        <w:spacing w:line="288" w:lineRule="auto"/>
      </w:pPr>
    </w:p>
    <w:p w:rsidR="00000000" w:rsidRDefault="00000000">
      <w:pPr>
        <w:pStyle w:val="FootnoteText"/>
        <w:spacing w:line="288" w:lineRule="auto"/>
      </w:pPr>
      <w:r>
        <w:rPr>
          <w:u w:val="single"/>
        </w:rPr>
        <w:t xml:space="preserve">Пункт 2 </w:t>
      </w:r>
      <w:proofErr w:type="spellStart"/>
      <w:r>
        <w:rPr>
          <w:u w:val="single"/>
        </w:rPr>
        <w:t>h</w:t>
      </w:r>
      <w:proofErr w:type="spellEnd"/>
      <w:r>
        <w:t>)</w:t>
      </w:r>
    </w:p>
    <w:p w:rsidR="00000000" w:rsidRDefault="00000000">
      <w:pPr>
        <w:pStyle w:val="FootnoteText"/>
        <w:spacing w:line="288" w:lineRule="auto"/>
      </w:pPr>
    </w:p>
    <w:p w:rsidR="00000000" w:rsidRDefault="00000000">
      <w:pPr>
        <w:pStyle w:val="FootnoteText"/>
        <w:spacing w:line="288" w:lineRule="auto"/>
      </w:pPr>
      <w:r>
        <w:t>330.</w:t>
      </w:r>
      <w:r>
        <w:tab/>
        <w:t>В целях обеспечения стабильности снабжения продовольствием правительство Боливии представило на рассмотрение Консультативной группы по вопросам оказания поддержки Боливии "Стратегию перестройки сельскохозяйственного сектора" и разработало Генеральный план социально-экономического развития, основные цели которого состоят в наращивании темпов экономического развития страны, обеспечении социальной справедливости, рациональном использовании природных ресурсов и совершенствовании системы управления.  Этот план ориентирован на стимулирование технологического прогресса при одновременном обеспечении устойчивого использования природных ресурсов;  увеличение объема инвестиций в развитие человеческого потенциала, особенно в сельских районах;  обеспечение доступа к рынкам и финансирование развития сельского хозяйства.  Он также направлен на повышение уровня продовольственной безопасности;  расширение для большинства населения доступа к продуктами питания;  стимулирование участия слоев, составляющих большинство населения страны, в частности жителей сельских районов, малообеспеченных жителей городов и крестьянок;  осуществление стратегий в области возобновления природных ресурсов и их рационального использования;  увеличение государственных инвестиций в сельское хозяйство, науку и технику (исследования, профессиональная подготовка, консультативное обслуживание), инфраструктуру и социальные услуги (образование и здравоохранение);  и осуществление стратегий в области улучшения условий труда в сельских районах путем их индустриализации в небольших масштабах на децентрализованной основе.</w:t>
      </w:r>
    </w:p>
    <w:p w:rsidR="00000000" w:rsidRDefault="00000000">
      <w:pPr>
        <w:pStyle w:val="FootnoteText"/>
        <w:spacing w:line="288" w:lineRule="auto"/>
      </w:pPr>
    </w:p>
    <w:p w:rsidR="00000000" w:rsidRDefault="00000000">
      <w:pPr>
        <w:pStyle w:val="FootnoteText"/>
        <w:spacing w:line="288" w:lineRule="auto"/>
        <w:rPr>
          <w:lang w:val="en-US"/>
        </w:rPr>
      </w:pPr>
      <w:r>
        <w:t>331.</w:t>
      </w:r>
      <w:r>
        <w:tab/>
        <w:t>Упомянутая выше стратегия была недавно одобрена Консультативной группой по вопросам оказания поддержки Боливии, при этом была достигнута договоренность, что за счет государственного бюджета будет финансироваться 44% объема инвестиций, необходимых для реализации стратегии.</w:t>
      </w:r>
    </w:p>
    <w:p w:rsidR="00000000" w:rsidRDefault="00000000">
      <w:pPr>
        <w:rPr>
          <w:lang w:val="en-US"/>
        </w:rPr>
      </w:pPr>
    </w:p>
    <w:p w:rsidR="00000000" w:rsidRDefault="00000000">
      <w:r>
        <w:t>332.</w:t>
      </w:r>
      <w:r>
        <w:tab/>
        <w:t>Боливийское государство через министерство сельского хозяйства, животноводства и развития сельских районов в настоящее время разрабатывает мероприятия по осуществлению программ, направленных на достижение продовольственной безопасности.  "Программа поддержки деятельности по обеспечению продовольственной безопасности", осуществляемая в сотрудничестве с Европейским союзом, призвана содействовать укреплению институционального потенциала в целях оказания поддержки в деле реализации Национального плана продовольственной безопасности в стране.  Специальная программа в области производства продуктов питания для целей обеспечения продовольственной безопасности, осуществляемая в сотрудничестве с ФАО, направлена на повышение продовольственной безопасности и снижение уровня недоедания среди жителей сельских районов и предусматривает проведение экспериментального этапа с целью внедрения производственных технологий и поиска устойчивых решений, позволяющих расширить производство.  Эта программа также предусматривает осуществление проектов в области использования удобрений, оценки и повышения урожайности культур, внедрения методов послеуборочной обработки земель, а также проекта в области поддержания связи.</w:t>
      </w:r>
    </w:p>
    <w:p w:rsidR="00000000" w:rsidRDefault="00000000"/>
    <w:p w:rsidR="00000000" w:rsidRDefault="00000000">
      <w:r>
        <w:t>333.</w:t>
      </w:r>
      <w:r>
        <w:tab/>
        <w:t xml:space="preserve">Также принимаются меры по развитию сектора рыболовства и </w:t>
      </w:r>
      <w:proofErr w:type="spellStart"/>
      <w:r>
        <w:t>аквакультурного</w:t>
      </w:r>
      <w:proofErr w:type="spellEnd"/>
      <w:r>
        <w:t xml:space="preserve"> хозяйства, в частности осуществляется проект, призванный содействовать устойчивому и комплексному развитию этого сектора путем рационального использования рыбных ресурсов в трех водосборных бассейнах страны.  Цель Национальной программы по борьбе с вредителями состоит в совершенствовании технологии и содействии устойчивому развитию земледелия, повышению качества продукции растениеводства и снижению уровня загрязнения, обусловленного чрезмерным использованием пестицидов.</w:t>
      </w:r>
    </w:p>
    <w:p w:rsidR="00000000" w:rsidRDefault="00000000"/>
    <w:p w:rsidR="00000000" w:rsidRDefault="00000000">
      <w:r>
        <w:t>334.</w:t>
      </w:r>
      <w:r>
        <w:tab/>
        <w:t>Также начала осуществляться Программа борьбы с ящуром, которая является неотъемлемым элементом стратегии развития животноводства, направленной на увеличение потребления животных белков и повышение уровня продовольственной безопасности в районах, где ощущается нехватка мяса, а также расширение доступа на внешние рынки на условиях конкуренции.</w:t>
      </w:r>
    </w:p>
    <w:p w:rsidR="00000000" w:rsidRDefault="00000000"/>
    <w:p w:rsidR="00000000" w:rsidRDefault="00000000">
      <w:r>
        <w:t>335.</w:t>
      </w:r>
      <w:r>
        <w:tab/>
        <w:t>Программа борьбы с туберкулезом и бруцеллезом крупного рогатого скота будет способствовать устранению дефицита качественного свежего молока и увеличению его потребления.</w:t>
      </w:r>
    </w:p>
    <w:p w:rsidR="00000000" w:rsidRDefault="00000000"/>
    <w:p w:rsidR="00000000" w:rsidRDefault="00000000">
      <w:r>
        <w:t>336.</w:t>
      </w:r>
      <w:r>
        <w:tab/>
        <w:t>Кроме того, предусматривается разработать программу борьбы с птичьим сальмонеллезом, которая будет способствовать увеличению потребления белка, содержащегося в мясе птицы и яйцах, а также повышению уровня продовольственной безопасности и получению доступа на международные рынки.</w:t>
      </w:r>
    </w:p>
    <w:p w:rsidR="00000000" w:rsidRDefault="00000000"/>
    <w:p w:rsidR="00000000" w:rsidRDefault="00000000">
      <w:r>
        <w:t>337.</w:t>
      </w:r>
      <w:r>
        <w:tab/>
        <w:t>Согласно Пятилетнему плану развития производства пшеницы, за осуществление которого отвечает Национальная ассоциация производителей, площадь под пшеницей в период 1994-1999 годов должна возрасти на 183% и составить в 1999 году 150 000 га, при этом показатель урожайности будет равняться 1,83 метрич. т/га, а объем производства – 274 500 метрич. т, что позволит удовлетворить потребности страны к 2000 году на 65%.</w:t>
      </w:r>
    </w:p>
    <w:p w:rsidR="00000000" w:rsidRDefault="00000000"/>
    <w:p w:rsidR="00000000" w:rsidRDefault="00000000">
      <w:r>
        <w:t>338.</w:t>
      </w:r>
      <w:r>
        <w:tab/>
        <w:t>В целях обеспечения доступа на рынки правительство в настоящее время разрабатывает программы, которые будут способствовать заключению двусторонних соглашений и содействовать процессу интеграции с другими странами.</w:t>
      </w:r>
    </w:p>
    <w:p w:rsidR="00000000" w:rsidRDefault="00000000"/>
    <w:p w:rsidR="00000000" w:rsidRDefault="00000000">
      <w:pPr>
        <w:pStyle w:val="Heading2"/>
      </w:pPr>
      <w:r>
        <w:t>Пункт 3</w:t>
      </w:r>
    </w:p>
    <w:p w:rsidR="00000000" w:rsidRDefault="00000000">
      <w:pPr>
        <w:pStyle w:val="Heading2"/>
      </w:pPr>
    </w:p>
    <w:p w:rsidR="00000000" w:rsidRDefault="00000000">
      <w:r>
        <w:t>339.</w:t>
      </w:r>
      <w:r>
        <w:tab/>
        <w:t>Подавляющее большинство населения Боливии проживает в жилищах, которые не отвечают предъявляемым к жилью требованиям.  К числу основных проблем, с которыми сталкиваются большинство семей, относятся низкое качество строительства, теснота и отсутствие элементарных удобств.</w:t>
      </w:r>
    </w:p>
    <w:p w:rsidR="00000000" w:rsidRDefault="00000000"/>
    <w:p w:rsidR="00000000" w:rsidRDefault="00000000">
      <w:r>
        <w:t>340.</w:t>
      </w:r>
      <w:r>
        <w:tab/>
        <w:t>С нехваткой жилья в той или иной форме сталкиваются по меньшей мере 80% семей страны.  Основная проблема в этой связи кроется в низком качестве эксплуатируемого жилого фонда и недостаточных темпах строительства нового жилья.</w:t>
      </w:r>
    </w:p>
    <w:p w:rsidR="00000000" w:rsidRDefault="00000000"/>
    <w:p w:rsidR="00000000" w:rsidRDefault="00000000">
      <w:r>
        <w:t>341.</w:t>
      </w:r>
      <w:r>
        <w:tab/>
        <w:t>Четвертая часть домашних хозяйств сталкивается со всевозможными жилищными проблемами, включая, в частности, отсутствие в жилищах элементарного водопроводного и канализационного оборудования и электроснабжения.  В 65% семей на одну комнату приходится более трех человек.</w:t>
      </w:r>
    </w:p>
    <w:p w:rsidR="00000000" w:rsidRDefault="00000000"/>
    <w:p w:rsidR="00000000" w:rsidRDefault="00000000">
      <w:r>
        <w:t>342.</w:t>
      </w:r>
      <w:r>
        <w:tab/>
        <w:t>В городских районах к числу наиболее серьезных проблем относится отсутствие в жилищах канализации и перенаселенность жилищ (эти проблемы затрагивают половину городских семей).  В сельской местности все эти проблемы наслаиваются друг на друга и проявляются в самых разнообразных сочетаниях:  проблемы, связанные с отсутствием в жилищах элементарного санитарно-технического оборудования, перенаселенностью и ветхостью жилищ, затрагивают 80% крестьянских семей.  Кроме того, следует иметь в виду, что большинство боливийских семей живут в условиях крайней бедности и находятся в ситуации юридической незащищенности по причине отсутствия у них надлежащим образом оформленных юридических документов, подтверждающих их право на владение занимаемыми ими земельными участками и жилищами.</w:t>
      </w:r>
    </w:p>
    <w:p w:rsidR="00000000" w:rsidRDefault="00000000"/>
    <w:p w:rsidR="00000000" w:rsidRDefault="00000000">
      <w:r>
        <w:t>343.</w:t>
      </w:r>
      <w:r>
        <w:tab/>
        <w:t>К числу проблем, с которыми сталкивается население городских окраин и сельских населенных пунктов, относятся неадекватное состояние местной инфраструктуры, включая коммунальные службы, общее обустройство общины, сеть пешеходных и транспортных коммуникаций, а также обстановка небезопасности и неблагоприятные экологические условия.</w:t>
      </w:r>
    </w:p>
    <w:p w:rsidR="00000000" w:rsidRDefault="00000000"/>
    <w:p w:rsidR="00000000" w:rsidRDefault="00000000">
      <w:r>
        <w:t>344.</w:t>
      </w:r>
      <w:r>
        <w:tab/>
        <w:t>Жилище – это не просто обустроенная частица физического пространства, а нечто большее, поскольку проживание человека в каком-либо месте предполагает формирование социофизической среды, обеспечивающей реализацию двух параллельных процессов:  социализации индивидуального компонента пространства и индивидуализации его социального компонента.  На этой базе оформляются конкретные виды владения и распоряжения местом проживания с учетом всей совокупности символических и исторических реалий местной среды, предопределяющих цели и функции обустроенного жителем места обитания.  Подробная информация о жилищном фонде в разбивке по видам жилищ содержится в приложении 1 к настоящему докладу.</w:t>
      </w:r>
    </w:p>
    <w:p w:rsidR="00000000" w:rsidRDefault="00000000"/>
    <w:p w:rsidR="00000000" w:rsidRDefault="00000000">
      <w:pPr>
        <w:keepNext/>
        <w:spacing w:line="240" w:lineRule="auto"/>
      </w:pPr>
      <w:r>
        <w:rPr>
          <w:u w:val="single"/>
        </w:rPr>
        <w:t>Пункт 3 а</w:t>
      </w:r>
      <w:r>
        <w:t>)</w:t>
      </w:r>
    </w:p>
    <w:p w:rsidR="00000000" w:rsidRDefault="00000000">
      <w:pPr>
        <w:keepNext/>
        <w:spacing w:line="240" w:lineRule="auto"/>
      </w:pPr>
    </w:p>
    <w:p w:rsidR="00000000" w:rsidRDefault="00000000">
      <w:pPr>
        <w:spacing w:line="240" w:lineRule="auto"/>
      </w:pPr>
      <w:r>
        <w:t>345.</w:t>
      </w:r>
      <w:r>
        <w:tab/>
        <w:t>В приводимых ниже таблицах содержатся основные статистические данные о жилом фонде страны:</w:t>
      </w:r>
    </w:p>
    <w:p w:rsidR="00000000" w:rsidRDefault="00000000">
      <w:pPr>
        <w:spacing w:line="240" w:lineRule="auto"/>
      </w:pPr>
    </w:p>
    <w:p w:rsidR="00000000" w:rsidRDefault="00000000">
      <w:pPr>
        <w:pStyle w:val="Heading7"/>
        <w:spacing w:line="240" w:lineRule="auto"/>
        <w:rPr>
          <w:b/>
          <w:u w:val="none"/>
        </w:rPr>
      </w:pPr>
      <w:r>
        <w:rPr>
          <w:b/>
          <w:u w:val="none"/>
        </w:rPr>
        <w:t>Частное жилье с жильцами в разбивке по типам жилья</w:t>
      </w:r>
    </w:p>
    <w:p w:rsidR="00000000" w:rsidRDefault="00000000">
      <w:pPr>
        <w:spacing w:line="240" w:lineRule="auto"/>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1276"/>
        <w:gridCol w:w="851"/>
        <w:gridCol w:w="1134"/>
        <w:gridCol w:w="850"/>
        <w:gridCol w:w="1134"/>
        <w:gridCol w:w="814"/>
      </w:tblGrid>
      <w:tr w:rsidR="00000000">
        <w:tblPrEx>
          <w:tblCellMar>
            <w:top w:w="0" w:type="dxa"/>
            <w:bottom w:w="0" w:type="dxa"/>
          </w:tblCellMar>
        </w:tblPrEx>
        <w:trPr>
          <w:cantSplit/>
        </w:trPr>
        <w:tc>
          <w:tcPr>
            <w:tcW w:w="3510" w:type="dxa"/>
          </w:tcPr>
          <w:p w:rsidR="00000000" w:rsidRDefault="00000000">
            <w:pPr>
              <w:spacing w:line="240" w:lineRule="auto"/>
              <w:jc w:val="center"/>
              <w:rPr>
                <w:b/>
              </w:rPr>
            </w:pPr>
            <w:r>
              <w:rPr>
                <w:b/>
              </w:rPr>
              <w:t>Тип жилья</w:t>
            </w:r>
          </w:p>
        </w:tc>
        <w:tc>
          <w:tcPr>
            <w:tcW w:w="1276" w:type="dxa"/>
          </w:tcPr>
          <w:p w:rsidR="00000000" w:rsidRDefault="00000000">
            <w:pPr>
              <w:spacing w:line="240" w:lineRule="auto"/>
              <w:jc w:val="center"/>
              <w:rPr>
                <w:b/>
              </w:rPr>
            </w:pPr>
            <w:r>
              <w:rPr>
                <w:b/>
              </w:rPr>
              <w:t>Всего</w:t>
            </w:r>
          </w:p>
        </w:tc>
        <w:tc>
          <w:tcPr>
            <w:tcW w:w="851" w:type="dxa"/>
          </w:tcPr>
          <w:p w:rsidR="00000000" w:rsidRDefault="00000000">
            <w:pPr>
              <w:spacing w:line="240" w:lineRule="auto"/>
              <w:jc w:val="center"/>
              <w:rPr>
                <w:b/>
              </w:rPr>
            </w:pPr>
            <w:r>
              <w:rPr>
                <w:b/>
              </w:rPr>
              <w:t>%</w:t>
            </w:r>
          </w:p>
        </w:tc>
        <w:tc>
          <w:tcPr>
            <w:tcW w:w="1134" w:type="dxa"/>
          </w:tcPr>
          <w:p w:rsidR="00000000" w:rsidRDefault="00000000">
            <w:pPr>
              <w:spacing w:line="240" w:lineRule="auto"/>
              <w:jc w:val="center"/>
              <w:rPr>
                <w:b/>
              </w:rPr>
            </w:pPr>
            <w:r>
              <w:rPr>
                <w:b/>
              </w:rPr>
              <w:t>Город</w:t>
            </w:r>
          </w:p>
        </w:tc>
        <w:tc>
          <w:tcPr>
            <w:tcW w:w="850" w:type="dxa"/>
          </w:tcPr>
          <w:p w:rsidR="00000000" w:rsidRDefault="00000000">
            <w:pPr>
              <w:spacing w:line="240" w:lineRule="auto"/>
              <w:jc w:val="center"/>
              <w:rPr>
                <w:b/>
              </w:rPr>
            </w:pPr>
            <w:r>
              <w:rPr>
                <w:b/>
              </w:rPr>
              <w:t>%</w:t>
            </w:r>
          </w:p>
        </w:tc>
        <w:tc>
          <w:tcPr>
            <w:tcW w:w="1134" w:type="dxa"/>
          </w:tcPr>
          <w:p w:rsidR="00000000" w:rsidRDefault="00000000">
            <w:pPr>
              <w:spacing w:line="240" w:lineRule="auto"/>
              <w:jc w:val="center"/>
              <w:rPr>
                <w:b/>
              </w:rPr>
            </w:pPr>
            <w:r>
              <w:rPr>
                <w:b/>
              </w:rPr>
              <w:t>Село</w:t>
            </w:r>
          </w:p>
        </w:tc>
        <w:tc>
          <w:tcPr>
            <w:tcW w:w="814" w:type="dxa"/>
          </w:tcPr>
          <w:p w:rsidR="00000000" w:rsidRDefault="00000000">
            <w:pPr>
              <w:spacing w:line="240" w:lineRule="auto"/>
              <w:jc w:val="center"/>
              <w:rPr>
                <w:b/>
              </w:rPr>
            </w:pPr>
            <w:r>
              <w:rPr>
                <w:b/>
              </w:rPr>
              <w:t>%</w:t>
            </w:r>
          </w:p>
        </w:tc>
      </w:tr>
      <w:tr w:rsidR="00000000">
        <w:tblPrEx>
          <w:tblCellMar>
            <w:top w:w="0" w:type="dxa"/>
            <w:bottom w:w="0" w:type="dxa"/>
          </w:tblCellMar>
        </w:tblPrEx>
        <w:trPr>
          <w:cantSplit/>
        </w:trPr>
        <w:tc>
          <w:tcPr>
            <w:tcW w:w="3510" w:type="dxa"/>
          </w:tcPr>
          <w:p w:rsidR="00000000" w:rsidRDefault="00000000">
            <w:r>
              <w:t>Частный дом</w:t>
            </w:r>
          </w:p>
        </w:tc>
        <w:tc>
          <w:tcPr>
            <w:tcW w:w="1276" w:type="dxa"/>
          </w:tcPr>
          <w:p w:rsidR="00000000" w:rsidRDefault="00000000">
            <w:pPr>
              <w:jc w:val="right"/>
              <w:rPr>
                <w:lang w:val="en-US"/>
              </w:rPr>
            </w:pPr>
            <w:r>
              <w:rPr>
                <w:lang w:val="en-US"/>
              </w:rPr>
              <w:t>1 075 752</w:t>
            </w:r>
          </w:p>
        </w:tc>
        <w:tc>
          <w:tcPr>
            <w:tcW w:w="851" w:type="dxa"/>
          </w:tcPr>
          <w:p w:rsidR="00000000" w:rsidRDefault="00000000">
            <w:pPr>
              <w:jc w:val="right"/>
              <w:rPr>
                <w:lang w:val="en-US"/>
              </w:rPr>
            </w:pPr>
            <w:r>
              <w:rPr>
                <w:lang w:val="en-US"/>
              </w:rPr>
              <w:t>74,46</w:t>
            </w:r>
          </w:p>
        </w:tc>
        <w:tc>
          <w:tcPr>
            <w:tcW w:w="1134" w:type="dxa"/>
          </w:tcPr>
          <w:p w:rsidR="00000000" w:rsidRDefault="00000000">
            <w:pPr>
              <w:jc w:val="right"/>
              <w:rPr>
                <w:lang w:val="en-US"/>
              </w:rPr>
            </w:pPr>
            <w:r>
              <w:rPr>
                <w:lang w:val="en-US"/>
              </w:rPr>
              <w:t>556 083</w:t>
            </w:r>
          </w:p>
        </w:tc>
        <w:tc>
          <w:tcPr>
            <w:tcW w:w="850" w:type="dxa"/>
          </w:tcPr>
          <w:p w:rsidR="00000000" w:rsidRDefault="00000000">
            <w:pPr>
              <w:jc w:val="right"/>
              <w:rPr>
                <w:lang w:val="en-US"/>
              </w:rPr>
            </w:pPr>
            <w:r>
              <w:rPr>
                <w:lang w:val="en-US"/>
              </w:rPr>
              <w:t>68,92</w:t>
            </w:r>
          </w:p>
        </w:tc>
        <w:tc>
          <w:tcPr>
            <w:tcW w:w="1134" w:type="dxa"/>
          </w:tcPr>
          <w:p w:rsidR="00000000" w:rsidRDefault="00000000">
            <w:pPr>
              <w:jc w:val="right"/>
              <w:rPr>
                <w:lang w:val="en-US"/>
              </w:rPr>
            </w:pPr>
            <w:r>
              <w:rPr>
                <w:lang w:val="en-US"/>
              </w:rPr>
              <w:t>519 669</w:t>
            </w:r>
          </w:p>
        </w:tc>
        <w:tc>
          <w:tcPr>
            <w:tcW w:w="814" w:type="dxa"/>
          </w:tcPr>
          <w:p w:rsidR="00000000" w:rsidRDefault="00000000">
            <w:pPr>
              <w:jc w:val="right"/>
              <w:rPr>
                <w:lang w:val="en-US"/>
              </w:rPr>
            </w:pPr>
            <w:r>
              <w:rPr>
                <w:lang w:val="en-US"/>
              </w:rPr>
              <w:t>81,45</w:t>
            </w:r>
          </w:p>
        </w:tc>
      </w:tr>
      <w:tr w:rsidR="00000000">
        <w:tblPrEx>
          <w:tblCellMar>
            <w:top w:w="0" w:type="dxa"/>
            <w:bottom w:w="0" w:type="dxa"/>
          </w:tblCellMar>
        </w:tblPrEx>
        <w:trPr>
          <w:cantSplit/>
        </w:trPr>
        <w:tc>
          <w:tcPr>
            <w:tcW w:w="3510" w:type="dxa"/>
          </w:tcPr>
          <w:p w:rsidR="00000000" w:rsidRDefault="00000000">
            <w:r>
              <w:t>Отдельная квартира</w:t>
            </w:r>
          </w:p>
        </w:tc>
        <w:tc>
          <w:tcPr>
            <w:tcW w:w="1276" w:type="dxa"/>
          </w:tcPr>
          <w:p w:rsidR="00000000" w:rsidRDefault="00000000">
            <w:pPr>
              <w:jc w:val="right"/>
              <w:rPr>
                <w:lang w:val="en-US"/>
              </w:rPr>
            </w:pPr>
            <w:r>
              <w:rPr>
                <w:lang w:val="en-US"/>
              </w:rPr>
              <w:t>43 770</w:t>
            </w:r>
          </w:p>
        </w:tc>
        <w:tc>
          <w:tcPr>
            <w:tcW w:w="851" w:type="dxa"/>
          </w:tcPr>
          <w:p w:rsidR="00000000" w:rsidRDefault="00000000">
            <w:pPr>
              <w:jc w:val="right"/>
              <w:rPr>
                <w:lang w:val="en-US"/>
              </w:rPr>
            </w:pPr>
            <w:r>
              <w:rPr>
                <w:lang w:val="en-US"/>
              </w:rPr>
              <w:t>3,03</w:t>
            </w:r>
          </w:p>
        </w:tc>
        <w:tc>
          <w:tcPr>
            <w:tcW w:w="1134" w:type="dxa"/>
          </w:tcPr>
          <w:p w:rsidR="00000000" w:rsidRDefault="00000000">
            <w:pPr>
              <w:jc w:val="right"/>
              <w:rPr>
                <w:lang w:val="en-US"/>
              </w:rPr>
            </w:pPr>
            <w:r>
              <w:rPr>
                <w:lang w:val="en-US"/>
              </w:rPr>
              <w:t>42 220</w:t>
            </w:r>
          </w:p>
        </w:tc>
        <w:tc>
          <w:tcPr>
            <w:tcW w:w="850" w:type="dxa"/>
          </w:tcPr>
          <w:p w:rsidR="00000000" w:rsidRDefault="00000000">
            <w:pPr>
              <w:jc w:val="right"/>
              <w:rPr>
                <w:lang w:val="en-US"/>
              </w:rPr>
            </w:pPr>
            <w:r>
              <w:rPr>
                <w:lang w:val="en-US"/>
              </w:rPr>
              <w:t>5,23</w:t>
            </w:r>
          </w:p>
        </w:tc>
        <w:tc>
          <w:tcPr>
            <w:tcW w:w="1134" w:type="dxa"/>
          </w:tcPr>
          <w:p w:rsidR="00000000" w:rsidRDefault="00000000">
            <w:pPr>
              <w:jc w:val="right"/>
              <w:rPr>
                <w:lang w:val="en-US"/>
              </w:rPr>
            </w:pPr>
            <w:r>
              <w:rPr>
                <w:lang w:val="en-US"/>
              </w:rPr>
              <w:t>1 550</w:t>
            </w:r>
          </w:p>
        </w:tc>
        <w:tc>
          <w:tcPr>
            <w:tcW w:w="814" w:type="dxa"/>
          </w:tcPr>
          <w:p w:rsidR="00000000" w:rsidRDefault="00000000">
            <w:pPr>
              <w:jc w:val="right"/>
              <w:rPr>
                <w:lang w:val="en-US"/>
              </w:rPr>
            </w:pPr>
            <w:r>
              <w:rPr>
                <w:lang w:val="en-US"/>
              </w:rPr>
              <w:t>0,24</w:t>
            </w:r>
          </w:p>
        </w:tc>
      </w:tr>
      <w:tr w:rsidR="00000000">
        <w:tblPrEx>
          <w:tblCellMar>
            <w:top w:w="0" w:type="dxa"/>
            <w:bottom w:w="0" w:type="dxa"/>
          </w:tblCellMar>
        </w:tblPrEx>
        <w:trPr>
          <w:cantSplit/>
        </w:trPr>
        <w:tc>
          <w:tcPr>
            <w:tcW w:w="3510" w:type="dxa"/>
          </w:tcPr>
          <w:p w:rsidR="00000000" w:rsidRDefault="00000000">
            <w:r>
              <w:t>Комната, часть частного дома</w:t>
            </w:r>
          </w:p>
        </w:tc>
        <w:tc>
          <w:tcPr>
            <w:tcW w:w="1276" w:type="dxa"/>
          </w:tcPr>
          <w:p w:rsidR="00000000" w:rsidRDefault="00000000">
            <w:pPr>
              <w:jc w:val="right"/>
              <w:rPr>
                <w:lang w:val="en-US"/>
              </w:rPr>
            </w:pPr>
            <w:r>
              <w:rPr>
                <w:lang w:val="en-US"/>
              </w:rPr>
              <w:t>218 069</w:t>
            </w:r>
          </w:p>
        </w:tc>
        <w:tc>
          <w:tcPr>
            <w:tcW w:w="851" w:type="dxa"/>
          </w:tcPr>
          <w:p w:rsidR="00000000" w:rsidRDefault="00000000">
            <w:pPr>
              <w:jc w:val="right"/>
              <w:rPr>
                <w:lang w:val="en-US"/>
              </w:rPr>
            </w:pPr>
            <w:r>
              <w:rPr>
                <w:lang w:val="en-US"/>
              </w:rPr>
              <w:t>15,09</w:t>
            </w:r>
          </w:p>
        </w:tc>
        <w:tc>
          <w:tcPr>
            <w:tcW w:w="1134" w:type="dxa"/>
          </w:tcPr>
          <w:p w:rsidR="00000000" w:rsidRDefault="00000000">
            <w:pPr>
              <w:jc w:val="right"/>
              <w:rPr>
                <w:lang w:val="en-US"/>
              </w:rPr>
            </w:pPr>
            <w:r>
              <w:rPr>
                <w:lang w:val="en-US"/>
              </w:rPr>
              <w:t>191 823</w:t>
            </w:r>
          </w:p>
        </w:tc>
        <w:tc>
          <w:tcPr>
            <w:tcW w:w="850" w:type="dxa"/>
          </w:tcPr>
          <w:p w:rsidR="00000000" w:rsidRDefault="00000000">
            <w:pPr>
              <w:jc w:val="right"/>
              <w:rPr>
                <w:lang w:val="en-US"/>
              </w:rPr>
            </w:pPr>
            <w:r>
              <w:rPr>
                <w:lang w:val="en-US"/>
              </w:rPr>
              <w:t>23,78</w:t>
            </w:r>
          </w:p>
        </w:tc>
        <w:tc>
          <w:tcPr>
            <w:tcW w:w="1134" w:type="dxa"/>
          </w:tcPr>
          <w:p w:rsidR="00000000" w:rsidRDefault="00000000">
            <w:pPr>
              <w:jc w:val="right"/>
              <w:rPr>
                <w:lang w:val="en-US"/>
              </w:rPr>
            </w:pPr>
            <w:r>
              <w:rPr>
                <w:lang w:val="en-US"/>
              </w:rPr>
              <w:t>26 246</w:t>
            </w:r>
          </w:p>
        </w:tc>
        <w:tc>
          <w:tcPr>
            <w:tcW w:w="814" w:type="dxa"/>
          </w:tcPr>
          <w:p w:rsidR="00000000" w:rsidRDefault="00000000">
            <w:pPr>
              <w:jc w:val="right"/>
              <w:rPr>
                <w:lang w:val="en-US"/>
              </w:rPr>
            </w:pPr>
            <w:r>
              <w:rPr>
                <w:lang w:val="en-US"/>
              </w:rPr>
              <w:t>4,12</w:t>
            </w:r>
          </w:p>
        </w:tc>
      </w:tr>
      <w:tr w:rsidR="00000000">
        <w:tblPrEx>
          <w:tblCellMar>
            <w:top w:w="0" w:type="dxa"/>
            <w:bottom w:w="0" w:type="dxa"/>
          </w:tblCellMar>
        </w:tblPrEx>
        <w:trPr>
          <w:cantSplit/>
        </w:trPr>
        <w:tc>
          <w:tcPr>
            <w:tcW w:w="3510" w:type="dxa"/>
          </w:tcPr>
          <w:p w:rsidR="00000000" w:rsidRDefault="00000000">
            <w:r>
              <w:t>"Пауичи" (жилище крестьянина)</w:t>
            </w:r>
          </w:p>
        </w:tc>
        <w:tc>
          <w:tcPr>
            <w:tcW w:w="1276" w:type="dxa"/>
          </w:tcPr>
          <w:p w:rsidR="00000000" w:rsidRDefault="00000000">
            <w:pPr>
              <w:jc w:val="right"/>
              <w:rPr>
                <w:lang w:val="en-US"/>
              </w:rPr>
            </w:pPr>
            <w:r>
              <w:rPr>
                <w:lang w:val="en-US"/>
              </w:rPr>
              <w:t>89 965</w:t>
            </w:r>
          </w:p>
        </w:tc>
        <w:tc>
          <w:tcPr>
            <w:tcW w:w="851" w:type="dxa"/>
          </w:tcPr>
          <w:p w:rsidR="00000000" w:rsidRDefault="00000000">
            <w:pPr>
              <w:jc w:val="right"/>
              <w:rPr>
                <w:lang w:val="en-US"/>
              </w:rPr>
            </w:pPr>
            <w:r>
              <w:rPr>
                <w:lang w:val="en-US"/>
              </w:rPr>
              <w:t>6,23</w:t>
            </w:r>
          </w:p>
        </w:tc>
        <w:tc>
          <w:tcPr>
            <w:tcW w:w="1134" w:type="dxa"/>
          </w:tcPr>
          <w:p w:rsidR="00000000" w:rsidRDefault="00000000">
            <w:pPr>
              <w:jc w:val="right"/>
              <w:rPr>
                <w:lang w:val="en-US"/>
              </w:rPr>
            </w:pPr>
            <w:r>
              <w:rPr>
                <w:lang w:val="en-US"/>
              </w:rPr>
              <w:t>6 273</w:t>
            </w:r>
          </w:p>
        </w:tc>
        <w:tc>
          <w:tcPr>
            <w:tcW w:w="850" w:type="dxa"/>
          </w:tcPr>
          <w:p w:rsidR="00000000" w:rsidRDefault="00000000">
            <w:pPr>
              <w:jc w:val="right"/>
              <w:rPr>
                <w:lang w:val="en-US"/>
              </w:rPr>
            </w:pPr>
            <w:r>
              <w:rPr>
                <w:lang w:val="en-US"/>
              </w:rPr>
              <w:t>0,78</w:t>
            </w:r>
          </w:p>
        </w:tc>
        <w:tc>
          <w:tcPr>
            <w:tcW w:w="1134" w:type="dxa"/>
          </w:tcPr>
          <w:p w:rsidR="00000000" w:rsidRDefault="00000000">
            <w:pPr>
              <w:jc w:val="right"/>
              <w:rPr>
                <w:lang w:val="en-US"/>
              </w:rPr>
            </w:pPr>
            <w:r>
              <w:rPr>
                <w:lang w:val="en-US"/>
              </w:rPr>
              <w:t>83 692</w:t>
            </w:r>
          </w:p>
        </w:tc>
        <w:tc>
          <w:tcPr>
            <w:tcW w:w="814" w:type="dxa"/>
          </w:tcPr>
          <w:p w:rsidR="00000000" w:rsidRDefault="00000000">
            <w:pPr>
              <w:jc w:val="right"/>
              <w:rPr>
                <w:lang w:val="en-US"/>
              </w:rPr>
            </w:pPr>
            <w:r>
              <w:rPr>
                <w:lang w:val="en-US"/>
              </w:rPr>
              <w:t>13,12</w:t>
            </w:r>
          </w:p>
        </w:tc>
      </w:tr>
      <w:tr w:rsidR="00000000">
        <w:tblPrEx>
          <w:tblCellMar>
            <w:top w:w="0" w:type="dxa"/>
            <w:bottom w:w="0" w:type="dxa"/>
          </w:tblCellMar>
        </w:tblPrEx>
        <w:trPr>
          <w:cantSplit/>
        </w:trPr>
        <w:tc>
          <w:tcPr>
            <w:tcW w:w="3510" w:type="dxa"/>
          </w:tcPr>
          <w:p w:rsidR="00000000" w:rsidRDefault="00000000">
            <w:r>
              <w:t>Необустроенное жилье</w:t>
            </w:r>
          </w:p>
        </w:tc>
        <w:tc>
          <w:tcPr>
            <w:tcW w:w="1276" w:type="dxa"/>
          </w:tcPr>
          <w:p w:rsidR="00000000" w:rsidRDefault="00000000">
            <w:pPr>
              <w:jc w:val="right"/>
              <w:rPr>
                <w:lang w:val="en-US"/>
              </w:rPr>
            </w:pPr>
            <w:r>
              <w:rPr>
                <w:lang w:val="en-US"/>
              </w:rPr>
              <w:t>8 239</w:t>
            </w:r>
          </w:p>
        </w:tc>
        <w:tc>
          <w:tcPr>
            <w:tcW w:w="851" w:type="dxa"/>
          </w:tcPr>
          <w:p w:rsidR="00000000" w:rsidRDefault="00000000">
            <w:pPr>
              <w:jc w:val="right"/>
              <w:rPr>
                <w:lang w:val="en-US"/>
              </w:rPr>
            </w:pPr>
            <w:r>
              <w:rPr>
                <w:lang w:val="en-US"/>
              </w:rPr>
              <w:t>0,57</w:t>
            </w:r>
          </w:p>
        </w:tc>
        <w:tc>
          <w:tcPr>
            <w:tcW w:w="1134" w:type="dxa"/>
          </w:tcPr>
          <w:p w:rsidR="00000000" w:rsidRDefault="00000000">
            <w:pPr>
              <w:jc w:val="right"/>
              <w:rPr>
                <w:lang w:val="en-US"/>
              </w:rPr>
            </w:pPr>
            <w:r>
              <w:rPr>
                <w:lang w:val="en-US"/>
              </w:rPr>
              <w:t>5 089</w:t>
            </w:r>
          </w:p>
        </w:tc>
        <w:tc>
          <w:tcPr>
            <w:tcW w:w="850" w:type="dxa"/>
          </w:tcPr>
          <w:p w:rsidR="00000000" w:rsidRDefault="00000000">
            <w:pPr>
              <w:jc w:val="right"/>
              <w:rPr>
                <w:lang w:val="en-US"/>
              </w:rPr>
            </w:pPr>
            <w:r>
              <w:rPr>
                <w:lang w:val="en-US"/>
              </w:rPr>
              <w:t>0,63</w:t>
            </w:r>
          </w:p>
        </w:tc>
        <w:tc>
          <w:tcPr>
            <w:tcW w:w="1134" w:type="dxa"/>
          </w:tcPr>
          <w:p w:rsidR="00000000" w:rsidRDefault="00000000">
            <w:pPr>
              <w:jc w:val="right"/>
              <w:rPr>
                <w:lang w:val="en-US"/>
              </w:rPr>
            </w:pPr>
            <w:r>
              <w:rPr>
                <w:lang w:val="en-US"/>
              </w:rPr>
              <w:t>3 150</w:t>
            </w:r>
          </w:p>
        </w:tc>
        <w:tc>
          <w:tcPr>
            <w:tcW w:w="814" w:type="dxa"/>
          </w:tcPr>
          <w:p w:rsidR="00000000" w:rsidRDefault="00000000">
            <w:pPr>
              <w:jc w:val="right"/>
              <w:rPr>
                <w:lang w:val="en-US"/>
              </w:rPr>
            </w:pPr>
            <w:r>
              <w:rPr>
                <w:lang w:val="en-US"/>
              </w:rPr>
              <w:t>0,49</w:t>
            </w:r>
          </w:p>
        </w:tc>
      </w:tr>
      <w:tr w:rsidR="00000000">
        <w:tblPrEx>
          <w:tblCellMar>
            <w:top w:w="0" w:type="dxa"/>
            <w:bottom w:w="0" w:type="dxa"/>
          </w:tblCellMar>
        </w:tblPrEx>
        <w:trPr>
          <w:cantSplit/>
        </w:trPr>
        <w:tc>
          <w:tcPr>
            <w:tcW w:w="3510" w:type="dxa"/>
          </w:tcPr>
          <w:p w:rsidR="00000000" w:rsidRDefault="00000000">
            <w:r>
              <w:t>Импровизированное жилье</w:t>
            </w:r>
          </w:p>
        </w:tc>
        <w:tc>
          <w:tcPr>
            <w:tcW w:w="1276" w:type="dxa"/>
          </w:tcPr>
          <w:p w:rsidR="00000000" w:rsidRDefault="00000000">
            <w:pPr>
              <w:jc w:val="right"/>
              <w:rPr>
                <w:lang w:val="en-US"/>
              </w:rPr>
            </w:pPr>
            <w:r>
              <w:rPr>
                <w:lang w:val="en-US"/>
              </w:rPr>
              <w:t>9 022</w:t>
            </w:r>
          </w:p>
        </w:tc>
        <w:tc>
          <w:tcPr>
            <w:tcW w:w="851" w:type="dxa"/>
          </w:tcPr>
          <w:p w:rsidR="00000000" w:rsidRDefault="00000000">
            <w:pPr>
              <w:jc w:val="right"/>
              <w:rPr>
                <w:lang w:val="en-US"/>
              </w:rPr>
            </w:pPr>
            <w:r>
              <w:rPr>
                <w:lang w:val="en-US"/>
              </w:rPr>
              <w:t>0,62</w:t>
            </w:r>
          </w:p>
        </w:tc>
        <w:tc>
          <w:tcPr>
            <w:tcW w:w="1134" w:type="dxa"/>
          </w:tcPr>
          <w:p w:rsidR="00000000" w:rsidRDefault="00000000">
            <w:pPr>
              <w:jc w:val="right"/>
              <w:rPr>
                <w:lang w:val="en-US"/>
              </w:rPr>
            </w:pPr>
            <w:r>
              <w:rPr>
                <w:lang w:val="en-US"/>
              </w:rPr>
              <w:t>5 327</w:t>
            </w:r>
          </w:p>
        </w:tc>
        <w:tc>
          <w:tcPr>
            <w:tcW w:w="850" w:type="dxa"/>
          </w:tcPr>
          <w:p w:rsidR="00000000" w:rsidRDefault="00000000">
            <w:pPr>
              <w:jc w:val="right"/>
              <w:rPr>
                <w:lang w:val="en-US"/>
              </w:rPr>
            </w:pPr>
            <w:r>
              <w:rPr>
                <w:lang w:val="en-US"/>
              </w:rPr>
              <w:t>0,66</w:t>
            </w:r>
          </w:p>
        </w:tc>
        <w:tc>
          <w:tcPr>
            <w:tcW w:w="1134" w:type="dxa"/>
          </w:tcPr>
          <w:p w:rsidR="00000000" w:rsidRDefault="00000000">
            <w:pPr>
              <w:jc w:val="right"/>
              <w:rPr>
                <w:lang w:val="en-US"/>
              </w:rPr>
            </w:pPr>
            <w:r>
              <w:rPr>
                <w:lang w:val="en-US"/>
              </w:rPr>
              <w:t>3 695</w:t>
            </w:r>
          </w:p>
        </w:tc>
        <w:tc>
          <w:tcPr>
            <w:tcW w:w="814" w:type="dxa"/>
          </w:tcPr>
          <w:p w:rsidR="00000000" w:rsidRDefault="00000000">
            <w:pPr>
              <w:jc w:val="right"/>
              <w:rPr>
                <w:lang w:val="en-US"/>
              </w:rPr>
            </w:pPr>
            <w:r>
              <w:rPr>
                <w:lang w:val="en-US"/>
              </w:rPr>
              <w:t>0,58</w:t>
            </w:r>
          </w:p>
        </w:tc>
      </w:tr>
      <w:tr w:rsidR="00000000">
        <w:tblPrEx>
          <w:tblCellMar>
            <w:top w:w="0" w:type="dxa"/>
            <w:bottom w:w="0" w:type="dxa"/>
          </w:tblCellMar>
        </w:tblPrEx>
        <w:trPr>
          <w:cantSplit/>
        </w:trPr>
        <w:tc>
          <w:tcPr>
            <w:tcW w:w="3510" w:type="dxa"/>
          </w:tcPr>
          <w:p w:rsidR="00000000" w:rsidRDefault="00000000">
            <w:pPr>
              <w:pStyle w:val="1"/>
            </w:pPr>
            <w:r>
              <w:t>Всего</w:t>
            </w:r>
          </w:p>
        </w:tc>
        <w:tc>
          <w:tcPr>
            <w:tcW w:w="1276" w:type="dxa"/>
          </w:tcPr>
          <w:p w:rsidR="00000000" w:rsidRDefault="00000000">
            <w:pPr>
              <w:jc w:val="right"/>
              <w:rPr>
                <w:lang w:val="en-US"/>
              </w:rPr>
            </w:pPr>
            <w:r>
              <w:rPr>
                <w:lang w:val="en-US"/>
              </w:rPr>
              <w:t>1 444 817</w:t>
            </w:r>
          </w:p>
        </w:tc>
        <w:tc>
          <w:tcPr>
            <w:tcW w:w="851" w:type="dxa"/>
          </w:tcPr>
          <w:p w:rsidR="00000000" w:rsidRDefault="00000000">
            <w:pPr>
              <w:jc w:val="right"/>
              <w:rPr>
                <w:lang w:val="en-US"/>
              </w:rPr>
            </w:pPr>
            <w:r>
              <w:rPr>
                <w:lang w:val="en-US"/>
              </w:rPr>
              <w:t>100,0</w:t>
            </w:r>
          </w:p>
        </w:tc>
        <w:tc>
          <w:tcPr>
            <w:tcW w:w="1134" w:type="dxa"/>
          </w:tcPr>
          <w:p w:rsidR="00000000" w:rsidRDefault="00000000">
            <w:pPr>
              <w:jc w:val="right"/>
              <w:rPr>
                <w:lang w:val="en-US"/>
              </w:rPr>
            </w:pPr>
            <w:r>
              <w:rPr>
                <w:lang w:val="en-US"/>
              </w:rPr>
              <w:t>806 815</w:t>
            </w:r>
          </w:p>
        </w:tc>
        <w:tc>
          <w:tcPr>
            <w:tcW w:w="850" w:type="dxa"/>
          </w:tcPr>
          <w:p w:rsidR="00000000" w:rsidRDefault="00000000">
            <w:pPr>
              <w:jc w:val="right"/>
              <w:rPr>
                <w:lang w:val="en-US"/>
              </w:rPr>
            </w:pPr>
            <w:r>
              <w:rPr>
                <w:lang w:val="en-US"/>
              </w:rPr>
              <w:t>100,0</w:t>
            </w:r>
          </w:p>
        </w:tc>
        <w:tc>
          <w:tcPr>
            <w:tcW w:w="1134" w:type="dxa"/>
          </w:tcPr>
          <w:p w:rsidR="00000000" w:rsidRDefault="00000000">
            <w:pPr>
              <w:jc w:val="right"/>
              <w:rPr>
                <w:lang w:val="en-US"/>
              </w:rPr>
            </w:pPr>
            <w:r>
              <w:rPr>
                <w:lang w:val="en-US"/>
              </w:rPr>
              <w:t>638 002</w:t>
            </w:r>
          </w:p>
        </w:tc>
        <w:tc>
          <w:tcPr>
            <w:tcW w:w="814" w:type="dxa"/>
          </w:tcPr>
          <w:p w:rsidR="00000000" w:rsidRDefault="00000000">
            <w:pPr>
              <w:jc w:val="right"/>
              <w:rPr>
                <w:lang w:val="en-US"/>
              </w:rPr>
            </w:pPr>
            <w:r>
              <w:rPr>
                <w:lang w:val="en-US"/>
              </w:rPr>
              <w:t>100,0</w:t>
            </w:r>
          </w:p>
        </w:tc>
      </w:tr>
    </w:tbl>
    <w:p w:rsidR="00000000" w:rsidRDefault="00000000"/>
    <w:p w:rsidR="00000000" w:rsidRDefault="00000000">
      <w:r>
        <w:tab/>
      </w:r>
      <w:r>
        <w:rPr>
          <w:u w:val="single"/>
        </w:rPr>
        <w:t>Источник</w:t>
      </w:r>
      <w:r>
        <w:t>:  Перепись населения 1992 года.</w:t>
      </w:r>
    </w:p>
    <w:p w:rsidR="00000000" w:rsidRDefault="00000000"/>
    <w:p w:rsidR="00000000" w:rsidRDefault="00000000">
      <w:pPr>
        <w:pStyle w:val="Heading7"/>
        <w:spacing w:line="288" w:lineRule="auto"/>
        <w:rPr>
          <w:b/>
          <w:u w:val="none"/>
        </w:rPr>
      </w:pPr>
      <w:r>
        <w:rPr>
          <w:b/>
          <w:u w:val="none"/>
        </w:rPr>
        <w:t>Частное жилье с жильцами в разбивке по типу владения</w:t>
      </w:r>
    </w:p>
    <w:p w:rsidR="00000000" w:rsidRDefault="00000000"/>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81"/>
        <w:gridCol w:w="1134"/>
        <w:gridCol w:w="709"/>
        <w:gridCol w:w="992"/>
        <w:gridCol w:w="709"/>
        <w:gridCol w:w="992"/>
        <w:gridCol w:w="752"/>
      </w:tblGrid>
      <w:tr w:rsidR="00000000">
        <w:tblPrEx>
          <w:tblCellMar>
            <w:top w:w="0" w:type="dxa"/>
            <w:bottom w:w="0" w:type="dxa"/>
          </w:tblCellMar>
        </w:tblPrEx>
        <w:trPr>
          <w:cantSplit/>
        </w:trPr>
        <w:tc>
          <w:tcPr>
            <w:tcW w:w="4281" w:type="dxa"/>
          </w:tcPr>
          <w:p w:rsidR="00000000" w:rsidRDefault="00000000">
            <w:pPr>
              <w:jc w:val="center"/>
              <w:rPr>
                <w:b/>
              </w:rPr>
            </w:pPr>
            <w:r>
              <w:rPr>
                <w:b/>
              </w:rPr>
              <w:t>Тип владения</w:t>
            </w:r>
          </w:p>
        </w:tc>
        <w:tc>
          <w:tcPr>
            <w:tcW w:w="1134" w:type="dxa"/>
          </w:tcPr>
          <w:p w:rsidR="00000000" w:rsidRDefault="00000000">
            <w:pPr>
              <w:jc w:val="center"/>
              <w:rPr>
                <w:b/>
              </w:rPr>
            </w:pPr>
            <w:r>
              <w:rPr>
                <w:b/>
              </w:rPr>
              <w:t>Всего</w:t>
            </w:r>
          </w:p>
        </w:tc>
        <w:tc>
          <w:tcPr>
            <w:tcW w:w="709" w:type="dxa"/>
          </w:tcPr>
          <w:p w:rsidR="00000000" w:rsidRDefault="00000000">
            <w:pPr>
              <w:jc w:val="center"/>
              <w:rPr>
                <w:b/>
              </w:rPr>
            </w:pPr>
            <w:r>
              <w:rPr>
                <w:b/>
              </w:rPr>
              <w:t>%</w:t>
            </w:r>
          </w:p>
        </w:tc>
        <w:tc>
          <w:tcPr>
            <w:tcW w:w="992" w:type="dxa"/>
          </w:tcPr>
          <w:p w:rsidR="00000000" w:rsidRDefault="00000000">
            <w:pPr>
              <w:jc w:val="center"/>
              <w:rPr>
                <w:b/>
              </w:rPr>
            </w:pPr>
            <w:r>
              <w:rPr>
                <w:b/>
              </w:rPr>
              <w:t>Город</w:t>
            </w:r>
          </w:p>
        </w:tc>
        <w:tc>
          <w:tcPr>
            <w:tcW w:w="709" w:type="dxa"/>
          </w:tcPr>
          <w:p w:rsidR="00000000" w:rsidRDefault="00000000">
            <w:pPr>
              <w:jc w:val="center"/>
              <w:rPr>
                <w:b/>
              </w:rPr>
            </w:pPr>
            <w:r>
              <w:rPr>
                <w:b/>
              </w:rPr>
              <w:t>%</w:t>
            </w:r>
          </w:p>
        </w:tc>
        <w:tc>
          <w:tcPr>
            <w:tcW w:w="992" w:type="dxa"/>
          </w:tcPr>
          <w:p w:rsidR="00000000" w:rsidRDefault="00000000">
            <w:pPr>
              <w:jc w:val="center"/>
              <w:rPr>
                <w:b/>
              </w:rPr>
            </w:pPr>
            <w:r>
              <w:rPr>
                <w:b/>
              </w:rPr>
              <w:t>Село</w:t>
            </w:r>
          </w:p>
        </w:tc>
        <w:tc>
          <w:tcPr>
            <w:tcW w:w="752" w:type="dxa"/>
          </w:tcPr>
          <w:p w:rsidR="00000000" w:rsidRDefault="00000000">
            <w:pPr>
              <w:jc w:val="center"/>
              <w:rPr>
                <w:b/>
              </w:rPr>
            </w:pPr>
            <w:r>
              <w:rPr>
                <w:b/>
              </w:rPr>
              <w:t>%</w:t>
            </w:r>
          </w:p>
        </w:tc>
      </w:tr>
      <w:tr w:rsidR="00000000">
        <w:tblPrEx>
          <w:tblCellMar>
            <w:top w:w="0" w:type="dxa"/>
            <w:bottom w:w="0" w:type="dxa"/>
          </w:tblCellMar>
        </w:tblPrEx>
        <w:trPr>
          <w:cantSplit/>
        </w:trPr>
        <w:tc>
          <w:tcPr>
            <w:tcW w:w="4281" w:type="dxa"/>
          </w:tcPr>
          <w:p w:rsidR="00000000" w:rsidRDefault="00000000">
            <w:r>
              <w:t>Собственное жилье</w:t>
            </w:r>
          </w:p>
        </w:tc>
        <w:tc>
          <w:tcPr>
            <w:tcW w:w="1134" w:type="dxa"/>
          </w:tcPr>
          <w:p w:rsidR="00000000" w:rsidRDefault="00000000">
            <w:pPr>
              <w:jc w:val="right"/>
              <w:rPr>
                <w:lang w:val="en-US"/>
              </w:rPr>
            </w:pPr>
            <w:r>
              <w:rPr>
                <w:lang w:val="en-US"/>
              </w:rPr>
              <w:t>946 761</w:t>
            </w:r>
          </w:p>
        </w:tc>
        <w:tc>
          <w:tcPr>
            <w:tcW w:w="709" w:type="dxa"/>
          </w:tcPr>
          <w:p w:rsidR="00000000" w:rsidRDefault="00000000">
            <w:pPr>
              <w:jc w:val="right"/>
              <w:rPr>
                <w:lang w:val="en-US"/>
              </w:rPr>
            </w:pPr>
            <w:r>
              <w:rPr>
                <w:lang w:val="en-US"/>
              </w:rPr>
              <w:t>65,53</w:t>
            </w:r>
          </w:p>
        </w:tc>
        <w:tc>
          <w:tcPr>
            <w:tcW w:w="992" w:type="dxa"/>
          </w:tcPr>
          <w:p w:rsidR="00000000" w:rsidRDefault="00000000">
            <w:pPr>
              <w:jc w:val="right"/>
              <w:rPr>
                <w:lang w:val="en-US"/>
              </w:rPr>
            </w:pPr>
            <w:r>
              <w:rPr>
                <w:lang w:val="en-US"/>
              </w:rPr>
              <w:t>405 978</w:t>
            </w:r>
          </w:p>
        </w:tc>
        <w:tc>
          <w:tcPr>
            <w:tcW w:w="709" w:type="dxa"/>
          </w:tcPr>
          <w:p w:rsidR="00000000" w:rsidRDefault="00000000">
            <w:pPr>
              <w:jc w:val="right"/>
              <w:rPr>
                <w:lang w:val="en-US"/>
              </w:rPr>
            </w:pPr>
            <w:r>
              <w:rPr>
                <w:lang w:val="en-US"/>
              </w:rPr>
              <w:t>50,32</w:t>
            </w:r>
          </w:p>
        </w:tc>
        <w:tc>
          <w:tcPr>
            <w:tcW w:w="992" w:type="dxa"/>
          </w:tcPr>
          <w:p w:rsidR="00000000" w:rsidRDefault="00000000">
            <w:pPr>
              <w:jc w:val="right"/>
              <w:rPr>
                <w:lang w:val="en-US"/>
              </w:rPr>
            </w:pPr>
            <w:r>
              <w:rPr>
                <w:lang w:val="en-US"/>
              </w:rPr>
              <w:t>540 783</w:t>
            </w:r>
          </w:p>
        </w:tc>
        <w:tc>
          <w:tcPr>
            <w:tcW w:w="752" w:type="dxa"/>
          </w:tcPr>
          <w:p w:rsidR="00000000" w:rsidRDefault="00000000">
            <w:pPr>
              <w:jc w:val="right"/>
              <w:rPr>
                <w:lang w:val="en-US"/>
              </w:rPr>
            </w:pPr>
            <w:r>
              <w:rPr>
                <w:lang w:val="en-US"/>
              </w:rPr>
              <w:t>84,76</w:t>
            </w:r>
          </w:p>
        </w:tc>
      </w:tr>
      <w:tr w:rsidR="00000000">
        <w:tblPrEx>
          <w:tblCellMar>
            <w:top w:w="0" w:type="dxa"/>
            <w:bottom w:w="0" w:type="dxa"/>
          </w:tblCellMar>
        </w:tblPrEx>
        <w:trPr>
          <w:cantSplit/>
        </w:trPr>
        <w:tc>
          <w:tcPr>
            <w:tcW w:w="4281" w:type="dxa"/>
          </w:tcPr>
          <w:p w:rsidR="00000000" w:rsidRDefault="00000000">
            <w:r>
              <w:t>Арендуемое жилье</w:t>
            </w:r>
          </w:p>
        </w:tc>
        <w:tc>
          <w:tcPr>
            <w:tcW w:w="1134" w:type="dxa"/>
          </w:tcPr>
          <w:p w:rsidR="00000000" w:rsidRDefault="00000000">
            <w:pPr>
              <w:jc w:val="right"/>
              <w:rPr>
                <w:lang w:val="en-US"/>
              </w:rPr>
            </w:pPr>
            <w:r>
              <w:rPr>
                <w:lang w:val="en-US"/>
              </w:rPr>
              <w:t>236 946</w:t>
            </w:r>
          </w:p>
        </w:tc>
        <w:tc>
          <w:tcPr>
            <w:tcW w:w="709" w:type="dxa"/>
          </w:tcPr>
          <w:p w:rsidR="00000000" w:rsidRDefault="00000000">
            <w:pPr>
              <w:jc w:val="right"/>
              <w:rPr>
                <w:lang w:val="en-US"/>
              </w:rPr>
            </w:pPr>
            <w:r>
              <w:rPr>
                <w:lang w:val="en-US"/>
              </w:rPr>
              <w:t>16,40</w:t>
            </w:r>
          </w:p>
        </w:tc>
        <w:tc>
          <w:tcPr>
            <w:tcW w:w="992" w:type="dxa"/>
          </w:tcPr>
          <w:p w:rsidR="00000000" w:rsidRDefault="00000000">
            <w:pPr>
              <w:jc w:val="right"/>
              <w:rPr>
                <w:lang w:val="en-US"/>
              </w:rPr>
            </w:pPr>
            <w:r>
              <w:rPr>
                <w:lang w:val="en-US"/>
              </w:rPr>
              <w:t>213 984</w:t>
            </w:r>
          </w:p>
        </w:tc>
        <w:tc>
          <w:tcPr>
            <w:tcW w:w="709" w:type="dxa"/>
          </w:tcPr>
          <w:p w:rsidR="00000000" w:rsidRDefault="00000000">
            <w:pPr>
              <w:jc w:val="right"/>
              <w:rPr>
                <w:lang w:val="en-US"/>
              </w:rPr>
            </w:pPr>
            <w:r>
              <w:rPr>
                <w:lang w:val="en-US"/>
              </w:rPr>
              <w:t>26,52</w:t>
            </w:r>
          </w:p>
        </w:tc>
        <w:tc>
          <w:tcPr>
            <w:tcW w:w="992" w:type="dxa"/>
          </w:tcPr>
          <w:p w:rsidR="00000000" w:rsidRDefault="00000000">
            <w:pPr>
              <w:jc w:val="right"/>
              <w:rPr>
                <w:lang w:val="en-US"/>
              </w:rPr>
            </w:pPr>
            <w:r>
              <w:rPr>
                <w:lang w:val="en-US"/>
              </w:rPr>
              <w:t>22 962</w:t>
            </w:r>
          </w:p>
        </w:tc>
        <w:tc>
          <w:tcPr>
            <w:tcW w:w="752" w:type="dxa"/>
          </w:tcPr>
          <w:p w:rsidR="00000000" w:rsidRDefault="00000000">
            <w:pPr>
              <w:jc w:val="right"/>
              <w:rPr>
                <w:lang w:val="en-US"/>
              </w:rPr>
            </w:pPr>
            <w:r>
              <w:rPr>
                <w:lang w:val="en-US"/>
              </w:rPr>
              <w:t>3,60</w:t>
            </w:r>
          </w:p>
        </w:tc>
      </w:tr>
      <w:tr w:rsidR="00000000">
        <w:tblPrEx>
          <w:tblCellMar>
            <w:top w:w="0" w:type="dxa"/>
            <w:bottom w:w="0" w:type="dxa"/>
          </w:tblCellMar>
        </w:tblPrEx>
        <w:trPr>
          <w:cantSplit/>
        </w:trPr>
        <w:tc>
          <w:tcPr>
            <w:tcW w:w="4281" w:type="dxa"/>
          </w:tcPr>
          <w:p w:rsidR="00000000" w:rsidRDefault="00000000">
            <w:r>
              <w:t>Подсдаваемое жилье</w:t>
            </w:r>
          </w:p>
        </w:tc>
        <w:tc>
          <w:tcPr>
            <w:tcW w:w="1134" w:type="dxa"/>
          </w:tcPr>
          <w:p w:rsidR="00000000" w:rsidRDefault="00000000">
            <w:pPr>
              <w:jc w:val="right"/>
              <w:rPr>
                <w:lang w:val="en-US"/>
              </w:rPr>
            </w:pPr>
            <w:r>
              <w:rPr>
                <w:lang w:val="en-US"/>
              </w:rPr>
              <w:t>45 929</w:t>
            </w:r>
          </w:p>
        </w:tc>
        <w:tc>
          <w:tcPr>
            <w:tcW w:w="709" w:type="dxa"/>
          </w:tcPr>
          <w:p w:rsidR="00000000" w:rsidRDefault="00000000">
            <w:pPr>
              <w:jc w:val="right"/>
              <w:rPr>
                <w:lang w:val="en-US"/>
              </w:rPr>
            </w:pPr>
            <w:r>
              <w:rPr>
                <w:lang w:val="en-US"/>
              </w:rPr>
              <w:t>3,18</w:t>
            </w:r>
          </w:p>
        </w:tc>
        <w:tc>
          <w:tcPr>
            <w:tcW w:w="992" w:type="dxa"/>
          </w:tcPr>
          <w:p w:rsidR="00000000" w:rsidRDefault="00000000">
            <w:pPr>
              <w:jc w:val="right"/>
              <w:rPr>
                <w:lang w:val="en-US"/>
              </w:rPr>
            </w:pPr>
            <w:r>
              <w:rPr>
                <w:lang w:val="en-US"/>
              </w:rPr>
              <w:t>44 827</w:t>
            </w:r>
          </w:p>
        </w:tc>
        <w:tc>
          <w:tcPr>
            <w:tcW w:w="709" w:type="dxa"/>
          </w:tcPr>
          <w:p w:rsidR="00000000" w:rsidRDefault="00000000">
            <w:pPr>
              <w:jc w:val="right"/>
              <w:rPr>
                <w:lang w:val="en-US"/>
              </w:rPr>
            </w:pPr>
            <w:r>
              <w:rPr>
                <w:lang w:val="en-US"/>
              </w:rPr>
              <w:t>5,56</w:t>
            </w:r>
          </w:p>
        </w:tc>
        <w:tc>
          <w:tcPr>
            <w:tcW w:w="992" w:type="dxa"/>
          </w:tcPr>
          <w:p w:rsidR="00000000" w:rsidRDefault="00000000">
            <w:pPr>
              <w:jc w:val="right"/>
              <w:rPr>
                <w:lang w:val="en-US"/>
              </w:rPr>
            </w:pPr>
            <w:r>
              <w:rPr>
                <w:lang w:val="en-US"/>
              </w:rPr>
              <w:t>1 102</w:t>
            </w:r>
          </w:p>
        </w:tc>
        <w:tc>
          <w:tcPr>
            <w:tcW w:w="752" w:type="dxa"/>
          </w:tcPr>
          <w:p w:rsidR="00000000" w:rsidRDefault="00000000">
            <w:pPr>
              <w:jc w:val="right"/>
              <w:rPr>
                <w:lang w:val="en-US"/>
              </w:rPr>
            </w:pPr>
            <w:r>
              <w:rPr>
                <w:lang w:val="en-US"/>
              </w:rPr>
              <w:t>0,17</w:t>
            </w:r>
          </w:p>
        </w:tc>
      </w:tr>
      <w:tr w:rsidR="00000000">
        <w:tblPrEx>
          <w:tblCellMar>
            <w:top w:w="0" w:type="dxa"/>
            <w:bottom w:w="0" w:type="dxa"/>
          </w:tblCellMar>
        </w:tblPrEx>
        <w:trPr>
          <w:cantSplit/>
        </w:trPr>
        <w:tc>
          <w:tcPr>
            <w:tcW w:w="4281" w:type="dxa"/>
          </w:tcPr>
          <w:p w:rsidR="00000000" w:rsidRDefault="00000000">
            <w:r>
              <w:t>Жилье по смешанному контракту</w:t>
            </w:r>
          </w:p>
        </w:tc>
        <w:tc>
          <w:tcPr>
            <w:tcW w:w="1134" w:type="dxa"/>
          </w:tcPr>
          <w:p w:rsidR="00000000" w:rsidRDefault="00000000">
            <w:pPr>
              <w:jc w:val="right"/>
              <w:rPr>
                <w:lang w:val="en-US"/>
              </w:rPr>
            </w:pPr>
            <w:r>
              <w:rPr>
                <w:lang w:val="en-US"/>
              </w:rPr>
              <w:t>2 423</w:t>
            </w:r>
          </w:p>
        </w:tc>
        <w:tc>
          <w:tcPr>
            <w:tcW w:w="709" w:type="dxa"/>
          </w:tcPr>
          <w:p w:rsidR="00000000" w:rsidRDefault="00000000">
            <w:pPr>
              <w:jc w:val="right"/>
              <w:rPr>
                <w:lang w:val="en-US"/>
              </w:rPr>
            </w:pPr>
            <w:r>
              <w:rPr>
                <w:lang w:val="en-US"/>
              </w:rPr>
              <w:t>0,17</w:t>
            </w:r>
          </w:p>
        </w:tc>
        <w:tc>
          <w:tcPr>
            <w:tcW w:w="992" w:type="dxa"/>
          </w:tcPr>
          <w:p w:rsidR="00000000" w:rsidRDefault="00000000">
            <w:pPr>
              <w:jc w:val="right"/>
              <w:rPr>
                <w:lang w:val="en-US"/>
              </w:rPr>
            </w:pPr>
            <w:r>
              <w:rPr>
                <w:lang w:val="en-US"/>
              </w:rPr>
              <w:t>1 675</w:t>
            </w:r>
          </w:p>
        </w:tc>
        <w:tc>
          <w:tcPr>
            <w:tcW w:w="709" w:type="dxa"/>
          </w:tcPr>
          <w:p w:rsidR="00000000" w:rsidRDefault="00000000">
            <w:pPr>
              <w:jc w:val="right"/>
              <w:rPr>
                <w:lang w:val="en-US"/>
              </w:rPr>
            </w:pPr>
            <w:r>
              <w:rPr>
                <w:lang w:val="en-US"/>
              </w:rPr>
              <w:t>0,21</w:t>
            </w:r>
          </w:p>
        </w:tc>
        <w:tc>
          <w:tcPr>
            <w:tcW w:w="992" w:type="dxa"/>
          </w:tcPr>
          <w:p w:rsidR="00000000" w:rsidRDefault="00000000">
            <w:pPr>
              <w:jc w:val="right"/>
              <w:rPr>
                <w:lang w:val="en-US"/>
              </w:rPr>
            </w:pPr>
            <w:r>
              <w:rPr>
                <w:lang w:val="en-US"/>
              </w:rPr>
              <w:t>748</w:t>
            </w:r>
          </w:p>
        </w:tc>
        <w:tc>
          <w:tcPr>
            <w:tcW w:w="752" w:type="dxa"/>
          </w:tcPr>
          <w:p w:rsidR="00000000" w:rsidRDefault="00000000">
            <w:pPr>
              <w:jc w:val="right"/>
              <w:rPr>
                <w:lang w:val="en-US"/>
              </w:rPr>
            </w:pPr>
            <w:r>
              <w:rPr>
                <w:lang w:val="en-US"/>
              </w:rPr>
              <w:t>0,12</w:t>
            </w:r>
          </w:p>
        </w:tc>
      </w:tr>
      <w:tr w:rsidR="00000000">
        <w:tblPrEx>
          <w:tblCellMar>
            <w:top w:w="0" w:type="dxa"/>
            <w:bottom w:w="0" w:type="dxa"/>
          </w:tblCellMar>
        </w:tblPrEx>
        <w:trPr>
          <w:cantSplit/>
        </w:trPr>
        <w:tc>
          <w:tcPr>
            <w:tcW w:w="4281" w:type="dxa"/>
          </w:tcPr>
          <w:p w:rsidR="00000000" w:rsidRDefault="00000000">
            <w:r>
              <w:t>Служебное жилье</w:t>
            </w:r>
          </w:p>
        </w:tc>
        <w:tc>
          <w:tcPr>
            <w:tcW w:w="1134" w:type="dxa"/>
          </w:tcPr>
          <w:p w:rsidR="00000000" w:rsidRDefault="00000000">
            <w:pPr>
              <w:jc w:val="right"/>
              <w:rPr>
                <w:lang w:val="en-US"/>
              </w:rPr>
            </w:pPr>
            <w:r>
              <w:rPr>
                <w:lang w:val="en-US"/>
              </w:rPr>
              <w:t>85 200</w:t>
            </w:r>
          </w:p>
        </w:tc>
        <w:tc>
          <w:tcPr>
            <w:tcW w:w="709" w:type="dxa"/>
          </w:tcPr>
          <w:p w:rsidR="00000000" w:rsidRDefault="00000000">
            <w:pPr>
              <w:jc w:val="right"/>
              <w:rPr>
                <w:lang w:val="en-US"/>
              </w:rPr>
            </w:pPr>
            <w:r>
              <w:rPr>
                <w:lang w:val="en-US"/>
              </w:rPr>
              <w:t>5,90</w:t>
            </w:r>
          </w:p>
        </w:tc>
        <w:tc>
          <w:tcPr>
            <w:tcW w:w="992" w:type="dxa"/>
          </w:tcPr>
          <w:p w:rsidR="00000000" w:rsidRDefault="00000000">
            <w:pPr>
              <w:jc w:val="right"/>
              <w:rPr>
                <w:lang w:val="en-US"/>
              </w:rPr>
            </w:pPr>
            <w:r>
              <w:rPr>
                <w:lang w:val="en-US"/>
              </w:rPr>
              <w:t>39 723</w:t>
            </w:r>
          </w:p>
        </w:tc>
        <w:tc>
          <w:tcPr>
            <w:tcW w:w="709" w:type="dxa"/>
          </w:tcPr>
          <w:p w:rsidR="00000000" w:rsidRDefault="00000000">
            <w:pPr>
              <w:jc w:val="right"/>
              <w:rPr>
                <w:lang w:val="en-US"/>
              </w:rPr>
            </w:pPr>
            <w:r>
              <w:rPr>
                <w:lang w:val="en-US"/>
              </w:rPr>
              <w:t>4,92</w:t>
            </w:r>
          </w:p>
        </w:tc>
        <w:tc>
          <w:tcPr>
            <w:tcW w:w="992" w:type="dxa"/>
          </w:tcPr>
          <w:p w:rsidR="00000000" w:rsidRDefault="00000000">
            <w:pPr>
              <w:jc w:val="right"/>
              <w:rPr>
                <w:lang w:val="en-US"/>
              </w:rPr>
            </w:pPr>
            <w:r>
              <w:rPr>
                <w:lang w:val="en-US"/>
              </w:rPr>
              <w:t>45 477</w:t>
            </w:r>
          </w:p>
        </w:tc>
        <w:tc>
          <w:tcPr>
            <w:tcW w:w="752" w:type="dxa"/>
          </w:tcPr>
          <w:p w:rsidR="00000000" w:rsidRDefault="00000000">
            <w:pPr>
              <w:jc w:val="right"/>
              <w:rPr>
                <w:lang w:val="en-US"/>
              </w:rPr>
            </w:pPr>
            <w:r>
              <w:rPr>
                <w:lang w:val="en-US"/>
              </w:rPr>
              <w:t>7,13</w:t>
            </w:r>
          </w:p>
        </w:tc>
      </w:tr>
      <w:tr w:rsidR="00000000">
        <w:tblPrEx>
          <w:tblCellMar>
            <w:top w:w="0" w:type="dxa"/>
            <w:bottom w:w="0" w:type="dxa"/>
          </w:tblCellMar>
        </w:tblPrEx>
        <w:trPr>
          <w:cantSplit/>
        </w:trPr>
        <w:tc>
          <w:tcPr>
            <w:tcW w:w="4281" w:type="dxa"/>
          </w:tcPr>
          <w:p w:rsidR="00000000" w:rsidRDefault="00000000">
            <w:r>
              <w:t>Жилье, уступленное на правах родства</w:t>
            </w:r>
          </w:p>
        </w:tc>
        <w:tc>
          <w:tcPr>
            <w:tcW w:w="1134" w:type="dxa"/>
          </w:tcPr>
          <w:p w:rsidR="00000000" w:rsidRDefault="00000000">
            <w:pPr>
              <w:jc w:val="right"/>
              <w:rPr>
                <w:lang w:val="en-US"/>
              </w:rPr>
            </w:pPr>
            <w:r>
              <w:rPr>
                <w:lang w:val="en-US"/>
              </w:rPr>
              <w:t>116 667</w:t>
            </w:r>
          </w:p>
        </w:tc>
        <w:tc>
          <w:tcPr>
            <w:tcW w:w="709" w:type="dxa"/>
          </w:tcPr>
          <w:p w:rsidR="00000000" w:rsidRDefault="00000000">
            <w:pPr>
              <w:jc w:val="right"/>
              <w:rPr>
                <w:lang w:val="en-US"/>
              </w:rPr>
            </w:pPr>
            <w:r>
              <w:rPr>
                <w:lang w:val="en-US"/>
              </w:rPr>
              <w:t>8,07</w:t>
            </w:r>
          </w:p>
        </w:tc>
        <w:tc>
          <w:tcPr>
            <w:tcW w:w="992" w:type="dxa"/>
          </w:tcPr>
          <w:p w:rsidR="00000000" w:rsidRDefault="00000000">
            <w:pPr>
              <w:jc w:val="right"/>
              <w:rPr>
                <w:lang w:val="en-US"/>
              </w:rPr>
            </w:pPr>
            <w:r>
              <w:rPr>
                <w:lang w:val="en-US"/>
              </w:rPr>
              <w:t>92 545</w:t>
            </w:r>
          </w:p>
        </w:tc>
        <w:tc>
          <w:tcPr>
            <w:tcW w:w="709" w:type="dxa"/>
          </w:tcPr>
          <w:p w:rsidR="00000000" w:rsidRDefault="00000000">
            <w:pPr>
              <w:jc w:val="right"/>
              <w:rPr>
                <w:lang w:val="en-US"/>
              </w:rPr>
            </w:pPr>
            <w:r>
              <w:rPr>
                <w:lang w:val="en-US"/>
              </w:rPr>
              <w:t>11,47</w:t>
            </w:r>
          </w:p>
        </w:tc>
        <w:tc>
          <w:tcPr>
            <w:tcW w:w="992" w:type="dxa"/>
          </w:tcPr>
          <w:p w:rsidR="00000000" w:rsidRDefault="00000000">
            <w:pPr>
              <w:jc w:val="right"/>
              <w:rPr>
                <w:lang w:val="en-US"/>
              </w:rPr>
            </w:pPr>
            <w:r>
              <w:rPr>
                <w:lang w:val="en-US"/>
              </w:rPr>
              <w:t>24 122</w:t>
            </w:r>
          </w:p>
        </w:tc>
        <w:tc>
          <w:tcPr>
            <w:tcW w:w="752" w:type="dxa"/>
          </w:tcPr>
          <w:p w:rsidR="00000000" w:rsidRDefault="00000000">
            <w:pPr>
              <w:jc w:val="right"/>
              <w:rPr>
                <w:lang w:val="en-US"/>
              </w:rPr>
            </w:pPr>
            <w:r>
              <w:rPr>
                <w:lang w:val="en-US"/>
              </w:rPr>
              <w:t>3,78</w:t>
            </w:r>
          </w:p>
        </w:tc>
      </w:tr>
      <w:tr w:rsidR="00000000">
        <w:tblPrEx>
          <w:tblCellMar>
            <w:top w:w="0" w:type="dxa"/>
            <w:bottom w:w="0" w:type="dxa"/>
          </w:tblCellMar>
        </w:tblPrEx>
        <w:trPr>
          <w:cantSplit/>
        </w:trPr>
        <w:tc>
          <w:tcPr>
            <w:tcW w:w="4281" w:type="dxa"/>
          </w:tcPr>
          <w:p w:rsidR="00000000" w:rsidRDefault="00000000">
            <w:r>
              <w:t>Другие типы владения</w:t>
            </w:r>
          </w:p>
        </w:tc>
        <w:tc>
          <w:tcPr>
            <w:tcW w:w="1134" w:type="dxa"/>
          </w:tcPr>
          <w:p w:rsidR="00000000" w:rsidRDefault="00000000">
            <w:pPr>
              <w:jc w:val="right"/>
              <w:rPr>
                <w:lang w:val="en-US"/>
              </w:rPr>
            </w:pPr>
            <w:r>
              <w:rPr>
                <w:lang w:val="en-US"/>
              </w:rPr>
              <w:t>10 891</w:t>
            </w:r>
          </w:p>
        </w:tc>
        <w:tc>
          <w:tcPr>
            <w:tcW w:w="709" w:type="dxa"/>
          </w:tcPr>
          <w:p w:rsidR="00000000" w:rsidRDefault="00000000">
            <w:pPr>
              <w:jc w:val="right"/>
              <w:rPr>
                <w:lang w:val="en-US"/>
              </w:rPr>
            </w:pPr>
            <w:r>
              <w:rPr>
                <w:lang w:val="en-US"/>
              </w:rPr>
              <w:t>0,75</w:t>
            </w:r>
          </w:p>
        </w:tc>
        <w:tc>
          <w:tcPr>
            <w:tcW w:w="992" w:type="dxa"/>
          </w:tcPr>
          <w:p w:rsidR="00000000" w:rsidRDefault="00000000">
            <w:pPr>
              <w:jc w:val="right"/>
              <w:rPr>
                <w:lang w:val="en-US"/>
              </w:rPr>
            </w:pPr>
            <w:r>
              <w:rPr>
                <w:lang w:val="en-US"/>
              </w:rPr>
              <w:t>8 083</w:t>
            </w:r>
          </w:p>
        </w:tc>
        <w:tc>
          <w:tcPr>
            <w:tcW w:w="709" w:type="dxa"/>
          </w:tcPr>
          <w:p w:rsidR="00000000" w:rsidRDefault="00000000">
            <w:pPr>
              <w:jc w:val="right"/>
              <w:rPr>
                <w:lang w:val="en-US"/>
              </w:rPr>
            </w:pPr>
            <w:r>
              <w:rPr>
                <w:lang w:val="en-US"/>
              </w:rPr>
              <w:t>1,00</w:t>
            </w:r>
          </w:p>
        </w:tc>
        <w:tc>
          <w:tcPr>
            <w:tcW w:w="992" w:type="dxa"/>
          </w:tcPr>
          <w:p w:rsidR="00000000" w:rsidRDefault="00000000">
            <w:pPr>
              <w:jc w:val="right"/>
              <w:rPr>
                <w:lang w:val="en-US"/>
              </w:rPr>
            </w:pPr>
            <w:r>
              <w:rPr>
                <w:lang w:val="en-US"/>
              </w:rPr>
              <w:t>2 808</w:t>
            </w:r>
          </w:p>
        </w:tc>
        <w:tc>
          <w:tcPr>
            <w:tcW w:w="752" w:type="dxa"/>
          </w:tcPr>
          <w:p w:rsidR="00000000" w:rsidRDefault="00000000">
            <w:pPr>
              <w:jc w:val="right"/>
              <w:rPr>
                <w:lang w:val="en-US"/>
              </w:rPr>
            </w:pPr>
            <w:r>
              <w:rPr>
                <w:lang w:val="en-US"/>
              </w:rPr>
              <w:t>0,44</w:t>
            </w:r>
          </w:p>
        </w:tc>
      </w:tr>
      <w:tr w:rsidR="00000000">
        <w:tblPrEx>
          <w:tblCellMar>
            <w:top w:w="0" w:type="dxa"/>
            <w:bottom w:w="0" w:type="dxa"/>
          </w:tblCellMar>
        </w:tblPrEx>
        <w:trPr>
          <w:cantSplit/>
        </w:trPr>
        <w:tc>
          <w:tcPr>
            <w:tcW w:w="4281" w:type="dxa"/>
          </w:tcPr>
          <w:p w:rsidR="00000000" w:rsidRDefault="00000000">
            <w:r>
              <w:t>Всего</w:t>
            </w:r>
          </w:p>
        </w:tc>
        <w:tc>
          <w:tcPr>
            <w:tcW w:w="1134" w:type="dxa"/>
          </w:tcPr>
          <w:p w:rsidR="00000000" w:rsidRDefault="00000000">
            <w:pPr>
              <w:jc w:val="right"/>
              <w:rPr>
                <w:lang w:val="en-US"/>
              </w:rPr>
            </w:pPr>
            <w:r>
              <w:rPr>
                <w:lang w:val="en-US"/>
              </w:rPr>
              <w:t>1 444 817</w:t>
            </w:r>
          </w:p>
        </w:tc>
        <w:tc>
          <w:tcPr>
            <w:tcW w:w="709" w:type="dxa"/>
          </w:tcPr>
          <w:p w:rsidR="00000000" w:rsidRDefault="00000000">
            <w:pPr>
              <w:jc w:val="right"/>
              <w:rPr>
                <w:lang w:val="en-US"/>
              </w:rPr>
            </w:pPr>
            <w:r>
              <w:rPr>
                <w:lang w:val="en-US"/>
              </w:rPr>
              <w:t>100,0</w:t>
            </w:r>
          </w:p>
        </w:tc>
        <w:tc>
          <w:tcPr>
            <w:tcW w:w="992" w:type="dxa"/>
          </w:tcPr>
          <w:p w:rsidR="00000000" w:rsidRDefault="00000000">
            <w:pPr>
              <w:jc w:val="right"/>
              <w:rPr>
                <w:lang w:val="en-US"/>
              </w:rPr>
            </w:pPr>
            <w:r>
              <w:rPr>
                <w:lang w:val="en-US"/>
              </w:rPr>
              <w:t>806 815</w:t>
            </w:r>
          </w:p>
        </w:tc>
        <w:tc>
          <w:tcPr>
            <w:tcW w:w="709" w:type="dxa"/>
          </w:tcPr>
          <w:p w:rsidR="00000000" w:rsidRDefault="00000000">
            <w:pPr>
              <w:jc w:val="right"/>
              <w:rPr>
                <w:lang w:val="en-US"/>
              </w:rPr>
            </w:pPr>
            <w:r>
              <w:rPr>
                <w:lang w:val="en-US"/>
              </w:rPr>
              <w:t>100,0</w:t>
            </w:r>
          </w:p>
        </w:tc>
        <w:tc>
          <w:tcPr>
            <w:tcW w:w="992" w:type="dxa"/>
          </w:tcPr>
          <w:p w:rsidR="00000000" w:rsidRDefault="00000000">
            <w:pPr>
              <w:jc w:val="right"/>
              <w:rPr>
                <w:lang w:val="en-US"/>
              </w:rPr>
            </w:pPr>
            <w:r>
              <w:rPr>
                <w:lang w:val="en-US"/>
              </w:rPr>
              <w:t>638 002</w:t>
            </w:r>
          </w:p>
        </w:tc>
        <w:tc>
          <w:tcPr>
            <w:tcW w:w="752" w:type="dxa"/>
          </w:tcPr>
          <w:p w:rsidR="00000000" w:rsidRDefault="00000000">
            <w:pPr>
              <w:jc w:val="right"/>
              <w:rPr>
                <w:lang w:val="en-US"/>
              </w:rPr>
            </w:pPr>
            <w:r>
              <w:rPr>
                <w:lang w:val="en-US"/>
              </w:rPr>
              <w:t>100,0</w:t>
            </w:r>
          </w:p>
        </w:tc>
      </w:tr>
    </w:tbl>
    <w:p w:rsidR="00000000" w:rsidRDefault="00000000">
      <w:pPr>
        <w:pStyle w:val="FootnoteText"/>
        <w:spacing w:line="288" w:lineRule="auto"/>
        <w:rPr>
          <w:lang w:val="en-US"/>
        </w:rPr>
      </w:pPr>
    </w:p>
    <w:p w:rsidR="00000000" w:rsidRDefault="00000000">
      <w:r>
        <w:tab/>
      </w:r>
      <w:r>
        <w:rPr>
          <w:u w:val="single"/>
        </w:rPr>
        <w:t>Источник</w:t>
      </w:r>
      <w:r>
        <w:t>:  Перепись населения 1992 года.</w:t>
      </w:r>
    </w:p>
    <w:p w:rsidR="00000000" w:rsidRDefault="00000000">
      <w:pPr>
        <w:pStyle w:val="1"/>
      </w:pPr>
    </w:p>
    <w:p w:rsidR="00000000" w:rsidRDefault="00000000">
      <w:pPr>
        <w:pStyle w:val="FootnoteText"/>
        <w:keepNext/>
        <w:keepLines/>
        <w:spacing w:line="288" w:lineRule="auto"/>
        <w:jc w:val="center"/>
        <w:rPr>
          <w:b/>
        </w:rPr>
      </w:pPr>
      <w:r>
        <w:rPr>
          <w:b/>
        </w:rPr>
        <w:t>Частное жилье с жильцами в разбивке по степени заселенности</w:t>
      </w:r>
    </w:p>
    <w:p w:rsidR="00000000" w:rsidRDefault="00000000">
      <w:pPr>
        <w:pStyle w:val="FootnoteText"/>
        <w:keepNext/>
        <w:keepLines/>
        <w:spacing w:line="288" w:lineRule="auto"/>
        <w:jc w:val="center"/>
      </w:pP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81"/>
        <w:gridCol w:w="1134"/>
        <w:gridCol w:w="709"/>
        <w:gridCol w:w="992"/>
        <w:gridCol w:w="709"/>
        <w:gridCol w:w="992"/>
        <w:gridCol w:w="752"/>
      </w:tblGrid>
      <w:tr w:rsidR="00000000">
        <w:tblPrEx>
          <w:tblCellMar>
            <w:top w:w="0" w:type="dxa"/>
            <w:bottom w:w="0" w:type="dxa"/>
          </w:tblCellMar>
        </w:tblPrEx>
        <w:trPr>
          <w:cantSplit/>
        </w:trPr>
        <w:tc>
          <w:tcPr>
            <w:tcW w:w="4281" w:type="dxa"/>
          </w:tcPr>
          <w:p w:rsidR="00000000" w:rsidRDefault="00000000">
            <w:pPr>
              <w:keepNext/>
              <w:keepLines/>
              <w:jc w:val="center"/>
              <w:rPr>
                <w:b/>
              </w:rPr>
            </w:pPr>
            <w:r>
              <w:rPr>
                <w:b/>
              </w:rPr>
              <w:t>Степень заселенности</w:t>
            </w:r>
          </w:p>
        </w:tc>
        <w:tc>
          <w:tcPr>
            <w:tcW w:w="1134" w:type="dxa"/>
          </w:tcPr>
          <w:p w:rsidR="00000000" w:rsidRDefault="00000000">
            <w:pPr>
              <w:keepNext/>
              <w:keepLines/>
              <w:jc w:val="center"/>
              <w:rPr>
                <w:b/>
              </w:rPr>
            </w:pPr>
            <w:r>
              <w:rPr>
                <w:b/>
              </w:rPr>
              <w:t>Всего</w:t>
            </w:r>
          </w:p>
        </w:tc>
        <w:tc>
          <w:tcPr>
            <w:tcW w:w="709" w:type="dxa"/>
          </w:tcPr>
          <w:p w:rsidR="00000000" w:rsidRDefault="00000000">
            <w:pPr>
              <w:keepNext/>
              <w:keepLines/>
              <w:jc w:val="center"/>
              <w:rPr>
                <w:b/>
              </w:rPr>
            </w:pPr>
            <w:r>
              <w:rPr>
                <w:b/>
              </w:rPr>
              <w:t>%</w:t>
            </w:r>
          </w:p>
        </w:tc>
        <w:tc>
          <w:tcPr>
            <w:tcW w:w="992" w:type="dxa"/>
          </w:tcPr>
          <w:p w:rsidR="00000000" w:rsidRDefault="00000000">
            <w:pPr>
              <w:keepNext/>
              <w:keepLines/>
              <w:jc w:val="center"/>
              <w:rPr>
                <w:b/>
              </w:rPr>
            </w:pPr>
            <w:r>
              <w:rPr>
                <w:b/>
              </w:rPr>
              <w:t>Город</w:t>
            </w:r>
          </w:p>
        </w:tc>
        <w:tc>
          <w:tcPr>
            <w:tcW w:w="709" w:type="dxa"/>
          </w:tcPr>
          <w:p w:rsidR="00000000" w:rsidRDefault="00000000">
            <w:pPr>
              <w:keepNext/>
              <w:keepLines/>
              <w:jc w:val="center"/>
              <w:rPr>
                <w:b/>
              </w:rPr>
            </w:pPr>
            <w:r>
              <w:rPr>
                <w:b/>
              </w:rPr>
              <w:t>%</w:t>
            </w:r>
          </w:p>
        </w:tc>
        <w:tc>
          <w:tcPr>
            <w:tcW w:w="992" w:type="dxa"/>
          </w:tcPr>
          <w:p w:rsidR="00000000" w:rsidRDefault="00000000">
            <w:pPr>
              <w:keepNext/>
              <w:keepLines/>
              <w:jc w:val="center"/>
              <w:rPr>
                <w:b/>
              </w:rPr>
            </w:pPr>
            <w:r>
              <w:rPr>
                <w:b/>
              </w:rPr>
              <w:t>Село</w:t>
            </w:r>
          </w:p>
        </w:tc>
        <w:tc>
          <w:tcPr>
            <w:tcW w:w="752" w:type="dxa"/>
          </w:tcPr>
          <w:p w:rsidR="00000000" w:rsidRDefault="00000000">
            <w:pPr>
              <w:keepNext/>
              <w:keepLines/>
              <w:jc w:val="center"/>
              <w:rPr>
                <w:b/>
              </w:rPr>
            </w:pPr>
            <w:r>
              <w:rPr>
                <w:b/>
              </w:rPr>
              <w:t>%</w:t>
            </w:r>
          </w:p>
        </w:tc>
      </w:tr>
      <w:tr w:rsidR="00000000">
        <w:tblPrEx>
          <w:tblCellMar>
            <w:top w:w="0" w:type="dxa"/>
            <w:bottom w:w="0" w:type="dxa"/>
          </w:tblCellMar>
        </w:tblPrEx>
        <w:trPr>
          <w:cantSplit/>
        </w:trPr>
        <w:tc>
          <w:tcPr>
            <w:tcW w:w="4281" w:type="dxa"/>
          </w:tcPr>
          <w:p w:rsidR="00000000" w:rsidRDefault="00000000">
            <w:pPr>
              <w:keepNext/>
              <w:keepLines/>
            </w:pPr>
            <w:r>
              <w:t>Без перенаселенности:  2 человека на комнату</w:t>
            </w:r>
          </w:p>
        </w:tc>
        <w:tc>
          <w:tcPr>
            <w:tcW w:w="1134" w:type="dxa"/>
          </w:tcPr>
          <w:p w:rsidR="00000000" w:rsidRDefault="00000000">
            <w:pPr>
              <w:keepNext/>
              <w:keepLines/>
              <w:jc w:val="right"/>
              <w:rPr>
                <w:lang w:val="en-US"/>
              </w:rPr>
            </w:pPr>
            <w:r>
              <w:rPr>
                <w:lang w:val="en-US"/>
              </w:rPr>
              <w:t>850 199</w:t>
            </w:r>
          </w:p>
        </w:tc>
        <w:tc>
          <w:tcPr>
            <w:tcW w:w="709" w:type="dxa"/>
          </w:tcPr>
          <w:p w:rsidR="00000000" w:rsidRDefault="00000000">
            <w:pPr>
              <w:keepNext/>
              <w:keepLines/>
              <w:jc w:val="right"/>
              <w:rPr>
                <w:lang w:val="en-US"/>
              </w:rPr>
            </w:pPr>
            <w:r>
              <w:rPr>
                <w:lang w:val="en-US"/>
              </w:rPr>
              <w:t>58,84</w:t>
            </w:r>
          </w:p>
        </w:tc>
        <w:tc>
          <w:tcPr>
            <w:tcW w:w="992" w:type="dxa"/>
          </w:tcPr>
          <w:p w:rsidR="00000000" w:rsidRDefault="00000000">
            <w:pPr>
              <w:keepNext/>
              <w:keepLines/>
              <w:jc w:val="right"/>
              <w:rPr>
                <w:lang w:val="en-US"/>
              </w:rPr>
            </w:pPr>
            <w:r>
              <w:rPr>
                <w:lang w:val="en-US"/>
              </w:rPr>
              <w:t>475 883</w:t>
            </w:r>
          </w:p>
        </w:tc>
        <w:tc>
          <w:tcPr>
            <w:tcW w:w="709" w:type="dxa"/>
          </w:tcPr>
          <w:p w:rsidR="00000000" w:rsidRDefault="00000000">
            <w:pPr>
              <w:keepNext/>
              <w:keepLines/>
              <w:jc w:val="right"/>
              <w:rPr>
                <w:lang w:val="en-US"/>
              </w:rPr>
            </w:pPr>
            <w:r>
              <w:rPr>
                <w:lang w:val="en-US"/>
              </w:rPr>
              <w:t>58,98</w:t>
            </w:r>
          </w:p>
        </w:tc>
        <w:tc>
          <w:tcPr>
            <w:tcW w:w="992" w:type="dxa"/>
          </w:tcPr>
          <w:p w:rsidR="00000000" w:rsidRDefault="00000000">
            <w:pPr>
              <w:keepNext/>
              <w:keepLines/>
              <w:jc w:val="right"/>
              <w:rPr>
                <w:lang w:val="en-US"/>
              </w:rPr>
            </w:pPr>
            <w:r>
              <w:rPr>
                <w:lang w:val="en-US"/>
              </w:rPr>
              <w:t>374 316</w:t>
            </w:r>
          </w:p>
        </w:tc>
        <w:tc>
          <w:tcPr>
            <w:tcW w:w="752" w:type="dxa"/>
          </w:tcPr>
          <w:p w:rsidR="00000000" w:rsidRDefault="00000000">
            <w:pPr>
              <w:keepNext/>
              <w:keepLines/>
              <w:jc w:val="right"/>
              <w:rPr>
                <w:lang w:val="en-US"/>
              </w:rPr>
            </w:pPr>
            <w:r>
              <w:rPr>
                <w:lang w:val="en-US"/>
              </w:rPr>
              <w:t>58,67</w:t>
            </w:r>
          </w:p>
        </w:tc>
      </w:tr>
      <w:tr w:rsidR="00000000">
        <w:tblPrEx>
          <w:tblCellMar>
            <w:top w:w="0" w:type="dxa"/>
            <w:bottom w:w="0" w:type="dxa"/>
          </w:tblCellMar>
        </w:tblPrEx>
        <w:trPr>
          <w:cantSplit/>
        </w:trPr>
        <w:tc>
          <w:tcPr>
            <w:tcW w:w="4281" w:type="dxa"/>
          </w:tcPr>
          <w:p w:rsidR="00000000" w:rsidRDefault="00000000">
            <w:pPr>
              <w:pStyle w:val="FootnoteText"/>
              <w:keepNext/>
              <w:keepLines/>
              <w:spacing w:line="288" w:lineRule="auto"/>
            </w:pPr>
            <w:r>
              <w:t>Средняя перенаселенность:  2</w:t>
            </w:r>
            <w:r>
              <w:noBreakHyphen/>
              <w:t>4 человека на комнату</w:t>
            </w:r>
          </w:p>
        </w:tc>
        <w:tc>
          <w:tcPr>
            <w:tcW w:w="1134" w:type="dxa"/>
          </w:tcPr>
          <w:p w:rsidR="00000000" w:rsidRDefault="00000000">
            <w:pPr>
              <w:keepNext/>
              <w:keepLines/>
              <w:jc w:val="right"/>
              <w:rPr>
                <w:lang w:val="en-US"/>
              </w:rPr>
            </w:pPr>
            <w:r>
              <w:rPr>
                <w:lang w:val="en-US"/>
              </w:rPr>
              <w:t>405 808</w:t>
            </w:r>
          </w:p>
        </w:tc>
        <w:tc>
          <w:tcPr>
            <w:tcW w:w="709" w:type="dxa"/>
          </w:tcPr>
          <w:p w:rsidR="00000000" w:rsidRDefault="00000000">
            <w:pPr>
              <w:keepNext/>
              <w:keepLines/>
              <w:jc w:val="right"/>
              <w:rPr>
                <w:lang w:val="en-US"/>
              </w:rPr>
            </w:pPr>
            <w:r>
              <w:rPr>
                <w:lang w:val="en-US"/>
              </w:rPr>
              <w:t>28,09</w:t>
            </w:r>
          </w:p>
        </w:tc>
        <w:tc>
          <w:tcPr>
            <w:tcW w:w="992" w:type="dxa"/>
          </w:tcPr>
          <w:p w:rsidR="00000000" w:rsidRDefault="00000000">
            <w:pPr>
              <w:keepNext/>
              <w:keepLines/>
              <w:jc w:val="right"/>
              <w:rPr>
                <w:lang w:val="en-US"/>
              </w:rPr>
            </w:pPr>
            <w:r>
              <w:rPr>
                <w:lang w:val="en-US"/>
              </w:rPr>
              <w:t>224 488</w:t>
            </w:r>
          </w:p>
        </w:tc>
        <w:tc>
          <w:tcPr>
            <w:tcW w:w="709" w:type="dxa"/>
          </w:tcPr>
          <w:p w:rsidR="00000000" w:rsidRDefault="00000000">
            <w:pPr>
              <w:keepNext/>
              <w:keepLines/>
              <w:jc w:val="right"/>
              <w:rPr>
                <w:lang w:val="en-US"/>
              </w:rPr>
            </w:pPr>
            <w:r>
              <w:rPr>
                <w:lang w:val="en-US"/>
              </w:rPr>
              <w:t>27,82</w:t>
            </w:r>
          </w:p>
        </w:tc>
        <w:tc>
          <w:tcPr>
            <w:tcW w:w="992" w:type="dxa"/>
          </w:tcPr>
          <w:p w:rsidR="00000000" w:rsidRDefault="00000000">
            <w:pPr>
              <w:keepNext/>
              <w:keepLines/>
              <w:jc w:val="right"/>
              <w:rPr>
                <w:lang w:val="en-US"/>
              </w:rPr>
            </w:pPr>
            <w:r>
              <w:rPr>
                <w:lang w:val="en-US"/>
              </w:rPr>
              <w:t>181 320</w:t>
            </w:r>
          </w:p>
        </w:tc>
        <w:tc>
          <w:tcPr>
            <w:tcW w:w="752" w:type="dxa"/>
          </w:tcPr>
          <w:p w:rsidR="00000000" w:rsidRDefault="00000000">
            <w:pPr>
              <w:keepNext/>
              <w:keepLines/>
              <w:jc w:val="right"/>
              <w:rPr>
                <w:lang w:val="en-US"/>
              </w:rPr>
            </w:pPr>
            <w:r>
              <w:rPr>
                <w:lang w:val="en-US"/>
              </w:rPr>
              <w:t>28,42</w:t>
            </w:r>
          </w:p>
        </w:tc>
      </w:tr>
      <w:tr w:rsidR="00000000">
        <w:tblPrEx>
          <w:tblCellMar>
            <w:top w:w="0" w:type="dxa"/>
            <w:bottom w:w="0" w:type="dxa"/>
          </w:tblCellMar>
        </w:tblPrEx>
        <w:trPr>
          <w:cantSplit/>
        </w:trPr>
        <w:tc>
          <w:tcPr>
            <w:tcW w:w="4281" w:type="dxa"/>
          </w:tcPr>
          <w:p w:rsidR="00000000" w:rsidRDefault="00000000">
            <w:pPr>
              <w:keepNext/>
              <w:keepLines/>
            </w:pPr>
            <w:r>
              <w:t>Высокая перенаселенность:  более 4 человек на комнату</w:t>
            </w:r>
          </w:p>
        </w:tc>
        <w:tc>
          <w:tcPr>
            <w:tcW w:w="1134" w:type="dxa"/>
          </w:tcPr>
          <w:p w:rsidR="00000000" w:rsidRDefault="00000000">
            <w:pPr>
              <w:keepNext/>
              <w:keepLines/>
              <w:jc w:val="right"/>
              <w:rPr>
                <w:lang w:val="en-US"/>
              </w:rPr>
            </w:pPr>
            <w:r>
              <w:rPr>
                <w:lang w:val="en-US"/>
              </w:rPr>
              <w:t>188 810</w:t>
            </w:r>
          </w:p>
        </w:tc>
        <w:tc>
          <w:tcPr>
            <w:tcW w:w="709" w:type="dxa"/>
          </w:tcPr>
          <w:p w:rsidR="00000000" w:rsidRDefault="00000000">
            <w:pPr>
              <w:keepNext/>
              <w:keepLines/>
              <w:jc w:val="right"/>
              <w:rPr>
                <w:lang w:val="en-US"/>
              </w:rPr>
            </w:pPr>
            <w:r>
              <w:rPr>
                <w:lang w:val="en-US"/>
              </w:rPr>
              <w:t>13,07</w:t>
            </w:r>
          </w:p>
        </w:tc>
        <w:tc>
          <w:tcPr>
            <w:tcW w:w="992" w:type="dxa"/>
          </w:tcPr>
          <w:p w:rsidR="00000000" w:rsidRDefault="00000000">
            <w:pPr>
              <w:keepNext/>
              <w:keepLines/>
              <w:jc w:val="right"/>
              <w:rPr>
                <w:lang w:val="en-US"/>
              </w:rPr>
            </w:pPr>
            <w:r>
              <w:rPr>
                <w:lang w:val="en-US"/>
              </w:rPr>
              <w:t>106 444</w:t>
            </w:r>
          </w:p>
        </w:tc>
        <w:tc>
          <w:tcPr>
            <w:tcW w:w="709" w:type="dxa"/>
          </w:tcPr>
          <w:p w:rsidR="00000000" w:rsidRDefault="00000000">
            <w:pPr>
              <w:keepNext/>
              <w:keepLines/>
              <w:jc w:val="right"/>
              <w:rPr>
                <w:lang w:val="en-US"/>
              </w:rPr>
            </w:pPr>
            <w:r>
              <w:rPr>
                <w:lang w:val="en-US"/>
              </w:rPr>
              <w:t>13,19</w:t>
            </w:r>
          </w:p>
        </w:tc>
        <w:tc>
          <w:tcPr>
            <w:tcW w:w="992" w:type="dxa"/>
          </w:tcPr>
          <w:p w:rsidR="00000000" w:rsidRDefault="00000000">
            <w:pPr>
              <w:keepNext/>
              <w:keepLines/>
              <w:jc w:val="right"/>
              <w:rPr>
                <w:lang w:val="en-US"/>
              </w:rPr>
            </w:pPr>
            <w:r>
              <w:rPr>
                <w:lang w:val="en-US"/>
              </w:rPr>
              <w:t>82 366</w:t>
            </w:r>
          </w:p>
        </w:tc>
        <w:tc>
          <w:tcPr>
            <w:tcW w:w="752" w:type="dxa"/>
          </w:tcPr>
          <w:p w:rsidR="00000000" w:rsidRDefault="00000000">
            <w:pPr>
              <w:keepNext/>
              <w:keepLines/>
              <w:jc w:val="right"/>
              <w:rPr>
                <w:lang w:val="en-US"/>
              </w:rPr>
            </w:pPr>
            <w:r>
              <w:rPr>
                <w:lang w:val="en-US"/>
              </w:rPr>
              <w:t>12,91</w:t>
            </w:r>
          </w:p>
        </w:tc>
      </w:tr>
      <w:tr w:rsidR="00000000">
        <w:tblPrEx>
          <w:tblCellMar>
            <w:top w:w="0" w:type="dxa"/>
            <w:bottom w:w="0" w:type="dxa"/>
          </w:tblCellMar>
        </w:tblPrEx>
        <w:trPr>
          <w:cantSplit/>
        </w:trPr>
        <w:tc>
          <w:tcPr>
            <w:tcW w:w="4281" w:type="dxa"/>
          </w:tcPr>
          <w:p w:rsidR="00000000" w:rsidRDefault="00000000">
            <w:pPr>
              <w:keepNext/>
              <w:keepLines/>
            </w:pPr>
            <w:r>
              <w:t>Всего</w:t>
            </w:r>
          </w:p>
        </w:tc>
        <w:tc>
          <w:tcPr>
            <w:tcW w:w="1134" w:type="dxa"/>
          </w:tcPr>
          <w:p w:rsidR="00000000" w:rsidRDefault="00000000">
            <w:pPr>
              <w:keepNext/>
              <w:keepLines/>
              <w:jc w:val="right"/>
              <w:rPr>
                <w:lang w:val="en-US"/>
              </w:rPr>
            </w:pPr>
            <w:r>
              <w:rPr>
                <w:lang w:val="en-US"/>
              </w:rPr>
              <w:t>1 444 817</w:t>
            </w:r>
          </w:p>
        </w:tc>
        <w:tc>
          <w:tcPr>
            <w:tcW w:w="709" w:type="dxa"/>
          </w:tcPr>
          <w:p w:rsidR="00000000" w:rsidRDefault="00000000">
            <w:pPr>
              <w:keepNext/>
              <w:keepLines/>
              <w:jc w:val="right"/>
              <w:rPr>
                <w:lang w:val="en-US"/>
              </w:rPr>
            </w:pPr>
            <w:r>
              <w:rPr>
                <w:lang w:val="en-US"/>
              </w:rPr>
              <w:t>100,0</w:t>
            </w:r>
          </w:p>
        </w:tc>
        <w:tc>
          <w:tcPr>
            <w:tcW w:w="992" w:type="dxa"/>
          </w:tcPr>
          <w:p w:rsidR="00000000" w:rsidRDefault="00000000">
            <w:pPr>
              <w:keepNext/>
              <w:keepLines/>
              <w:jc w:val="right"/>
              <w:rPr>
                <w:lang w:val="en-US"/>
              </w:rPr>
            </w:pPr>
            <w:r>
              <w:rPr>
                <w:lang w:val="en-US"/>
              </w:rPr>
              <w:t>806 815</w:t>
            </w:r>
          </w:p>
        </w:tc>
        <w:tc>
          <w:tcPr>
            <w:tcW w:w="709" w:type="dxa"/>
          </w:tcPr>
          <w:p w:rsidR="00000000" w:rsidRDefault="00000000">
            <w:pPr>
              <w:keepNext/>
              <w:keepLines/>
              <w:jc w:val="right"/>
              <w:rPr>
                <w:lang w:val="en-US"/>
              </w:rPr>
            </w:pPr>
            <w:r>
              <w:rPr>
                <w:lang w:val="en-US"/>
              </w:rPr>
              <w:t>100,0</w:t>
            </w:r>
          </w:p>
        </w:tc>
        <w:tc>
          <w:tcPr>
            <w:tcW w:w="992" w:type="dxa"/>
          </w:tcPr>
          <w:p w:rsidR="00000000" w:rsidRDefault="00000000">
            <w:pPr>
              <w:keepNext/>
              <w:keepLines/>
              <w:jc w:val="right"/>
              <w:rPr>
                <w:lang w:val="en-US"/>
              </w:rPr>
            </w:pPr>
            <w:r>
              <w:rPr>
                <w:lang w:val="en-US"/>
              </w:rPr>
              <w:t>638 002</w:t>
            </w:r>
          </w:p>
        </w:tc>
        <w:tc>
          <w:tcPr>
            <w:tcW w:w="752" w:type="dxa"/>
          </w:tcPr>
          <w:p w:rsidR="00000000" w:rsidRDefault="00000000">
            <w:pPr>
              <w:keepNext/>
              <w:keepLines/>
              <w:jc w:val="right"/>
              <w:rPr>
                <w:lang w:val="en-US"/>
              </w:rPr>
            </w:pPr>
            <w:r>
              <w:rPr>
                <w:lang w:val="en-US"/>
              </w:rPr>
              <w:t>100,0</w:t>
            </w:r>
          </w:p>
        </w:tc>
      </w:tr>
    </w:tbl>
    <w:p w:rsidR="00000000" w:rsidRDefault="00000000">
      <w:pPr>
        <w:pStyle w:val="FootnoteText"/>
        <w:spacing w:line="288" w:lineRule="auto"/>
      </w:pPr>
    </w:p>
    <w:p w:rsidR="00000000" w:rsidRDefault="00000000">
      <w:pPr>
        <w:pStyle w:val="FootnoteText"/>
        <w:spacing w:line="288" w:lineRule="auto"/>
      </w:pPr>
      <w:r>
        <w:rPr>
          <w:u w:val="single"/>
        </w:rPr>
        <w:t>Пункт 3 b</w:t>
      </w:r>
      <w:r>
        <w:t>)</w:t>
      </w:r>
    </w:p>
    <w:p w:rsidR="00000000" w:rsidRDefault="00000000">
      <w:pPr>
        <w:pStyle w:val="FootnoteText"/>
        <w:spacing w:line="288" w:lineRule="auto"/>
      </w:pPr>
    </w:p>
    <w:p w:rsidR="00000000" w:rsidRDefault="00000000">
      <w:pPr>
        <w:pStyle w:val="FootnoteText"/>
        <w:spacing w:line="288" w:lineRule="auto"/>
      </w:pPr>
      <w:r>
        <w:t>346.</w:t>
      </w:r>
      <w:r>
        <w:tab/>
        <w:t>Ниже приводится подробная информация о социальных группах, которые находятся в уязвимом и неблагоприятном положении с точки зрения жилищных условий.</w:t>
      </w:r>
    </w:p>
    <w:p w:rsidR="00000000" w:rsidRDefault="00000000">
      <w:pPr>
        <w:pStyle w:val="FootnoteText"/>
        <w:spacing w:line="288" w:lineRule="auto"/>
      </w:pPr>
    </w:p>
    <w:p w:rsidR="00000000" w:rsidRDefault="00000000">
      <w:pPr>
        <w:pStyle w:val="FootnoteText"/>
        <w:spacing w:line="288" w:lineRule="auto"/>
      </w:pPr>
      <w:r>
        <w:rPr>
          <w:u w:val="single"/>
        </w:rPr>
        <w:t>Пункт 3 b) i</w:t>
      </w:r>
      <w:r>
        <w:t>)</w:t>
      </w:r>
    </w:p>
    <w:p w:rsidR="00000000" w:rsidRDefault="00000000">
      <w:pPr>
        <w:pStyle w:val="FootnoteText"/>
        <w:spacing w:line="288" w:lineRule="auto"/>
      </w:pPr>
    </w:p>
    <w:p w:rsidR="00000000" w:rsidRDefault="00000000">
      <w:pPr>
        <w:pStyle w:val="FootnoteText"/>
        <w:spacing w:line="288" w:lineRule="auto"/>
      </w:pPr>
      <w:r>
        <w:t>347.</w:t>
      </w:r>
      <w:r>
        <w:tab/>
        <w:t>69% жителей Боливии являются собственниками жилья, которое они занимают, а остальная часть населения (31%) снимает жилье на условиях аренды, субаренды или безвозмездной передачи во временное пользование.  Если исходить из того, что общая численность населения Боливии составляет 8 млн. человек, то окажется, что 2 480 000 человек, или 620 000 семей, не имеют собственного жилья.</w:t>
      </w:r>
    </w:p>
    <w:p w:rsidR="00000000" w:rsidRDefault="00000000">
      <w:pPr>
        <w:pStyle w:val="FootnoteText"/>
        <w:spacing w:line="288" w:lineRule="auto"/>
      </w:pPr>
    </w:p>
    <w:p w:rsidR="00000000" w:rsidRDefault="00000000">
      <w:pPr>
        <w:pStyle w:val="FootnoteText"/>
        <w:spacing w:line="288" w:lineRule="auto"/>
      </w:pPr>
      <w:r>
        <w:rPr>
          <w:u w:val="single"/>
        </w:rPr>
        <w:t>Пункт 3 b) ii</w:t>
      </w:r>
      <w:r>
        <w:t>)</w:t>
      </w:r>
    </w:p>
    <w:p w:rsidR="00000000" w:rsidRDefault="00000000">
      <w:pPr>
        <w:pStyle w:val="FootnoteText"/>
        <w:spacing w:line="288" w:lineRule="auto"/>
      </w:pPr>
    </w:p>
    <w:p w:rsidR="00000000" w:rsidRDefault="00000000">
      <w:pPr>
        <w:pStyle w:val="FootnoteText"/>
        <w:spacing w:line="288" w:lineRule="auto"/>
      </w:pPr>
      <w:r>
        <w:t>348.</w:t>
      </w:r>
      <w:r>
        <w:tab/>
        <w:t>О качестве жилья можно судить по материалам, использованным при его строительстве, при этом низкокачественным однозначно считается жилье с земляными полами и неоштукатуренными и неокрашенными стенами из необожженного кирпича.  С учетом того, что 37,3% боливийских жилищ имеют земляные полы, можно сделать вывод о том, что 2 960 000 человек, или 740 000 семей, занимают некачественные жилища, многие из которых к тому же не имеют элементарного санитарно-технического оборудования.</w:t>
      </w:r>
    </w:p>
    <w:p w:rsidR="00000000" w:rsidRDefault="00000000">
      <w:pPr>
        <w:pStyle w:val="FootnoteText"/>
        <w:spacing w:line="288" w:lineRule="auto"/>
      </w:pPr>
    </w:p>
    <w:p w:rsidR="00000000" w:rsidRDefault="00000000">
      <w:pPr>
        <w:pStyle w:val="FootnoteText"/>
        <w:keepNext/>
        <w:spacing w:line="288" w:lineRule="auto"/>
      </w:pPr>
      <w:r>
        <w:rPr>
          <w:u w:val="single"/>
        </w:rPr>
        <w:t>Пункт 3 b) iii</w:t>
      </w:r>
      <w:r>
        <w:t>)</w:t>
      </w:r>
    </w:p>
    <w:p w:rsidR="00000000" w:rsidRDefault="00000000">
      <w:pPr>
        <w:pStyle w:val="FootnoteText"/>
        <w:keepNext/>
        <w:spacing w:line="288" w:lineRule="auto"/>
      </w:pPr>
    </w:p>
    <w:p w:rsidR="00000000" w:rsidRDefault="00000000">
      <w:pPr>
        <w:pStyle w:val="FootnoteText"/>
        <w:spacing w:line="288" w:lineRule="auto"/>
      </w:pPr>
      <w:r>
        <w:t>349.</w:t>
      </w:r>
      <w:r>
        <w:tab/>
        <w:t xml:space="preserve">Одной из наиболее серьезных проблем, затрагивающих широкие слои населения, и прежде всего беднейшие социальные группы, является незаконное владение собственностью, или скорее отсутствие у граждан документов, подтверждающих их право на владение собственностью.  Согласно оценкам, около половины из 1 444 817 семей, т.е. примерно 700 000 семей, занимают жилища, не имея документов, подтверждающих законность их прав на владение жильем.  </w:t>
      </w:r>
    </w:p>
    <w:p w:rsidR="00000000" w:rsidRDefault="00000000">
      <w:pPr>
        <w:pStyle w:val="FootnoteText"/>
        <w:spacing w:line="288" w:lineRule="auto"/>
      </w:pPr>
    </w:p>
    <w:p w:rsidR="00000000" w:rsidRDefault="00000000">
      <w:pPr>
        <w:pStyle w:val="FootnoteText"/>
        <w:spacing w:line="288" w:lineRule="auto"/>
      </w:pPr>
      <w:r>
        <w:rPr>
          <w:u w:val="single"/>
        </w:rPr>
        <w:t>Пункт 3 b) iv</w:t>
      </w:r>
      <w:r>
        <w:t>)</w:t>
      </w:r>
    </w:p>
    <w:p w:rsidR="00000000" w:rsidRDefault="00000000">
      <w:pPr>
        <w:pStyle w:val="FootnoteText"/>
        <w:spacing w:line="288" w:lineRule="auto"/>
      </w:pPr>
    </w:p>
    <w:p w:rsidR="00000000" w:rsidRDefault="00000000">
      <w:pPr>
        <w:pStyle w:val="FootnoteText"/>
        <w:spacing w:line="288" w:lineRule="auto"/>
      </w:pPr>
      <w:r>
        <w:t>350.</w:t>
      </w:r>
      <w:r>
        <w:tab/>
        <w:t>Принудительное выселение семей или лиц из занимаемого ими жилья, как правило, случается весьма редко, при этом следует подчеркнуть, что даже устаревшие боливийские законы имеют четкую социальную направленность;  в этой связи следует упомянуть также об Управлении прав и обязанностей собственника и жильца (УПОСЖ), которое было создано в марте текущего года и занимается разработкой Закона о жилье.</w:t>
      </w:r>
    </w:p>
    <w:p w:rsidR="00000000" w:rsidRDefault="00000000">
      <w:pPr>
        <w:pStyle w:val="FootnoteText"/>
        <w:spacing w:line="288" w:lineRule="auto"/>
      </w:pPr>
    </w:p>
    <w:p w:rsidR="00000000" w:rsidRDefault="00000000">
      <w:pPr>
        <w:rPr>
          <w:u w:val="single"/>
        </w:rPr>
      </w:pPr>
      <w:r>
        <w:rPr>
          <w:u w:val="single"/>
        </w:rPr>
        <w:t xml:space="preserve">Пункт 3 </w:t>
      </w:r>
      <w:r>
        <w:rPr>
          <w:u w:val="single"/>
          <w:lang w:val="en-US"/>
        </w:rPr>
        <w:t>b) v</w:t>
      </w:r>
      <w:r>
        <w:rPr>
          <w:lang w:val="en-US"/>
        </w:rPr>
        <w:t>)</w:t>
      </w:r>
    </w:p>
    <w:p w:rsidR="00000000" w:rsidRDefault="00000000">
      <w:pPr>
        <w:rPr>
          <w:u w:val="single"/>
        </w:rPr>
      </w:pPr>
    </w:p>
    <w:p w:rsidR="00000000" w:rsidRDefault="00000000">
      <w:r>
        <w:t>351.</w:t>
      </w:r>
      <w:r>
        <w:tab/>
        <w:t xml:space="preserve">Оптимальные расходы семьи на жилье должны колебаться в пределах 10 – 20% от доходов семьи, однако с учетом дороговизны арендуемого или приобретаемого жилья жилищные расходы более 20% боливийских семей (1  600 000 человек) в этот диапазон не укладываются.  </w:t>
      </w:r>
    </w:p>
    <w:p w:rsidR="00000000" w:rsidRDefault="00000000">
      <w:pPr>
        <w:ind w:left="567" w:hanging="567"/>
      </w:pPr>
    </w:p>
    <w:p w:rsidR="00000000" w:rsidRDefault="00000000">
      <w:pPr>
        <w:ind w:left="567" w:hanging="567"/>
        <w:rPr>
          <w:u w:val="single"/>
          <w:lang w:val="en-US"/>
        </w:rPr>
      </w:pPr>
      <w:r>
        <w:rPr>
          <w:u w:val="single"/>
        </w:rPr>
        <w:t>Пункт 3 </w:t>
      </w:r>
      <w:r>
        <w:rPr>
          <w:u w:val="single"/>
          <w:lang w:val="en-US"/>
        </w:rPr>
        <w:t>b) vi</w:t>
      </w:r>
      <w:r>
        <w:rPr>
          <w:lang w:val="en-US"/>
        </w:rPr>
        <w:t>)</w:t>
      </w:r>
    </w:p>
    <w:p w:rsidR="00000000" w:rsidRDefault="00000000">
      <w:pPr>
        <w:ind w:left="567" w:hanging="567"/>
        <w:rPr>
          <w:u w:val="single"/>
          <w:lang w:val="en-US"/>
        </w:rPr>
      </w:pPr>
    </w:p>
    <w:p w:rsidR="00000000" w:rsidRDefault="00000000">
      <w:pPr>
        <w:pStyle w:val="BodyTextIndent"/>
        <w:spacing w:line="288" w:lineRule="auto"/>
        <w:ind w:left="0" w:firstLine="0"/>
      </w:pPr>
      <w:r>
        <w:t>352.</w:t>
      </w:r>
      <w:r>
        <w:tab/>
        <w:t>В Боливии не составляются списки очередников, ожидающих получения жилья, поскольку доступ населения к жилью диктуется рыночными условиями, что означает, что более зажиточные слои населения имеют более широкие возможности в плане приобретения жилья на основе кредитов из частных источников.  В настоящее время дефицит жилья составляет в Боливии более 250 000 жилых единиц, и в этой связи правительство приступило к реализации новой жилищной политики и в первую очередь Национальной программы субсидирования жилья (НПСЖ), цель которой заключается в обеспечении адекватным жильем представителей беднейших социальных групп.</w:t>
      </w:r>
    </w:p>
    <w:p w:rsidR="00000000" w:rsidRDefault="00000000">
      <w:pPr>
        <w:pStyle w:val="BodyTextIndent"/>
        <w:spacing w:line="288" w:lineRule="auto"/>
      </w:pPr>
    </w:p>
    <w:p w:rsidR="00000000" w:rsidRDefault="00000000">
      <w:pPr>
        <w:ind w:left="567" w:hanging="567"/>
        <w:rPr>
          <w:u w:val="single"/>
          <w:lang w:val="en-US"/>
        </w:rPr>
      </w:pPr>
      <w:r>
        <w:rPr>
          <w:u w:val="single"/>
        </w:rPr>
        <w:t>Пункт 3 </w:t>
      </w:r>
      <w:r>
        <w:rPr>
          <w:u w:val="single"/>
          <w:lang w:val="en-US"/>
        </w:rPr>
        <w:t>b) vii</w:t>
      </w:r>
      <w:r>
        <w:rPr>
          <w:lang w:val="en-US"/>
        </w:rPr>
        <w:t>)</w:t>
      </w:r>
    </w:p>
    <w:p w:rsidR="00000000" w:rsidRDefault="00000000">
      <w:pPr>
        <w:ind w:left="567" w:hanging="567"/>
        <w:rPr>
          <w:u w:val="single"/>
          <w:lang w:val="en-US"/>
        </w:rPr>
      </w:pPr>
    </w:p>
    <w:p w:rsidR="00000000" w:rsidRDefault="00000000">
      <w:pPr>
        <w:pStyle w:val="BodyTextIndent"/>
        <w:spacing w:line="288" w:lineRule="auto"/>
        <w:ind w:left="0" w:firstLine="0"/>
      </w:pPr>
      <w:r>
        <w:t>353.</w:t>
      </w:r>
      <w:r>
        <w:tab/>
        <w:t>Если исходить из того, что  69% жилья находится в собственности граждан, 13% -сдается, 4% - подсдается и еще 14% - уступается на безвозмездной основе, то может сложиться впечатление, что никакого дефицита в жилищной сфере не существует, однако не следует забывать о том, что по каждой из указанных категорий владения жильем не менее 50% жильцов занимают жилплощадь без законных на то оснований, и именно поэтому правительство предусматривает проведение соответствующих социальных и информационно-просветительских мероприятий с целью юридического оформления права жильцов на занимаемое ими жилье и их обеспечения другими необходимыми документами.</w:t>
      </w:r>
    </w:p>
    <w:p w:rsidR="00000000" w:rsidRDefault="00000000">
      <w:pPr>
        <w:pStyle w:val="BodyTextIndent"/>
        <w:spacing w:line="288" w:lineRule="auto"/>
      </w:pPr>
    </w:p>
    <w:p w:rsidR="00000000" w:rsidRDefault="00000000">
      <w:pPr>
        <w:ind w:left="567" w:hanging="567"/>
        <w:rPr>
          <w:u w:val="single"/>
        </w:rPr>
      </w:pPr>
      <w:r>
        <w:rPr>
          <w:u w:val="single"/>
        </w:rPr>
        <w:t>Пункт 3 с</w:t>
      </w:r>
      <w:r>
        <w:t>)</w:t>
      </w:r>
    </w:p>
    <w:p w:rsidR="00000000" w:rsidRDefault="00000000">
      <w:pPr>
        <w:ind w:left="567" w:hanging="567"/>
        <w:rPr>
          <w:u w:val="single"/>
        </w:rPr>
      </w:pPr>
    </w:p>
    <w:p w:rsidR="00000000" w:rsidRDefault="00000000">
      <w:pPr>
        <w:pStyle w:val="BodyTextIndent"/>
        <w:spacing w:line="288" w:lineRule="auto"/>
        <w:ind w:left="0" w:firstLine="0"/>
      </w:pPr>
      <w:r>
        <w:t>354.</w:t>
      </w:r>
      <w:r>
        <w:tab/>
        <w:t>Ниже приводится информация о законодательстве в области осуществления жилищных прав.</w:t>
      </w:r>
    </w:p>
    <w:p w:rsidR="00000000" w:rsidRDefault="00000000">
      <w:pPr>
        <w:pStyle w:val="BodyTextIndent"/>
        <w:spacing w:line="288" w:lineRule="auto"/>
      </w:pPr>
    </w:p>
    <w:p w:rsidR="00000000" w:rsidRDefault="00000000">
      <w:pPr>
        <w:pStyle w:val="BodyTextIndent"/>
        <w:spacing w:line="288" w:lineRule="auto"/>
        <w:rPr>
          <w:u w:val="single"/>
          <w:lang w:val="en-US"/>
        </w:rPr>
      </w:pPr>
      <w:r>
        <w:rPr>
          <w:u w:val="single"/>
        </w:rPr>
        <w:t xml:space="preserve">Пункт 3 с) </w:t>
      </w:r>
      <w:r>
        <w:rPr>
          <w:u w:val="single"/>
          <w:lang w:val="en-US"/>
        </w:rPr>
        <w:t>i</w:t>
      </w:r>
      <w:r>
        <w:rPr>
          <w:lang w:val="en-US"/>
        </w:rPr>
        <w:t>)</w:t>
      </w:r>
    </w:p>
    <w:p w:rsidR="00000000" w:rsidRDefault="00000000">
      <w:pPr>
        <w:ind w:left="567" w:hanging="567"/>
        <w:rPr>
          <w:u w:val="single"/>
          <w:lang w:val="en-US"/>
        </w:rPr>
      </w:pPr>
    </w:p>
    <w:p w:rsidR="00000000" w:rsidRDefault="00000000">
      <w:r>
        <w:rPr>
          <w:lang w:val="en-US"/>
        </w:rPr>
        <w:t>355.</w:t>
      </w:r>
      <w:r>
        <w:tab/>
        <w:t>Статья 117 Закона о банках и финансовых учреждениях предусматривает упразднение Национального фонда социального жилья (НФСЖ), который проводил работу по двум направлениям, предусматривавшим обеспечение жильем представителей неимущих групп населения (социальное направление) и выполнение функций кредитного учреждения, способствующего расширению доступа населения к жилью (финансовое направление).  Вместо этого органа теперь создается новая структура - Национальная жилищная программа, целью которой является решение жилищных проблем представителей наиболее уязвимых социальных групп.  Кроме того, следует отметить, что Гражданский кодекс и Закон об аренде жилья были приняты более 40 лет тому назад.  В этой связи министерство юстиции и прав человека представило на рассмотрение общественности проект реформы Гражданского кодекса.</w:t>
      </w:r>
    </w:p>
    <w:p w:rsidR="00000000" w:rsidRDefault="00000000">
      <w:pPr>
        <w:ind w:left="567" w:hanging="567"/>
      </w:pPr>
    </w:p>
    <w:p w:rsidR="00000000" w:rsidRDefault="00000000">
      <w:pPr>
        <w:keepNext/>
        <w:ind w:left="567" w:hanging="567"/>
        <w:rPr>
          <w:u w:val="single"/>
          <w:lang w:val="en-US"/>
        </w:rPr>
      </w:pPr>
      <w:r>
        <w:rPr>
          <w:u w:val="single"/>
        </w:rPr>
        <w:t xml:space="preserve">Пункт 3 с) </w:t>
      </w:r>
      <w:r>
        <w:rPr>
          <w:u w:val="single"/>
          <w:lang w:val="en-US"/>
        </w:rPr>
        <w:t>ii</w:t>
      </w:r>
      <w:r>
        <w:rPr>
          <w:lang w:val="en-US"/>
        </w:rPr>
        <w:t>)</w:t>
      </w:r>
    </w:p>
    <w:p w:rsidR="00000000" w:rsidRDefault="00000000">
      <w:pPr>
        <w:keepNext/>
        <w:ind w:left="567" w:hanging="567"/>
        <w:rPr>
          <w:u w:val="single"/>
          <w:lang w:val="en-US"/>
        </w:rPr>
      </w:pPr>
    </w:p>
    <w:p w:rsidR="00000000" w:rsidRDefault="00000000">
      <w:pPr>
        <w:pStyle w:val="BodyTextIndent"/>
        <w:spacing w:line="288" w:lineRule="auto"/>
        <w:ind w:left="0" w:firstLine="0"/>
      </w:pPr>
      <w:r>
        <w:t>356.</w:t>
      </w:r>
      <w:r>
        <w:tab/>
        <w:t>В соответствии с Указом № 24935 от 30 декабря 1997 года была создана Национальная программа субсидирования жилья (НПСЖ), главная цель которой заключается в улучшении жилищных условий малообеспеченных групп населения.</w:t>
      </w:r>
    </w:p>
    <w:p w:rsidR="00000000" w:rsidRDefault="00000000">
      <w:pPr>
        <w:pStyle w:val="BodyTextIndent"/>
        <w:spacing w:line="288" w:lineRule="auto"/>
      </w:pPr>
    </w:p>
    <w:p w:rsidR="00000000" w:rsidRDefault="00000000">
      <w:pPr>
        <w:ind w:left="567" w:hanging="567"/>
        <w:rPr>
          <w:u w:val="single"/>
          <w:lang w:val="en-US"/>
        </w:rPr>
      </w:pPr>
      <w:r>
        <w:rPr>
          <w:u w:val="single"/>
        </w:rPr>
        <w:t xml:space="preserve">Пункт 3 с) </w:t>
      </w:r>
      <w:r>
        <w:rPr>
          <w:u w:val="single"/>
          <w:lang w:val="en-US"/>
        </w:rPr>
        <w:t>iii</w:t>
      </w:r>
      <w:r>
        <w:rPr>
          <w:lang w:val="en-US"/>
        </w:rPr>
        <w:t>)</w:t>
      </w:r>
    </w:p>
    <w:p w:rsidR="00000000" w:rsidRDefault="00000000">
      <w:pPr>
        <w:ind w:left="567" w:hanging="567"/>
        <w:rPr>
          <w:u w:val="single"/>
          <w:lang w:val="en-US"/>
        </w:rPr>
      </w:pPr>
    </w:p>
    <w:p w:rsidR="00000000" w:rsidRDefault="00000000">
      <w:r>
        <w:rPr>
          <w:lang w:val="en-US"/>
        </w:rPr>
        <w:t>357.</w:t>
      </w:r>
      <w:r>
        <w:rPr>
          <w:lang w:val="en-US"/>
        </w:rPr>
        <w:tab/>
        <w:t xml:space="preserve">В законе о НИАР </w:t>
      </w:r>
      <w:r>
        <w:t>определяется общий порядок планирования, использования, отчуждения и обустройства территории с учетом местных культурных особенностей и при участии местного населения.</w:t>
      </w:r>
    </w:p>
    <w:p w:rsidR="00000000" w:rsidRDefault="00000000">
      <w:pPr>
        <w:ind w:left="567" w:hanging="567"/>
      </w:pPr>
    </w:p>
    <w:p w:rsidR="00000000" w:rsidRDefault="00000000">
      <w:pPr>
        <w:ind w:left="567" w:hanging="567"/>
        <w:rPr>
          <w:u w:val="single"/>
          <w:lang w:val="en-US"/>
        </w:rPr>
      </w:pPr>
      <w:r>
        <w:rPr>
          <w:u w:val="single"/>
        </w:rPr>
        <w:t xml:space="preserve">Пункт 3 с) </w:t>
      </w:r>
      <w:r>
        <w:rPr>
          <w:u w:val="single"/>
          <w:lang w:val="en-US"/>
        </w:rPr>
        <w:t>iv</w:t>
      </w:r>
      <w:r>
        <w:rPr>
          <w:lang w:val="en-US"/>
        </w:rPr>
        <w:t>)</w:t>
      </w:r>
    </w:p>
    <w:p w:rsidR="00000000" w:rsidRDefault="00000000">
      <w:pPr>
        <w:ind w:left="567" w:hanging="567"/>
        <w:rPr>
          <w:u w:val="single"/>
          <w:lang w:val="en-US"/>
        </w:rPr>
      </w:pPr>
    </w:p>
    <w:p w:rsidR="00000000" w:rsidRDefault="00000000">
      <w:r>
        <w:rPr>
          <w:lang w:val="en-US"/>
        </w:rPr>
        <w:t>358.</w:t>
      </w:r>
      <w:r>
        <w:rPr>
          <w:lang w:val="en-US"/>
        </w:rPr>
        <w:tab/>
      </w:r>
      <w:r>
        <w:t>С учетом положений Гражданского кодекса и начала работы Управления прав и обязанностей собственника и жильца (УПОСЖ) появилась возможность изыскать необходимые средства для урегулирования многочисленных проблем в сфере взаимоотношений собственников и жильцов и содействия разработки нового закона о жилье.</w:t>
      </w:r>
    </w:p>
    <w:p w:rsidR="00000000" w:rsidRDefault="00000000">
      <w:pPr>
        <w:ind w:left="567" w:hanging="567"/>
      </w:pPr>
    </w:p>
    <w:p w:rsidR="00000000" w:rsidRDefault="00000000">
      <w:pPr>
        <w:ind w:left="567" w:hanging="567"/>
        <w:rPr>
          <w:u w:val="single"/>
          <w:lang w:val="en-US"/>
        </w:rPr>
      </w:pPr>
      <w:r>
        <w:rPr>
          <w:u w:val="single"/>
        </w:rPr>
        <w:t xml:space="preserve">Пункт 3 с </w:t>
      </w:r>
      <w:r>
        <w:rPr>
          <w:u w:val="single"/>
          <w:lang w:val="en-US"/>
        </w:rPr>
        <w:t>v</w:t>
      </w:r>
      <w:r>
        <w:rPr>
          <w:lang w:val="en-US"/>
        </w:rPr>
        <w:t>)</w:t>
      </w:r>
    </w:p>
    <w:p w:rsidR="00000000" w:rsidRDefault="00000000">
      <w:pPr>
        <w:ind w:left="567" w:hanging="567"/>
        <w:rPr>
          <w:u w:val="single"/>
          <w:lang w:val="en-US"/>
        </w:rPr>
      </w:pPr>
    </w:p>
    <w:p w:rsidR="00000000" w:rsidRDefault="00000000">
      <w:r>
        <w:rPr>
          <w:lang w:val="en-US"/>
        </w:rPr>
        <w:t>359.</w:t>
      </w:r>
      <w:r>
        <w:rPr>
          <w:lang w:val="en-US"/>
        </w:rPr>
        <w:tab/>
      </w:r>
      <w:r>
        <w:t>В разделе "Строительство" Годовой оперативной Программы на 1999 год в качестве одной из основных целей фигурирует разработка Боливийского строительного кодекса, Общего регламента технических спецификаций и Кодекса техники безопасности в строительстве.  Кроме того, следует заметить, что в Политической конституции страны оговаривается недискриминационный характер государственной жилищной политики, которая должна быть направлена на удовлетворение потребностей наиболее обездоленных слоев населения при возможном охвате более обеспеченных социальных групп.</w:t>
      </w:r>
    </w:p>
    <w:p w:rsidR="00000000" w:rsidRDefault="00000000">
      <w:pPr>
        <w:ind w:left="567" w:hanging="567"/>
      </w:pPr>
    </w:p>
    <w:p w:rsidR="00000000" w:rsidRDefault="00000000">
      <w:pPr>
        <w:ind w:left="567" w:hanging="567"/>
        <w:rPr>
          <w:u w:val="single"/>
          <w:lang w:val="en-US"/>
        </w:rPr>
      </w:pPr>
      <w:r>
        <w:rPr>
          <w:u w:val="single"/>
        </w:rPr>
        <w:t xml:space="preserve">Пункт 3 с) </w:t>
      </w:r>
      <w:r>
        <w:rPr>
          <w:u w:val="single"/>
          <w:lang w:val="en-US"/>
        </w:rPr>
        <w:t>vi</w:t>
      </w:r>
      <w:r>
        <w:rPr>
          <w:lang w:val="en-US"/>
        </w:rPr>
        <w:t>)</w:t>
      </w:r>
    </w:p>
    <w:p w:rsidR="00000000" w:rsidRDefault="00000000">
      <w:pPr>
        <w:ind w:left="567" w:hanging="567"/>
        <w:rPr>
          <w:u w:val="single"/>
          <w:lang w:val="en-US"/>
        </w:rPr>
      </w:pPr>
    </w:p>
    <w:p w:rsidR="00000000" w:rsidRDefault="00000000">
      <w:r>
        <w:rPr>
          <w:lang w:val="en-US"/>
        </w:rPr>
        <w:t>360.</w:t>
      </w:r>
      <w:r>
        <w:rPr>
          <w:lang w:val="en-US"/>
        </w:rPr>
        <w:tab/>
      </w:r>
      <w:r>
        <w:t>Указ № 24935 от 30 декабря 1997 года предусматривает максимальное расширение доступа к жилью для всех слоев населения, включая уязвимые группы, бедственное положение которых традиционно игнорируется.</w:t>
      </w:r>
    </w:p>
    <w:p w:rsidR="00000000" w:rsidRDefault="00000000">
      <w:pPr>
        <w:ind w:left="567" w:hanging="567"/>
      </w:pPr>
    </w:p>
    <w:p w:rsidR="00000000" w:rsidRDefault="00000000">
      <w:pPr>
        <w:keepNext/>
        <w:ind w:left="567" w:hanging="567"/>
        <w:rPr>
          <w:u w:val="single"/>
          <w:lang w:val="en-US"/>
        </w:rPr>
      </w:pPr>
      <w:r>
        <w:rPr>
          <w:u w:val="single"/>
        </w:rPr>
        <w:t>Пункт 3 с)</w:t>
      </w:r>
      <w:r>
        <w:rPr>
          <w:u w:val="single"/>
          <w:lang w:val="en-US"/>
        </w:rPr>
        <w:t xml:space="preserve"> vii</w:t>
      </w:r>
      <w:r>
        <w:rPr>
          <w:lang w:val="en-US"/>
        </w:rPr>
        <w:t>)</w:t>
      </w:r>
    </w:p>
    <w:p w:rsidR="00000000" w:rsidRDefault="00000000">
      <w:pPr>
        <w:keepNext/>
        <w:ind w:left="567" w:hanging="567"/>
        <w:rPr>
          <w:u w:val="single"/>
          <w:lang w:val="en-US"/>
        </w:rPr>
      </w:pPr>
    </w:p>
    <w:p w:rsidR="00000000" w:rsidRDefault="00000000">
      <w:r>
        <w:rPr>
          <w:lang w:val="en-US"/>
        </w:rPr>
        <w:t>361.</w:t>
      </w:r>
      <w:r>
        <w:rPr>
          <w:lang w:val="en-US"/>
        </w:rPr>
        <w:tab/>
      </w:r>
      <w:r>
        <w:t>Кодекс социального обеспечения предусматривает охват всех слоев населения на базе принципа учета интересов всех категорий граждан.</w:t>
      </w:r>
    </w:p>
    <w:p w:rsidR="00000000" w:rsidRDefault="00000000">
      <w:pPr>
        <w:ind w:left="567" w:hanging="567"/>
      </w:pPr>
    </w:p>
    <w:p w:rsidR="00000000" w:rsidRDefault="00000000">
      <w:pPr>
        <w:ind w:left="567" w:hanging="567"/>
        <w:rPr>
          <w:u w:val="single"/>
          <w:lang w:val="en-US"/>
        </w:rPr>
      </w:pPr>
      <w:r>
        <w:rPr>
          <w:u w:val="single"/>
        </w:rPr>
        <w:t xml:space="preserve">Пункт 3 с) </w:t>
      </w:r>
      <w:r>
        <w:rPr>
          <w:u w:val="single"/>
          <w:lang w:val="en-US"/>
        </w:rPr>
        <w:t>viii</w:t>
      </w:r>
      <w:r>
        <w:rPr>
          <w:lang w:val="en-US"/>
        </w:rPr>
        <w:t>)</w:t>
      </w:r>
    </w:p>
    <w:p w:rsidR="00000000" w:rsidRDefault="00000000">
      <w:pPr>
        <w:ind w:left="567" w:hanging="567"/>
        <w:rPr>
          <w:u w:val="single"/>
          <w:lang w:val="en-US"/>
        </w:rPr>
      </w:pPr>
    </w:p>
    <w:p w:rsidR="00000000" w:rsidRDefault="00000000">
      <w:pPr>
        <w:pStyle w:val="BodyTextIndent"/>
        <w:spacing w:line="288" w:lineRule="auto"/>
        <w:ind w:left="0" w:firstLine="0"/>
      </w:pPr>
      <w:r>
        <w:t>362.</w:t>
      </w:r>
      <w:r>
        <w:tab/>
        <w:t>Политическая конституция Боливии, Кодекс безопасности и Общий закон о труде предусматривают в максимально широком и общем контексте защиту прав всех граждан, которым может угрожать выселение.</w:t>
      </w:r>
    </w:p>
    <w:p w:rsidR="00000000" w:rsidRDefault="00000000">
      <w:pPr>
        <w:pStyle w:val="BodyTextIndent"/>
        <w:spacing w:line="288" w:lineRule="auto"/>
      </w:pPr>
    </w:p>
    <w:p w:rsidR="00000000" w:rsidRDefault="00000000">
      <w:pPr>
        <w:ind w:left="567" w:hanging="567"/>
        <w:rPr>
          <w:u w:val="single"/>
          <w:lang w:val="en-US"/>
        </w:rPr>
      </w:pPr>
      <w:r>
        <w:rPr>
          <w:u w:val="single"/>
        </w:rPr>
        <w:t xml:space="preserve">Пункт 3 с) </w:t>
      </w:r>
      <w:r>
        <w:rPr>
          <w:u w:val="single"/>
          <w:lang w:val="en-US"/>
        </w:rPr>
        <w:t>ix</w:t>
      </w:r>
      <w:r>
        <w:rPr>
          <w:lang w:val="en-US"/>
        </w:rPr>
        <w:t>)</w:t>
      </w:r>
    </w:p>
    <w:p w:rsidR="00000000" w:rsidRDefault="00000000">
      <w:pPr>
        <w:ind w:left="567" w:hanging="567"/>
        <w:rPr>
          <w:u w:val="single"/>
          <w:lang w:val="en-US"/>
        </w:rPr>
      </w:pPr>
    </w:p>
    <w:p w:rsidR="00000000" w:rsidRDefault="00000000">
      <w:r>
        <w:rPr>
          <w:lang w:val="en-US"/>
        </w:rPr>
        <w:t>363.</w:t>
      </w:r>
      <w:r>
        <w:rPr>
          <w:lang w:val="en-US"/>
        </w:rPr>
        <w:tab/>
      </w:r>
      <w:r>
        <w:t>В Боливии не существует законов по борьбе со спекуляцией в сфере жилья и недвижимого имущества, поскольку соответствующие нормы содержатся в Политической конституции страны и Кодексе безопасности.</w:t>
      </w:r>
    </w:p>
    <w:p w:rsidR="00000000" w:rsidRDefault="00000000">
      <w:pPr>
        <w:ind w:left="567" w:hanging="567"/>
      </w:pPr>
    </w:p>
    <w:p w:rsidR="00000000" w:rsidRDefault="00000000">
      <w:pPr>
        <w:keepNext/>
        <w:ind w:left="567" w:hanging="567"/>
        <w:rPr>
          <w:u w:val="single"/>
          <w:lang w:val="en-US"/>
        </w:rPr>
      </w:pPr>
      <w:r>
        <w:rPr>
          <w:u w:val="single"/>
        </w:rPr>
        <w:t xml:space="preserve">Пункт 3 с) </w:t>
      </w:r>
      <w:r>
        <w:rPr>
          <w:u w:val="single"/>
          <w:lang w:val="en-US"/>
        </w:rPr>
        <w:t>x</w:t>
      </w:r>
      <w:r>
        <w:rPr>
          <w:lang w:val="en-US"/>
        </w:rPr>
        <w:t>)</w:t>
      </w:r>
    </w:p>
    <w:p w:rsidR="00000000" w:rsidRDefault="00000000">
      <w:pPr>
        <w:keepNext/>
        <w:ind w:left="567" w:hanging="567"/>
        <w:rPr>
          <w:u w:val="single"/>
          <w:lang w:val="en-US"/>
        </w:rPr>
      </w:pPr>
    </w:p>
    <w:p w:rsidR="00000000" w:rsidRDefault="00000000">
      <w:pPr>
        <w:pStyle w:val="BodyTextIndent"/>
        <w:keepNext/>
        <w:spacing w:line="288" w:lineRule="auto"/>
        <w:ind w:left="0" w:firstLine="0"/>
      </w:pPr>
      <w:r>
        <w:t>364.</w:t>
      </w:r>
      <w:r>
        <w:tab/>
        <w:t>В Боливии существуют законы, регулирующие статус незаконных поселенцев.  Кроме того, в разделе Национальной жилищной политики о финансовом рынке предусматривается создание новой системы имущественных прав, ипотечной собственности и юридического регулирования, обеспечивающей надлежащий учет потребностей и реального положения дел в стране.</w:t>
      </w:r>
    </w:p>
    <w:p w:rsidR="00000000" w:rsidRDefault="00000000">
      <w:pPr>
        <w:pStyle w:val="BodyTextIndent"/>
        <w:spacing w:line="288" w:lineRule="auto"/>
      </w:pPr>
    </w:p>
    <w:p w:rsidR="00000000" w:rsidRDefault="00000000">
      <w:pPr>
        <w:ind w:left="567" w:hanging="567"/>
      </w:pPr>
      <w:r>
        <w:rPr>
          <w:u w:val="single"/>
        </w:rPr>
        <w:t xml:space="preserve">Пункт 3 с) </w:t>
      </w:r>
      <w:proofErr w:type="spellStart"/>
      <w:r>
        <w:rPr>
          <w:u w:val="single"/>
          <w:lang w:val="en-US"/>
        </w:rPr>
        <w:t>xi</w:t>
      </w:r>
      <w:proofErr w:type="spellEnd"/>
      <w:r>
        <w:t>)</w:t>
      </w:r>
    </w:p>
    <w:p w:rsidR="00000000" w:rsidRDefault="00000000">
      <w:pPr>
        <w:ind w:left="567" w:hanging="567"/>
        <w:rPr>
          <w:u w:val="single"/>
          <w:lang w:val="en-US"/>
        </w:rPr>
      </w:pPr>
    </w:p>
    <w:p w:rsidR="00000000" w:rsidRDefault="00000000">
      <w:pPr>
        <w:pStyle w:val="BodyTextIndent"/>
        <w:spacing w:line="288" w:lineRule="auto"/>
        <w:ind w:left="0" w:firstLine="0"/>
      </w:pPr>
      <w:r>
        <w:t>365.</w:t>
      </w:r>
      <w:r>
        <w:tab/>
        <w:t>Правительство приступило к осуществлению политики в области населенных пунктов, которая предусматривает проведение ряда мероприятий по охране окружающей среды и обеспечение надлежащего учета в жилищной сфере санитарно-гигиенических норм.</w:t>
      </w:r>
    </w:p>
    <w:p w:rsidR="00000000" w:rsidRDefault="00000000">
      <w:pPr>
        <w:pStyle w:val="BodyTextIndent"/>
        <w:spacing w:line="288" w:lineRule="auto"/>
      </w:pPr>
    </w:p>
    <w:p w:rsidR="00000000" w:rsidRDefault="00000000">
      <w:pPr>
        <w:ind w:left="567" w:hanging="567"/>
        <w:rPr>
          <w:u w:val="single"/>
          <w:lang w:val="en-US"/>
        </w:rPr>
      </w:pPr>
      <w:r>
        <w:rPr>
          <w:u w:val="single"/>
        </w:rPr>
        <w:t>Пункт 3 </w:t>
      </w:r>
      <w:r>
        <w:rPr>
          <w:u w:val="single"/>
          <w:lang w:val="en-US"/>
        </w:rPr>
        <w:t>d) i</w:t>
      </w:r>
      <w:r>
        <w:rPr>
          <w:lang w:val="en-US"/>
        </w:rPr>
        <w:t>)</w:t>
      </w:r>
    </w:p>
    <w:p w:rsidR="00000000" w:rsidRDefault="00000000">
      <w:pPr>
        <w:ind w:left="567" w:hanging="567"/>
        <w:rPr>
          <w:u w:val="single"/>
          <w:lang w:val="en-US"/>
        </w:rPr>
      </w:pPr>
    </w:p>
    <w:p w:rsidR="00000000" w:rsidRDefault="00000000">
      <w:r>
        <w:rPr>
          <w:lang w:val="en-US"/>
        </w:rPr>
        <w:t>366.</w:t>
      </w:r>
      <w:r>
        <w:rPr>
          <w:lang w:val="en-US"/>
        </w:rPr>
        <w:tab/>
      </w:r>
      <w:r>
        <w:t>Существуют различные механизмы, способствующие расширению потенциала общинных организаций в области улучшения жилищных условий местного населения.  К числу таких механизмов относятся предоставление строительных материалов, выделение субсидий на цели благоустройства жилых кварталов, ремонта зданий и строительства жилья в зонах, сталкивающихся с острой жилищной проблемой, а также инициативы, способствующие согласованию интересов различных социальных групп и представителей администрации, и укрепление муниципальных служб, системы профессиональной подготовки на малых предприятиях и т.д.</w:t>
      </w:r>
    </w:p>
    <w:p w:rsidR="00000000" w:rsidRDefault="00000000">
      <w:pPr>
        <w:ind w:left="567" w:hanging="567"/>
      </w:pPr>
    </w:p>
    <w:p w:rsidR="00000000" w:rsidRDefault="00000000">
      <w:pPr>
        <w:ind w:left="567" w:hanging="567"/>
        <w:rPr>
          <w:u w:val="single"/>
          <w:lang w:val="en-US"/>
        </w:rPr>
      </w:pPr>
      <w:r>
        <w:rPr>
          <w:u w:val="single"/>
        </w:rPr>
        <w:t>Пункт 3 </w:t>
      </w:r>
      <w:r>
        <w:rPr>
          <w:u w:val="single"/>
          <w:lang w:val="en-US"/>
        </w:rPr>
        <w:t>d) ii</w:t>
      </w:r>
      <w:r>
        <w:rPr>
          <w:lang w:val="en-US"/>
        </w:rPr>
        <w:t>)</w:t>
      </w:r>
    </w:p>
    <w:p w:rsidR="00000000" w:rsidRDefault="00000000">
      <w:pPr>
        <w:ind w:left="567" w:hanging="567"/>
        <w:rPr>
          <w:u w:val="single"/>
          <w:lang w:val="en-US"/>
        </w:rPr>
      </w:pPr>
    </w:p>
    <w:p w:rsidR="00000000" w:rsidRDefault="00000000">
      <w:r>
        <w:rPr>
          <w:lang w:val="en-US"/>
        </w:rPr>
        <w:t>367.</w:t>
      </w:r>
      <w:r>
        <w:rPr>
          <w:lang w:val="en-US"/>
        </w:rPr>
        <w:tab/>
      </w:r>
      <w:r>
        <w:t>Новая национальная жилищная политика, обеспечивающая взаимодействие трех механизмов:  сбережения, кредиты и субсидии, предусматривает расширение и демократизацию доступа населения к жилищным кредитам, предоставляемым на основе рыночных механизмов по более благоприятным процентным ставкам и на большие сроки, а также разработку нового закона о жилье.  Новая жилищная политика проводится с момента ликвидации фонда НФСЖ, и в этой связи в рамках Национальной программы субсидирования жилья осуществляются две подпрограммы.</w:t>
      </w:r>
    </w:p>
    <w:p w:rsidR="00000000" w:rsidRDefault="00000000">
      <w:pPr>
        <w:ind w:left="567" w:hanging="567"/>
      </w:pPr>
    </w:p>
    <w:p w:rsidR="00000000" w:rsidRDefault="00000000">
      <w:pPr>
        <w:keepNext/>
        <w:ind w:left="567" w:hanging="567"/>
        <w:rPr>
          <w:u w:val="single"/>
          <w:lang w:val="en-US"/>
        </w:rPr>
      </w:pPr>
      <w:r>
        <w:rPr>
          <w:u w:val="single"/>
        </w:rPr>
        <w:t>Пункт 3 </w:t>
      </w:r>
      <w:r>
        <w:rPr>
          <w:u w:val="single"/>
          <w:lang w:val="en-US"/>
        </w:rPr>
        <w:t>d) iii</w:t>
      </w:r>
      <w:r>
        <w:rPr>
          <w:lang w:val="en-US"/>
        </w:rPr>
        <w:t>)</w:t>
      </w:r>
    </w:p>
    <w:p w:rsidR="00000000" w:rsidRDefault="00000000">
      <w:pPr>
        <w:keepNext/>
        <w:ind w:left="567" w:hanging="567"/>
        <w:rPr>
          <w:u w:val="single"/>
          <w:lang w:val="en-US"/>
        </w:rPr>
      </w:pPr>
    </w:p>
    <w:p w:rsidR="00000000" w:rsidRDefault="00000000">
      <w:pPr>
        <w:pStyle w:val="BodyTextIndent"/>
        <w:spacing w:line="288" w:lineRule="auto"/>
        <w:ind w:left="0" w:firstLine="0"/>
      </w:pPr>
      <w:r>
        <w:t>368.</w:t>
      </w:r>
      <w:r>
        <w:tab/>
        <w:t xml:space="preserve">В этой связи можно сослаться на статью 206 Политической конституции Боливии и Закон о реформе городского хозяйства. </w:t>
      </w:r>
    </w:p>
    <w:p w:rsidR="00000000" w:rsidRDefault="00000000">
      <w:pPr>
        <w:pStyle w:val="BodyTextIndent"/>
        <w:spacing w:line="288" w:lineRule="auto"/>
      </w:pPr>
    </w:p>
    <w:p w:rsidR="00000000" w:rsidRDefault="00000000">
      <w:pPr>
        <w:ind w:left="567" w:hanging="567"/>
        <w:rPr>
          <w:u w:val="single"/>
          <w:lang w:val="en-US"/>
        </w:rPr>
      </w:pPr>
      <w:r>
        <w:rPr>
          <w:u w:val="single"/>
        </w:rPr>
        <w:t>Пункт 3 </w:t>
      </w:r>
      <w:r>
        <w:rPr>
          <w:u w:val="single"/>
          <w:lang w:val="en-US"/>
        </w:rPr>
        <w:t>d) iv</w:t>
      </w:r>
      <w:r>
        <w:rPr>
          <w:lang w:val="en-US"/>
        </w:rPr>
        <w:t>)</w:t>
      </w:r>
    </w:p>
    <w:p w:rsidR="00000000" w:rsidRDefault="00000000">
      <w:pPr>
        <w:ind w:left="567" w:hanging="567"/>
        <w:rPr>
          <w:u w:val="single"/>
          <w:lang w:val="en-US"/>
        </w:rPr>
      </w:pPr>
    </w:p>
    <w:p w:rsidR="00000000" w:rsidRDefault="00000000">
      <w:r>
        <w:t>369.</w:t>
      </w:r>
      <w:r>
        <w:tab/>
        <w:t>Правительство заключило с рядом международных финансовых учреждений, включая, в частности, Межамериканский банк развития и его Программу совершенствования жилищной политики (ПСЖП), контракты о предоставлении займов на сумму в 60 млн. долл. США (82,8% от общей суммы полученных кредитов);  кроме того, правительство получило еще 12,5 млн. долл. США из местных источников кредитования (17,2% от общей суммы полученных кредитов).  Полученная сумма, составляющая в общей сложности 72 млн. долл. США, позволяет осуществлять ряд стратегий, направленных на частичное решение существующих в стране проблем в жилищной сфере.</w:t>
      </w:r>
    </w:p>
    <w:p w:rsidR="00000000" w:rsidRDefault="00000000">
      <w:pPr>
        <w:ind w:left="567" w:hanging="567"/>
      </w:pPr>
    </w:p>
    <w:p w:rsidR="00000000" w:rsidRDefault="00000000">
      <w:r>
        <w:rPr>
          <w:u w:val="single"/>
        </w:rPr>
        <w:t>Пункт 3 d) </w:t>
      </w:r>
      <w:proofErr w:type="spellStart"/>
      <w:r>
        <w:rPr>
          <w:u w:val="single"/>
        </w:rPr>
        <w:t>v</w:t>
      </w:r>
      <w:proofErr w:type="spellEnd"/>
      <w:r>
        <w:t>)</w:t>
      </w:r>
    </w:p>
    <w:p w:rsidR="00000000" w:rsidRDefault="00000000"/>
    <w:p w:rsidR="00000000" w:rsidRDefault="00000000">
      <w:r>
        <w:t>370.</w:t>
      </w:r>
      <w:r>
        <w:tab/>
        <w:t>На рассмотрение общественности вынесены основные направления национальной политики в области населенных пунктов, разработанные в рамках одной из программ Всемирного банка, который финансировал подготовку и публикацию Программы поддержки политики в области населенных пунктов (ПППНП).  В ходе консультаций при участии специалистов из числа разработчиков этого проекта уточнялось и дополнялось содержание проекта.  Кроме того, подготовленные в рамках Программы поддержки (ПППНП) документы предполагается распространить в мае и июне текущего года среди технических сотрудников муниципальных служб.  Помимо этого, разрабатывается подпрограмма благоустройства городских кварталов, и в этой связи уже существует пилотный проект для пяти городов и восьми городских кварталов, к осуществлению которого планируется приступить 7 июня текущего года.</w:t>
      </w:r>
    </w:p>
    <w:p w:rsidR="00000000" w:rsidRDefault="00000000"/>
    <w:p w:rsidR="00000000" w:rsidRDefault="00000000">
      <w:r>
        <w:rPr>
          <w:u w:val="single"/>
        </w:rPr>
        <w:t>Пункт 3 d) </w:t>
      </w:r>
      <w:proofErr w:type="spellStart"/>
      <w:r>
        <w:rPr>
          <w:u w:val="single"/>
        </w:rPr>
        <w:t>vi</w:t>
      </w:r>
      <w:proofErr w:type="spellEnd"/>
      <w:r>
        <w:t>)</w:t>
      </w:r>
    </w:p>
    <w:p w:rsidR="00000000" w:rsidRDefault="00000000"/>
    <w:p w:rsidR="00000000" w:rsidRDefault="00000000">
      <w:r>
        <w:t>371.</w:t>
      </w:r>
      <w:r>
        <w:tab/>
        <w:t>Основные направления национальной политики в области населенных пунктов предусматривают, в частности, осуществление программы для небольших городов и программы для приграничных городов.  Обе эти программы направлены на совершенствование системы городского хозяйства.</w:t>
      </w:r>
    </w:p>
    <w:p w:rsidR="00000000" w:rsidRDefault="00000000"/>
    <w:p w:rsidR="00000000" w:rsidRDefault="00000000">
      <w:r>
        <w:rPr>
          <w:u w:val="single"/>
        </w:rPr>
        <w:t>Пункт 3 d) </w:t>
      </w:r>
      <w:proofErr w:type="spellStart"/>
      <w:r>
        <w:rPr>
          <w:u w:val="single"/>
        </w:rPr>
        <w:t>vii</w:t>
      </w:r>
      <w:proofErr w:type="spellEnd"/>
      <w:r>
        <w:t>)</w:t>
      </w:r>
    </w:p>
    <w:p w:rsidR="00000000" w:rsidRDefault="00000000"/>
    <w:p w:rsidR="00000000" w:rsidRDefault="00000000">
      <w:r>
        <w:t>372.</w:t>
      </w:r>
      <w:r>
        <w:tab/>
        <w:t>В настоящее время разрабатывается Программа общинного городского планирования (ПОГП), цель которой заключается в определении методологии для диагностики состояния городских кварталов и создания общинных организаций в районах городских трущоб.  Как ожидается, ПОГП позволит участвующим в ней городским кварталам накопить достаточные ресурсы для целей последующего участия в Программе благоустройства городских кварталов в рамках Национальной программы субсидирования жилья.  ПОГП финансируется посольством Нидерландов.</w:t>
      </w:r>
    </w:p>
    <w:p w:rsidR="00000000" w:rsidRDefault="00000000"/>
    <w:p w:rsidR="00000000" w:rsidRDefault="00000000">
      <w:pPr>
        <w:jc w:val="center"/>
        <w:rPr>
          <w:b/>
          <w:u w:val="single"/>
        </w:rPr>
      </w:pPr>
      <w:r>
        <w:rPr>
          <w:b/>
        </w:rPr>
        <w:t>G.</w:t>
      </w:r>
      <w:r>
        <w:rPr>
          <w:b/>
        </w:rPr>
        <w:tab/>
      </w:r>
      <w:r>
        <w:rPr>
          <w:b/>
          <w:u w:val="single"/>
        </w:rPr>
        <w:t>Статья 12</w:t>
      </w:r>
    </w:p>
    <w:p w:rsidR="00000000" w:rsidRDefault="00000000">
      <w:pPr>
        <w:rPr>
          <w:u w:val="single"/>
        </w:rPr>
      </w:pPr>
    </w:p>
    <w:p w:rsidR="00000000" w:rsidRDefault="00000000">
      <w:pPr>
        <w:pStyle w:val="Heading2"/>
      </w:pPr>
      <w:r>
        <w:t>Руководящие принципы, пункт 1 статьи 12 Пакта</w:t>
      </w:r>
    </w:p>
    <w:p w:rsidR="00000000" w:rsidRDefault="00000000">
      <w:pPr>
        <w:pStyle w:val="Heading2"/>
      </w:pPr>
    </w:p>
    <w:p w:rsidR="00000000" w:rsidRDefault="00000000">
      <w:r>
        <w:t>373.</w:t>
      </w:r>
      <w:r>
        <w:tab/>
        <w:t>Психиатрическая медицинская помощь включает лечение как различных психических расстройств и отклонений, так и функциональных или органических дисфункций деятельности мозга.  Мероприятия в области охраны психического здоровья включают содействие укреплению психического здоровья населения, предупреждение случаев психических расстройств и вмешательство в случае возникновения психо-социальных факторов, влияющих на здоровье и развитие личности.</w:t>
      </w:r>
    </w:p>
    <w:p w:rsidR="00000000" w:rsidRDefault="00000000"/>
    <w:p w:rsidR="00000000" w:rsidRDefault="00000000">
      <w:r>
        <w:t>374.</w:t>
      </w:r>
      <w:r>
        <w:tab/>
        <w:t>Психиатрическая медицинская помощь оказывается как специализированными службами, так и медицинскими службами общего профиля, причем в первую очередь учреждениями базового медицинского обслуживания.  На практике именно эти учреждения и выполняют в этой связи наибольший объем работы, что объясняется, среди прочего, наибольшей доступностью этих служб и особенностями поведения населения, которое охотнее обращается за медицинской психиатрической помощью, если соответствующее медицинское учреждение не имеет профиля психиатрической клиники.</w:t>
      </w:r>
    </w:p>
    <w:p w:rsidR="00000000" w:rsidRDefault="00000000"/>
    <w:p w:rsidR="00000000" w:rsidRDefault="00000000">
      <w:r>
        <w:t>375.</w:t>
      </w:r>
      <w:r>
        <w:tab/>
        <w:t>Согласно прогнозам, в начале ХХI века ожидается увеличение спроса на психиатрическую медицинскую помощь по причине изменения демографической ситуации, в результате которого может произойти увеличение числа людей, нуждающихся в психиатрической помощи.</w:t>
      </w:r>
    </w:p>
    <w:p w:rsidR="00000000" w:rsidRDefault="00000000"/>
    <w:p w:rsidR="00000000" w:rsidRDefault="00000000">
      <w:r>
        <w:t>376.</w:t>
      </w:r>
      <w:r>
        <w:tab/>
        <w:t>В приложении 2 приводится таблица с общими данными о психическом и физическом здоровье населения.</w:t>
      </w:r>
    </w:p>
    <w:p w:rsidR="00000000" w:rsidRDefault="00000000"/>
    <w:p w:rsidR="00000000" w:rsidRDefault="00000000">
      <w:r>
        <w:t>377.</w:t>
      </w:r>
      <w:r>
        <w:tab/>
        <w:t>Следует отметить, что в последнее время страна не представляла доклады во Всемирную организацию здравоохранения.</w:t>
      </w:r>
    </w:p>
    <w:p w:rsidR="00000000" w:rsidRDefault="00000000"/>
    <w:p w:rsidR="00000000" w:rsidRDefault="00000000">
      <w:pPr>
        <w:pStyle w:val="Heading2"/>
      </w:pPr>
      <w:r>
        <w:t>Пункт 2</w:t>
      </w:r>
    </w:p>
    <w:p w:rsidR="00000000" w:rsidRDefault="00000000">
      <w:pPr>
        <w:pStyle w:val="Heading2"/>
      </w:pPr>
    </w:p>
    <w:p w:rsidR="00000000" w:rsidRDefault="00000000">
      <w:r>
        <w:t>378.</w:t>
      </w:r>
      <w:r>
        <w:tab/>
        <w:t>В основе проводимой нынешним правительством политики по повышению качества жизни боливийских граждан лежит разработанный правительством Стратегический план охраны здоровья (СПОЗ).  Основополагающие принципы этого плана являются отражением новой медико-санитарной концепции, учитывающей тот факт, что мир находится на пороге ХХI века и что на данном этапе вектор главных усилий в сфере развития нацелен на борьбу с бедностью, а в медико-санитарной сфере – на универсализацию системы охраны здоровья.  Ниже приводятся три принципа, лежащие в основе вышеуказанного плана:</w:t>
      </w:r>
    </w:p>
    <w:p w:rsidR="00000000" w:rsidRDefault="00000000"/>
    <w:p w:rsidR="00000000" w:rsidRDefault="00000000">
      <w:r>
        <w:tab/>
        <w:t>а)</w:t>
      </w:r>
      <w:r>
        <w:tab/>
      </w:r>
      <w:r>
        <w:rPr>
          <w:b/>
        </w:rPr>
        <w:t>Первый принцип.</w:t>
      </w:r>
      <w:r>
        <w:t xml:space="preserve">  Ответственность общества и четкая конкретизация направлений деятельности;  определение достижимых и реальных целей, неукоснительное выполнение поставленных задач и содействие реализации принципа равноправия и состязательности.</w:t>
      </w:r>
    </w:p>
    <w:p w:rsidR="00000000" w:rsidRDefault="00000000"/>
    <w:p w:rsidR="00000000" w:rsidRDefault="00000000">
      <w:r>
        <w:tab/>
        <w:t>b)</w:t>
      </w:r>
      <w:r>
        <w:tab/>
      </w:r>
      <w:r>
        <w:rPr>
          <w:b/>
        </w:rPr>
        <w:t>Второй принцип.</w:t>
      </w:r>
      <w:r>
        <w:t xml:space="preserve">  Создание между правительством Боливии и боливийскими гражданами прочного стратегического союза, позволяющего осуществлять на основе традиционного опыта и знаний согласованной с населением стратегии в интересах боливийского гражданина в любых областях, и в частности в области трудовых отношений, что позволит повысить качество жизни населения, укрепить солидарность, вселить в народ чувство уверенности в собственных силах и обрести утраченное чувство национального достоинства.</w:t>
      </w:r>
    </w:p>
    <w:p w:rsidR="00000000" w:rsidRDefault="00000000"/>
    <w:p w:rsidR="00000000" w:rsidRDefault="00000000">
      <w:r>
        <w:tab/>
        <w:t>с)</w:t>
      </w:r>
      <w:r>
        <w:tab/>
      </w:r>
      <w:r>
        <w:rPr>
          <w:b/>
        </w:rPr>
        <w:t>Третий принцип.</w:t>
      </w:r>
      <w:r>
        <w:t xml:space="preserve">  Принцип социальной этики, способствующий накоплению позитивного опыта в области эффективного воплощения в жизнь выдвигаемых населением предложений через услуги, программы и механизмы, разрабатываемые и применяемые с учетом социального и культурного многообразия боливийского общества и при наличии надежной гарантии того, что разработка и осуществление таких стратегий не нанесет народу никакого ущерба.</w:t>
      </w:r>
    </w:p>
    <w:p w:rsidR="00000000" w:rsidRDefault="00000000"/>
    <w:p w:rsidR="00000000" w:rsidRDefault="00000000">
      <w:r>
        <w:t>379.</w:t>
      </w:r>
      <w:r>
        <w:tab/>
        <w:t>Национальная система здравоохранения включает следующие четыре основных элемента:</w:t>
      </w:r>
    </w:p>
    <w:p w:rsidR="00000000" w:rsidRDefault="00000000"/>
    <w:p w:rsidR="00000000" w:rsidRDefault="00000000">
      <w:r>
        <w:tab/>
        <w:t>а)</w:t>
      </w:r>
      <w:r>
        <w:tab/>
        <w:t>базовое медицинское страхование;</w:t>
      </w:r>
    </w:p>
    <w:p w:rsidR="00000000" w:rsidRDefault="00000000"/>
    <w:p w:rsidR="00000000" w:rsidRDefault="00000000">
      <w:r>
        <w:tab/>
        <w:t>b)</w:t>
      </w:r>
      <w:r>
        <w:tab/>
        <w:t>система бесплатного медицинского обслуживания пожилых людей;</w:t>
      </w:r>
    </w:p>
    <w:p w:rsidR="00000000" w:rsidRDefault="00000000"/>
    <w:p w:rsidR="00000000" w:rsidRDefault="00000000">
      <w:r>
        <w:tab/>
        <w:t>с)</w:t>
      </w:r>
      <w:r>
        <w:tab/>
        <w:t>система эпидемиологической защиты населения;</w:t>
      </w:r>
    </w:p>
    <w:p w:rsidR="00000000" w:rsidRDefault="00000000"/>
    <w:p w:rsidR="00000000" w:rsidRDefault="00000000">
      <w:r>
        <w:tab/>
        <w:t>d)</w:t>
      </w:r>
      <w:r>
        <w:tab/>
        <w:t>механизмы укрепления институтов по охране здоровья.</w:t>
      </w:r>
    </w:p>
    <w:p w:rsidR="00000000" w:rsidRDefault="00000000"/>
    <w:p w:rsidR="00000000" w:rsidRDefault="00000000">
      <w:r>
        <w:t>380.</w:t>
      </w:r>
      <w:r>
        <w:tab/>
        <w:t>Боливия поддержала концепцию базового медицинского обслуживания, предложенную Всемирной организацией здравоохранения в Алматы.  В этой связи правительство разработало комплексный план мероприятий по охране здоровья (КПМОЗ), предусматривающий создание базовой программы охраны здоровья, охватывающей различные виды медицинского обслуживания и предполагающей участие в ее реализации местного населения через создание на местном уровне территориальных народных комитетов охраны здоровья.</w:t>
      </w:r>
    </w:p>
    <w:p w:rsidR="00000000" w:rsidRDefault="00000000"/>
    <w:p w:rsidR="00000000" w:rsidRDefault="00000000">
      <w:r>
        <w:t>381.</w:t>
      </w:r>
      <w:r>
        <w:tab/>
        <w:t>Привлечение местных общин к решению проблем в области охраны здоровья означает также начало процесса районизации путем создания санитарно-медицинских округов в качестве базовых административно-технических единиц районного масштаба.  Этот процесс был начат еще в начале 80</w:t>
      </w:r>
      <w:r>
        <w:noBreakHyphen/>
        <w:t>х годов.  Позднее была проведена реструктуризация Плана мероприятий по охране здоровья (ПМОЗ), который сдерживал процессы участия на уровне общин.  Через некоторое время был разработан трехлетний план по охране здоровья.  Затем правительство приступило к разработке общенационального плана охраны здоровья матери и ребенка, в основу которого были положены следующие три основополагающих принципа:  децентрализация, социальная направленность и охрана здоровья матери и ребенка.  Некоторое время спустя началось претворение в жизнь плана "Качество жизни и новая медико-санитарная модель", который предусматривал дальнейшую децентрализацию учреждений системы охраны здоровья путем создания муниципальных медицинских служб.  В настоящее время на основе вышеупомянутых четырех основополагающих принципов разрабатывается Стратегический план охраны здоровья.</w:t>
      </w:r>
    </w:p>
    <w:p w:rsidR="00000000" w:rsidRDefault="00000000"/>
    <w:p w:rsidR="00000000" w:rsidRDefault="00000000">
      <w:pPr>
        <w:pStyle w:val="Heading2"/>
      </w:pPr>
      <w:r>
        <w:t>Пункт 3</w:t>
      </w:r>
    </w:p>
    <w:p w:rsidR="00000000" w:rsidRDefault="00000000">
      <w:pPr>
        <w:pStyle w:val="Heading2"/>
      </w:pPr>
    </w:p>
    <w:p w:rsidR="00000000" w:rsidRDefault="00000000">
      <w:r>
        <w:t>382.</w:t>
      </w:r>
      <w:r>
        <w:tab/>
        <w:t>В приложении 3 приводятся данные о государственных ассигнованиях на охрану здоровья населения и поддержание базовой системы социального обслуживания в области охраны здоровья за период 1990</w:t>
      </w:r>
      <w:r>
        <w:noBreakHyphen/>
        <w:t>1998 годов как на уровне центральных административных органов, так и на уровне местных органов власти.</w:t>
      </w:r>
    </w:p>
    <w:p w:rsidR="00000000" w:rsidRDefault="00000000"/>
    <w:p w:rsidR="00000000" w:rsidRDefault="00000000">
      <w:r>
        <w:t>383.</w:t>
      </w:r>
      <w:r>
        <w:tab/>
        <w:t>Анализ данных за вышеуказанный период свидетельствует о сокращении доли базового социального обслуживания (БСО) в области охраны здоровья в общем объеме расходов на социальные нужды.  Расходы на БСО в области охраны здоровья как одного из первоочередных направлений макроэкономической политики (БСО в области охраны здоровья/ВВП) постоянно колеблются и в 1997 году составляли 1,29%.  Расходы на БСО в области охраны здоровья в рамках фискальной политики (БСО в области охраны здоровья/расходы центрального правительства) также постоянно колеблются и в 1993 году достигли максимального значения – 8,59%.</w:t>
      </w:r>
    </w:p>
    <w:p w:rsidR="00000000" w:rsidRDefault="00000000">
      <w:pPr>
        <w:rPr>
          <w:lang w:val="en-US"/>
        </w:rPr>
      </w:pPr>
    </w:p>
    <w:p w:rsidR="00000000" w:rsidRDefault="00000000">
      <w:r>
        <w:rPr>
          <w:u w:val="single"/>
        </w:rPr>
        <w:t>Пункт 4 a</w:t>
      </w:r>
      <w:r>
        <w:t>)</w:t>
      </w:r>
    </w:p>
    <w:p w:rsidR="00000000" w:rsidRDefault="00000000"/>
    <w:p w:rsidR="00000000" w:rsidRDefault="00000000">
      <w:r>
        <w:t>384.</w:t>
      </w:r>
      <w:r>
        <w:tab/>
        <w:t>Если в период 1984-1989 годов показатель младенческой смертности составлял 96 случаев на 1 000 живорождений, то по данным последнего обследования за период 1995</w:t>
      </w:r>
      <w:r>
        <w:noBreakHyphen/>
        <w:t>1998 годов этот показатель сократился до 67 случаев на 1 000.  Средний показатель смертности за последние пять лет составлял в сельских районах 90 случаев на 1 000, а в городских районах – 50 случаев на 1 000.</w:t>
      </w:r>
    </w:p>
    <w:p w:rsidR="00000000" w:rsidRDefault="00000000"/>
    <w:p w:rsidR="00000000" w:rsidRDefault="00000000">
      <w:pPr>
        <w:pStyle w:val="Heading7"/>
        <w:spacing w:line="288" w:lineRule="auto"/>
        <w:rPr>
          <w:b/>
          <w:u w:val="none"/>
        </w:rPr>
      </w:pPr>
      <w:r>
        <w:rPr>
          <w:b/>
          <w:u w:val="none"/>
        </w:rPr>
        <w:t>Показатели смертности</w:t>
      </w:r>
    </w:p>
    <w:p w:rsidR="00000000" w:rsidRDefault="00000000"/>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4"/>
        <w:gridCol w:w="1134"/>
        <w:gridCol w:w="1134"/>
        <w:gridCol w:w="1096"/>
      </w:tblGrid>
      <w:tr w:rsidR="00000000">
        <w:tblPrEx>
          <w:tblCellMar>
            <w:top w:w="0" w:type="dxa"/>
            <w:bottom w:w="0" w:type="dxa"/>
          </w:tblCellMar>
        </w:tblPrEx>
        <w:tc>
          <w:tcPr>
            <w:tcW w:w="6204" w:type="dxa"/>
            <w:tcBorders>
              <w:bottom w:val="nil"/>
            </w:tcBorders>
          </w:tcPr>
          <w:p w:rsidR="00000000" w:rsidRDefault="00000000">
            <w:pPr>
              <w:pStyle w:val="FootnoteText"/>
              <w:spacing w:line="288" w:lineRule="auto"/>
              <w:jc w:val="center"/>
              <w:rPr>
                <w:b/>
              </w:rPr>
            </w:pPr>
            <w:r>
              <w:rPr>
                <w:b/>
              </w:rPr>
              <w:t>Год НДМО</w:t>
            </w:r>
          </w:p>
        </w:tc>
        <w:tc>
          <w:tcPr>
            <w:tcW w:w="1134" w:type="dxa"/>
            <w:tcBorders>
              <w:bottom w:val="nil"/>
            </w:tcBorders>
          </w:tcPr>
          <w:p w:rsidR="00000000" w:rsidRDefault="00000000">
            <w:pPr>
              <w:jc w:val="center"/>
              <w:rPr>
                <w:b/>
              </w:rPr>
            </w:pPr>
            <w:r>
              <w:rPr>
                <w:b/>
              </w:rPr>
              <w:t>1989</w:t>
            </w:r>
          </w:p>
        </w:tc>
        <w:tc>
          <w:tcPr>
            <w:tcW w:w="1134" w:type="dxa"/>
            <w:tcBorders>
              <w:bottom w:val="nil"/>
            </w:tcBorders>
          </w:tcPr>
          <w:p w:rsidR="00000000" w:rsidRDefault="00000000">
            <w:pPr>
              <w:jc w:val="center"/>
              <w:rPr>
                <w:b/>
              </w:rPr>
            </w:pPr>
            <w:r>
              <w:rPr>
                <w:b/>
              </w:rPr>
              <w:t>1994</w:t>
            </w:r>
          </w:p>
        </w:tc>
        <w:tc>
          <w:tcPr>
            <w:tcW w:w="1096" w:type="dxa"/>
            <w:tcBorders>
              <w:bottom w:val="nil"/>
            </w:tcBorders>
          </w:tcPr>
          <w:p w:rsidR="00000000" w:rsidRDefault="00000000">
            <w:pPr>
              <w:jc w:val="center"/>
              <w:rPr>
                <w:b/>
              </w:rPr>
            </w:pPr>
            <w:r>
              <w:rPr>
                <w:b/>
              </w:rPr>
              <w:t>1998</w:t>
            </w:r>
          </w:p>
        </w:tc>
      </w:tr>
      <w:tr w:rsidR="00000000">
        <w:tblPrEx>
          <w:tblCellMar>
            <w:top w:w="0" w:type="dxa"/>
            <w:bottom w:w="0" w:type="dxa"/>
          </w:tblCellMar>
        </w:tblPrEx>
        <w:tc>
          <w:tcPr>
            <w:tcW w:w="6204" w:type="dxa"/>
            <w:tcBorders>
              <w:bottom w:val="nil"/>
            </w:tcBorders>
          </w:tcPr>
          <w:p w:rsidR="00000000" w:rsidRDefault="00000000">
            <w:pPr>
              <w:ind w:left="567" w:hanging="567"/>
            </w:pPr>
            <w:r>
              <w:t>*</w:t>
            </w:r>
            <w:r>
              <w:tab/>
              <w:t>Показатель детской смертности (на 1 000 живорождений)</w:t>
            </w:r>
          </w:p>
        </w:tc>
        <w:tc>
          <w:tcPr>
            <w:tcW w:w="1134" w:type="dxa"/>
            <w:tcBorders>
              <w:bottom w:val="nil"/>
            </w:tcBorders>
          </w:tcPr>
          <w:p w:rsidR="00000000" w:rsidRDefault="00000000">
            <w:pPr>
              <w:jc w:val="center"/>
            </w:pPr>
            <w:r>
              <w:t>96</w:t>
            </w:r>
          </w:p>
        </w:tc>
        <w:tc>
          <w:tcPr>
            <w:tcW w:w="1134" w:type="dxa"/>
            <w:tcBorders>
              <w:bottom w:val="nil"/>
            </w:tcBorders>
          </w:tcPr>
          <w:p w:rsidR="00000000" w:rsidRDefault="00000000">
            <w:pPr>
              <w:jc w:val="center"/>
            </w:pPr>
            <w:r>
              <w:t>75</w:t>
            </w:r>
          </w:p>
        </w:tc>
        <w:tc>
          <w:tcPr>
            <w:tcW w:w="1096" w:type="dxa"/>
            <w:tcBorders>
              <w:bottom w:val="nil"/>
            </w:tcBorders>
          </w:tcPr>
          <w:p w:rsidR="00000000" w:rsidRDefault="00000000">
            <w:pPr>
              <w:jc w:val="center"/>
            </w:pPr>
            <w:r>
              <w:t>67</w:t>
            </w:r>
          </w:p>
        </w:tc>
      </w:tr>
      <w:tr w:rsidR="00000000">
        <w:tblPrEx>
          <w:tblCellMar>
            <w:top w:w="0" w:type="dxa"/>
            <w:bottom w:w="0" w:type="dxa"/>
          </w:tblCellMar>
        </w:tblPrEx>
        <w:tc>
          <w:tcPr>
            <w:tcW w:w="6204" w:type="dxa"/>
            <w:tcBorders>
              <w:top w:val="nil"/>
              <w:bottom w:val="nil"/>
            </w:tcBorders>
          </w:tcPr>
          <w:p w:rsidR="00000000" w:rsidRDefault="00000000">
            <w:pPr>
              <w:ind w:left="567" w:hanging="567"/>
            </w:pPr>
            <w:r>
              <w:t>*</w:t>
            </w:r>
            <w:r>
              <w:tab/>
              <w:t>Показатель смертности детей в возрасте до 5 лет</w:t>
            </w:r>
          </w:p>
        </w:tc>
        <w:tc>
          <w:tcPr>
            <w:tcW w:w="1134" w:type="dxa"/>
            <w:tcBorders>
              <w:top w:val="nil"/>
              <w:bottom w:val="nil"/>
            </w:tcBorders>
          </w:tcPr>
          <w:p w:rsidR="00000000" w:rsidRDefault="00000000">
            <w:pPr>
              <w:jc w:val="center"/>
            </w:pPr>
            <w:r>
              <w:t>-</w:t>
            </w:r>
          </w:p>
        </w:tc>
        <w:tc>
          <w:tcPr>
            <w:tcW w:w="1134" w:type="dxa"/>
            <w:tcBorders>
              <w:top w:val="nil"/>
              <w:bottom w:val="nil"/>
            </w:tcBorders>
          </w:tcPr>
          <w:p w:rsidR="00000000" w:rsidRDefault="00000000">
            <w:pPr>
              <w:jc w:val="center"/>
            </w:pPr>
            <w:r>
              <w:t>116</w:t>
            </w:r>
          </w:p>
        </w:tc>
        <w:tc>
          <w:tcPr>
            <w:tcW w:w="1096" w:type="dxa"/>
            <w:tcBorders>
              <w:top w:val="nil"/>
              <w:bottom w:val="nil"/>
            </w:tcBorders>
          </w:tcPr>
          <w:p w:rsidR="00000000" w:rsidRDefault="00000000">
            <w:pPr>
              <w:jc w:val="center"/>
            </w:pPr>
            <w:r>
              <w:t>92</w:t>
            </w:r>
          </w:p>
        </w:tc>
      </w:tr>
      <w:tr w:rsidR="00000000">
        <w:tblPrEx>
          <w:tblCellMar>
            <w:top w:w="0" w:type="dxa"/>
            <w:bottom w:w="0" w:type="dxa"/>
          </w:tblCellMar>
        </w:tblPrEx>
        <w:tc>
          <w:tcPr>
            <w:tcW w:w="6204" w:type="dxa"/>
            <w:tcBorders>
              <w:top w:val="nil"/>
            </w:tcBorders>
          </w:tcPr>
          <w:p w:rsidR="00000000" w:rsidRDefault="00000000">
            <w:pPr>
              <w:ind w:left="567" w:hanging="567"/>
            </w:pPr>
            <w:r>
              <w:t>*</w:t>
            </w:r>
            <w:r>
              <w:tab/>
              <w:t>Показатель материнской смертности (на 100 000 живорождений)</w:t>
            </w:r>
          </w:p>
        </w:tc>
        <w:tc>
          <w:tcPr>
            <w:tcW w:w="1134" w:type="dxa"/>
            <w:tcBorders>
              <w:top w:val="nil"/>
            </w:tcBorders>
          </w:tcPr>
          <w:p w:rsidR="00000000" w:rsidRDefault="00000000">
            <w:pPr>
              <w:jc w:val="center"/>
            </w:pPr>
            <w:r>
              <w:t>416</w:t>
            </w:r>
          </w:p>
        </w:tc>
        <w:tc>
          <w:tcPr>
            <w:tcW w:w="1134" w:type="dxa"/>
            <w:tcBorders>
              <w:top w:val="nil"/>
            </w:tcBorders>
          </w:tcPr>
          <w:p w:rsidR="00000000" w:rsidRDefault="00000000">
            <w:pPr>
              <w:jc w:val="center"/>
            </w:pPr>
            <w:r>
              <w:t>390</w:t>
            </w:r>
          </w:p>
        </w:tc>
        <w:tc>
          <w:tcPr>
            <w:tcW w:w="1096" w:type="dxa"/>
            <w:tcBorders>
              <w:top w:val="nil"/>
            </w:tcBorders>
          </w:tcPr>
          <w:p w:rsidR="00000000" w:rsidRDefault="00000000">
            <w:pPr>
              <w:jc w:val="center"/>
            </w:pPr>
            <w:r>
              <w:t>-</w:t>
            </w:r>
          </w:p>
        </w:tc>
      </w:tr>
    </w:tbl>
    <w:p w:rsidR="00000000" w:rsidRDefault="00000000"/>
    <w:p w:rsidR="00000000" w:rsidRDefault="00000000">
      <w:r>
        <w:tab/>
      </w:r>
      <w:r>
        <w:rPr>
          <w:u w:val="single"/>
        </w:rPr>
        <w:t>Источник</w:t>
      </w:r>
      <w:r>
        <w:t>:  Национальное демографическое и медицинское обследование (НМДО).</w:t>
      </w:r>
    </w:p>
    <w:p w:rsidR="00000000" w:rsidRDefault="00000000"/>
    <w:p w:rsidR="00000000" w:rsidRDefault="00000000">
      <w:r>
        <w:t>385.</w:t>
      </w:r>
      <w:r>
        <w:tab/>
        <w:t>Вследствие общей тенденции к снижению показателей неонатальной и постнатальной смертности положение в этой области в городах и селах постепенно выравнивается при сохранении  значительного разрыва между этими показателями для города и села.</w:t>
      </w:r>
    </w:p>
    <w:p w:rsidR="00000000" w:rsidRDefault="00000000">
      <w:pPr>
        <w:spacing w:line="240" w:lineRule="auto"/>
      </w:pPr>
    </w:p>
    <w:p w:rsidR="00000000" w:rsidRDefault="00000000">
      <w:pPr>
        <w:pStyle w:val="Heading7"/>
        <w:spacing w:line="240" w:lineRule="auto"/>
        <w:rPr>
          <w:b/>
          <w:u w:val="none"/>
        </w:rPr>
      </w:pPr>
      <w:r>
        <w:rPr>
          <w:b/>
          <w:u w:val="none"/>
        </w:rPr>
        <w:t>Показатели детской смертности в разбивке по годам</w:t>
      </w:r>
    </w:p>
    <w:p w:rsidR="00000000" w:rsidRDefault="00000000">
      <w:pPr>
        <w:keepNext/>
        <w:spacing w:line="240" w:lineRule="auto"/>
        <w:jc w:val="center"/>
        <w:rPr>
          <w:b/>
        </w:rPr>
      </w:pPr>
      <w:r>
        <w:rPr>
          <w:b/>
        </w:rPr>
        <w:t>с момента проведения обследования</w:t>
      </w:r>
    </w:p>
    <w:p w:rsidR="00000000" w:rsidRDefault="00000000">
      <w:pPr>
        <w:keepNext/>
        <w:spacing w:line="240" w:lineRule="auto"/>
        <w:jc w:val="center"/>
        <w:rPr>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c>
          <w:tcPr>
            <w:tcW w:w="1595" w:type="dxa"/>
            <w:tcBorders>
              <w:bottom w:val="nil"/>
            </w:tcBorders>
          </w:tcPr>
          <w:p w:rsidR="00000000" w:rsidRDefault="00000000">
            <w:pPr>
              <w:keepNext/>
              <w:spacing w:line="240" w:lineRule="auto"/>
              <w:jc w:val="center"/>
              <w:rPr>
                <w:sz w:val="20"/>
              </w:rPr>
            </w:pPr>
            <w:r>
              <w:rPr>
                <w:sz w:val="20"/>
              </w:rPr>
              <w:t>Всего</w:t>
            </w:r>
          </w:p>
        </w:tc>
        <w:tc>
          <w:tcPr>
            <w:tcW w:w="1595" w:type="dxa"/>
            <w:tcBorders>
              <w:bottom w:val="nil"/>
            </w:tcBorders>
          </w:tcPr>
          <w:p w:rsidR="00000000" w:rsidRDefault="00000000">
            <w:pPr>
              <w:keepNext/>
              <w:spacing w:line="240" w:lineRule="auto"/>
              <w:jc w:val="center"/>
              <w:rPr>
                <w:sz w:val="20"/>
              </w:rPr>
            </w:pPr>
            <w:r>
              <w:rPr>
                <w:sz w:val="20"/>
              </w:rPr>
              <w:t>Неонатальная смертность</w:t>
            </w:r>
          </w:p>
        </w:tc>
        <w:tc>
          <w:tcPr>
            <w:tcW w:w="1595" w:type="dxa"/>
            <w:tcBorders>
              <w:bottom w:val="nil"/>
            </w:tcBorders>
          </w:tcPr>
          <w:p w:rsidR="00000000" w:rsidRDefault="00000000">
            <w:pPr>
              <w:keepNext/>
              <w:spacing w:line="240" w:lineRule="auto"/>
              <w:jc w:val="center"/>
              <w:rPr>
                <w:sz w:val="20"/>
              </w:rPr>
            </w:pPr>
            <w:r>
              <w:rPr>
                <w:sz w:val="20"/>
              </w:rPr>
              <w:t>Постнатальная смертность</w:t>
            </w:r>
          </w:p>
        </w:tc>
        <w:tc>
          <w:tcPr>
            <w:tcW w:w="1595" w:type="dxa"/>
            <w:tcBorders>
              <w:bottom w:val="nil"/>
            </w:tcBorders>
          </w:tcPr>
          <w:p w:rsidR="00000000" w:rsidRDefault="00000000">
            <w:pPr>
              <w:keepNext/>
              <w:spacing w:line="240" w:lineRule="auto"/>
              <w:jc w:val="center"/>
              <w:rPr>
                <w:sz w:val="20"/>
              </w:rPr>
            </w:pPr>
            <w:r>
              <w:rPr>
                <w:sz w:val="20"/>
              </w:rPr>
              <w:t>Младенческая смертность</w:t>
            </w:r>
          </w:p>
        </w:tc>
        <w:tc>
          <w:tcPr>
            <w:tcW w:w="1595" w:type="dxa"/>
            <w:tcBorders>
              <w:bottom w:val="nil"/>
            </w:tcBorders>
          </w:tcPr>
          <w:p w:rsidR="00000000" w:rsidRDefault="00000000">
            <w:pPr>
              <w:keepNext/>
              <w:spacing w:line="240" w:lineRule="auto"/>
              <w:jc w:val="center"/>
              <w:rPr>
                <w:sz w:val="20"/>
              </w:rPr>
            </w:pPr>
            <w:r>
              <w:rPr>
                <w:sz w:val="20"/>
              </w:rPr>
              <w:t>Детская смертность</w:t>
            </w:r>
          </w:p>
        </w:tc>
        <w:tc>
          <w:tcPr>
            <w:tcW w:w="1595" w:type="dxa"/>
            <w:tcBorders>
              <w:bottom w:val="nil"/>
            </w:tcBorders>
          </w:tcPr>
          <w:p w:rsidR="00000000" w:rsidRDefault="00000000">
            <w:pPr>
              <w:keepNext/>
              <w:spacing w:line="240" w:lineRule="auto"/>
              <w:jc w:val="center"/>
              <w:rPr>
                <w:sz w:val="20"/>
              </w:rPr>
            </w:pPr>
            <w:r>
              <w:rPr>
                <w:sz w:val="20"/>
              </w:rPr>
              <w:t>Общая детская смертность</w:t>
            </w:r>
          </w:p>
        </w:tc>
      </w:tr>
      <w:tr w:rsidR="00000000">
        <w:tblPrEx>
          <w:tblCellMar>
            <w:top w:w="0" w:type="dxa"/>
            <w:bottom w:w="0" w:type="dxa"/>
          </w:tblCellMar>
        </w:tblPrEx>
        <w:tc>
          <w:tcPr>
            <w:tcW w:w="1595" w:type="dxa"/>
            <w:tcBorders>
              <w:bottom w:val="nil"/>
            </w:tcBorders>
          </w:tcPr>
          <w:p w:rsidR="00000000" w:rsidRDefault="00000000">
            <w:pPr>
              <w:keepNext/>
              <w:rPr>
                <w:sz w:val="20"/>
              </w:rPr>
            </w:pPr>
            <w:r>
              <w:rPr>
                <w:sz w:val="20"/>
              </w:rPr>
              <w:t>0-4</w:t>
            </w:r>
          </w:p>
        </w:tc>
        <w:tc>
          <w:tcPr>
            <w:tcW w:w="1595" w:type="dxa"/>
            <w:tcBorders>
              <w:bottom w:val="nil"/>
            </w:tcBorders>
          </w:tcPr>
          <w:p w:rsidR="00000000" w:rsidRDefault="00000000">
            <w:pPr>
              <w:keepNext/>
              <w:jc w:val="center"/>
              <w:rPr>
                <w:sz w:val="20"/>
              </w:rPr>
            </w:pPr>
            <w:r>
              <w:rPr>
                <w:sz w:val="20"/>
              </w:rPr>
              <w:t>34</w:t>
            </w:r>
          </w:p>
        </w:tc>
        <w:tc>
          <w:tcPr>
            <w:tcW w:w="1595" w:type="dxa"/>
            <w:tcBorders>
              <w:bottom w:val="nil"/>
            </w:tcBorders>
          </w:tcPr>
          <w:p w:rsidR="00000000" w:rsidRDefault="00000000">
            <w:pPr>
              <w:keepNext/>
              <w:jc w:val="center"/>
              <w:rPr>
                <w:sz w:val="20"/>
              </w:rPr>
            </w:pPr>
            <w:r>
              <w:rPr>
                <w:sz w:val="20"/>
              </w:rPr>
              <w:t>34</w:t>
            </w:r>
          </w:p>
        </w:tc>
        <w:tc>
          <w:tcPr>
            <w:tcW w:w="1595" w:type="dxa"/>
            <w:tcBorders>
              <w:bottom w:val="nil"/>
            </w:tcBorders>
          </w:tcPr>
          <w:p w:rsidR="00000000" w:rsidRDefault="00000000">
            <w:pPr>
              <w:keepNext/>
              <w:jc w:val="center"/>
              <w:rPr>
                <w:sz w:val="20"/>
              </w:rPr>
            </w:pPr>
            <w:r>
              <w:rPr>
                <w:sz w:val="20"/>
              </w:rPr>
              <w:t>67</w:t>
            </w:r>
          </w:p>
        </w:tc>
        <w:tc>
          <w:tcPr>
            <w:tcW w:w="1595" w:type="dxa"/>
            <w:tcBorders>
              <w:bottom w:val="nil"/>
            </w:tcBorders>
          </w:tcPr>
          <w:p w:rsidR="00000000" w:rsidRDefault="00000000">
            <w:pPr>
              <w:keepNext/>
              <w:jc w:val="center"/>
              <w:rPr>
                <w:sz w:val="20"/>
              </w:rPr>
            </w:pPr>
            <w:r>
              <w:rPr>
                <w:sz w:val="20"/>
              </w:rPr>
              <w:t>26</w:t>
            </w:r>
          </w:p>
        </w:tc>
        <w:tc>
          <w:tcPr>
            <w:tcW w:w="1595" w:type="dxa"/>
            <w:tcBorders>
              <w:bottom w:val="nil"/>
            </w:tcBorders>
          </w:tcPr>
          <w:p w:rsidR="00000000" w:rsidRDefault="00000000">
            <w:pPr>
              <w:keepNext/>
              <w:jc w:val="center"/>
              <w:rPr>
                <w:sz w:val="20"/>
              </w:rPr>
            </w:pPr>
            <w:r>
              <w:rPr>
                <w:sz w:val="20"/>
              </w:rPr>
              <w:t>92</w:t>
            </w:r>
          </w:p>
        </w:tc>
      </w:tr>
      <w:tr w:rsidR="00000000">
        <w:tblPrEx>
          <w:tblCellMar>
            <w:top w:w="0" w:type="dxa"/>
            <w:bottom w:w="0" w:type="dxa"/>
          </w:tblCellMar>
        </w:tblPrEx>
        <w:tc>
          <w:tcPr>
            <w:tcW w:w="1595" w:type="dxa"/>
            <w:tcBorders>
              <w:top w:val="nil"/>
              <w:bottom w:val="nil"/>
            </w:tcBorders>
          </w:tcPr>
          <w:p w:rsidR="00000000" w:rsidRDefault="00000000">
            <w:pPr>
              <w:keepNext/>
              <w:rPr>
                <w:sz w:val="20"/>
              </w:rPr>
            </w:pPr>
            <w:r>
              <w:rPr>
                <w:sz w:val="20"/>
              </w:rPr>
              <w:t>5-9</w:t>
            </w:r>
          </w:p>
        </w:tc>
        <w:tc>
          <w:tcPr>
            <w:tcW w:w="1595" w:type="dxa"/>
            <w:tcBorders>
              <w:top w:val="nil"/>
              <w:bottom w:val="nil"/>
            </w:tcBorders>
          </w:tcPr>
          <w:p w:rsidR="00000000" w:rsidRDefault="00000000">
            <w:pPr>
              <w:keepNext/>
              <w:jc w:val="center"/>
              <w:rPr>
                <w:sz w:val="20"/>
              </w:rPr>
            </w:pPr>
            <w:r>
              <w:rPr>
                <w:sz w:val="20"/>
              </w:rPr>
              <w:t>39</w:t>
            </w:r>
          </w:p>
        </w:tc>
        <w:tc>
          <w:tcPr>
            <w:tcW w:w="1595" w:type="dxa"/>
            <w:tcBorders>
              <w:top w:val="nil"/>
              <w:bottom w:val="nil"/>
            </w:tcBorders>
          </w:tcPr>
          <w:p w:rsidR="00000000" w:rsidRDefault="00000000">
            <w:pPr>
              <w:keepNext/>
              <w:jc w:val="center"/>
              <w:rPr>
                <w:sz w:val="20"/>
              </w:rPr>
            </w:pPr>
            <w:r>
              <w:rPr>
                <w:sz w:val="20"/>
              </w:rPr>
              <w:t>41</w:t>
            </w:r>
          </w:p>
        </w:tc>
        <w:tc>
          <w:tcPr>
            <w:tcW w:w="1595" w:type="dxa"/>
            <w:tcBorders>
              <w:top w:val="nil"/>
              <w:bottom w:val="nil"/>
            </w:tcBorders>
          </w:tcPr>
          <w:p w:rsidR="00000000" w:rsidRDefault="00000000">
            <w:pPr>
              <w:keepNext/>
              <w:jc w:val="center"/>
              <w:rPr>
                <w:sz w:val="20"/>
              </w:rPr>
            </w:pPr>
            <w:r>
              <w:rPr>
                <w:sz w:val="20"/>
              </w:rPr>
              <w:t>80</w:t>
            </w:r>
          </w:p>
        </w:tc>
        <w:tc>
          <w:tcPr>
            <w:tcW w:w="1595" w:type="dxa"/>
            <w:tcBorders>
              <w:top w:val="nil"/>
              <w:bottom w:val="nil"/>
            </w:tcBorders>
          </w:tcPr>
          <w:p w:rsidR="00000000" w:rsidRDefault="00000000">
            <w:pPr>
              <w:keepNext/>
              <w:jc w:val="center"/>
              <w:rPr>
                <w:sz w:val="20"/>
              </w:rPr>
            </w:pPr>
            <w:r>
              <w:rPr>
                <w:sz w:val="20"/>
              </w:rPr>
              <w:t>29</w:t>
            </w:r>
          </w:p>
        </w:tc>
        <w:tc>
          <w:tcPr>
            <w:tcW w:w="1595" w:type="dxa"/>
            <w:tcBorders>
              <w:top w:val="nil"/>
              <w:bottom w:val="nil"/>
            </w:tcBorders>
          </w:tcPr>
          <w:p w:rsidR="00000000" w:rsidRDefault="00000000">
            <w:pPr>
              <w:keepNext/>
              <w:jc w:val="center"/>
              <w:rPr>
                <w:sz w:val="20"/>
              </w:rPr>
            </w:pPr>
            <w:r>
              <w:rPr>
                <w:sz w:val="20"/>
              </w:rPr>
              <w:t>107</w:t>
            </w:r>
          </w:p>
        </w:tc>
      </w:tr>
      <w:tr w:rsidR="00000000">
        <w:tblPrEx>
          <w:tblCellMar>
            <w:top w:w="0" w:type="dxa"/>
            <w:bottom w:w="0" w:type="dxa"/>
          </w:tblCellMar>
        </w:tblPrEx>
        <w:tc>
          <w:tcPr>
            <w:tcW w:w="1595" w:type="dxa"/>
            <w:tcBorders>
              <w:top w:val="nil"/>
            </w:tcBorders>
          </w:tcPr>
          <w:p w:rsidR="00000000" w:rsidRDefault="00000000">
            <w:pPr>
              <w:keepNext/>
              <w:rPr>
                <w:sz w:val="20"/>
              </w:rPr>
            </w:pPr>
            <w:r>
              <w:rPr>
                <w:sz w:val="20"/>
              </w:rPr>
              <w:t>10-14</w:t>
            </w:r>
          </w:p>
        </w:tc>
        <w:tc>
          <w:tcPr>
            <w:tcW w:w="1595" w:type="dxa"/>
            <w:tcBorders>
              <w:top w:val="nil"/>
            </w:tcBorders>
          </w:tcPr>
          <w:p w:rsidR="00000000" w:rsidRDefault="00000000">
            <w:pPr>
              <w:keepNext/>
              <w:jc w:val="center"/>
              <w:rPr>
                <w:sz w:val="20"/>
              </w:rPr>
            </w:pPr>
            <w:r>
              <w:rPr>
                <w:sz w:val="20"/>
              </w:rPr>
              <w:t>43</w:t>
            </w:r>
          </w:p>
        </w:tc>
        <w:tc>
          <w:tcPr>
            <w:tcW w:w="1595" w:type="dxa"/>
            <w:tcBorders>
              <w:top w:val="nil"/>
            </w:tcBorders>
          </w:tcPr>
          <w:p w:rsidR="00000000" w:rsidRDefault="00000000">
            <w:pPr>
              <w:keepNext/>
              <w:jc w:val="center"/>
              <w:rPr>
                <w:sz w:val="20"/>
              </w:rPr>
            </w:pPr>
            <w:r>
              <w:rPr>
                <w:sz w:val="20"/>
              </w:rPr>
              <w:t>48</w:t>
            </w:r>
          </w:p>
        </w:tc>
        <w:tc>
          <w:tcPr>
            <w:tcW w:w="1595" w:type="dxa"/>
            <w:tcBorders>
              <w:top w:val="nil"/>
            </w:tcBorders>
          </w:tcPr>
          <w:p w:rsidR="00000000" w:rsidRDefault="00000000">
            <w:pPr>
              <w:keepNext/>
              <w:jc w:val="center"/>
              <w:rPr>
                <w:sz w:val="20"/>
              </w:rPr>
            </w:pPr>
            <w:r>
              <w:rPr>
                <w:sz w:val="20"/>
              </w:rPr>
              <w:t>91</w:t>
            </w:r>
          </w:p>
        </w:tc>
        <w:tc>
          <w:tcPr>
            <w:tcW w:w="1595" w:type="dxa"/>
            <w:tcBorders>
              <w:top w:val="nil"/>
            </w:tcBorders>
          </w:tcPr>
          <w:p w:rsidR="00000000" w:rsidRDefault="00000000">
            <w:pPr>
              <w:keepNext/>
              <w:jc w:val="center"/>
              <w:rPr>
                <w:sz w:val="20"/>
              </w:rPr>
            </w:pPr>
            <w:r>
              <w:rPr>
                <w:sz w:val="20"/>
              </w:rPr>
              <w:t>43</w:t>
            </w:r>
          </w:p>
        </w:tc>
        <w:tc>
          <w:tcPr>
            <w:tcW w:w="1595" w:type="dxa"/>
            <w:tcBorders>
              <w:top w:val="nil"/>
            </w:tcBorders>
          </w:tcPr>
          <w:p w:rsidR="00000000" w:rsidRDefault="00000000">
            <w:pPr>
              <w:keepNext/>
              <w:jc w:val="center"/>
              <w:rPr>
                <w:sz w:val="20"/>
              </w:rPr>
            </w:pPr>
            <w:r>
              <w:rPr>
                <w:sz w:val="20"/>
              </w:rPr>
              <w:t>130</w:t>
            </w:r>
          </w:p>
        </w:tc>
      </w:tr>
      <w:tr w:rsidR="00000000">
        <w:tblPrEx>
          <w:tblCellMar>
            <w:top w:w="0" w:type="dxa"/>
            <w:bottom w:w="0" w:type="dxa"/>
          </w:tblCellMar>
        </w:tblPrEx>
        <w:tc>
          <w:tcPr>
            <w:tcW w:w="1595" w:type="dxa"/>
            <w:tcBorders>
              <w:bottom w:val="nil"/>
            </w:tcBorders>
          </w:tcPr>
          <w:p w:rsidR="00000000" w:rsidRDefault="00000000">
            <w:pPr>
              <w:keepNext/>
              <w:rPr>
                <w:sz w:val="20"/>
              </w:rPr>
            </w:pPr>
            <w:r>
              <w:rPr>
                <w:sz w:val="20"/>
              </w:rPr>
              <w:t>В городах</w:t>
            </w:r>
          </w:p>
        </w:tc>
        <w:tc>
          <w:tcPr>
            <w:tcW w:w="1595" w:type="dxa"/>
            <w:tcBorders>
              <w:bottom w:val="nil"/>
            </w:tcBorders>
          </w:tcPr>
          <w:p w:rsidR="00000000" w:rsidRDefault="00000000">
            <w:pPr>
              <w:keepNext/>
              <w:jc w:val="center"/>
              <w:rPr>
                <w:sz w:val="20"/>
              </w:rPr>
            </w:pPr>
            <w:r>
              <w:rPr>
                <w:sz w:val="20"/>
              </w:rPr>
              <w:t>Неонатальная смертность</w:t>
            </w:r>
          </w:p>
        </w:tc>
        <w:tc>
          <w:tcPr>
            <w:tcW w:w="1595" w:type="dxa"/>
            <w:tcBorders>
              <w:bottom w:val="nil"/>
            </w:tcBorders>
          </w:tcPr>
          <w:p w:rsidR="00000000" w:rsidRDefault="00000000">
            <w:pPr>
              <w:keepNext/>
              <w:jc w:val="center"/>
              <w:rPr>
                <w:sz w:val="20"/>
              </w:rPr>
            </w:pPr>
            <w:r>
              <w:rPr>
                <w:sz w:val="20"/>
              </w:rPr>
              <w:t>Постнатальная смертность</w:t>
            </w:r>
          </w:p>
        </w:tc>
        <w:tc>
          <w:tcPr>
            <w:tcW w:w="1595" w:type="dxa"/>
            <w:tcBorders>
              <w:bottom w:val="nil"/>
            </w:tcBorders>
          </w:tcPr>
          <w:p w:rsidR="00000000" w:rsidRDefault="00000000">
            <w:pPr>
              <w:keepNext/>
              <w:jc w:val="center"/>
              <w:rPr>
                <w:sz w:val="20"/>
              </w:rPr>
            </w:pPr>
            <w:r>
              <w:rPr>
                <w:sz w:val="20"/>
              </w:rPr>
              <w:t>Младенческая смертность</w:t>
            </w:r>
          </w:p>
        </w:tc>
        <w:tc>
          <w:tcPr>
            <w:tcW w:w="1595" w:type="dxa"/>
            <w:tcBorders>
              <w:bottom w:val="nil"/>
            </w:tcBorders>
          </w:tcPr>
          <w:p w:rsidR="00000000" w:rsidRDefault="00000000">
            <w:pPr>
              <w:keepNext/>
              <w:jc w:val="center"/>
              <w:rPr>
                <w:sz w:val="20"/>
              </w:rPr>
            </w:pPr>
            <w:r>
              <w:rPr>
                <w:sz w:val="20"/>
              </w:rPr>
              <w:t>Детская смертность</w:t>
            </w:r>
          </w:p>
        </w:tc>
        <w:tc>
          <w:tcPr>
            <w:tcW w:w="1595" w:type="dxa"/>
            <w:tcBorders>
              <w:bottom w:val="nil"/>
            </w:tcBorders>
          </w:tcPr>
          <w:p w:rsidR="00000000" w:rsidRDefault="00000000">
            <w:pPr>
              <w:keepNext/>
              <w:jc w:val="center"/>
              <w:rPr>
                <w:sz w:val="20"/>
              </w:rPr>
            </w:pPr>
            <w:r>
              <w:rPr>
                <w:sz w:val="20"/>
              </w:rPr>
              <w:t>Общая детская смертность</w:t>
            </w:r>
          </w:p>
        </w:tc>
      </w:tr>
      <w:tr w:rsidR="00000000">
        <w:tblPrEx>
          <w:tblCellMar>
            <w:top w:w="0" w:type="dxa"/>
            <w:bottom w:w="0" w:type="dxa"/>
          </w:tblCellMar>
        </w:tblPrEx>
        <w:tc>
          <w:tcPr>
            <w:tcW w:w="1595" w:type="dxa"/>
            <w:tcBorders>
              <w:bottom w:val="nil"/>
            </w:tcBorders>
          </w:tcPr>
          <w:p w:rsidR="00000000" w:rsidRDefault="00000000">
            <w:pPr>
              <w:keepNext/>
              <w:rPr>
                <w:sz w:val="20"/>
              </w:rPr>
            </w:pPr>
            <w:r>
              <w:rPr>
                <w:sz w:val="20"/>
              </w:rPr>
              <w:t>0-4</w:t>
            </w:r>
          </w:p>
        </w:tc>
        <w:tc>
          <w:tcPr>
            <w:tcW w:w="1595" w:type="dxa"/>
            <w:tcBorders>
              <w:bottom w:val="nil"/>
            </w:tcBorders>
          </w:tcPr>
          <w:p w:rsidR="00000000" w:rsidRDefault="00000000">
            <w:pPr>
              <w:keepNext/>
              <w:jc w:val="center"/>
              <w:rPr>
                <w:sz w:val="20"/>
              </w:rPr>
            </w:pPr>
            <w:r>
              <w:rPr>
                <w:sz w:val="20"/>
              </w:rPr>
              <w:t>25</w:t>
            </w:r>
          </w:p>
        </w:tc>
        <w:tc>
          <w:tcPr>
            <w:tcW w:w="1595" w:type="dxa"/>
            <w:tcBorders>
              <w:bottom w:val="nil"/>
            </w:tcBorders>
          </w:tcPr>
          <w:p w:rsidR="00000000" w:rsidRDefault="00000000">
            <w:pPr>
              <w:keepNext/>
              <w:jc w:val="center"/>
              <w:rPr>
                <w:sz w:val="20"/>
              </w:rPr>
            </w:pPr>
            <w:r>
              <w:rPr>
                <w:sz w:val="20"/>
              </w:rPr>
              <w:t>25</w:t>
            </w:r>
          </w:p>
        </w:tc>
        <w:tc>
          <w:tcPr>
            <w:tcW w:w="1595" w:type="dxa"/>
            <w:tcBorders>
              <w:bottom w:val="nil"/>
            </w:tcBorders>
          </w:tcPr>
          <w:p w:rsidR="00000000" w:rsidRDefault="00000000">
            <w:pPr>
              <w:keepNext/>
              <w:jc w:val="center"/>
              <w:rPr>
                <w:sz w:val="20"/>
              </w:rPr>
            </w:pPr>
            <w:r>
              <w:rPr>
                <w:sz w:val="20"/>
              </w:rPr>
              <w:t>50</w:t>
            </w:r>
          </w:p>
        </w:tc>
        <w:tc>
          <w:tcPr>
            <w:tcW w:w="1595" w:type="dxa"/>
            <w:tcBorders>
              <w:bottom w:val="nil"/>
            </w:tcBorders>
          </w:tcPr>
          <w:p w:rsidR="00000000" w:rsidRDefault="00000000">
            <w:pPr>
              <w:keepNext/>
              <w:jc w:val="center"/>
              <w:rPr>
                <w:sz w:val="20"/>
              </w:rPr>
            </w:pPr>
            <w:r>
              <w:rPr>
                <w:sz w:val="20"/>
              </w:rPr>
              <w:t>17</w:t>
            </w:r>
          </w:p>
        </w:tc>
        <w:tc>
          <w:tcPr>
            <w:tcW w:w="1595" w:type="dxa"/>
            <w:tcBorders>
              <w:bottom w:val="nil"/>
            </w:tcBorders>
          </w:tcPr>
          <w:p w:rsidR="00000000" w:rsidRDefault="00000000">
            <w:pPr>
              <w:keepNext/>
              <w:jc w:val="center"/>
              <w:rPr>
                <w:sz w:val="20"/>
              </w:rPr>
            </w:pPr>
            <w:r>
              <w:rPr>
                <w:sz w:val="20"/>
              </w:rPr>
              <w:t>66</w:t>
            </w:r>
          </w:p>
        </w:tc>
      </w:tr>
      <w:tr w:rsidR="00000000">
        <w:tblPrEx>
          <w:tblCellMar>
            <w:top w:w="0" w:type="dxa"/>
            <w:bottom w:w="0" w:type="dxa"/>
          </w:tblCellMar>
        </w:tblPrEx>
        <w:tc>
          <w:tcPr>
            <w:tcW w:w="1595" w:type="dxa"/>
            <w:tcBorders>
              <w:top w:val="nil"/>
              <w:bottom w:val="nil"/>
            </w:tcBorders>
          </w:tcPr>
          <w:p w:rsidR="00000000" w:rsidRDefault="00000000">
            <w:pPr>
              <w:keepNext/>
              <w:rPr>
                <w:sz w:val="20"/>
              </w:rPr>
            </w:pPr>
            <w:r>
              <w:rPr>
                <w:sz w:val="20"/>
              </w:rPr>
              <w:t>5-9</w:t>
            </w:r>
          </w:p>
        </w:tc>
        <w:tc>
          <w:tcPr>
            <w:tcW w:w="1595" w:type="dxa"/>
            <w:tcBorders>
              <w:top w:val="nil"/>
              <w:bottom w:val="nil"/>
            </w:tcBorders>
          </w:tcPr>
          <w:p w:rsidR="00000000" w:rsidRDefault="00000000">
            <w:pPr>
              <w:keepNext/>
              <w:jc w:val="center"/>
              <w:rPr>
                <w:sz w:val="20"/>
              </w:rPr>
            </w:pPr>
            <w:r>
              <w:rPr>
                <w:sz w:val="20"/>
              </w:rPr>
              <w:t>24</w:t>
            </w:r>
          </w:p>
        </w:tc>
        <w:tc>
          <w:tcPr>
            <w:tcW w:w="1595" w:type="dxa"/>
            <w:tcBorders>
              <w:top w:val="nil"/>
              <w:bottom w:val="nil"/>
            </w:tcBorders>
          </w:tcPr>
          <w:p w:rsidR="00000000" w:rsidRDefault="00000000">
            <w:pPr>
              <w:keepNext/>
              <w:jc w:val="center"/>
              <w:rPr>
                <w:sz w:val="20"/>
              </w:rPr>
            </w:pPr>
            <w:r>
              <w:rPr>
                <w:sz w:val="20"/>
              </w:rPr>
              <w:t>32</w:t>
            </w:r>
          </w:p>
        </w:tc>
        <w:tc>
          <w:tcPr>
            <w:tcW w:w="1595" w:type="dxa"/>
            <w:tcBorders>
              <w:top w:val="nil"/>
              <w:bottom w:val="nil"/>
            </w:tcBorders>
          </w:tcPr>
          <w:p w:rsidR="00000000" w:rsidRDefault="00000000">
            <w:pPr>
              <w:keepNext/>
              <w:jc w:val="center"/>
              <w:rPr>
                <w:sz w:val="20"/>
              </w:rPr>
            </w:pPr>
            <w:r>
              <w:rPr>
                <w:sz w:val="20"/>
              </w:rPr>
              <w:t>56</w:t>
            </w:r>
          </w:p>
        </w:tc>
        <w:tc>
          <w:tcPr>
            <w:tcW w:w="1595" w:type="dxa"/>
            <w:tcBorders>
              <w:top w:val="nil"/>
              <w:bottom w:val="nil"/>
            </w:tcBorders>
          </w:tcPr>
          <w:p w:rsidR="00000000" w:rsidRDefault="00000000">
            <w:pPr>
              <w:keepNext/>
              <w:jc w:val="center"/>
              <w:rPr>
                <w:sz w:val="20"/>
              </w:rPr>
            </w:pPr>
            <w:r>
              <w:rPr>
                <w:sz w:val="20"/>
              </w:rPr>
              <w:t>23</w:t>
            </w:r>
          </w:p>
        </w:tc>
        <w:tc>
          <w:tcPr>
            <w:tcW w:w="1595" w:type="dxa"/>
            <w:tcBorders>
              <w:top w:val="nil"/>
              <w:bottom w:val="nil"/>
            </w:tcBorders>
          </w:tcPr>
          <w:p w:rsidR="00000000" w:rsidRDefault="00000000">
            <w:pPr>
              <w:keepNext/>
              <w:jc w:val="center"/>
              <w:rPr>
                <w:sz w:val="20"/>
              </w:rPr>
            </w:pPr>
            <w:r>
              <w:rPr>
                <w:sz w:val="20"/>
              </w:rPr>
              <w:t>78</w:t>
            </w:r>
          </w:p>
        </w:tc>
      </w:tr>
      <w:tr w:rsidR="00000000">
        <w:tblPrEx>
          <w:tblCellMar>
            <w:top w:w="0" w:type="dxa"/>
            <w:bottom w:w="0" w:type="dxa"/>
          </w:tblCellMar>
        </w:tblPrEx>
        <w:tc>
          <w:tcPr>
            <w:tcW w:w="1595" w:type="dxa"/>
            <w:tcBorders>
              <w:top w:val="nil"/>
            </w:tcBorders>
          </w:tcPr>
          <w:p w:rsidR="00000000" w:rsidRDefault="00000000">
            <w:pPr>
              <w:keepNext/>
              <w:rPr>
                <w:sz w:val="20"/>
              </w:rPr>
            </w:pPr>
            <w:r>
              <w:rPr>
                <w:sz w:val="20"/>
              </w:rPr>
              <w:t>10-14</w:t>
            </w:r>
          </w:p>
        </w:tc>
        <w:tc>
          <w:tcPr>
            <w:tcW w:w="1595" w:type="dxa"/>
            <w:tcBorders>
              <w:top w:val="nil"/>
            </w:tcBorders>
          </w:tcPr>
          <w:p w:rsidR="00000000" w:rsidRDefault="00000000">
            <w:pPr>
              <w:keepNext/>
              <w:jc w:val="center"/>
              <w:rPr>
                <w:sz w:val="20"/>
              </w:rPr>
            </w:pPr>
            <w:r>
              <w:rPr>
                <w:sz w:val="20"/>
              </w:rPr>
              <w:t>30</w:t>
            </w:r>
          </w:p>
        </w:tc>
        <w:tc>
          <w:tcPr>
            <w:tcW w:w="1595" w:type="dxa"/>
            <w:tcBorders>
              <w:top w:val="nil"/>
            </w:tcBorders>
          </w:tcPr>
          <w:p w:rsidR="00000000" w:rsidRDefault="00000000">
            <w:pPr>
              <w:keepNext/>
              <w:jc w:val="center"/>
              <w:rPr>
                <w:sz w:val="20"/>
              </w:rPr>
            </w:pPr>
            <w:r>
              <w:rPr>
                <w:sz w:val="20"/>
              </w:rPr>
              <w:t>42</w:t>
            </w:r>
          </w:p>
        </w:tc>
        <w:tc>
          <w:tcPr>
            <w:tcW w:w="1595" w:type="dxa"/>
            <w:tcBorders>
              <w:top w:val="nil"/>
            </w:tcBorders>
          </w:tcPr>
          <w:p w:rsidR="00000000" w:rsidRDefault="00000000">
            <w:pPr>
              <w:keepNext/>
              <w:jc w:val="center"/>
              <w:rPr>
                <w:sz w:val="20"/>
              </w:rPr>
            </w:pPr>
            <w:r>
              <w:rPr>
                <w:sz w:val="20"/>
              </w:rPr>
              <w:t>72</w:t>
            </w:r>
          </w:p>
        </w:tc>
        <w:tc>
          <w:tcPr>
            <w:tcW w:w="1595" w:type="dxa"/>
            <w:tcBorders>
              <w:top w:val="nil"/>
            </w:tcBorders>
          </w:tcPr>
          <w:p w:rsidR="00000000" w:rsidRDefault="00000000">
            <w:pPr>
              <w:keepNext/>
              <w:jc w:val="center"/>
              <w:rPr>
                <w:sz w:val="20"/>
              </w:rPr>
            </w:pPr>
            <w:r>
              <w:rPr>
                <w:sz w:val="20"/>
              </w:rPr>
              <w:t>36</w:t>
            </w:r>
          </w:p>
        </w:tc>
        <w:tc>
          <w:tcPr>
            <w:tcW w:w="1595" w:type="dxa"/>
            <w:tcBorders>
              <w:top w:val="nil"/>
            </w:tcBorders>
          </w:tcPr>
          <w:p w:rsidR="00000000" w:rsidRDefault="00000000">
            <w:pPr>
              <w:keepNext/>
              <w:jc w:val="center"/>
              <w:rPr>
                <w:sz w:val="20"/>
              </w:rPr>
            </w:pPr>
            <w:r>
              <w:rPr>
                <w:sz w:val="20"/>
              </w:rPr>
              <w:t>705</w:t>
            </w:r>
          </w:p>
        </w:tc>
      </w:tr>
      <w:tr w:rsidR="00000000">
        <w:tblPrEx>
          <w:tblCellMar>
            <w:top w:w="0" w:type="dxa"/>
            <w:bottom w:w="0" w:type="dxa"/>
          </w:tblCellMar>
        </w:tblPrEx>
        <w:tc>
          <w:tcPr>
            <w:tcW w:w="1595" w:type="dxa"/>
          </w:tcPr>
          <w:p w:rsidR="00000000" w:rsidRDefault="00000000">
            <w:pPr>
              <w:keepNext/>
              <w:rPr>
                <w:sz w:val="20"/>
              </w:rPr>
            </w:pPr>
            <w:r>
              <w:rPr>
                <w:sz w:val="20"/>
              </w:rPr>
              <w:t>В сельской местности</w:t>
            </w:r>
          </w:p>
        </w:tc>
        <w:tc>
          <w:tcPr>
            <w:tcW w:w="1595" w:type="dxa"/>
          </w:tcPr>
          <w:p w:rsidR="00000000" w:rsidRDefault="00000000">
            <w:pPr>
              <w:keepNext/>
              <w:jc w:val="center"/>
              <w:rPr>
                <w:sz w:val="20"/>
              </w:rPr>
            </w:pPr>
            <w:r>
              <w:rPr>
                <w:sz w:val="20"/>
              </w:rPr>
              <w:t>Неонатальная смертность</w:t>
            </w:r>
          </w:p>
        </w:tc>
        <w:tc>
          <w:tcPr>
            <w:tcW w:w="1595" w:type="dxa"/>
          </w:tcPr>
          <w:p w:rsidR="00000000" w:rsidRDefault="00000000">
            <w:pPr>
              <w:keepNext/>
              <w:jc w:val="center"/>
              <w:rPr>
                <w:sz w:val="20"/>
              </w:rPr>
            </w:pPr>
            <w:r>
              <w:rPr>
                <w:sz w:val="20"/>
              </w:rPr>
              <w:t>Постнатальная смертность</w:t>
            </w:r>
          </w:p>
        </w:tc>
        <w:tc>
          <w:tcPr>
            <w:tcW w:w="1595" w:type="dxa"/>
          </w:tcPr>
          <w:p w:rsidR="00000000" w:rsidRDefault="00000000">
            <w:pPr>
              <w:keepNext/>
              <w:jc w:val="center"/>
              <w:rPr>
                <w:sz w:val="20"/>
              </w:rPr>
            </w:pPr>
            <w:r>
              <w:rPr>
                <w:sz w:val="20"/>
              </w:rPr>
              <w:t>Младенческая смертность</w:t>
            </w:r>
          </w:p>
        </w:tc>
        <w:tc>
          <w:tcPr>
            <w:tcW w:w="1595" w:type="dxa"/>
          </w:tcPr>
          <w:p w:rsidR="00000000" w:rsidRDefault="00000000">
            <w:pPr>
              <w:keepNext/>
              <w:jc w:val="center"/>
              <w:rPr>
                <w:sz w:val="20"/>
              </w:rPr>
            </w:pPr>
            <w:r>
              <w:rPr>
                <w:sz w:val="20"/>
              </w:rPr>
              <w:t>Детская смертность</w:t>
            </w:r>
          </w:p>
        </w:tc>
        <w:tc>
          <w:tcPr>
            <w:tcW w:w="1595" w:type="dxa"/>
          </w:tcPr>
          <w:p w:rsidR="00000000" w:rsidRDefault="00000000">
            <w:pPr>
              <w:keepNext/>
              <w:jc w:val="center"/>
              <w:rPr>
                <w:sz w:val="20"/>
              </w:rPr>
            </w:pPr>
            <w:r>
              <w:rPr>
                <w:sz w:val="20"/>
              </w:rPr>
              <w:t>Общая детская смертность</w:t>
            </w:r>
          </w:p>
        </w:tc>
      </w:tr>
      <w:tr w:rsidR="00000000">
        <w:tblPrEx>
          <w:tblCellMar>
            <w:top w:w="0" w:type="dxa"/>
            <w:bottom w:w="0" w:type="dxa"/>
          </w:tblCellMar>
        </w:tblPrEx>
        <w:tc>
          <w:tcPr>
            <w:tcW w:w="1595" w:type="dxa"/>
          </w:tcPr>
          <w:p w:rsidR="00000000" w:rsidRDefault="00000000">
            <w:pPr>
              <w:keepNext/>
              <w:rPr>
                <w:sz w:val="20"/>
              </w:rPr>
            </w:pPr>
            <w:r>
              <w:rPr>
                <w:sz w:val="20"/>
              </w:rPr>
              <w:t>0-4</w:t>
            </w:r>
          </w:p>
        </w:tc>
        <w:tc>
          <w:tcPr>
            <w:tcW w:w="1595" w:type="dxa"/>
          </w:tcPr>
          <w:p w:rsidR="00000000" w:rsidRDefault="00000000">
            <w:pPr>
              <w:keepNext/>
              <w:jc w:val="center"/>
              <w:rPr>
                <w:sz w:val="20"/>
              </w:rPr>
            </w:pPr>
            <w:r>
              <w:rPr>
                <w:sz w:val="20"/>
              </w:rPr>
              <w:t>46</w:t>
            </w:r>
          </w:p>
        </w:tc>
        <w:tc>
          <w:tcPr>
            <w:tcW w:w="1595" w:type="dxa"/>
          </w:tcPr>
          <w:p w:rsidR="00000000" w:rsidRDefault="00000000">
            <w:pPr>
              <w:keepNext/>
              <w:jc w:val="center"/>
              <w:rPr>
                <w:sz w:val="20"/>
              </w:rPr>
            </w:pPr>
            <w:r>
              <w:rPr>
                <w:sz w:val="20"/>
              </w:rPr>
              <w:t>45</w:t>
            </w:r>
          </w:p>
        </w:tc>
        <w:tc>
          <w:tcPr>
            <w:tcW w:w="1595" w:type="dxa"/>
          </w:tcPr>
          <w:p w:rsidR="00000000" w:rsidRDefault="00000000">
            <w:pPr>
              <w:keepNext/>
              <w:jc w:val="center"/>
              <w:rPr>
                <w:sz w:val="20"/>
              </w:rPr>
            </w:pPr>
            <w:r>
              <w:rPr>
                <w:sz w:val="20"/>
              </w:rPr>
              <w:t>90</w:t>
            </w:r>
          </w:p>
        </w:tc>
        <w:tc>
          <w:tcPr>
            <w:tcW w:w="1595" w:type="dxa"/>
          </w:tcPr>
          <w:p w:rsidR="00000000" w:rsidRDefault="00000000">
            <w:pPr>
              <w:keepNext/>
              <w:jc w:val="center"/>
              <w:rPr>
                <w:sz w:val="20"/>
              </w:rPr>
            </w:pPr>
            <w:r>
              <w:rPr>
                <w:sz w:val="20"/>
              </w:rPr>
              <w:t>38</w:t>
            </w:r>
          </w:p>
        </w:tc>
        <w:tc>
          <w:tcPr>
            <w:tcW w:w="1595" w:type="dxa"/>
          </w:tcPr>
          <w:p w:rsidR="00000000" w:rsidRDefault="00000000">
            <w:pPr>
              <w:keepNext/>
              <w:jc w:val="center"/>
              <w:rPr>
                <w:sz w:val="20"/>
              </w:rPr>
            </w:pPr>
            <w:r>
              <w:rPr>
                <w:sz w:val="20"/>
              </w:rPr>
              <w:t>125</w:t>
            </w:r>
          </w:p>
        </w:tc>
      </w:tr>
      <w:tr w:rsidR="00000000">
        <w:tblPrEx>
          <w:tblCellMar>
            <w:top w:w="0" w:type="dxa"/>
            <w:bottom w:w="0" w:type="dxa"/>
          </w:tblCellMar>
        </w:tblPrEx>
        <w:tc>
          <w:tcPr>
            <w:tcW w:w="1595" w:type="dxa"/>
          </w:tcPr>
          <w:p w:rsidR="00000000" w:rsidRDefault="00000000">
            <w:pPr>
              <w:keepNext/>
              <w:rPr>
                <w:sz w:val="20"/>
              </w:rPr>
            </w:pPr>
            <w:r>
              <w:rPr>
                <w:sz w:val="20"/>
              </w:rPr>
              <w:t>5-9</w:t>
            </w:r>
          </w:p>
        </w:tc>
        <w:tc>
          <w:tcPr>
            <w:tcW w:w="1595" w:type="dxa"/>
          </w:tcPr>
          <w:p w:rsidR="00000000" w:rsidRDefault="00000000">
            <w:pPr>
              <w:keepNext/>
              <w:jc w:val="center"/>
              <w:rPr>
                <w:sz w:val="20"/>
              </w:rPr>
            </w:pPr>
            <w:r>
              <w:rPr>
                <w:sz w:val="20"/>
              </w:rPr>
              <w:t>57</w:t>
            </w:r>
          </w:p>
        </w:tc>
        <w:tc>
          <w:tcPr>
            <w:tcW w:w="1595" w:type="dxa"/>
          </w:tcPr>
          <w:p w:rsidR="00000000" w:rsidRDefault="00000000">
            <w:pPr>
              <w:keepNext/>
              <w:jc w:val="center"/>
              <w:rPr>
                <w:sz w:val="20"/>
              </w:rPr>
            </w:pPr>
            <w:r>
              <w:rPr>
                <w:sz w:val="20"/>
              </w:rPr>
              <w:t>52</w:t>
            </w:r>
          </w:p>
        </w:tc>
        <w:tc>
          <w:tcPr>
            <w:tcW w:w="1595" w:type="dxa"/>
          </w:tcPr>
          <w:p w:rsidR="00000000" w:rsidRDefault="00000000">
            <w:pPr>
              <w:keepNext/>
              <w:jc w:val="center"/>
              <w:rPr>
                <w:sz w:val="20"/>
              </w:rPr>
            </w:pPr>
            <w:r>
              <w:rPr>
                <w:sz w:val="20"/>
              </w:rPr>
              <w:t>109</w:t>
            </w:r>
          </w:p>
        </w:tc>
        <w:tc>
          <w:tcPr>
            <w:tcW w:w="1595" w:type="dxa"/>
          </w:tcPr>
          <w:p w:rsidR="00000000" w:rsidRDefault="00000000">
            <w:pPr>
              <w:keepNext/>
              <w:jc w:val="center"/>
              <w:rPr>
                <w:sz w:val="20"/>
              </w:rPr>
            </w:pPr>
            <w:r>
              <w:rPr>
                <w:sz w:val="20"/>
              </w:rPr>
              <w:t>39</w:t>
            </w:r>
          </w:p>
        </w:tc>
        <w:tc>
          <w:tcPr>
            <w:tcW w:w="1595" w:type="dxa"/>
          </w:tcPr>
          <w:p w:rsidR="00000000" w:rsidRDefault="00000000">
            <w:pPr>
              <w:keepNext/>
              <w:jc w:val="center"/>
              <w:rPr>
                <w:sz w:val="20"/>
              </w:rPr>
            </w:pPr>
            <w:r>
              <w:rPr>
                <w:sz w:val="20"/>
              </w:rPr>
              <w:t>144</w:t>
            </w:r>
          </w:p>
        </w:tc>
      </w:tr>
      <w:tr w:rsidR="00000000">
        <w:tblPrEx>
          <w:tblCellMar>
            <w:top w:w="0" w:type="dxa"/>
            <w:bottom w:w="0" w:type="dxa"/>
          </w:tblCellMar>
        </w:tblPrEx>
        <w:tc>
          <w:tcPr>
            <w:tcW w:w="1595" w:type="dxa"/>
          </w:tcPr>
          <w:p w:rsidR="00000000" w:rsidRDefault="00000000">
            <w:pPr>
              <w:keepNext/>
              <w:rPr>
                <w:sz w:val="20"/>
              </w:rPr>
            </w:pPr>
            <w:r>
              <w:rPr>
                <w:sz w:val="20"/>
              </w:rPr>
              <w:t>10-14</w:t>
            </w:r>
          </w:p>
        </w:tc>
        <w:tc>
          <w:tcPr>
            <w:tcW w:w="1595" w:type="dxa"/>
          </w:tcPr>
          <w:p w:rsidR="00000000" w:rsidRDefault="00000000">
            <w:pPr>
              <w:keepNext/>
              <w:jc w:val="center"/>
              <w:rPr>
                <w:sz w:val="20"/>
              </w:rPr>
            </w:pPr>
            <w:r>
              <w:rPr>
                <w:sz w:val="20"/>
              </w:rPr>
              <w:t>62</w:t>
            </w:r>
          </w:p>
        </w:tc>
        <w:tc>
          <w:tcPr>
            <w:tcW w:w="1595" w:type="dxa"/>
          </w:tcPr>
          <w:p w:rsidR="00000000" w:rsidRDefault="00000000">
            <w:pPr>
              <w:keepNext/>
              <w:jc w:val="center"/>
              <w:rPr>
                <w:sz w:val="20"/>
              </w:rPr>
            </w:pPr>
            <w:r>
              <w:rPr>
                <w:sz w:val="20"/>
              </w:rPr>
              <w:t>56</w:t>
            </w:r>
          </w:p>
        </w:tc>
        <w:tc>
          <w:tcPr>
            <w:tcW w:w="1595" w:type="dxa"/>
          </w:tcPr>
          <w:p w:rsidR="00000000" w:rsidRDefault="00000000">
            <w:pPr>
              <w:keepNext/>
              <w:jc w:val="center"/>
              <w:rPr>
                <w:sz w:val="20"/>
              </w:rPr>
            </w:pPr>
            <w:r>
              <w:rPr>
                <w:sz w:val="20"/>
              </w:rPr>
              <w:t>118</w:t>
            </w:r>
          </w:p>
        </w:tc>
        <w:tc>
          <w:tcPr>
            <w:tcW w:w="1595" w:type="dxa"/>
          </w:tcPr>
          <w:p w:rsidR="00000000" w:rsidRDefault="00000000">
            <w:pPr>
              <w:keepNext/>
              <w:jc w:val="center"/>
              <w:rPr>
                <w:sz w:val="20"/>
              </w:rPr>
            </w:pPr>
            <w:r>
              <w:rPr>
                <w:sz w:val="20"/>
              </w:rPr>
              <w:t>56</w:t>
            </w:r>
          </w:p>
        </w:tc>
        <w:tc>
          <w:tcPr>
            <w:tcW w:w="1595" w:type="dxa"/>
          </w:tcPr>
          <w:p w:rsidR="00000000" w:rsidRDefault="00000000">
            <w:pPr>
              <w:keepNext/>
              <w:jc w:val="center"/>
              <w:rPr>
                <w:sz w:val="20"/>
              </w:rPr>
            </w:pPr>
            <w:r>
              <w:rPr>
                <w:sz w:val="20"/>
              </w:rPr>
              <w:t>167</w:t>
            </w:r>
          </w:p>
        </w:tc>
      </w:tr>
    </w:tbl>
    <w:p w:rsidR="00000000" w:rsidRDefault="00000000">
      <w:pPr>
        <w:pStyle w:val="FootnoteText"/>
        <w:keepNext/>
        <w:spacing w:line="288" w:lineRule="auto"/>
      </w:pPr>
    </w:p>
    <w:p w:rsidR="00000000" w:rsidRDefault="00000000">
      <w:pPr>
        <w:pStyle w:val="FootnoteText"/>
        <w:keepNext/>
        <w:spacing w:line="288" w:lineRule="auto"/>
      </w:pPr>
      <w:r>
        <w:tab/>
      </w:r>
      <w:r>
        <w:rPr>
          <w:u w:val="single"/>
        </w:rPr>
        <w:t>Источник</w:t>
      </w:r>
      <w:r>
        <w:t>:  НДМО.</w:t>
      </w:r>
    </w:p>
    <w:p w:rsidR="00000000" w:rsidRDefault="00000000">
      <w:pPr>
        <w:pStyle w:val="FootnoteText"/>
        <w:keepNext/>
        <w:spacing w:line="288" w:lineRule="auto"/>
      </w:pPr>
    </w:p>
    <w:p w:rsidR="00000000" w:rsidRDefault="00000000">
      <w:pPr>
        <w:pStyle w:val="FootnoteText"/>
        <w:spacing w:line="288" w:lineRule="auto"/>
      </w:pPr>
      <w:r>
        <w:t>386.</w:t>
      </w:r>
      <w:r>
        <w:tab/>
        <w:t>Сохраняется значительный разрыв в показателях по районам:  так, например, в районах плоскогорья уровень младенческой смертности составляет 82 случая на 1 000, в районах предгорья – 61, а в равнинных районах – 53.</w:t>
      </w:r>
    </w:p>
    <w:p w:rsidR="00000000" w:rsidRDefault="00000000">
      <w:pPr>
        <w:pStyle w:val="FootnoteText"/>
      </w:pPr>
    </w:p>
    <w:p w:rsidR="00000000" w:rsidRDefault="00000000">
      <w:pPr>
        <w:pStyle w:val="FootnoteText"/>
        <w:jc w:val="center"/>
        <w:rPr>
          <w:b/>
        </w:rPr>
      </w:pPr>
      <w:r>
        <w:rPr>
          <w:b/>
        </w:rPr>
        <w:t>Показатели детской смертности за пятилетний период,</w:t>
      </w:r>
    </w:p>
    <w:p w:rsidR="00000000" w:rsidRDefault="00000000">
      <w:pPr>
        <w:pStyle w:val="FootnoteText"/>
        <w:jc w:val="center"/>
        <w:rPr>
          <w:b/>
        </w:rPr>
      </w:pPr>
      <w:r>
        <w:rPr>
          <w:b/>
        </w:rPr>
        <w:t>предшествовавший проведению обследования</w:t>
      </w:r>
    </w:p>
    <w:p w:rsidR="00000000" w:rsidRDefault="00000000">
      <w:pPr>
        <w:pStyle w:val="FootnoteText"/>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c>
          <w:tcPr>
            <w:tcW w:w="1595" w:type="dxa"/>
            <w:tcBorders>
              <w:bottom w:val="nil"/>
            </w:tcBorders>
          </w:tcPr>
          <w:p w:rsidR="00000000" w:rsidRDefault="00000000">
            <w:pPr>
              <w:jc w:val="center"/>
              <w:rPr>
                <w:sz w:val="20"/>
              </w:rPr>
            </w:pPr>
            <w:r>
              <w:rPr>
                <w:sz w:val="20"/>
              </w:rPr>
              <w:t>Тип района</w:t>
            </w:r>
          </w:p>
        </w:tc>
        <w:tc>
          <w:tcPr>
            <w:tcW w:w="1595" w:type="dxa"/>
            <w:tcBorders>
              <w:bottom w:val="nil"/>
            </w:tcBorders>
          </w:tcPr>
          <w:p w:rsidR="00000000" w:rsidRDefault="00000000">
            <w:pPr>
              <w:jc w:val="center"/>
              <w:rPr>
                <w:sz w:val="20"/>
              </w:rPr>
            </w:pPr>
            <w:r>
              <w:rPr>
                <w:sz w:val="20"/>
              </w:rPr>
              <w:t>Неонатальная смертность</w:t>
            </w:r>
          </w:p>
        </w:tc>
        <w:tc>
          <w:tcPr>
            <w:tcW w:w="1595" w:type="dxa"/>
            <w:tcBorders>
              <w:bottom w:val="nil"/>
            </w:tcBorders>
          </w:tcPr>
          <w:p w:rsidR="00000000" w:rsidRDefault="00000000">
            <w:pPr>
              <w:jc w:val="center"/>
              <w:rPr>
                <w:sz w:val="20"/>
              </w:rPr>
            </w:pPr>
            <w:r>
              <w:rPr>
                <w:sz w:val="20"/>
              </w:rPr>
              <w:t>Постнатальная смертность</w:t>
            </w:r>
          </w:p>
        </w:tc>
        <w:tc>
          <w:tcPr>
            <w:tcW w:w="1595" w:type="dxa"/>
            <w:tcBorders>
              <w:bottom w:val="nil"/>
            </w:tcBorders>
          </w:tcPr>
          <w:p w:rsidR="00000000" w:rsidRDefault="00000000">
            <w:pPr>
              <w:jc w:val="center"/>
              <w:rPr>
                <w:sz w:val="20"/>
              </w:rPr>
            </w:pPr>
            <w:r>
              <w:rPr>
                <w:sz w:val="20"/>
              </w:rPr>
              <w:t>Младенческая смертность</w:t>
            </w:r>
          </w:p>
        </w:tc>
        <w:tc>
          <w:tcPr>
            <w:tcW w:w="1595" w:type="dxa"/>
            <w:tcBorders>
              <w:bottom w:val="nil"/>
            </w:tcBorders>
          </w:tcPr>
          <w:p w:rsidR="00000000" w:rsidRDefault="00000000">
            <w:pPr>
              <w:jc w:val="center"/>
              <w:rPr>
                <w:sz w:val="20"/>
              </w:rPr>
            </w:pPr>
            <w:r>
              <w:rPr>
                <w:sz w:val="20"/>
              </w:rPr>
              <w:t>Детская смертность</w:t>
            </w:r>
          </w:p>
        </w:tc>
        <w:tc>
          <w:tcPr>
            <w:tcW w:w="1595" w:type="dxa"/>
            <w:tcBorders>
              <w:bottom w:val="nil"/>
            </w:tcBorders>
          </w:tcPr>
          <w:p w:rsidR="00000000" w:rsidRDefault="00000000">
            <w:pPr>
              <w:jc w:val="center"/>
              <w:rPr>
                <w:sz w:val="20"/>
              </w:rPr>
            </w:pPr>
            <w:r>
              <w:rPr>
                <w:sz w:val="20"/>
              </w:rPr>
              <w:t>Общая детская смертность</w:t>
            </w:r>
          </w:p>
        </w:tc>
      </w:tr>
      <w:tr w:rsidR="00000000">
        <w:tblPrEx>
          <w:tblCellMar>
            <w:top w:w="0" w:type="dxa"/>
            <w:bottom w:w="0" w:type="dxa"/>
          </w:tblCellMar>
        </w:tblPrEx>
        <w:tc>
          <w:tcPr>
            <w:tcW w:w="1595" w:type="dxa"/>
            <w:tcBorders>
              <w:bottom w:val="nil"/>
            </w:tcBorders>
          </w:tcPr>
          <w:p w:rsidR="00000000" w:rsidRDefault="00000000">
            <w:pPr>
              <w:rPr>
                <w:sz w:val="20"/>
              </w:rPr>
            </w:pPr>
            <w:r>
              <w:rPr>
                <w:sz w:val="20"/>
              </w:rPr>
              <w:t>Город</w:t>
            </w:r>
          </w:p>
        </w:tc>
        <w:tc>
          <w:tcPr>
            <w:tcW w:w="1595" w:type="dxa"/>
            <w:tcBorders>
              <w:bottom w:val="nil"/>
            </w:tcBorders>
          </w:tcPr>
          <w:p w:rsidR="00000000" w:rsidRDefault="00000000">
            <w:pPr>
              <w:jc w:val="center"/>
              <w:rPr>
                <w:sz w:val="20"/>
              </w:rPr>
            </w:pPr>
            <w:r>
              <w:rPr>
                <w:sz w:val="20"/>
              </w:rPr>
              <w:t>25</w:t>
            </w:r>
          </w:p>
        </w:tc>
        <w:tc>
          <w:tcPr>
            <w:tcW w:w="1595" w:type="dxa"/>
            <w:tcBorders>
              <w:bottom w:val="nil"/>
            </w:tcBorders>
          </w:tcPr>
          <w:p w:rsidR="00000000" w:rsidRDefault="00000000">
            <w:pPr>
              <w:jc w:val="center"/>
              <w:rPr>
                <w:sz w:val="20"/>
              </w:rPr>
            </w:pPr>
            <w:r>
              <w:rPr>
                <w:sz w:val="20"/>
              </w:rPr>
              <w:t>25</w:t>
            </w:r>
          </w:p>
        </w:tc>
        <w:tc>
          <w:tcPr>
            <w:tcW w:w="1595" w:type="dxa"/>
            <w:tcBorders>
              <w:bottom w:val="nil"/>
            </w:tcBorders>
          </w:tcPr>
          <w:p w:rsidR="00000000" w:rsidRDefault="00000000">
            <w:pPr>
              <w:jc w:val="center"/>
              <w:rPr>
                <w:sz w:val="20"/>
              </w:rPr>
            </w:pPr>
            <w:r>
              <w:rPr>
                <w:sz w:val="20"/>
              </w:rPr>
              <w:t>50</w:t>
            </w:r>
          </w:p>
        </w:tc>
        <w:tc>
          <w:tcPr>
            <w:tcW w:w="1595" w:type="dxa"/>
            <w:tcBorders>
              <w:bottom w:val="nil"/>
            </w:tcBorders>
          </w:tcPr>
          <w:p w:rsidR="00000000" w:rsidRDefault="00000000">
            <w:pPr>
              <w:jc w:val="center"/>
              <w:rPr>
                <w:sz w:val="20"/>
              </w:rPr>
            </w:pPr>
            <w:r>
              <w:rPr>
                <w:sz w:val="20"/>
              </w:rPr>
              <w:t>17</w:t>
            </w:r>
          </w:p>
        </w:tc>
        <w:tc>
          <w:tcPr>
            <w:tcW w:w="1595" w:type="dxa"/>
            <w:tcBorders>
              <w:bottom w:val="nil"/>
            </w:tcBorders>
          </w:tcPr>
          <w:p w:rsidR="00000000" w:rsidRDefault="00000000">
            <w:pPr>
              <w:jc w:val="center"/>
              <w:rPr>
                <w:sz w:val="20"/>
              </w:rPr>
            </w:pPr>
            <w:r>
              <w:rPr>
                <w:sz w:val="20"/>
              </w:rPr>
              <w:t>66</w:t>
            </w:r>
          </w:p>
        </w:tc>
      </w:tr>
      <w:tr w:rsidR="00000000">
        <w:tblPrEx>
          <w:tblCellMar>
            <w:top w:w="0" w:type="dxa"/>
            <w:bottom w:w="0" w:type="dxa"/>
          </w:tblCellMar>
        </w:tblPrEx>
        <w:tc>
          <w:tcPr>
            <w:tcW w:w="1595" w:type="dxa"/>
            <w:tcBorders>
              <w:top w:val="nil"/>
              <w:bottom w:val="nil"/>
            </w:tcBorders>
          </w:tcPr>
          <w:p w:rsidR="00000000" w:rsidRDefault="00000000">
            <w:pPr>
              <w:rPr>
                <w:sz w:val="20"/>
              </w:rPr>
            </w:pPr>
            <w:r>
              <w:rPr>
                <w:sz w:val="20"/>
              </w:rPr>
              <w:t>Село</w:t>
            </w:r>
          </w:p>
        </w:tc>
        <w:tc>
          <w:tcPr>
            <w:tcW w:w="1595" w:type="dxa"/>
            <w:tcBorders>
              <w:top w:val="nil"/>
              <w:bottom w:val="nil"/>
            </w:tcBorders>
          </w:tcPr>
          <w:p w:rsidR="00000000" w:rsidRDefault="00000000">
            <w:pPr>
              <w:jc w:val="center"/>
              <w:rPr>
                <w:sz w:val="20"/>
              </w:rPr>
            </w:pPr>
            <w:r>
              <w:rPr>
                <w:sz w:val="20"/>
              </w:rPr>
              <w:t>46</w:t>
            </w:r>
          </w:p>
        </w:tc>
        <w:tc>
          <w:tcPr>
            <w:tcW w:w="1595" w:type="dxa"/>
            <w:tcBorders>
              <w:top w:val="nil"/>
              <w:bottom w:val="nil"/>
            </w:tcBorders>
          </w:tcPr>
          <w:p w:rsidR="00000000" w:rsidRDefault="00000000">
            <w:pPr>
              <w:jc w:val="center"/>
              <w:rPr>
                <w:sz w:val="20"/>
              </w:rPr>
            </w:pPr>
            <w:r>
              <w:rPr>
                <w:sz w:val="20"/>
              </w:rPr>
              <w:t>45</w:t>
            </w:r>
          </w:p>
        </w:tc>
        <w:tc>
          <w:tcPr>
            <w:tcW w:w="1595" w:type="dxa"/>
            <w:tcBorders>
              <w:top w:val="nil"/>
              <w:bottom w:val="nil"/>
            </w:tcBorders>
          </w:tcPr>
          <w:p w:rsidR="00000000" w:rsidRDefault="00000000">
            <w:pPr>
              <w:jc w:val="center"/>
              <w:rPr>
                <w:sz w:val="20"/>
              </w:rPr>
            </w:pPr>
            <w:r>
              <w:rPr>
                <w:sz w:val="20"/>
              </w:rPr>
              <w:t>90</w:t>
            </w:r>
          </w:p>
        </w:tc>
        <w:tc>
          <w:tcPr>
            <w:tcW w:w="1595" w:type="dxa"/>
            <w:tcBorders>
              <w:top w:val="nil"/>
              <w:bottom w:val="nil"/>
            </w:tcBorders>
          </w:tcPr>
          <w:p w:rsidR="00000000" w:rsidRDefault="00000000">
            <w:pPr>
              <w:jc w:val="center"/>
              <w:rPr>
                <w:sz w:val="20"/>
              </w:rPr>
            </w:pPr>
            <w:r>
              <w:rPr>
                <w:sz w:val="20"/>
              </w:rPr>
              <w:t>38</w:t>
            </w:r>
          </w:p>
        </w:tc>
        <w:tc>
          <w:tcPr>
            <w:tcW w:w="1595" w:type="dxa"/>
            <w:tcBorders>
              <w:top w:val="nil"/>
              <w:bottom w:val="nil"/>
            </w:tcBorders>
          </w:tcPr>
          <w:p w:rsidR="00000000" w:rsidRDefault="00000000">
            <w:pPr>
              <w:jc w:val="center"/>
              <w:rPr>
                <w:sz w:val="20"/>
              </w:rPr>
            </w:pPr>
            <w:r>
              <w:rPr>
                <w:sz w:val="20"/>
              </w:rPr>
              <w:t>125</w:t>
            </w:r>
          </w:p>
        </w:tc>
      </w:tr>
      <w:tr w:rsidR="00000000">
        <w:tblPrEx>
          <w:tblCellMar>
            <w:top w:w="0" w:type="dxa"/>
            <w:bottom w:w="0" w:type="dxa"/>
          </w:tblCellMar>
        </w:tblPrEx>
        <w:tc>
          <w:tcPr>
            <w:tcW w:w="1595" w:type="dxa"/>
            <w:tcBorders>
              <w:top w:val="single" w:sz="4" w:space="0" w:color="auto"/>
              <w:left w:val="single" w:sz="4" w:space="0" w:color="auto"/>
              <w:bottom w:val="single" w:sz="4" w:space="0" w:color="auto"/>
            </w:tcBorders>
          </w:tcPr>
          <w:p w:rsidR="00000000" w:rsidRDefault="00000000">
            <w:pPr>
              <w:rPr>
                <w:sz w:val="20"/>
              </w:rPr>
            </w:pPr>
            <w:r>
              <w:rPr>
                <w:sz w:val="20"/>
              </w:rPr>
              <w:t>Рельеф местности</w:t>
            </w:r>
          </w:p>
        </w:tc>
        <w:tc>
          <w:tcPr>
            <w:tcW w:w="1595" w:type="dxa"/>
            <w:tcBorders>
              <w:top w:val="single" w:sz="4" w:space="0" w:color="auto"/>
              <w:bottom w:val="single" w:sz="4" w:space="0" w:color="auto"/>
            </w:tcBorders>
          </w:tcPr>
          <w:p w:rsidR="00000000" w:rsidRDefault="00000000">
            <w:pPr>
              <w:jc w:val="center"/>
              <w:rPr>
                <w:sz w:val="20"/>
              </w:rPr>
            </w:pPr>
            <w:r>
              <w:rPr>
                <w:sz w:val="20"/>
              </w:rPr>
              <w:t>Неонатальная смертность</w:t>
            </w:r>
          </w:p>
        </w:tc>
        <w:tc>
          <w:tcPr>
            <w:tcW w:w="1595" w:type="dxa"/>
            <w:tcBorders>
              <w:top w:val="single" w:sz="4" w:space="0" w:color="auto"/>
              <w:bottom w:val="single" w:sz="4" w:space="0" w:color="auto"/>
            </w:tcBorders>
          </w:tcPr>
          <w:p w:rsidR="00000000" w:rsidRDefault="00000000">
            <w:pPr>
              <w:jc w:val="center"/>
              <w:rPr>
                <w:sz w:val="20"/>
              </w:rPr>
            </w:pPr>
            <w:r>
              <w:rPr>
                <w:sz w:val="20"/>
              </w:rPr>
              <w:t>Постнатальная смертность</w:t>
            </w:r>
          </w:p>
        </w:tc>
        <w:tc>
          <w:tcPr>
            <w:tcW w:w="1595" w:type="dxa"/>
            <w:tcBorders>
              <w:top w:val="single" w:sz="4" w:space="0" w:color="auto"/>
              <w:bottom w:val="single" w:sz="4" w:space="0" w:color="auto"/>
            </w:tcBorders>
          </w:tcPr>
          <w:p w:rsidR="00000000" w:rsidRDefault="00000000">
            <w:pPr>
              <w:jc w:val="center"/>
              <w:rPr>
                <w:sz w:val="20"/>
              </w:rPr>
            </w:pPr>
            <w:r>
              <w:rPr>
                <w:sz w:val="20"/>
              </w:rPr>
              <w:t>Младенческая смертность</w:t>
            </w:r>
          </w:p>
        </w:tc>
        <w:tc>
          <w:tcPr>
            <w:tcW w:w="1595" w:type="dxa"/>
            <w:tcBorders>
              <w:top w:val="single" w:sz="4" w:space="0" w:color="auto"/>
              <w:bottom w:val="single" w:sz="4" w:space="0" w:color="auto"/>
            </w:tcBorders>
          </w:tcPr>
          <w:p w:rsidR="00000000" w:rsidRDefault="00000000">
            <w:pPr>
              <w:jc w:val="center"/>
              <w:rPr>
                <w:sz w:val="20"/>
              </w:rPr>
            </w:pPr>
            <w:r>
              <w:rPr>
                <w:sz w:val="20"/>
              </w:rPr>
              <w:t>Детская смертность</w:t>
            </w:r>
          </w:p>
        </w:tc>
        <w:tc>
          <w:tcPr>
            <w:tcW w:w="1595" w:type="dxa"/>
            <w:tcBorders>
              <w:top w:val="single" w:sz="4" w:space="0" w:color="auto"/>
              <w:bottom w:val="single" w:sz="4" w:space="0" w:color="auto"/>
              <w:right w:val="single" w:sz="4" w:space="0" w:color="auto"/>
            </w:tcBorders>
          </w:tcPr>
          <w:p w:rsidR="00000000" w:rsidRDefault="00000000">
            <w:pPr>
              <w:jc w:val="center"/>
              <w:rPr>
                <w:sz w:val="20"/>
              </w:rPr>
            </w:pPr>
            <w:r>
              <w:rPr>
                <w:sz w:val="20"/>
              </w:rPr>
              <w:t>Общая детская смертность</w:t>
            </w:r>
          </w:p>
        </w:tc>
      </w:tr>
      <w:tr w:rsidR="00000000">
        <w:tblPrEx>
          <w:tblCellMar>
            <w:top w:w="0" w:type="dxa"/>
            <w:bottom w:w="0" w:type="dxa"/>
          </w:tblCellMar>
        </w:tblPrEx>
        <w:tc>
          <w:tcPr>
            <w:tcW w:w="1595" w:type="dxa"/>
            <w:tcBorders>
              <w:top w:val="nil"/>
              <w:bottom w:val="nil"/>
            </w:tcBorders>
          </w:tcPr>
          <w:p w:rsidR="00000000" w:rsidRDefault="00000000">
            <w:pPr>
              <w:rPr>
                <w:sz w:val="20"/>
              </w:rPr>
            </w:pPr>
            <w:r>
              <w:rPr>
                <w:sz w:val="20"/>
              </w:rPr>
              <w:t>Плоскогорье</w:t>
            </w:r>
          </w:p>
        </w:tc>
        <w:tc>
          <w:tcPr>
            <w:tcW w:w="1595" w:type="dxa"/>
            <w:tcBorders>
              <w:top w:val="nil"/>
              <w:bottom w:val="nil"/>
            </w:tcBorders>
          </w:tcPr>
          <w:p w:rsidR="00000000" w:rsidRDefault="00000000">
            <w:pPr>
              <w:jc w:val="center"/>
              <w:rPr>
                <w:sz w:val="20"/>
              </w:rPr>
            </w:pPr>
            <w:r>
              <w:rPr>
                <w:sz w:val="20"/>
              </w:rPr>
              <w:t>44</w:t>
            </w:r>
          </w:p>
        </w:tc>
        <w:tc>
          <w:tcPr>
            <w:tcW w:w="1595" w:type="dxa"/>
            <w:tcBorders>
              <w:top w:val="nil"/>
              <w:bottom w:val="nil"/>
            </w:tcBorders>
          </w:tcPr>
          <w:p w:rsidR="00000000" w:rsidRDefault="00000000">
            <w:pPr>
              <w:jc w:val="center"/>
              <w:rPr>
                <w:sz w:val="20"/>
              </w:rPr>
            </w:pPr>
            <w:r>
              <w:rPr>
                <w:sz w:val="20"/>
              </w:rPr>
              <w:t>38</w:t>
            </w:r>
          </w:p>
        </w:tc>
        <w:tc>
          <w:tcPr>
            <w:tcW w:w="1595" w:type="dxa"/>
            <w:tcBorders>
              <w:top w:val="nil"/>
              <w:bottom w:val="nil"/>
            </w:tcBorders>
          </w:tcPr>
          <w:p w:rsidR="00000000" w:rsidRDefault="00000000">
            <w:pPr>
              <w:jc w:val="center"/>
              <w:rPr>
                <w:sz w:val="20"/>
              </w:rPr>
            </w:pPr>
            <w:r>
              <w:rPr>
                <w:sz w:val="20"/>
              </w:rPr>
              <w:t>82</w:t>
            </w:r>
          </w:p>
        </w:tc>
        <w:tc>
          <w:tcPr>
            <w:tcW w:w="1595" w:type="dxa"/>
            <w:tcBorders>
              <w:top w:val="nil"/>
              <w:bottom w:val="nil"/>
            </w:tcBorders>
          </w:tcPr>
          <w:p w:rsidR="00000000" w:rsidRDefault="00000000">
            <w:pPr>
              <w:jc w:val="center"/>
              <w:rPr>
                <w:sz w:val="20"/>
              </w:rPr>
            </w:pPr>
            <w:r>
              <w:rPr>
                <w:sz w:val="20"/>
              </w:rPr>
              <w:t>32</w:t>
            </w:r>
          </w:p>
        </w:tc>
        <w:tc>
          <w:tcPr>
            <w:tcW w:w="1595" w:type="dxa"/>
            <w:tcBorders>
              <w:top w:val="nil"/>
              <w:bottom w:val="nil"/>
            </w:tcBorders>
          </w:tcPr>
          <w:p w:rsidR="00000000" w:rsidRDefault="00000000">
            <w:pPr>
              <w:jc w:val="center"/>
              <w:rPr>
                <w:sz w:val="20"/>
              </w:rPr>
            </w:pPr>
            <w:r>
              <w:rPr>
                <w:sz w:val="20"/>
              </w:rPr>
              <w:t>111</w:t>
            </w:r>
          </w:p>
        </w:tc>
      </w:tr>
      <w:tr w:rsidR="00000000">
        <w:tblPrEx>
          <w:tblCellMar>
            <w:top w:w="0" w:type="dxa"/>
            <w:bottom w:w="0" w:type="dxa"/>
          </w:tblCellMar>
        </w:tblPrEx>
        <w:tc>
          <w:tcPr>
            <w:tcW w:w="1595" w:type="dxa"/>
            <w:tcBorders>
              <w:top w:val="nil"/>
              <w:bottom w:val="nil"/>
            </w:tcBorders>
          </w:tcPr>
          <w:p w:rsidR="00000000" w:rsidRDefault="00000000">
            <w:pPr>
              <w:rPr>
                <w:sz w:val="20"/>
              </w:rPr>
            </w:pPr>
            <w:r>
              <w:rPr>
                <w:sz w:val="20"/>
              </w:rPr>
              <w:t>Предгорье</w:t>
            </w:r>
          </w:p>
        </w:tc>
        <w:tc>
          <w:tcPr>
            <w:tcW w:w="1595" w:type="dxa"/>
            <w:tcBorders>
              <w:top w:val="nil"/>
              <w:bottom w:val="nil"/>
            </w:tcBorders>
          </w:tcPr>
          <w:p w:rsidR="00000000" w:rsidRDefault="00000000">
            <w:pPr>
              <w:jc w:val="center"/>
              <w:rPr>
                <w:sz w:val="20"/>
              </w:rPr>
            </w:pPr>
            <w:r>
              <w:rPr>
                <w:sz w:val="20"/>
              </w:rPr>
              <w:t>33</w:t>
            </w:r>
          </w:p>
        </w:tc>
        <w:tc>
          <w:tcPr>
            <w:tcW w:w="1595" w:type="dxa"/>
            <w:tcBorders>
              <w:top w:val="nil"/>
              <w:bottom w:val="nil"/>
            </w:tcBorders>
          </w:tcPr>
          <w:p w:rsidR="00000000" w:rsidRDefault="00000000">
            <w:pPr>
              <w:jc w:val="center"/>
              <w:rPr>
                <w:sz w:val="20"/>
              </w:rPr>
            </w:pPr>
            <w:r>
              <w:rPr>
                <w:sz w:val="20"/>
              </w:rPr>
              <w:t>28</w:t>
            </w:r>
          </w:p>
        </w:tc>
        <w:tc>
          <w:tcPr>
            <w:tcW w:w="1595" w:type="dxa"/>
            <w:tcBorders>
              <w:top w:val="nil"/>
              <w:bottom w:val="nil"/>
            </w:tcBorders>
          </w:tcPr>
          <w:p w:rsidR="00000000" w:rsidRDefault="00000000">
            <w:pPr>
              <w:jc w:val="center"/>
              <w:rPr>
                <w:sz w:val="20"/>
              </w:rPr>
            </w:pPr>
            <w:r>
              <w:rPr>
                <w:sz w:val="20"/>
              </w:rPr>
              <w:t>61</w:t>
            </w:r>
          </w:p>
        </w:tc>
        <w:tc>
          <w:tcPr>
            <w:tcW w:w="1595" w:type="dxa"/>
            <w:tcBorders>
              <w:top w:val="nil"/>
              <w:bottom w:val="nil"/>
            </w:tcBorders>
          </w:tcPr>
          <w:p w:rsidR="00000000" w:rsidRDefault="00000000">
            <w:pPr>
              <w:jc w:val="center"/>
              <w:rPr>
                <w:sz w:val="20"/>
              </w:rPr>
            </w:pPr>
            <w:r>
              <w:rPr>
                <w:sz w:val="20"/>
              </w:rPr>
              <w:t>32</w:t>
            </w:r>
          </w:p>
        </w:tc>
        <w:tc>
          <w:tcPr>
            <w:tcW w:w="1595" w:type="dxa"/>
            <w:tcBorders>
              <w:top w:val="nil"/>
              <w:bottom w:val="nil"/>
            </w:tcBorders>
          </w:tcPr>
          <w:p w:rsidR="00000000" w:rsidRDefault="00000000">
            <w:pPr>
              <w:jc w:val="center"/>
              <w:rPr>
                <w:sz w:val="20"/>
              </w:rPr>
            </w:pPr>
            <w:r>
              <w:rPr>
                <w:sz w:val="20"/>
              </w:rPr>
              <w:t>91</w:t>
            </w:r>
          </w:p>
        </w:tc>
      </w:tr>
      <w:tr w:rsidR="00000000">
        <w:tblPrEx>
          <w:tblCellMar>
            <w:top w:w="0" w:type="dxa"/>
            <w:bottom w:w="0" w:type="dxa"/>
          </w:tblCellMar>
        </w:tblPrEx>
        <w:tc>
          <w:tcPr>
            <w:tcW w:w="1595" w:type="dxa"/>
            <w:tcBorders>
              <w:top w:val="nil"/>
            </w:tcBorders>
          </w:tcPr>
          <w:p w:rsidR="00000000" w:rsidRDefault="00000000">
            <w:pPr>
              <w:rPr>
                <w:sz w:val="20"/>
              </w:rPr>
            </w:pPr>
            <w:r>
              <w:rPr>
                <w:sz w:val="20"/>
              </w:rPr>
              <w:t>Равнина</w:t>
            </w:r>
          </w:p>
        </w:tc>
        <w:tc>
          <w:tcPr>
            <w:tcW w:w="1595" w:type="dxa"/>
            <w:tcBorders>
              <w:top w:val="nil"/>
            </w:tcBorders>
          </w:tcPr>
          <w:p w:rsidR="00000000" w:rsidRDefault="00000000">
            <w:pPr>
              <w:jc w:val="center"/>
              <w:rPr>
                <w:sz w:val="20"/>
              </w:rPr>
            </w:pPr>
            <w:r>
              <w:rPr>
                <w:sz w:val="20"/>
              </w:rPr>
              <w:t>20</w:t>
            </w:r>
          </w:p>
        </w:tc>
        <w:tc>
          <w:tcPr>
            <w:tcW w:w="1595" w:type="dxa"/>
            <w:tcBorders>
              <w:top w:val="nil"/>
            </w:tcBorders>
          </w:tcPr>
          <w:p w:rsidR="00000000" w:rsidRDefault="00000000">
            <w:pPr>
              <w:jc w:val="center"/>
              <w:rPr>
                <w:sz w:val="20"/>
              </w:rPr>
            </w:pPr>
            <w:r>
              <w:rPr>
                <w:sz w:val="20"/>
              </w:rPr>
              <w:t>34</w:t>
            </w:r>
          </w:p>
        </w:tc>
        <w:tc>
          <w:tcPr>
            <w:tcW w:w="1595" w:type="dxa"/>
            <w:tcBorders>
              <w:top w:val="nil"/>
            </w:tcBorders>
          </w:tcPr>
          <w:p w:rsidR="00000000" w:rsidRDefault="00000000">
            <w:pPr>
              <w:jc w:val="center"/>
              <w:rPr>
                <w:sz w:val="20"/>
              </w:rPr>
            </w:pPr>
            <w:r>
              <w:rPr>
                <w:sz w:val="20"/>
              </w:rPr>
              <w:t>53</w:t>
            </w:r>
          </w:p>
        </w:tc>
        <w:tc>
          <w:tcPr>
            <w:tcW w:w="1595" w:type="dxa"/>
            <w:tcBorders>
              <w:top w:val="nil"/>
            </w:tcBorders>
          </w:tcPr>
          <w:p w:rsidR="00000000" w:rsidRDefault="00000000">
            <w:pPr>
              <w:jc w:val="center"/>
              <w:rPr>
                <w:sz w:val="20"/>
              </w:rPr>
            </w:pPr>
            <w:r>
              <w:rPr>
                <w:sz w:val="20"/>
              </w:rPr>
              <w:t>12</w:t>
            </w:r>
          </w:p>
        </w:tc>
        <w:tc>
          <w:tcPr>
            <w:tcW w:w="1595" w:type="dxa"/>
            <w:tcBorders>
              <w:top w:val="nil"/>
            </w:tcBorders>
          </w:tcPr>
          <w:p w:rsidR="00000000" w:rsidRDefault="00000000">
            <w:pPr>
              <w:jc w:val="center"/>
              <w:rPr>
                <w:sz w:val="20"/>
              </w:rPr>
            </w:pPr>
            <w:r>
              <w:rPr>
                <w:sz w:val="20"/>
              </w:rPr>
              <w:t>65</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НДМО.</w:t>
      </w:r>
    </w:p>
    <w:p w:rsidR="00000000" w:rsidRDefault="00000000">
      <w:pPr>
        <w:pStyle w:val="FootnoteText"/>
        <w:spacing w:line="288" w:lineRule="auto"/>
      </w:pPr>
    </w:p>
    <w:p w:rsidR="00000000" w:rsidRDefault="00000000">
      <w:pPr>
        <w:pStyle w:val="FootnoteText"/>
        <w:keepNext/>
        <w:spacing w:line="288" w:lineRule="auto"/>
      </w:pPr>
      <w:r>
        <w:rPr>
          <w:u w:val="single"/>
        </w:rPr>
        <w:t>Пункт 4 b</w:t>
      </w:r>
      <w:r>
        <w:t>)</w:t>
      </w:r>
    </w:p>
    <w:p w:rsidR="00000000" w:rsidRDefault="00000000">
      <w:pPr>
        <w:pStyle w:val="FootnoteText"/>
        <w:keepNext/>
        <w:spacing w:line="288" w:lineRule="auto"/>
      </w:pPr>
    </w:p>
    <w:p w:rsidR="00000000" w:rsidRDefault="00000000">
      <w:pPr>
        <w:pStyle w:val="FootnoteText"/>
        <w:spacing w:line="288" w:lineRule="auto"/>
      </w:pPr>
      <w:r>
        <w:t>387.</w:t>
      </w:r>
      <w:r>
        <w:tab/>
        <w:t>75% семей имеют доступ в той или иной форме к источникам безопасной питьевой воды (водопровод в доме, водопроводная колонка во дворе дома, у соседей или общинная система водоснабжения).  87% жилищ в городах подсоединены к водопроводным системам.  В сельской местности 44% населения пользуется питьевой водой из водопроводных колонок, и только 6% жилищ подсоединены к водопроводным системам.</w:t>
      </w:r>
    </w:p>
    <w:p w:rsidR="00000000" w:rsidRDefault="00000000">
      <w:pPr>
        <w:pStyle w:val="FootnoteText"/>
        <w:spacing w:line="288" w:lineRule="auto"/>
      </w:pPr>
    </w:p>
    <w:p w:rsidR="00000000" w:rsidRDefault="00000000">
      <w:pPr>
        <w:pStyle w:val="FootnoteText"/>
        <w:spacing w:line="288" w:lineRule="auto"/>
      </w:pPr>
      <w:r>
        <w:t>388.</w:t>
      </w:r>
      <w:r>
        <w:tab/>
        <w:t>Что касается доступа населения к питьевой воде, то в таблице 1 приложения к настоящему докладу приводится информация, из которой явствует, что, согласно переписи населения 1992 года, общий охват населения Боливии системами снабжения питьевой водой составляет 58%.  К коммунальным системам водоснабжения в городах подключено 84% жилищ, а в сельской местности – только 18%.  По данным НОИ в 1997 году общий охват населения водоснабжением достиг 76%, при том что на селе доступ к системам водоснабжения имеет 32% населения.</w:t>
      </w:r>
    </w:p>
    <w:p w:rsidR="00000000" w:rsidRDefault="00000000">
      <w:pPr>
        <w:pStyle w:val="FootnoteText"/>
        <w:spacing w:line="288" w:lineRule="auto"/>
      </w:pPr>
    </w:p>
    <w:p w:rsidR="00000000" w:rsidRDefault="00000000">
      <w:pPr>
        <w:pStyle w:val="FootnoteText"/>
        <w:spacing w:line="288" w:lineRule="auto"/>
      </w:pPr>
      <w:r>
        <w:t>389.</w:t>
      </w:r>
      <w:r>
        <w:tab/>
        <w:t>В соответствии с планами Управления базового социального обслуживания в рамках осуществляемой нынешним правительством политики предполагается довести до 50% охват сельского населения системами водоснабжения;  уделение приоритетного внимания данной категории населения объясняется тем, что сельские жители находятся в наиболее уязвимом положении и в наибольшей степени страдают от дефицита услуг.  В настоящее время осуществляется Базовая санитарно-техническая программа для села (БСТПС) и разрабатывается Программа по созданию водопроводных и канализационных систем в небольших муниципалитетах (ПРОАГУАС), осуществление которой будет финансироваться из фондов МБР.  В центральных городах департаментов и других менее крупных городах разрабатываются и/или осуществляются при финансовом содействии кредитной программы "КФВ" (Германия) и МБР программы реконструкции и расширения водопроводных и канализационных систем.</w:t>
      </w:r>
    </w:p>
    <w:p w:rsidR="00000000" w:rsidRDefault="00000000">
      <w:pPr>
        <w:pStyle w:val="FootnoteText"/>
        <w:spacing w:line="288" w:lineRule="auto"/>
      </w:pPr>
    </w:p>
    <w:p w:rsidR="00000000" w:rsidRDefault="00000000">
      <w:pPr>
        <w:pStyle w:val="FootnoteText"/>
        <w:spacing w:line="288" w:lineRule="auto"/>
      </w:pPr>
      <w:r>
        <w:rPr>
          <w:u w:val="single"/>
        </w:rPr>
        <w:t>Пункт 4 c</w:t>
      </w:r>
      <w:r>
        <w:t>)</w:t>
      </w:r>
    </w:p>
    <w:p w:rsidR="00000000" w:rsidRDefault="00000000">
      <w:pPr>
        <w:pStyle w:val="FootnoteText"/>
        <w:spacing w:line="288" w:lineRule="auto"/>
      </w:pPr>
    </w:p>
    <w:p w:rsidR="00000000" w:rsidRDefault="00000000">
      <w:pPr>
        <w:pStyle w:val="FootnoteText"/>
        <w:spacing w:line="288" w:lineRule="auto"/>
      </w:pPr>
      <w:r>
        <w:t>390.</w:t>
      </w:r>
      <w:r>
        <w:tab/>
        <w:t>Обеспечение адекватного доступа населения к базовым системам коммунального обслуживания, включая, в частности, водоснабжение, снабжение электроэнергией и наличие в жилищах санитарно-технического оборудования, способствует повышению качества жизни всего населения и в первую очередь детей.</w:t>
      </w:r>
    </w:p>
    <w:p w:rsidR="00000000" w:rsidRDefault="00000000">
      <w:pPr>
        <w:pStyle w:val="FootnoteText"/>
        <w:spacing w:line="288" w:lineRule="auto"/>
      </w:pPr>
    </w:p>
    <w:p w:rsidR="00000000" w:rsidRDefault="00000000">
      <w:pPr>
        <w:pStyle w:val="FootnoteText"/>
        <w:spacing w:line="288" w:lineRule="auto"/>
      </w:pPr>
      <w:r>
        <w:t>391.</w:t>
      </w:r>
      <w:r>
        <w:tab/>
        <w:t>65% домашних хозяйств обеспечено санитарно-техническим оборудованием эвакуационного (канализационная система или антисептический колодец – 29%) или неэвакуационного действия (обыкновенная выгребная яма – 36%).  45% городских жилищ снабжены санитарно-техническим оборудованием эвакуационного действия.  В сельской местности, по причине отсутствия соответствующих коммунальных систем, наиболее распространенным способом удаления экскрементов является их использование для унавоживания полей и огородов (65% домашних хозяйств).</w:t>
      </w:r>
    </w:p>
    <w:p w:rsidR="00000000" w:rsidRDefault="00000000">
      <w:pPr>
        <w:pStyle w:val="FootnoteText"/>
        <w:spacing w:line="288" w:lineRule="auto"/>
      </w:pPr>
    </w:p>
    <w:p w:rsidR="00000000" w:rsidRDefault="00000000">
      <w:pPr>
        <w:pStyle w:val="FootnoteText"/>
        <w:spacing w:line="288" w:lineRule="auto"/>
      </w:pPr>
      <w:r>
        <w:t>392.</w:t>
      </w:r>
      <w:r>
        <w:tab/>
        <w:t>Что касается доступа населения к адекватным системам удаления экскрементов, то в 1992 году в 44% боливийских домашних хозяйств удаление экскрементов обеспечивалось через санитарно-технические канализационные системы и неканализационные системы (выгребные ямы).  Соответствующий уровень охвата составлял на селе 19%, а в городах – 64%.  По данным обследования НСИ в 1997 году общий уровень обеспеченности боливийских жилищ санитарно-техническим оборудованием составлял 63% (на селе – 20%).</w:t>
      </w:r>
    </w:p>
    <w:p w:rsidR="00000000" w:rsidRDefault="00000000">
      <w:pPr>
        <w:pStyle w:val="FootnoteText"/>
        <w:spacing w:line="288" w:lineRule="auto"/>
      </w:pPr>
    </w:p>
    <w:p w:rsidR="00000000" w:rsidRDefault="00000000">
      <w:pPr>
        <w:pStyle w:val="FootnoteText"/>
        <w:spacing w:line="288" w:lineRule="auto"/>
      </w:pPr>
      <w:r>
        <w:t>393.</w:t>
      </w:r>
      <w:r>
        <w:tab/>
        <w:t xml:space="preserve">Опираясь на программу ПРОАГУАС, нынешнее правительство надеется довести этот показатель в сельских районах до 50%. </w:t>
      </w:r>
    </w:p>
    <w:p w:rsidR="00000000" w:rsidRDefault="00000000">
      <w:pPr>
        <w:pStyle w:val="FootnoteText"/>
        <w:spacing w:line="288" w:lineRule="auto"/>
      </w:pPr>
    </w:p>
    <w:p w:rsidR="00000000" w:rsidRDefault="00000000">
      <w:pPr>
        <w:pStyle w:val="FootnoteText"/>
        <w:spacing w:line="288" w:lineRule="auto"/>
      </w:pPr>
      <w:r>
        <w:rPr>
          <w:u w:val="single"/>
        </w:rPr>
        <w:t>Пункт 4 d</w:t>
      </w:r>
      <w:r>
        <w:t>)</w:t>
      </w:r>
    </w:p>
    <w:p w:rsidR="00000000" w:rsidRDefault="00000000">
      <w:pPr>
        <w:pStyle w:val="FootnoteText"/>
        <w:spacing w:line="288" w:lineRule="auto"/>
      </w:pPr>
    </w:p>
    <w:p w:rsidR="00000000" w:rsidRDefault="00000000">
      <w:pPr>
        <w:pStyle w:val="FootnoteText"/>
        <w:spacing w:line="288" w:lineRule="auto"/>
      </w:pPr>
      <w:r>
        <w:t>394.</w:t>
      </w:r>
      <w:r>
        <w:tab/>
        <w:t>В городских районах равнинной части страны (в особенности в Тарихе и Санта-Крусе) и с поправкой на разницу в показателях между мальчиками и девочками общий охват программами вакцинации превышает средний уровень по стране, который составляет 47%.  Согласно официальным данным, в Тарихе и Санта-Крусе программами вакцинации охвачено около 60% детей, тогда как в других департаментах, за исключением Бени-Пандо (28%) и Альто (36%), этот показатель колеблется в пределах 40</w:t>
      </w:r>
      <w:r>
        <w:noBreakHyphen/>
        <w:t>50%.</w:t>
      </w:r>
    </w:p>
    <w:p w:rsidR="00000000" w:rsidRDefault="00000000">
      <w:pPr>
        <w:pStyle w:val="FootnoteText"/>
        <w:spacing w:line="288" w:lineRule="auto"/>
      </w:pPr>
    </w:p>
    <w:p w:rsidR="00000000" w:rsidRDefault="00000000">
      <w:pPr>
        <w:pStyle w:val="FootnoteText"/>
        <w:spacing w:line="288" w:lineRule="auto"/>
      </w:pPr>
      <w:r>
        <w:t>395.</w:t>
      </w:r>
      <w:r>
        <w:tab/>
        <w:t>Охват программами вакцинации зависит от социального положения семей и уровня благосостояния муниципалитетов.  Несмотря на отсутствие точных данных в разбивке по уровню образования матерей, можно отметить, что по категории грамотных матерей наиболее низкий показатель уровня вакцинации наблюдается среди детей, матери которых имеют начальное образование (36%).  По категории неграмотных матерей (60% детей) уровень охваченных вакцинацией детей составляет менее 26%.  В некоторых департаментах доля охвата программами вакцинации третьего уровня сокращается наполовину:  речь идет в первую очередь о департаментах Оруро (с 49% до 21%), Санта-Крус (с 61% до 33%), Кочабамба (с 38% до 18%) и Ла-Пас (с 42% до 22%).</w:t>
      </w:r>
    </w:p>
    <w:p w:rsidR="00000000" w:rsidRDefault="00000000">
      <w:pPr>
        <w:pStyle w:val="FootnoteText"/>
        <w:spacing w:line="288" w:lineRule="auto"/>
      </w:pPr>
    </w:p>
    <w:p w:rsidR="00000000" w:rsidRDefault="00000000">
      <w:pPr>
        <w:pStyle w:val="FootnoteText"/>
        <w:keepNext/>
        <w:spacing w:line="288" w:lineRule="auto"/>
        <w:jc w:val="center"/>
        <w:rPr>
          <w:b/>
        </w:rPr>
      </w:pPr>
      <w:r>
        <w:rPr>
          <w:b/>
        </w:rPr>
        <w:t>Охват программами вакцинации в городе и на селе</w:t>
      </w:r>
    </w:p>
    <w:p w:rsidR="00000000" w:rsidRDefault="00000000">
      <w:pPr>
        <w:pStyle w:val="FootnoteText"/>
        <w:keepNext/>
        <w:spacing w:line="288" w:lineRule="auto"/>
        <w:jc w:val="center"/>
      </w:pPr>
    </w:p>
    <w:p w:rsidR="00000000" w:rsidRDefault="00000000">
      <w:pPr>
        <w:pStyle w:val="FootnoteText"/>
        <w:keepNext/>
        <w:spacing w:line="288" w:lineRule="auto"/>
        <w:jc w:val="center"/>
      </w:pPr>
      <w:r>
        <w:t>(в %)</w:t>
      </w:r>
    </w:p>
    <w:p w:rsidR="00000000" w:rsidRDefault="00000000">
      <w:pPr>
        <w:pStyle w:val="FootnoteText"/>
        <w:keepNext/>
        <w:spacing w:line="288" w:lineRule="auto"/>
        <w:jc w:val="center"/>
      </w:pPr>
    </w:p>
    <w:tbl>
      <w:tblPr>
        <w:tblW w:w="0" w:type="auto"/>
        <w:tblInd w:w="-106" w:type="dxa"/>
        <w:tblLayout w:type="fixed"/>
        <w:tblLook w:val="0000" w:firstRow="0" w:lastRow="0" w:firstColumn="0" w:lastColumn="0" w:noHBand="0" w:noVBand="0"/>
      </w:tblPr>
      <w:tblGrid>
        <w:gridCol w:w="1384"/>
        <w:gridCol w:w="992"/>
        <w:gridCol w:w="993"/>
        <w:gridCol w:w="1134"/>
        <w:gridCol w:w="992"/>
        <w:gridCol w:w="1134"/>
        <w:gridCol w:w="1134"/>
        <w:gridCol w:w="1134"/>
        <w:gridCol w:w="850"/>
      </w:tblGrid>
      <w:tr w:rsidR="00000000">
        <w:tblPrEx>
          <w:tblCellMar>
            <w:top w:w="0" w:type="dxa"/>
            <w:bottom w:w="0" w:type="dxa"/>
          </w:tblCellMar>
        </w:tblPrEx>
        <w:tc>
          <w:tcPr>
            <w:tcW w:w="1384" w:type="dxa"/>
          </w:tcPr>
          <w:p w:rsidR="00000000" w:rsidRDefault="00000000">
            <w:pPr>
              <w:pStyle w:val="FootnoteText"/>
              <w:keepNext/>
              <w:spacing w:line="288" w:lineRule="auto"/>
              <w:jc w:val="center"/>
              <w:rPr>
                <w:sz w:val="20"/>
              </w:rPr>
            </w:pPr>
            <w:r>
              <w:rPr>
                <w:sz w:val="20"/>
              </w:rPr>
              <w:t>ДЕТИ</w:t>
            </w:r>
          </w:p>
        </w:tc>
        <w:tc>
          <w:tcPr>
            <w:tcW w:w="992" w:type="dxa"/>
          </w:tcPr>
          <w:p w:rsidR="00000000" w:rsidRDefault="00000000">
            <w:pPr>
              <w:pStyle w:val="FootnoteText"/>
              <w:keepNext/>
              <w:spacing w:line="288" w:lineRule="auto"/>
              <w:jc w:val="center"/>
              <w:rPr>
                <w:sz w:val="20"/>
              </w:rPr>
            </w:pPr>
            <w:r>
              <w:rPr>
                <w:sz w:val="20"/>
              </w:rPr>
              <w:t>БЦЖ</w:t>
            </w:r>
          </w:p>
        </w:tc>
        <w:tc>
          <w:tcPr>
            <w:tcW w:w="993" w:type="dxa"/>
          </w:tcPr>
          <w:p w:rsidR="00000000" w:rsidRDefault="00000000">
            <w:pPr>
              <w:pStyle w:val="FootnoteText"/>
              <w:keepNext/>
              <w:spacing w:line="288" w:lineRule="auto"/>
              <w:jc w:val="center"/>
              <w:rPr>
                <w:sz w:val="20"/>
              </w:rPr>
            </w:pPr>
            <w:r>
              <w:rPr>
                <w:sz w:val="20"/>
              </w:rPr>
              <w:t>ДКС</w:t>
            </w:r>
          </w:p>
        </w:tc>
        <w:tc>
          <w:tcPr>
            <w:tcW w:w="1134" w:type="dxa"/>
          </w:tcPr>
          <w:p w:rsidR="00000000" w:rsidRDefault="00000000">
            <w:pPr>
              <w:pStyle w:val="FootnoteText"/>
              <w:keepNext/>
              <w:spacing w:line="288" w:lineRule="auto"/>
              <w:jc w:val="center"/>
              <w:rPr>
                <w:sz w:val="20"/>
              </w:rPr>
            </w:pPr>
            <w:r>
              <w:rPr>
                <w:sz w:val="20"/>
              </w:rPr>
              <w:t>ДКС</w:t>
            </w:r>
          </w:p>
        </w:tc>
        <w:tc>
          <w:tcPr>
            <w:tcW w:w="992" w:type="dxa"/>
          </w:tcPr>
          <w:p w:rsidR="00000000" w:rsidRDefault="00000000">
            <w:pPr>
              <w:pStyle w:val="FootnoteText"/>
              <w:keepNext/>
              <w:spacing w:line="288" w:lineRule="auto"/>
              <w:jc w:val="center"/>
              <w:rPr>
                <w:sz w:val="20"/>
              </w:rPr>
            </w:pPr>
            <w:r>
              <w:rPr>
                <w:sz w:val="20"/>
              </w:rPr>
              <w:t>ДКС</w:t>
            </w:r>
          </w:p>
        </w:tc>
        <w:tc>
          <w:tcPr>
            <w:tcW w:w="1134" w:type="dxa"/>
          </w:tcPr>
          <w:p w:rsidR="00000000" w:rsidRDefault="00000000">
            <w:pPr>
              <w:pStyle w:val="FootnoteText"/>
              <w:keepNext/>
              <w:spacing w:line="288" w:lineRule="auto"/>
              <w:jc w:val="center"/>
              <w:rPr>
                <w:sz w:val="20"/>
              </w:rPr>
            </w:pPr>
            <w:r>
              <w:rPr>
                <w:sz w:val="20"/>
              </w:rPr>
              <w:t>ПОЛИО-МИЕЛИТ</w:t>
            </w:r>
          </w:p>
        </w:tc>
        <w:tc>
          <w:tcPr>
            <w:tcW w:w="1134" w:type="dxa"/>
          </w:tcPr>
          <w:p w:rsidR="00000000" w:rsidRDefault="00000000">
            <w:pPr>
              <w:pStyle w:val="FootnoteText"/>
              <w:keepNext/>
              <w:spacing w:line="288" w:lineRule="auto"/>
              <w:jc w:val="center"/>
              <w:rPr>
                <w:sz w:val="20"/>
              </w:rPr>
            </w:pPr>
            <w:r>
              <w:rPr>
                <w:sz w:val="20"/>
              </w:rPr>
              <w:t>ПОЛИО-МИЕЛИТ</w:t>
            </w:r>
          </w:p>
        </w:tc>
        <w:tc>
          <w:tcPr>
            <w:tcW w:w="1134" w:type="dxa"/>
          </w:tcPr>
          <w:p w:rsidR="00000000" w:rsidRDefault="00000000">
            <w:pPr>
              <w:pStyle w:val="FootnoteText"/>
              <w:keepNext/>
              <w:spacing w:line="288" w:lineRule="auto"/>
              <w:jc w:val="center"/>
              <w:rPr>
                <w:sz w:val="20"/>
              </w:rPr>
            </w:pPr>
            <w:r>
              <w:rPr>
                <w:sz w:val="20"/>
              </w:rPr>
              <w:t>ПОЛИО-МИЕЛИТ</w:t>
            </w:r>
          </w:p>
        </w:tc>
        <w:tc>
          <w:tcPr>
            <w:tcW w:w="850" w:type="dxa"/>
          </w:tcPr>
          <w:p w:rsidR="00000000" w:rsidRDefault="00000000">
            <w:pPr>
              <w:pStyle w:val="FootnoteText"/>
              <w:keepNext/>
              <w:spacing w:line="288" w:lineRule="auto"/>
              <w:jc w:val="center"/>
              <w:rPr>
                <w:sz w:val="20"/>
              </w:rPr>
            </w:pPr>
            <w:r>
              <w:rPr>
                <w:sz w:val="20"/>
              </w:rPr>
              <w:t>КОРЬ</w:t>
            </w:r>
          </w:p>
        </w:tc>
      </w:tr>
      <w:tr w:rsidR="00000000">
        <w:tblPrEx>
          <w:tblCellMar>
            <w:top w:w="0" w:type="dxa"/>
            <w:bottom w:w="0" w:type="dxa"/>
          </w:tblCellMar>
        </w:tblPrEx>
        <w:tc>
          <w:tcPr>
            <w:tcW w:w="1384" w:type="dxa"/>
          </w:tcPr>
          <w:p w:rsidR="00000000" w:rsidRDefault="00000000">
            <w:pPr>
              <w:pStyle w:val="FootnoteText"/>
              <w:keepNext/>
              <w:spacing w:line="288" w:lineRule="auto"/>
              <w:rPr>
                <w:sz w:val="20"/>
              </w:rPr>
            </w:pPr>
            <w:r>
              <w:rPr>
                <w:sz w:val="20"/>
              </w:rPr>
              <w:t>МАЛЬЧИКИ</w:t>
            </w:r>
          </w:p>
        </w:tc>
        <w:tc>
          <w:tcPr>
            <w:tcW w:w="992" w:type="dxa"/>
          </w:tcPr>
          <w:p w:rsidR="00000000" w:rsidRDefault="00000000">
            <w:pPr>
              <w:pStyle w:val="FootnoteText"/>
              <w:keepNext/>
              <w:spacing w:line="288" w:lineRule="auto"/>
              <w:jc w:val="center"/>
              <w:rPr>
                <w:sz w:val="20"/>
              </w:rPr>
            </w:pPr>
            <w:r>
              <w:rPr>
                <w:sz w:val="20"/>
              </w:rPr>
              <w:t>94,6</w:t>
            </w:r>
          </w:p>
        </w:tc>
        <w:tc>
          <w:tcPr>
            <w:tcW w:w="993" w:type="dxa"/>
          </w:tcPr>
          <w:p w:rsidR="00000000" w:rsidRDefault="00000000">
            <w:pPr>
              <w:pStyle w:val="FootnoteText"/>
              <w:keepNext/>
              <w:spacing w:line="288" w:lineRule="auto"/>
              <w:jc w:val="center"/>
              <w:rPr>
                <w:sz w:val="20"/>
              </w:rPr>
            </w:pPr>
            <w:r>
              <w:rPr>
                <w:sz w:val="20"/>
              </w:rPr>
              <w:t>98,2</w:t>
            </w:r>
          </w:p>
        </w:tc>
        <w:tc>
          <w:tcPr>
            <w:tcW w:w="1134" w:type="dxa"/>
          </w:tcPr>
          <w:p w:rsidR="00000000" w:rsidRDefault="00000000">
            <w:pPr>
              <w:pStyle w:val="FootnoteText"/>
              <w:keepNext/>
              <w:spacing w:line="288" w:lineRule="auto"/>
              <w:jc w:val="center"/>
              <w:rPr>
                <w:sz w:val="20"/>
              </w:rPr>
            </w:pPr>
            <w:r>
              <w:rPr>
                <w:sz w:val="20"/>
              </w:rPr>
              <w:t>83,9</w:t>
            </w:r>
          </w:p>
        </w:tc>
        <w:tc>
          <w:tcPr>
            <w:tcW w:w="992" w:type="dxa"/>
          </w:tcPr>
          <w:p w:rsidR="00000000" w:rsidRDefault="00000000">
            <w:pPr>
              <w:pStyle w:val="FootnoteText"/>
              <w:keepNext/>
              <w:spacing w:line="288" w:lineRule="auto"/>
              <w:jc w:val="center"/>
              <w:rPr>
                <w:sz w:val="20"/>
              </w:rPr>
            </w:pPr>
            <w:r>
              <w:rPr>
                <w:sz w:val="20"/>
              </w:rPr>
              <w:t>68,2</w:t>
            </w:r>
          </w:p>
        </w:tc>
        <w:tc>
          <w:tcPr>
            <w:tcW w:w="1134" w:type="dxa"/>
          </w:tcPr>
          <w:p w:rsidR="00000000" w:rsidRDefault="00000000">
            <w:pPr>
              <w:pStyle w:val="FootnoteText"/>
              <w:keepNext/>
              <w:spacing w:line="288" w:lineRule="auto"/>
              <w:jc w:val="center"/>
              <w:rPr>
                <w:sz w:val="20"/>
              </w:rPr>
            </w:pPr>
            <w:r>
              <w:rPr>
                <w:sz w:val="20"/>
              </w:rPr>
              <w:t>97,7</w:t>
            </w:r>
          </w:p>
        </w:tc>
        <w:tc>
          <w:tcPr>
            <w:tcW w:w="1134" w:type="dxa"/>
          </w:tcPr>
          <w:p w:rsidR="00000000" w:rsidRDefault="00000000">
            <w:pPr>
              <w:pStyle w:val="FootnoteText"/>
              <w:keepNext/>
              <w:spacing w:line="288" w:lineRule="auto"/>
              <w:jc w:val="center"/>
              <w:rPr>
                <w:sz w:val="20"/>
              </w:rPr>
            </w:pPr>
            <w:r>
              <w:rPr>
                <w:sz w:val="20"/>
              </w:rPr>
              <w:t>83,4</w:t>
            </w:r>
          </w:p>
        </w:tc>
        <w:tc>
          <w:tcPr>
            <w:tcW w:w="1134" w:type="dxa"/>
          </w:tcPr>
          <w:p w:rsidR="00000000" w:rsidRDefault="00000000">
            <w:pPr>
              <w:pStyle w:val="FootnoteText"/>
              <w:keepNext/>
              <w:spacing w:line="288" w:lineRule="auto"/>
              <w:jc w:val="center"/>
              <w:rPr>
                <w:sz w:val="20"/>
              </w:rPr>
            </w:pPr>
            <w:r>
              <w:rPr>
                <w:sz w:val="20"/>
              </w:rPr>
              <w:t>67,5</w:t>
            </w:r>
          </w:p>
        </w:tc>
        <w:tc>
          <w:tcPr>
            <w:tcW w:w="850" w:type="dxa"/>
          </w:tcPr>
          <w:p w:rsidR="00000000" w:rsidRDefault="00000000">
            <w:pPr>
              <w:pStyle w:val="FootnoteText"/>
              <w:keepNext/>
              <w:spacing w:line="288" w:lineRule="auto"/>
              <w:jc w:val="center"/>
              <w:rPr>
                <w:sz w:val="20"/>
              </w:rPr>
            </w:pPr>
            <w:r>
              <w:rPr>
                <w:sz w:val="20"/>
              </w:rPr>
              <w:t>57,6</w:t>
            </w:r>
          </w:p>
        </w:tc>
      </w:tr>
      <w:tr w:rsidR="00000000">
        <w:tblPrEx>
          <w:tblCellMar>
            <w:top w:w="0" w:type="dxa"/>
            <w:bottom w:w="0" w:type="dxa"/>
          </w:tblCellMar>
        </w:tblPrEx>
        <w:tc>
          <w:tcPr>
            <w:tcW w:w="1384" w:type="dxa"/>
          </w:tcPr>
          <w:p w:rsidR="00000000" w:rsidRDefault="00000000">
            <w:pPr>
              <w:pStyle w:val="FootnoteText"/>
              <w:keepNext/>
              <w:spacing w:line="288" w:lineRule="auto"/>
              <w:rPr>
                <w:sz w:val="20"/>
              </w:rPr>
            </w:pPr>
            <w:r>
              <w:rPr>
                <w:sz w:val="20"/>
              </w:rPr>
              <w:t>ДЕВОЧКИ</w:t>
            </w:r>
          </w:p>
        </w:tc>
        <w:tc>
          <w:tcPr>
            <w:tcW w:w="992" w:type="dxa"/>
          </w:tcPr>
          <w:p w:rsidR="00000000" w:rsidRDefault="00000000">
            <w:pPr>
              <w:pStyle w:val="FootnoteText"/>
              <w:keepNext/>
              <w:spacing w:line="288" w:lineRule="auto"/>
              <w:jc w:val="center"/>
              <w:rPr>
                <w:sz w:val="20"/>
              </w:rPr>
            </w:pPr>
            <w:r>
              <w:rPr>
                <w:sz w:val="20"/>
              </w:rPr>
              <w:t>97,8</w:t>
            </w:r>
          </w:p>
        </w:tc>
        <w:tc>
          <w:tcPr>
            <w:tcW w:w="993" w:type="dxa"/>
          </w:tcPr>
          <w:p w:rsidR="00000000" w:rsidRDefault="00000000">
            <w:pPr>
              <w:pStyle w:val="FootnoteText"/>
              <w:keepNext/>
              <w:spacing w:line="288" w:lineRule="auto"/>
              <w:jc w:val="center"/>
              <w:rPr>
                <w:sz w:val="20"/>
              </w:rPr>
            </w:pPr>
            <w:r>
              <w:rPr>
                <w:sz w:val="20"/>
              </w:rPr>
              <w:t>95,9</w:t>
            </w:r>
          </w:p>
        </w:tc>
        <w:tc>
          <w:tcPr>
            <w:tcW w:w="1134" w:type="dxa"/>
          </w:tcPr>
          <w:p w:rsidR="00000000" w:rsidRDefault="00000000">
            <w:pPr>
              <w:pStyle w:val="FootnoteText"/>
              <w:keepNext/>
              <w:spacing w:line="288" w:lineRule="auto"/>
              <w:jc w:val="center"/>
              <w:rPr>
                <w:sz w:val="20"/>
              </w:rPr>
            </w:pPr>
            <w:r>
              <w:rPr>
                <w:sz w:val="20"/>
              </w:rPr>
              <w:t>85,0</w:t>
            </w:r>
          </w:p>
        </w:tc>
        <w:tc>
          <w:tcPr>
            <w:tcW w:w="992" w:type="dxa"/>
          </w:tcPr>
          <w:p w:rsidR="00000000" w:rsidRDefault="00000000">
            <w:pPr>
              <w:pStyle w:val="FootnoteText"/>
              <w:keepNext/>
              <w:spacing w:line="288" w:lineRule="auto"/>
              <w:jc w:val="center"/>
              <w:rPr>
                <w:sz w:val="20"/>
              </w:rPr>
            </w:pPr>
            <w:r>
              <w:rPr>
                <w:sz w:val="20"/>
              </w:rPr>
              <w:t>69,7</w:t>
            </w:r>
          </w:p>
        </w:tc>
        <w:tc>
          <w:tcPr>
            <w:tcW w:w="1134" w:type="dxa"/>
          </w:tcPr>
          <w:p w:rsidR="00000000" w:rsidRDefault="00000000">
            <w:pPr>
              <w:pStyle w:val="FootnoteText"/>
              <w:keepNext/>
              <w:spacing w:line="288" w:lineRule="auto"/>
              <w:jc w:val="center"/>
              <w:rPr>
                <w:sz w:val="20"/>
              </w:rPr>
            </w:pPr>
            <w:r>
              <w:rPr>
                <w:sz w:val="20"/>
              </w:rPr>
              <w:t>96,1</w:t>
            </w:r>
          </w:p>
        </w:tc>
        <w:tc>
          <w:tcPr>
            <w:tcW w:w="1134" w:type="dxa"/>
          </w:tcPr>
          <w:p w:rsidR="00000000" w:rsidRDefault="00000000">
            <w:pPr>
              <w:pStyle w:val="FootnoteText"/>
              <w:keepNext/>
              <w:spacing w:line="288" w:lineRule="auto"/>
              <w:jc w:val="center"/>
              <w:rPr>
                <w:sz w:val="20"/>
              </w:rPr>
            </w:pPr>
            <w:r>
              <w:rPr>
                <w:sz w:val="20"/>
              </w:rPr>
              <w:t>85,6</w:t>
            </w:r>
          </w:p>
        </w:tc>
        <w:tc>
          <w:tcPr>
            <w:tcW w:w="1134" w:type="dxa"/>
          </w:tcPr>
          <w:p w:rsidR="00000000" w:rsidRDefault="00000000">
            <w:pPr>
              <w:pStyle w:val="FootnoteText"/>
              <w:keepNext/>
              <w:spacing w:line="288" w:lineRule="auto"/>
              <w:jc w:val="center"/>
              <w:rPr>
                <w:sz w:val="20"/>
              </w:rPr>
            </w:pPr>
            <w:r>
              <w:rPr>
                <w:sz w:val="20"/>
              </w:rPr>
              <w:t>69,4</w:t>
            </w:r>
          </w:p>
        </w:tc>
        <w:tc>
          <w:tcPr>
            <w:tcW w:w="850" w:type="dxa"/>
          </w:tcPr>
          <w:p w:rsidR="00000000" w:rsidRDefault="00000000">
            <w:pPr>
              <w:pStyle w:val="FootnoteText"/>
              <w:keepNext/>
              <w:spacing w:line="288" w:lineRule="auto"/>
              <w:jc w:val="center"/>
              <w:rPr>
                <w:sz w:val="20"/>
              </w:rPr>
            </w:pPr>
            <w:r>
              <w:rPr>
                <w:sz w:val="20"/>
              </w:rPr>
              <w:t>53,0</w:t>
            </w:r>
          </w:p>
        </w:tc>
      </w:tr>
      <w:tr w:rsidR="00000000">
        <w:tblPrEx>
          <w:tblCellMar>
            <w:top w:w="0" w:type="dxa"/>
            <w:bottom w:w="0" w:type="dxa"/>
          </w:tblCellMar>
        </w:tblPrEx>
        <w:tc>
          <w:tcPr>
            <w:tcW w:w="1384" w:type="dxa"/>
          </w:tcPr>
          <w:p w:rsidR="00000000" w:rsidRDefault="00000000">
            <w:pPr>
              <w:pStyle w:val="FootnoteText"/>
              <w:keepNext/>
              <w:spacing w:line="288" w:lineRule="auto"/>
              <w:rPr>
                <w:sz w:val="20"/>
              </w:rPr>
            </w:pPr>
            <w:r>
              <w:rPr>
                <w:sz w:val="20"/>
              </w:rPr>
              <w:t>ГОРОД</w:t>
            </w:r>
          </w:p>
        </w:tc>
        <w:tc>
          <w:tcPr>
            <w:tcW w:w="992" w:type="dxa"/>
          </w:tcPr>
          <w:p w:rsidR="00000000" w:rsidRDefault="00000000">
            <w:pPr>
              <w:pStyle w:val="FootnoteText"/>
              <w:keepNext/>
              <w:spacing w:line="288" w:lineRule="auto"/>
              <w:jc w:val="center"/>
              <w:rPr>
                <w:sz w:val="20"/>
              </w:rPr>
            </w:pPr>
            <w:r>
              <w:rPr>
                <w:sz w:val="20"/>
              </w:rPr>
              <w:t>98,4</w:t>
            </w:r>
          </w:p>
        </w:tc>
        <w:tc>
          <w:tcPr>
            <w:tcW w:w="993" w:type="dxa"/>
          </w:tcPr>
          <w:p w:rsidR="00000000" w:rsidRDefault="00000000">
            <w:pPr>
              <w:pStyle w:val="FootnoteText"/>
              <w:keepNext/>
              <w:spacing w:line="288" w:lineRule="auto"/>
              <w:jc w:val="center"/>
              <w:rPr>
                <w:sz w:val="20"/>
              </w:rPr>
            </w:pPr>
            <w:r>
              <w:rPr>
                <w:sz w:val="20"/>
              </w:rPr>
              <w:t>98,3</w:t>
            </w:r>
          </w:p>
        </w:tc>
        <w:tc>
          <w:tcPr>
            <w:tcW w:w="1134" w:type="dxa"/>
          </w:tcPr>
          <w:p w:rsidR="00000000" w:rsidRDefault="00000000">
            <w:pPr>
              <w:pStyle w:val="FootnoteText"/>
              <w:keepNext/>
              <w:spacing w:line="288" w:lineRule="auto"/>
              <w:jc w:val="center"/>
              <w:rPr>
                <w:sz w:val="20"/>
              </w:rPr>
            </w:pPr>
            <w:r>
              <w:rPr>
                <w:sz w:val="20"/>
              </w:rPr>
              <w:t>87,8</w:t>
            </w:r>
          </w:p>
        </w:tc>
        <w:tc>
          <w:tcPr>
            <w:tcW w:w="992" w:type="dxa"/>
          </w:tcPr>
          <w:p w:rsidR="00000000" w:rsidRDefault="00000000">
            <w:pPr>
              <w:pStyle w:val="FootnoteText"/>
              <w:keepNext/>
              <w:spacing w:line="288" w:lineRule="auto"/>
              <w:jc w:val="center"/>
              <w:rPr>
                <w:sz w:val="20"/>
              </w:rPr>
            </w:pPr>
            <w:r>
              <w:rPr>
                <w:sz w:val="20"/>
              </w:rPr>
              <w:t>74,6</w:t>
            </w:r>
          </w:p>
        </w:tc>
        <w:tc>
          <w:tcPr>
            <w:tcW w:w="1134" w:type="dxa"/>
          </w:tcPr>
          <w:p w:rsidR="00000000" w:rsidRDefault="00000000">
            <w:pPr>
              <w:pStyle w:val="FootnoteText"/>
              <w:keepNext/>
              <w:spacing w:line="288" w:lineRule="auto"/>
              <w:jc w:val="center"/>
              <w:rPr>
                <w:sz w:val="20"/>
              </w:rPr>
            </w:pPr>
            <w:r>
              <w:rPr>
                <w:sz w:val="20"/>
              </w:rPr>
              <w:t>98,1</w:t>
            </w:r>
          </w:p>
        </w:tc>
        <w:tc>
          <w:tcPr>
            <w:tcW w:w="1134" w:type="dxa"/>
          </w:tcPr>
          <w:p w:rsidR="00000000" w:rsidRDefault="00000000">
            <w:pPr>
              <w:pStyle w:val="FootnoteText"/>
              <w:keepNext/>
              <w:spacing w:line="288" w:lineRule="auto"/>
              <w:jc w:val="center"/>
              <w:rPr>
                <w:sz w:val="20"/>
              </w:rPr>
            </w:pPr>
            <w:r>
              <w:rPr>
                <w:sz w:val="20"/>
              </w:rPr>
              <w:t>87,4</w:t>
            </w:r>
          </w:p>
        </w:tc>
        <w:tc>
          <w:tcPr>
            <w:tcW w:w="1134" w:type="dxa"/>
          </w:tcPr>
          <w:p w:rsidR="00000000" w:rsidRDefault="00000000">
            <w:pPr>
              <w:pStyle w:val="FootnoteText"/>
              <w:keepNext/>
              <w:spacing w:line="288" w:lineRule="auto"/>
              <w:jc w:val="center"/>
              <w:rPr>
                <w:sz w:val="20"/>
              </w:rPr>
            </w:pPr>
            <w:r>
              <w:rPr>
                <w:sz w:val="20"/>
              </w:rPr>
              <w:t>74,3</w:t>
            </w:r>
          </w:p>
        </w:tc>
        <w:tc>
          <w:tcPr>
            <w:tcW w:w="850" w:type="dxa"/>
          </w:tcPr>
          <w:p w:rsidR="00000000" w:rsidRDefault="00000000">
            <w:pPr>
              <w:pStyle w:val="FootnoteText"/>
              <w:keepNext/>
              <w:spacing w:line="288" w:lineRule="auto"/>
              <w:jc w:val="center"/>
              <w:rPr>
                <w:sz w:val="20"/>
              </w:rPr>
            </w:pPr>
            <w:r>
              <w:rPr>
                <w:sz w:val="20"/>
              </w:rPr>
              <w:t>50,1</w:t>
            </w:r>
          </w:p>
        </w:tc>
      </w:tr>
      <w:tr w:rsidR="00000000">
        <w:tblPrEx>
          <w:tblCellMar>
            <w:top w:w="0" w:type="dxa"/>
            <w:bottom w:w="0" w:type="dxa"/>
          </w:tblCellMar>
        </w:tblPrEx>
        <w:tc>
          <w:tcPr>
            <w:tcW w:w="1384" w:type="dxa"/>
          </w:tcPr>
          <w:p w:rsidR="00000000" w:rsidRDefault="00000000">
            <w:pPr>
              <w:pStyle w:val="FootnoteText"/>
              <w:keepNext/>
              <w:spacing w:line="288" w:lineRule="auto"/>
              <w:rPr>
                <w:sz w:val="20"/>
              </w:rPr>
            </w:pPr>
            <w:r>
              <w:rPr>
                <w:sz w:val="20"/>
              </w:rPr>
              <w:t>СЕЛО</w:t>
            </w:r>
          </w:p>
        </w:tc>
        <w:tc>
          <w:tcPr>
            <w:tcW w:w="992" w:type="dxa"/>
          </w:tcPr>
          <w:p w:rsidR="00000000" w:rsidRDefault="00000000">
            <w:pPr>
              <w:pStyle w:val="FootnoteText"/>
              <w:keepNext/>
              <w:spacing w:line="288" w:lineRule="auto"/>
              <w:jc w:val="center"/>
              <w:rPr>
                <w:sz w:val="20"/>
              </w:rPr>
            </w:pPr>
            <w:r>
              <w:rPr>
                <w:sz w:val="20"/>
              </w:rPr>
              <w:t>93,0</w:t>
            </w:r>
          </w:p>
        </w:tc>
        <w:tc>
          <w:tcPr>
            <w:tcW w:w="993" w:type="dxa"/>
          </w:tcPr>
          <w:p w:rsidR="00000000" w:rsidRDefault="00000000">
            <w:pPr>
              <w:pStyle w:val="FootnoteText"/>
              <w:keepNext/>
              <w:spacing w:line="288" w:lineRule="auto"/>
              <w:jc w:val="center"/>
              <w:rPr>
                <w:sz w:val="20"/>
              </w:rPr>
            </w:pPr>
            <w:r>
              <w:rPr>
                <w:sz w:val="20"/>
              </w:rPr>
              <w:t>94,9</w:t>
            </w:r>
          </w:p>
        </w:tc>
        <w:tc>
          <w:tcPr>
            <w:tcW w:w="1134" w:type="dxa"/>
          </w:tcPr>
          <w:p w:rsidR="00000000" w:rsidRDefault="00000000">
            <w:pPr>
              <w:pStyle w:val="FootnoteText"/>
              <w:keepNext/>
              <w:spacing w:line="288" w:lineRule="auto"/>
              <w:jc w:val="center"/>
              <w:rPr>
                <w:sz w:val="20"/>
              </w:rPr>
            </w:pPr>
            <w:r>
              <w:rPr>
                <w:sz w:val="20"/>
              </w:rPr>
              <w:t>79,2</w:t>
            </w:r>
          </w:p>
        </w:tc>
        <w:tc>
          <w:tcPr>
            <w:tcW w:w="992" w:type="dxa"/>
          </w:tcPr>
          <w:p w:rsidR="00000000" w:rsidRDefault="00000000">
            <w:pPr>
              <w:pStyle w:val="FootnoteText"/>
              <w:keepNext/>
              <w:spacing w:line="288" w:lineRule="auto"/>
              <w:jc w:val="center"/>
              <w:rPr>
                <w:sz w:val="20"/>
              </w:rPr>
            </w:pPr>
            <w:r>
              <w:rPr>
                <w:sz w:val="20"/>
              </w:rPr>
              <w:t>60,1</w:t>
            </w:r>
          </w:p>
        </w:tc>
        <w:tc>
          <w:tcPr>
            <w:tcW w:w="1134" w:type="dxa"/>
          </w:tcPr>
          <w:p w:rsidR="00000000" w:rsidRDefault="00000000">
            <w:pPr>
              <w:pStyle w:val="FootnoteText"/>
              <w:keepNext/>
              <w:spacing w:line="288" w:lineRule="auto"/>
              <w:jc w:val="center"/>
              <w:rPr>
                <w:sz w:val="20"/>
              </w:rPr>
            </w:pPr>
            <w:r>
              <w:rPr>
                <w:sz w:val="20"/>
              </w:rPr>
              <w:t>94,8</w:t>
            </w:r>
          </w:p>
        </w:tc>
        <w:tc>
          <w:tcPr>
            <w:tcW w:w="1134" w:type="dxa"/>
          </w:tcPr>
          <w:p w:rsidR="00000000" w:rsidRDefault="00000000">
            <w:pPr>
              <w:pStyle w:val="FootnoteText"/>
              <w:keepNext/>
              <w:spacing w:line="288" w:lineRule="auto"/>
              <w:jc w:val="center"/>
              <w:rPr>
                <w:sz w:val="20"/>
              </w:rPr>
            </w:pPr>
            <w:r>
              <w:rPr>
                <w:sz w:val="20"/>
              </w:rPr>
              <w:t>80,2</w:t>
            </w:r>
          </w:p>
        </w:tc>
        <w:tc>
          <w:tcPr>
            <w:tcW w:w="1134" w:type="dxa"/>
          </w:tcPr>
          <w:p w:rsidR="00000000" w:rsidRDefault="00000000">
            <w:pPr>
              <w:pStyle w:val="FootnoteText"/>
              <w:keepNext/>
              <w:spacing w:line="288" w:lineRule="auto"/>
              <w:jc w:val="center"/>
              <w:rPr>
                <w:sz w:val="20"/>
              </w:rPr>
            </w:pPr>
            <w:r>
              <w:rPr>
                <w:sz w:val="20"/>
              </w:rPr>
              <w:t>59,5</w:t>
            </w:r>
          </w:p>
        </w:tc>
        <w:tc>
          <w:tcPr>
            <w:tcW w:w="850" w:type="dxa"/>
          </w:tcPr>
          <w:p w:rsidR="00000000" w:rsidRDefault="00000000">
            <w:pPr>
              <w:pStyle w:val="FootnoteText"/>
              <w:keepNext/>
              <w:spacing w:line="288" w:lineRule="auto"/>
              <w:jc w:val="center"/>
              <w:rPr>
                <w:sz w:val="20"/>
              </w:rPr>
            </w:pPr>
            <w:r>
              <w:rPr>
                <w:sz w:val="20"/>
              </w:rPr>
              <w:t>53,7</w:t>
            </w:r>
          </w:p>
        </w:tc>
      </w:tr>
    </w:tbl>
    <w:p w:rsidR="00000000" w:rsidRDefault="00000000">
      <w:pPr>
        <w:pStyle w:val="FootnoteText"/>
        <w:spacing w:line="288" w:lineRule="auto"/>
      </w:pPr>
    </w:p>
    <w:p w:rsidR="00000000" w:rsidRDefault="00000000">
      <w:pPr>
        <w:pStyle w:val="FootnoteText"/>
        <w:spacing w:line="288" w:lineRule="auto"/>
      </w:pPr>
      <w:r>
        <w:rPr>
          <w:u w:val="single"/>
        </w:rPr>
        <w:t xml:space="preserve">Пункт 4 </w:t>
      </w:r>
      <w:r>
        <w:rPr>
          <w:u w:val="single"/>
          <w:lang w:val="en-US"/>
        </w:rPr>
        <w:t>e</w:t>
      </w:r>
      <w:r>
        <w:t>)</w:t>
      </w:r>
    </w:p>
    <w:p w:rsidR="00000000" w:rsidRDefault="00000000">
      <w:pPr>
        <w:pStyle w:val="FootnoteText"/>
        <w:spacing w:line="288" w:lineRule="auto"/>
      </w:pPr>
    </w:p>
    <w:p w:rsidR="00000000" w:rsidRDefault="00000000">
      <w:pPr>
        <w:pStyle w:val="FootnoteText"/>
        <w:spacing w:line="288" w:lineRule="auto"/>
      </w:pPr>
      <w:r>
        <w:t>396.</w:t>
      </w:r>
      <w:r>
        <w:tab/>
        <w:t>По данным Национального статистического института (НСИ), средняя продолжительность жизни боливийцев - 61 год, а ожидаемая продолжительность жизни при рождении – примерно 62 года.  Средняя продолжительность жизни женщин превышает среднюю продолжительность жизни мужчин (соответственно 63 года и 60 лет).</w:t>
      </w:r>
    </w:p>
    <w:p w:rsidR="00000000" w:rsidRDefault="00000000"/>
    <w:p w:rsidR="00000000" w:rsidRDefault="00000000">
      <w:pPr>
        <w:pStyle w:val="FootnoteText"/>
        <w:spacing w:line="288" w:lineRule="auto"/>
      </w:pPr>
      <w:r>
        <w:t>397.</w:t>
      </w:r>
      <w:r>
        <w:tab/>
        <w:t xml:space="preserve">Наиболее низкая продолжительность жизни зарегистрирована в департаментах Оруро и Потоси (около 57 лет), а наиболее высокая – в департаментах Тариха и </w:t>
      </w:r>
      <w:proofErr w:type="spellStart"/>
      <w:r>
        <w:t>Санта</w:t>
      </w:r>
      <w:r>
        <w:noBreakHyphen/>
        <w:t>Крус</w:t>
      </w:r>
      <w:proofErr w:type="spellEnd"/>
      <w:r>
        <w:t xml:space="preserve"> (более 65 лет).</w:t>
      </w:r>
    </w:p>
    <w:p w:rsidR="00000000" w:rsidRDefault="00000000">
      <w:pPr>
        <w:pStyle w:val="FootnoteText"/>
        <w:spacing w:line="288" w:lineRule="auto"/>
      </w:pPr>
    </w:p>
    <w:p w:rsidR="00000000" w:rsidRDefault="00000000">
      <w:pPr>
        <w:pStyle w:val="FootnoteText"/>
        <w:keepNext/>
        <w:spacing w:line="288" w:lineRule="auto"/>
        <w:jc w:val="center"/>
        <w:rPr>
          <w:b/>
        </w:rPr>
      </w:pPr>
      <w:r>
        <w:rPr>
          <w:b/>
        </w:rPr>
        <w:t>Ожидаемая продолжительность жизни при рождении (в годах)</w:t>
      </w:r>
    </w:p>
    <w:p w:rsidR="00000000" w:rsidRDefault="00000000">
      <w:pPr>
        <w:pStyle w:val="FootnoteText"/>
        <w:keepNext/>
        <w:spacing w:line="288" w:lineRule="auto"/>
        <w:jc w:val="center"/>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795"/>
        <w:gridCol w:w="1796"/>
        <w:gridCol w:w="1796"/>
      </w:tblGrid>
      <w:tr w:rsidR="00000000">
        <w:tblPrEx>
          <w:tblCellMar>
            <w:top w:w="0" w:type="dxa"/>
            <w:bottom w:w="0" w:type="dxa"/>
          </w:tblCellMar>
        </w:tblPrEx>
        <w:trPr>
          <w:trHeight w:val="305"/>
        </w:trPr>
        <w:tc>
          <w:tcPr>
            <w:tcW w:w="2977" w:type="dxa"/>
            <w:tcBorders>
              <w:bottom w:val="single" w:sz="4" w:space="0" w:color="auto"/>
            </w:tcBorders>
          </w:tcPr>
          <w:p w:rsidR="00000000" w:rsidRDefault="00000000">
            <w:pPr>
              <w:pStyle w:val="FootnoteText"/>
              <w:spacing w:line="288" w:lineRule="auto"/>
            </w:pPr>
          </w:p>
        </w:tc>
        <w:tc>
          <w:tcPr>
            <w:tcW w:w="1795" w:type="dxa"/>
            <w:tcBorders>
              <w:bottom w:val="single" w:sz="4" w:space="0" w:color="auto"/>
            </w:tcBorders>
          </w:tcPr>
          <w:p w:rsidR="00000000" w:rsidRDefault="00000000">
            <w:pPr>
              <w:pStyle w:val="FootnoteText"/>
              <w:spacing w:line="288" w:lineRule="auto"/>
              <w:jc w:val="center"/>
            </w:pPr>
            <w:r>
              <w:t>Мужчины</w:t>
            </w:r>
          </w:p>
        </w:tc>
        <w:tc>
          <w:tcPr>
            <w:tcW w:w="1796" w:type="dxa"/>
            <w:tcBorders>
              <w:bottom w:val="single" w:sz="4" w:space="0" w:color="auto"/>
            </w:tcBorders>
          </w:tcPr>
          <w:p w:rsidR="00000000" w:rsidRDefault="00000000">
            <w:pPr>
              <w:pStyle w:val="FootnoteText"/>
              <w:spacing w:line="288" w:lineRule="auto"/>
              <w:jc w:val="center"/>
            </w:pPr>
            <w:r>
              <w:t>Женщины</w:t>
            </w:r>
          </w:p>
        </w:tc>
        <w:tc>
          <w:tcPr>
            <w:tcW w:w="1796" w:type="dxa"/>
            <w:tcBorders>
              <w:bottom w:val="single" w:sz="4" w:space="0" w:color="auto"/>
            </w:tcBorders>
          </w:tcPr>
          <w:p w:rsidR="00000000" w:rsidRDefault="00000000">
            <w:pPr>
              <w:pStyle w:val="FootnoteText"/>
              <w:spacing w:line="288" w:lineRule="auto"/>
              <w:jc w:val="center"/>
            </w:pPr>
            <w:r>
              <w:t>Всего</w:t>
            </w:r>
          </w:p>
        </w:tc>
      </w:tr>
      <w:tr w:rsidR="00000000">
        <w:tblPrEx>
          <w:tblCellMar>
            <w:top w:w="0" w:type="dxa"/>
            <w:bottom w:w="0" w:type="dxa"/>
          </w:tblCellMar>
        </w:tblPrEx>
        <w:tc>
          <w:tcPr>
            <w:tcW w:w="2977" w:type="dxa"/>
            <w:tcBorders>
              <w:top w:val="nil"/>
              <w:bottom w:val="nil"/>
            </w:tcBorders>
          </w:tcPr>
          <w:p w:rsidR="00000000" w:rsidRDefault="00000000">
            <w:pPr>
              <w:pStyle w:val="FootnoteText"/>
              <w:spacing w:line="288" w:lineRule="auto"/>
            </w:pPr>
            <w:r>
              <w:t>Боливия</w:t>
            </w:r>
          </w:p>
        </w:tc>
        <w:tc>
          <w:tcPr>
            <w:tcW w:w="1795" w:type="dxa"/>
            <w:tcBorders>
              <w:top w:val="nil"/>
              <w:bottom w:val="nil"/>
            </w:tcBorders>
          </w:tcPr>
          <w:p w:rsidR="00000000" w:rsidRDefault="00000000">
            <w:pPr>
              <w:pStyle w:val="FootnoteText"/>
              <w:tabs>
                <w:tab w:val="decimal" w:pos="567"/>
                <w:tab w:val="decimal" w:pos="3686"/>
              </w:tabs>
              <w:spacing w:line="288" w:lineRule="auto"/>
              <w:jc w:val="center"/>
              <w:rPr>
                <w:lang w:val="en-US"/>
              </w:rPr>
            </w:pPr>
            <w:r>
              <w:rPr>
                <w:lang w:val="en-US"/>
              </w:rPr>
              <w:t xml:space="preserve">  60,42</w:t>
            </w:r>
          </w:p>
        </w:tc>
        <w:tc>
          <w:tcPr>
            <w:tcW w:w="1796" w:type="dxa"/>
            <w:tcBorders>
              <w:top w:val="nil"/>
              <w:bottom w:val="nil"/>
            </w:tcBorders>
          </w:tcPr>
          <w:p w:rsidR="00000000" w:rsidRDefault="00000000">
            <w:pPr>
              <w:pStyle w:val="FootnoteText"/>
              <w:spacing w:line="288" w:lineRule="auto"/>
              <w:jc w:val="center"/>
              <w:rPr>
                <w:lang w:val="en-US"/>
              </w:rPr>
            </w:pPr>
            <w:r>
              <w:rPr>
                <w:lang w:val="en-US"/>
              </w:rPr>
              <w:t>63,81</w:t>
            </w:r>
          </w:p>
        </w:tc>
        <w:tc>
          <w:tcPr>
            <w:tcW w:w="1796" w:type="dxa"/>
            <w:tcBorders>
              <w:top w:val="nil"/>
              <w:bottom w:val="nil"/>
            </w:tcBorders>
          </w:tcPr>
          <w:p w:rsidR="00000000" w:rsidRDefault="00000000">
            <w:pPr>
              <w:pStyle w:val="FootnoteText"/>
              <w:spacing w:line="288" w:lineRule="auto"/>
              <w:jc w:val="center"/>
              <w:rPr>
                <w:lang w:val="en-US"/>
              </w:rPr>
            </w:pPr>
            <w:r>
              <w:rPr>
                <w:lang w:val="en-US"/>
              </w:rPr>
              <w:t>62,08</w:t>
            </w:r>
          </w:p>
        </w:tc>
      </w:tr>
      <w:tr w:rsidR="00000000">
        <w:tblPrEx>
          <w:tblCellMar>
            <w:top w:w="0" w:type="dxa"/>
            <w:bottom w:w="0" w:type="dxa"/>
          </w:tblCellMar>
        </w:tblPrEx>
        <w:tc>
          <w:tcPr>
            <w:tcW w:w="2977" w:type="dxa"/>
            <w:tcBorders>
              <w:top w:val="nil"/>
              <w:bottom w:val="nil"/>
            </w:tcBorders>
          </w:tcPr>
          <w:p w:rsidR="00000000" w:rsidRDefault="00000000">
            <w:pPr>
              <w:pStyle w:val="FootnoteText"/>
              <w:spacing w:line="288" w:lineRule="auto"/>
            </w:pPr>
          </w:p>
        </w:tc>
        <w:tc>
          <w:tcPr>
            <w:tcW w:w="1795" w:type="dxa"/>
            <w:tcBorders>
              <w:top w:val="nil"/>
              <w:bottom w:val="nil"/>
            </w:tcBorders>
          </w:tcPr>
          <w:p w:rsidR="00000000" w:rsidRDefault="00000000">
            <w:pPr>
              <w:pStyle w:val="FootnoteText"/>
              <w:tabs>
                <w:tab w:val="decimal" w:pos="567"/>
                <w:tab w:val="decimal" w:pos="3686"/>
              </w:tabs>
              <w:spacing w:line="288" w:lineRule="auto"/>
              <w:jc w:val="center"/>
            </w:pPr>
          </w:p>
        </w:tc>
        <w:tc>
          <w:tcPr>
            <w:tcW w:w="1796" w:type="dxa"/>
            <w:tcBorders>
              <w:top w:val="nil"/>
              <w:bottom w:val="nil"/>
            </w:tcBorders>
          </w:tcPr>
          <w:p w:rsidR="00000000" w:rsidRDefault="00000000">
            <w:pPr>
              <w:pStyle w:val="FootnoteText"/>
              <w:spacing w:line="288" w:lineRule="auto"/>
              <w:jc w:val="center"/>
            </w:pPr>
          </w:p>
        </w:tc>
        <w:tc>
          <w:tcPr>
            <w:tcW w:w="1796" w:type="dxa"/>
            <w:tcBorders>
              <w:top w:val="nil"/>
              <w:bottom w:val="nil"/>
            </w:tcBorders>
          </w:tcPr>
          <w:p w:rsidR="00000000" w:rsidRDefault="00000000">
            <w:pPr>
              <w:pStyle w:val="FootnoteText"/>
              <w:spacing w:line="288" w:lineRule="auto"/>
              <w:jc w:val="center"/>
            </w:pPr>
          </w:p>
        </w:tc>
      </w:tr>
      <w:tr w:rsidR="00000000">
        <w:tblPrEx>
          <w:tblCellMar>
            <w:top w:w="0" w:type="dxa"/>
            <w:bottom w:w="0" w:type="dxa"/>
          </w:tblCellMar>
        </w:tblPrEx>
        <w:tc>
          <w:tcPr>
            <w:tcW w:w="2977" w:type="dxa"/>
            <w:tcBorders>
              <w:top w:val="nil"/>
              <w:bottom w:val="nil"/>
            </w:tcBorders>
          </w:tcPr>
          <w:p w:rsidR="00000000" w:rsidRDefault="00000000">
            <w:pPr>
              <w:pStyle w:val="FootnoteText"/>
              <w:spacing w:line="288" w:lineRule="auto"/>
            </w:pPr>
            <w:r>
              <w:t>Чукисака</w:t>
            </w:r>
          </w:p>
        </w:tc>
        <w:tc>
          <w:tcPr>
            <w:tcW w:w="1795" w:type="dxa"/>
            <w:tcBorders>
              <w:top w:val="nil"/>
              <w:bottom w:val="nil"/>
            </w:tcBorders>
          </w:tcPr>
          <w:p w:rsidR="00000000" w:rsidRDefault="00000000">
            <w:pPr>
              <w:pStyle w:val="FootnoteText"/>
              <w:tabs>
                <w:tab w:val="decimal" w:pos="567"/>
                <w:tab w:val="decimal" w:pos="3686"/>
              </w:tabs>
              <w:spacing w:line="288" w:lineRule="auto"/>
              <w:jc w:val="center"/>
              <w:rPr>
                <w:lang w:val="en-US"/>
              </w:rPr>
            </w:pPr>
            <w:r>
              <w:rPr>
                <w:lang w:val="en-US"/>
              </w:rPr>
              <w:t xml:space="preserve">  59,06</w:t>
            </w:r>
          </w:p>
        </w:tc>
        <w:tc>
          <w:tcPr>
            <w:tcW w:w="1796" w:type="dxa"/>
            <w:tcBorders>
              <w:top w:val="nil"/>
              <w:bottom w:val="nil"/>
            </w:tcBorders>
          </w:tcPr>
          <w:p w:rsidR="00000000" w:rsidRDefault="00000000">
            <w:pPr>
              <w:pStyle w:val="FootnoteText"/>
              <w:spacing w:line="288" w:lineRule="auto"/>
              <w:jc w:val="center"/>
              <w:rPr>
                <w:lang w:val="en-US"/>
              </w:rPr>
            </w:pPr>
            <w:r>
              <w:rPr>
                <w:lang w:val="en-US"/>
              </w:rPr>
              <w:t>62,51</w:t>
            </w:r>
          </w:p>
        </w:tc>
        <w:tc>
          <w:tcPr>
            <w:tcW w:w="1796" w:type="dxa"/>
            <w:tcBorders>
              <w:top w:val="nil"/>
              <w:bottom w:val="nil"/>
            </w:tcBorders>
          </w:tcPr>
          <w:p w:rsidR="00000000" w:rsidRDefault="00000000">
            <w:pPr>
              <w:pStyle w:val="FootnoteText"/>
              <w:spacing w:line="288" w:lineRule="auto"/>
              <w:jc w:val="center"/>
              <w:rPr>
                <w:lang w:val="en-US"/>
              </w:rPr>
            </w:pPr>
            <w:r>
              <w:rPr>
                <w:lang w:val="en-US"/>
              </w:rPr>
              <w:t>60,74</w:t>
            </w:r>
          </w:p>
        </w:tc>
      </w:tr>
      <w:tr w:rsidR="00000000">
        <w:tblPrEx>
          <w:tblCellMar>
            <w:top w:w="0" w:type="dxa"/>
            <w:bottom w:w="0" w:type="dxa"/>
          </w:tblCellMar>
        </w:tblPrEx>
        <w:tc>
          <w:tcPr>
            <w:tcW w:w="2977" w:type="dxa"/>
            <w:tcBorders>
              <w:top w:val="nil"/>
              <w:bottom w:val="nil"/>
            </w:tcBorders>
          </w:tcPr>
          <w:p w:rsidR="00000000" w:rsidRDefault="00000000">
            <w:pPr>
              <w:pStyle w:val="FootnoteText"/>
              <w:spacing w:line="288" w:lineRule="auto"/>
            </w:pPr>
            <w:r>
              <w:t>Ла-Пас</w:t>
            </w:r>
          </w:p>
        </w:tc>
        <w:tc>
          <w:tcPr>
            <w:tcW w:w="1795" w:type="dxa"/>
            <w:tcBorders>
              <w:top w:val="nil"/>
              <w:bottom w:val="nil"/>
            </w:tcBorders>
          </w:tcPr>
          <w:p w:rsidR="00000000" w:rsidRDefault="00000000">
            <w:pPr>
              <w:pStyle w:val="FootnoteText"/>
              <w:tabs>
                <w:tab w:val="decimal" w:pos="567"/>
                <w:tab w:val="decimal" w:pos="3686"/>
              </w:tabs>
              <w:spacing w:line="288" w:lineRule="auto"/>
              <w:jc w:val="center"/>
              <w:rPr>
                <w:lang w:val="en-US"/>
              </w:rPr>
            </w:pPr>
            <w:r>
              <w:rPr>
                <w:lang w:val="en-US"/>
              </w:rPr>
              <w:t xml:space="preserve">  60,48</w:t>
            </w:r>
          </w:p>
        </w:tc>
        <w:tc>
          <w:tcPr>
            <w:tcW w:w="1796" w:type="dxa"/>
            <w:tcBorders>
              <w:top w:val="nil"/>
              <w:bottom w:val="nil"/>
            </w:tcBorders>
          </w:tcPr>
          <w:p w:rsidR="00000000" w:rsidRDefault="00000000">
            <w:pPr>
              <w:pStyle w:val="FootnoteText"/>
              <w:spacing w:line="288" w:lineRule="auto"/>
              <w:jc w:val="center"/>
              <w:rPr>
                <w:lang w:val="en-US"/>
              </w:rPr>
            </w:pPr>
            <w:r>
              <w:rPr>
                <w:lang w:val="en-US"/>
              </w:rPr>
              <w:t>64,14</w:t>
            </w:r>
          </w:p>
        </w:tc>
        <w:tc>
          <w:tcPr>
            <w:tcW w:w="1796" w:type="dxa"/>
            <w:tcBorders>
              <w:top w:val="nil"/>
              <w:bottom w:val="nil"/>
            </w:tcBorders>
          </w:tcPr>
          <w:p w:rsidR="00000000" w:rsidRDefault="00000000">
            <w:pPr>
              <w:pStyle w:val="FootnoteText"/>
              <w:spacing w:line="288" w:lineRule="auto"/>
              <w:jc w:val="center"/>
              <w:rPr>
                <w:lang w:val="en-US"/>
              </w:rPr>
            </w:pPr>
            <w:r>
              <w:rPr>
                <w:lang w:val="en-US"/>
              </w:rPr>
              <w:t>62,26</w:t>
            </w:r>
          </w:p>
        </w:tc>
      </w:tr>
      <w:tr w:rsidR="00000000">
        <w:tblPrEx>
          <w:tblCellMar>
            <w:top w:w="0" w:type="dxa"/>
            <w:bottom w:w="0" w:type="dxa"/>
          </w:tblCellMar>
        </w:tblPrEx>
        <w:tc>
          <w:tcPr>
            <w:tcW w:w="2977" w:type="dxa"/>
            <w:tcBorders>
              <w:top w:val="nil"/>
              <w:bottom w:val="nil"/>
            </w:tcBorders>
          </w:tcPr>
          <w:p w:rsidR="00000000" w:rsidRDefault="00000000">
            <w:pPr>
              <w:pStyle w:val="FootnoteText"/>
              <w:spacing w:line="288" w:lineRule="auto"/>
            </w:pPr>
            <w:r>
              <w:t>Кочабамба</w:t>
            </w:r>
          </w:p>
        </w:tc>
        <w:tc>
          <w:tcPr>
            <w:tcW w:w="1795" w:type="dxa"/>
            <w:tcBorders>
              <w:top w:val="nil"/>
              <w:bottom w:val="nil"/>
            </w:tcBorders>
          </w:tcPr>
          <w:p w:rsidR="00000000" w:rsidRDefault="00000000">
            <w:pPr>
              <w:pStyle w:val="FootnoteText"/>
              <w:tabs>
                <w:tab w:val="decimal" w:pos="567"/>
                <w:tab w:val="decimal" w:pos="3686"/>
              </w:tabs>
              <w:spacing w:line="288" w:lineRule="auto"/>
              <w:jc w:val="center"/>
              <w:rPr>
                <w:lang w:val="en-US"/>
              </w:rPr>
            </w:pPr>
            <w:r>
              <w:rPr>
                <w:lang w:val="en-US"/>
              </w:rPr>
              <w:t xml:space="preserve">  60,07</w:t>
            </w:r>
          </w:p>
        </w:tc>
        <w:tc>
          <w:tcPr>
            <w:tcW w:w="1796" w:type="dxa"/>
            <w:tcBorders>
              <w:top w:val="nil"/>
              <w:bottom w:val="nil"/>
            </w:tcBorders>
          </w:tcPr>
          <w:p w:rsidR="00000000" w:rsidRDefault="00000000">
            <w:pPr>
              <w:pStyle w:val="FootnoteText"/>
              <w:spacing w:line="288" w:lineRule="auto"/>
              <w:jc w:val="center"/>
              <w:rPr>
                <w:lang w:val="en-US"/>
              </w:rPr>
            </w:pPr>
            <w:r>
              <w:rPr>
                <w:lang w:val="en-US"/>
              </w:rPr>
              <w:t>63,45</w:t>
            </w:r>
          </w:p>
        </w:tc>
        <w:tc>
          <w:tcPr>
            <w:tcW w:w="1796" w:type="dxa"/>
            <w:tcBorders>
              <w:top w:val="nil"/>
              <w:bottom w:val="nil"/>
            </w:tcBorders>
          </w:tcPr>
          <w:p w:rsidR="00000000" w:rsidRDefault="00000000">
            <w:pPr>
              <w:pStyle w:val="FootnoteText"/>
              <w:spacing w:line="288" w:lineRule="auto"/>
              <w:jc w:val="center"/>
              <w:rPr>
                <w:lang w:val="en-US"/>
              </w:rPr>
            </w:pPr>
            <w:r>
              <w:rPr>
                <w:lang w:val="en-US"/>
              </w:rPr>
              <w:t>61,72</w:t>
            </w:r>
          </w:p>
        </w:tc>
      </w:tr>
      <w:tr w:rsidR="00000000">
        <w:tblPrEx>
          <w:tblCellMar>
            <w:top w:w="0" w:type="dxa"/>
            <w:bottom w:w="0" w:type="dxa"/>
          </w:tblCellMar>
        </w:tblPrEx>
        <w:trPr>
          <w:trHeight w:val="307"/>
        </w:trPr>
        <w:tc>
          <w:tcPr>
            <w:tcW w:w="2977" w:type="dxa"/>
            <w:tcBorders>
              <w:top w:val="nil"/>
              <w:bottom w:val="nil"/>
            </w:tcBorders>
          </w:tcPr>
          <w:p w:rsidR="00000000" w:rsidRDefault="00000000">
            <w:pPr>
              <w:pStyle w:val="FootnoteText"/>
              <w:spacing w:line="288" w:lineRule="auto"/>
            </w:pPr>
            <w:r>
              <w:t>Оруро</w:t>
            </w:r>
          </w:p>
        </w:tc>
        <w:tc>
          <w:tcPr>
            <w:tcW w:w="1795" w:type="dxa"/>
            <w:tcBorders>
              <w:top w:val="nil"/>
              <w:bottom w:val="nil"/>
            </w:tcBorders>
          </w:tcPr>
          <w:p w:rsidR="00000000" w:rsidRDefault="00000000">
            <w:pPr>
              <w:pStyle w:val="FootnoteText"/>
              <w:tabs>
                <w:tab w:val="decimal" w:pos="567"/>
                <w:tab w:val="decimal" w:pos="3686"/>
              </w:tabs>
              <w:spacing w:line="288" w:lineRule="auto"/>
              <w:jc w:val="center"/>
              <w:rPr>
                <w:lang w:val="en-US"/>
              </w:rPr>
            </w:pPr>
            <w:r>
              <w:rPr>
                <w:lang w:val="en-US"/>
              </w:rPr>
              <w:t>55,9</w:t>
            </w:r>
          </w:p>
        </w:tc>
        <w:tc>
          <w:tcPr>
            <w:tcW w:w="1796" w:type="dxa"/>
            <w:tcBorders>
              <w:top w:val="nil"/>
              <w:bottom w:val="nil"/>
            </w:tcBorders>
          </w:tcPr>
          <w:p w:rsidR="00000000" w:rsidRDefault="00000000">
            <w:pPr>
              <w:pStyle w:val="FootnoteText"/>
              <w:spacing w:line="288" w:lineRule="auto"/>
              <w:jc w:val="center"/>
              <w:rPr>
                <w:lang w:val="en-US"/>
              </w:rPr>
            </w:pPr>
            <w:r>
              <w:rPr>
                <w:lang w:val="en-US"/>
              </w:rPr>
              <w:t>59,32</w:t>
            </w:r>
          </w:p>
        </w:tc>
        <w:tc>
          <w:tcPr>
            <w:tcW w:w="1796" w:type="dxa"/>
            <w:tcBorders>
              <w:top w:val="nil"/>
              <w:bottom w:val="nil"/>
            </w:tcBorders>
          </w:tcPr>
          <w:p w:rsidR="00000000" w:rsidRDefault="00000000">
            <w:pPr>
              <w:pStyle w:val="FootnoteText"/>
              <w:spacing w:line="288" w:lineRule="auto"/>
              <w:jc w:val="center"/>
              <w:rPr>
                <w:lang w:val="en-US"/>
              </w:rPr>
            </w:pPr>
            <w:r>
              <w:rPr>
                <w:lang w:val="en-US"/>
              </w:rPr>
              <w:t>57,57</w:t>
            </w:r>
          </w:p>
        </w:tc>
      </w:tr>
      <w:tr w:rsidR="00000000">
        <w:tblPrEx>
          <w:tblCellMar>
            <w:top w:w="0" w:type="dxa"/>
            <w:bottom w:w="0" w:type="dxa"/>
          </w:tblCellMar>
        </w:tblPrEx>
        <w:tc>
          <w:tcPr>
            <w:tcW w:w="2977" w:type="dxa"/>
            <w:tcBorders>
              <w:top w:val="nil"/>
              <w:bottom w:val="nil"/>
            </w:tcBorders>
          </w:tcPr>
          <w:p w:rsidR="00000000" w:rsidRDefault="00000000">
            <w:pPr>
              <w:pStyle w:val="FootnoteText"/>
              <w:spacing w:line="288" w:lineRule="auto"/>
            </w:pPr>
            <w:r>
              <w:t>Потоси</w:t>
            </w:r>
          </w:p>
        </w:tc>
        <w:tc>
          <w:tcPr>
            <w:tcW w:w="1795" w:type="dxa"/>
            <w:tcBorders>
              <w:top w:val="nil"/>
              <w:bottom w:val="nil"/>
            </w:tcBorders>
          </w:tcPr>
          <w:p w:rsidR="00000000" w:rsidRDefault="00000000">
            <w:pPr>
              <w:pStyle w:val="FootnoteText"/>
              <w:tabs>
                <w:tab w:val="decimal" w:pos="567"/>
                <w:tab w:val="decimal" w:pos="3686"/>
              </w:tabs>
              <w:spacing w:line="288" w:lineRule="auto"/>
              <w:jc w:val="center"/>
              <w:rPr>
                <w:lang w:val="en-US"/>
              </w:rPr>
            </w:pPr>
            <w:r>
              <w:rPr>
                <w:lang w:val="en-US"/>
              </w:rPr>
              <w:t xml:space="preserve">  55,34</w:t>
            </w:r>
          </w:p>
        </w:tc>
        <w:tc>
          <w:tcPr>
            <w:tcW w:w="1796" w:type="dxa"/>
            <w:tcBorders>
              <w:top w:val="nil"/>
              <w:bottom w:val="nil"/>
            </w:tcBorders>
          </w:tcPr>
          <w:p w:rsidR="00000000" w:rsidRDefault="00000000">
            <w:pPr>
              <w:pStyle w:val="FootnoteText"/>
              <w:spacing w:line="288" w:lineRule="auto"/>
              <w:jc w:val="center"/>
              <w:rPr>
                <w:lang w:val="en-US"/>
              </w:rPr>
            </w:pPr>
            <w:r>
              <w:rPr>
                <w:lang w:val="en-US"/>
              </w:rPr>
              <w:t>58,75</w:t>
            </w:r>
          </w:p>
        </w:tc>
        <w:tc>
          <w:tcPr>
            <w:tcW w:w="1796" w:type="dxa"/>
            <w:tcBorders>
              <w:top w:val="nil"/>
              <w:bottom w:val="nil"/>
            </w:tcBorders>
          </w:tcPr>
          <w:p w:rsidR="00000000" w:rsidRDefault="00000000">
            <w:pPr>
              <w:pStyle w:val="FootnoteText"/>
              <w:spacing w:line="288" w:lineRule="auto"/>
              <w:jc w:val="center"/>
              <w:rPr>
                <w:lang w:val="en-US"/>
              </w:rPr>
            </w:pPr>
            <w:r>
              <w:rPr>
                <w:lang w:val="en-US"/>
              </w:rPr>
              <w:t>57,02</w:t>
            </w:r>
          </w:p>
        </w:tc>
      </w:tr>
      <w:tr w:rsidR="00000000">
        <w:tblPrEx>
          <w:tblCellMar>
            <w:top w:w="0" w:type="dxa"/>
            <w:bottom w:w="0" w:type="dxa"/>
          </w:tblCellMar>
        </w:tblPrEx>
        <w:tc>
          <w:tcPr>
            <w:tcW w:w="2977" w:type="dxa"/>
            <w:tcBorders>
              <w:top w:val="nil"/>
              <w:bottom w:val="nil"/>
            </w:tcBorders>
          </w:tcPr>
          <w:p w:rsidR="00000000" w:rsidRDefault="00000000">
            <w:pPr>
              <w:pStyle w:val="FootnoteText"/>
              <w:spacing w:line="288" w:lineRule="auto"/>
            </w:pPr>
            <w:r>
              <w:t>Тариха</w:t>
            </w:r>
          </w:p>
        </w:tc>
        <w:tc>
          <w:tcPr>
            <w:tcW w:w="1795" w:type="dxa"/>
            <w:tcBorders>
              <w:top w:val="nil"/>
              <w:bottom w:val="nil"/>
            </w:tcBorders>
          </w:tcPr>
          <w:p w:rsidR="00000000" w:rsidRDefault="00000000">
            <w:pPr>
              <w:pStyle w:val="FootnoteText"/>
              <w:tabs>
                <w:tab w:val="decimal" w:pos="567"/>
                <w:tab w:val="decimal" w:pos="3686"/>
              </w:tabs>
              <w:spacing w:line="288" w:lineRule="auto"/>
              <w:jc w:val="center"/>
              <w:rPr>
                <w:lang w:val="en-US"/>
              </w:rPr>
            </w:pPr>
            <w:r>
              <w:rPr>
                <w:lang w:val="en-US"/>
              </w:rPr>
              <w:t xml:space="preserve">  64,08</w:t>
            </w:r>
          </w:p>
        </w:tc>
        <w:tc>
          <w:tcPr>
            <w:tcW w:w="1796" w:type="dxa"/>
            <w:tcBorders>
              <w:top w:val="nil"/>
              <w:bottom w:val="nil"/>
            </w:tcBorders>
          </w:tcPr>
          <w:p w:rsidR="00000000" w:rsidRDefault="00000000">
            <w:pPr>
              <w:pStyle w:val="FootnoteText"/>
              <w:spacing w:line="288" w:lineRule="auto"/>
              <w:jc w:val="center"/>
              <w:rPr>
                <w:lang w:val="en-US"/>
              </w:rPr>
            </w:pPr>
            <w:r>
              <w:rPr>
                <w:lang w:val="en-US"/>
              </w:rPr>
              <w:t>67,67</w:t>
            </w:r>
          </w:p>
        </w:tc>
        <w:tc>
          <w:tcPr>
            <w:tcW w:w="1796" w:type="dxa"/>
            <w:tcBorders>
              <w:top w:val="nil"/>
              <w:bottom w:val="nil"/>
            </w:tcBorders>
          </w:tcPr>
          <w:p w:rsidR="00000000" w:rsidRDefault="00000000">
            <w:pPr>
              <w:pStyle w:val="FootnoteText"/>
              <w:spacing w:line="288" w:lineRule="auto"/>
              <w:jc w:val="center"/>
              <w:rPr>
                <w:lang w:val="en-US"/>
              </w:rPr>
            </w:pPr>
            <w:r>
              <w:rPr>
                <w:lang w:val="en-US"/>
              </w:rPr>
              <w:t>65,84</w:t>
            </w:r>
          </w:p>
        </w:tc>
      </w:tr>
      <w:tr w:rsidR="00000000">
        <w:tblPrEx>
          <w:tblCellMar>
            <w:top w:w="0" w:type="dxa"/>
            <w:bottom w:w="0" w:type="dxa"/>
          </w:tblCellMar>
        </w:tblPrEx>
        <w:tc>
          <w:tcPr>
            <w:tcW w:w="2977" w:type="dxa"/>
            <w:tcBorders>
              <w:top w:val="nil"/>
              <w:bottom w:val="nil"/>
            </w:tcBorders>
          </w:tcPr>
          <w:p w:rsidR="00000000" w:rsidRDefault="00000000">
            <w:pPr>
              <w:pStyle w:val="FootnoteText"/>
              <w:spacing w:line="288" w:lineRule="auto"/>
            </w:pPr>
            <w:proofErr w:type="spellStart"/>
            <w:r>
              <w:t>Санта-Крус</w:t>
            </w:r>
            <w:proofErr w:type="spellEnd"/>
          </w:p>
        </w:tc>
        <w:tc>
          <w:tcPr>
            <w:tcW w:w="1795" w:type="dxa"/>
            <w:tcBorders>
              <w:top w:val="nil"/>
              <w:bottom w:val="nil"/>
            </w:tcBorders>
          </w:tcPr>
          <w:p w:rsidR="00000000" w:rsidRDefault="00000000">
            <w:pPr>
              <w:pStyle w:val="FootnoteText"/>
              <w:tabs>
                <w:tab w:val="decimal" w:pos="567"/>
                <w:tab w:val="decimal" w:pos="3686"/>
              </w:tabs>
              <w:spacing w:line="288" w:lineRule="auto"/>
              <w:jc w:val="center"/>
              <w:rPr>
                <w:lang w:val="en-US"/>
              </w:rPr>
            </w:pPr>
            <w:r>
              <w:rPr>
                <w:lang w:val="en-US"/>
              </w:rPr>
              <w:t>64,6</w:t>
            </w:r>
          </w:p>
        </w:tc>
        <w:tc>
          <w:tcPr>
            <w:tcW w:w="1796" w:type="dxa"/>
            <w:tcBorders>
              <w:top w:val="nil"/>
              <w:bottom w:val="nil"/>
            </w:tcBorders>
          </w:tcPr>
          <w:p w:rsidR="00000000" w:rsidRDefault="00000000">
            <w:pPr>
              <w:pStyle w:val="FootnoteText"/>
              <w:spacing w:line="288" w:lineRule="auto"/>
              <w:jc w:val="center"/>
              <w:rPr>
                <w:lang w:val="en-US"/>
              </w:rPr>
            </w:pPr>
            <w:r>
              <w:rPr>
                <w:lang w:val="en-US"/>
              </w:rPr>
              <w:t>68,12</w:t>
            </w:r>
          </w:p>
        </w:tc>
        <w:tc>
          <w:tcPr>
            <w:tcW w:w="1796" w:type="dxa"/>
            <w:tcBorders>
              <w:top w:val="nil"/>
              <w:bottom w:val="nil"/>
            </w:tcBorders>
          </w:tcPr>
          <w:p w:rsidR="00000000" w:rsidRDefault="00000000">
            <w:pPr>
              <w:pStyle w:val="FootnoteText"/>
              <w:spacing w:line="288" w:lineRule="auto"/>
              <w:jc w:val="center"/>
              <w:rPr>
                <w:lang w:val="en-US"/>
              </w:rPr>
            </w:pPr>
            <w:r>
              <w:rPr>
                <w:lang w:val="en-US"/>
              </w:rPr>
              <w:t>66,31</w:t>
            </w:r>
          </w:p>
        </w:tc>
      </w:tr>
      <w:tr w:rsidR="00000000">
        <w:tblPrEx>
          <w:tblCellMar>
            <w:top w:w="0" w:type="dxa"/>
            <w:bottom w:w="0" w:type="dxa"/>
          </w:tblCellMar>
        </w:tblPrEx>
        <w:tc>
          <w:tcPr>
            <w:tcW w:w="2977" w:type="dxa"/>
            <w:tcBorders>
              <w:top w:val="nil"/>
              <w:bottom w:val="nil"/>
            </w:tcBorders>
          </w:tcPr>
          <w:p w:rsidR="00000000" w:rsidRDefault="00000000">
            <w:pPr>
              <w:pStyle w:val="FootnoteText"/>
              <w:spacing w:line="288" w:lineRule="auto"/>
            </w:pPr>
            <w:r>
              <w:t>Бени</w:t>
            </w:r>
          </w:p>
        </w:tc>
        <w:tc>
          <w:tcPr>
            <w:tcW w:w="1795" w:type="dxa"/>
            <w:tcBorders>
              <w:top w:val="nil"/>
              <w:bottom w:val="nil"/>
            </w:tcBorders>
          </w:tcPr>
          <w:p w:rsidR="00000000" w:rsidRDefault="00000000">
            <w:pPr>
              <w:pStyle w:val="FootnoteText"/>
              <w:tabs>
                <w:tab w:val="decimal" w:pos="567"/>
                <w:tab w:val="decimal" w:pos="3686"/>
              </w:tabs>
              <w:spacing w:line="288" w:lineRule="auto"/>
              <w:jc w:val="center"/>
              <w:rPr>
                <w:lang w:val="en-US"/>
              </w:rPr>
            </w:pPr>
            <w:r>
              <w:rPr>
                <w:lang w:val="en-US"/>
              </w:rPr>
              <w:t xml:space="preserve">  58,81</w:t>
            </w:r>
          </w:p>
        </w:tc>
        <w:tc>
          <w:tcPr>
            <w:tcW w:w="1796" w:type="dxa"/>
            <w:tcBorders>
              <w:top w:val="nil"/>
              <w:bottom w:val="nil"/>
            </w:tcBorders>
          </w:tcPr>
          <w:p w:rsidR="00000000" w:rsidRDefault="00000000">
            <w:pPr>
              <w:pStyle w:val="FootnoteText"/>
              <w:spacing w:line="288" w:lineRule="auto"/>
              <w:jc w:val="center"/>
              <w:rPr>
                <w:lang w:val="en-US"/>
              </w:rPr>
            </w:pPr>
            <w:r>
              <w:rPr>
                <w:lang w:val="en-US"/>
              </w:rPr>
              <w:t>62,21</w:t>
            </w:r>
          </w:p>
        </w:tc>
        <w:tc>
          <w:tcPr>
            <w:tcW w:w="1796" w:type="dxa"/>
            <w:tcBorders>
              <w:top w:val="nil"/>
              <w:bottom w:val="nil"/>
            </w:tcBorders>
          </w:tcPr>
          <w:p w:rsidR="00000000" w:rsidRDefault="00000000">
            <w:pPr>
              <w:pStyle w:val="FootnoteText"/>
              <w:spacing w:line="288" w:lineRule="auto"/>
              <w:jc w:val="center"/>
              <w:rPr>
                <w:lang w:val="en-US"/>
              </w:rPr>
            </w:pPr>
            <w:r>
              <w:rPr>
                <w:lang w:val="en-US"/>
              </w:rPr>
              <w:t>60,46</w:t>
            </w:r>
          </w:p>
        </w:tc>
      </w:tr>
      <w:tr w:rsidR="00000000">
        <w:tblPrEx>
          <w:tblCellMar>
            <w:top w:w="0" w:type="dxa"/>
            <w:bottom w:w="0" w:type="dxa"/>
          </w:tblCellMar>
        </w:tblPrEx>
        <w:tc>
          <w:tcPr>
            <w:tcW w:w="2977" w:type="dxa"/>
            <w:tcBorders>
              <w:top w:val="nil"/>
            </w:tcBorders>
          </w:tcPr>
          <w:p w:rsidR="00000000" w:rsidRDefault="00000000">
            <w:pPr>
              <w:pStyle w:val="FootnoteText"/>
              <w:spacing w:line="288" w:lineRule="auto"/>
            </w:pPr>
            <w:r>
              <w:t>Пандо</w:t>
            </w:r>
          </w:p>
        </w:tc>
        <w:tc>
          <w:tcPr>
            <w:tcW w:w="1795" w:type="dxa"/>
            <w:tcBorders>
              <w:top w:val="nil"/>
            </w:tcBorders>
          </w:tcPr>
          <w:p w:rsidR="00000000" w:rsidRDefault="00000000">
            <w:pPr>
              <w:pStyle w:val="FootnoteText"/>
              <w:tabs>
                <w:tab w:val="decimal" w:pos="567"/>
                <w:tab w:val="decimal" w:pos="3686"/>
              </w:tabs>
              <w:spacing w:line="288" w:lineRule="auto"/>
              <w:jc w:val="center"/>
              <w:rPr>
                <w:lang w:val="en-US"/>
              </w:rPr>
            </w:pPr>
            <w:r>
              <w:rPr>
                <w:lang w:val="en-US"/>
              </w:rPr>
              <w:t xml:space="preserve">  59,57</w:t>
            </w:r>
          </w:p>
        </w:tc>
        <w:tc>
          <w:tcPr>
            <w:tcW w:w="1796" w:type="dxa"/>
            <w:tcBorders>
              <w:top w:val="nil"/>
            </w:tcBorders>
          </w:tcPr>
          <w:p w:rsidR="00000000" w:rsidRDefault="00000000">
            <w:pPr>
              <w:pStyle w:val="FootnoteText"/>
              <w:spacing w:line="288" w:lineRule="auto"/>
              <w:jc w:val="center"/>
              <w:rPr>
                <w:lang w:val="en-US"/>
              </w:rPr>
            </w:pPr>
            <w:r>
              <w:rPr>
                <w:lang w:val="en-US"/>
              </w:rPr>
              <w:t>60,78</w:t>
            </w:r>
          </w:p>
        </w:tc>
        <w:tc>
          <w:tcPr>
            <w:tcW w:w="1796" w:type="dxa"/>
            <w:tcBorders>
              <w:top w:val="nil"/>
            </w:tcBorders>
          </w:tcPr>
          <w:p w:rsidR="00000000" w:rsidRDefault="00000000">
            <w:pPr>
              <w:pStyle w:val="FootnoteText"/>
              <w:spacing w:line="288" w:lineRule="auto"/>
              <w:jc w:val="center"/>
              <w:rPr>
                <w:lang w:val="en-US"/>
              </w:rPr>
            </w:pPr>
            <w:r>
              <w:rPr>
                <w:lang w:val="en-US"/>
              </w:rPr>
              <w:t>61,14</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НСИ.</w:t>
      </w:r>
    </w:p>
    <w:p w:rsidR="00000000" w:rsidRDefault="00000000">
      <w:pPr>
        <w:pStyle w:val="FootnoteText"/>
        <w:spacing w:line="288" w:lineRule="auto"/>
      </w:pPr>
    </w:p>
    <w:p w:rsidR="00000000" w:rsidRDefault="00000000">
      <w:pPr>
        <w:pStyle w:val="FootnoteText"/>
        <w:keepNext/>
        <w:spacing w:line="288" w:lineRule="auto"/>
      </w:pPr>
      <w:r>
        <w:rPr>
          <w:u w:val="single"/>
        </w:rPr>
        <w:t xml:space="preserve">Пункт 4 </w:t>
      </w:r>
      <w:r>
        <w:rPr>
          <w:u w:val="single"/>
          <w:lang w:val="en-US"/>
        </w:rPr>
        <w:t>f</w:t>
      </w:r>
      <w:r>
        <w:t>)</w:t>
      </w:r>
    </w:p>
    <w:p w:rsidR="00000000" w:rsidRDefault="00000000">
      <w:pPr>
        <w:pStyle w:val="FootnoteText"/>
        <w:keepNext/>
        <w:spacing w:line="288" w:lineRule="auto"/>
      </w:pPr>
    </w:p>
    <w:p w:rsidR="00000000" w:rsidRDefault="00000000">
      <w:pPr>
        <w:pStyle w:val="FootnoteText"/>
        <w:spacing w:line="288" w:lineRule="auto"/>
      </w:pPr>
      <w:r>
        <w:t>398.</w:t>
      </w:r>
      <w:r>
        <w:tab/>
        <w:t>Кодекс социального обеспечения предусматривает всеобщий доступ населения к системе медицинского обслуживания и необходимым медицинским препаратам.  Тем не менее этот принцип пока что не удалось осуществить на практике.  С одной стороны, система социального обеспечения не охватывает сельское население, которое составляет 42,5% от общей численности населения страны, и, с другой стороны, включает в качестве выплачивающих взносы членов всего 11,46% от общей численности экономически активного населения.  Более того, доля охвата населения системой пенсионных пособий постепенно сокращается.  В 1993 году система охватывала 17,18% застрахованных лиц из категории экономически активного населения;  иными словами, льготами в рамках этой системы в качестве выплачивающих взносы активных членов и членов их семей (супруги и дети) пользовалась только шестая часть жителей страны.</w:t>
      </w:r>
    </w:p>
    <w:p w:rsidR="00000000" w:rsidRDefault="00000000">
      <w:pPr>
        <w:pStyle w:val="FootnoteText"/>
        <w:spacing w:line="288" w:lineRule="auto"/>
      </w:pPr>
    </w:p>
    <w:p w:rsidR="00000000" w:rsidRDefault="00000000">
      <w:pPr>
        <w:pStyle w:val="FootnoteText"/>
        <w:spacing w:line="288" w:lineRule="auto"/>
      </w:pPr>
      <w:r>
        <w:t>399.</w:t>
      </w:r>
      <w:r>
        <w:tab/>
        <w:t>В главе III тома III Кодекса социального обеспечения устанавливаются следующие цели стратегии, направленной на стабилизацию общества и содействие экономическому росту, занятости, социальному развитию и модернизации государства применительно к системе социального обеспечения:</w:t>
      </w:r>
    </w:p>
    <w:p w:rsidR="00000000" w:rsidRDefault="00000000">
      <w:pPr>
        <w:pStyle w:val="FootnoteText"/>
        <w:spacing w:line="288" w:lineRule="auto"/>
      </w:pPr>
    </w:p>
    <w:p w:rsidR="00000000" w:rsidRDefault="00000000">
      <w:pPr>
        <w:pStyle w:val="FootnoteText"/>
        <w:spacing w:line="288" w:lineRule="auto"/>
        <w:ind w:left="567" w:hanging="567"/>
      </w:pPr>
      <w:r>
        <w:tab/>
      </w:r>
      <w:r>
        <w:rPr>
          <w:b/>
        </w:rPr>
        <w:t>Статья 83</w:t>
      </w:r>
      <w:r>
        <w:t>:  Расширение охвата и повышение уровня социальной защиты всех трудящихся, независимо от того, распространяются ли на них положения коллективных договоров, заключаемых между трудящимися и предпринимателями.  Согласно переписи населения 1992 года, численность работников системы здравоохранения составляла 25 229 человек (10 287 мужчин и 14 942 женщины;  24 872 занятых и 357 безработных).</w:t>
      </w:r>
    </w:p>
    <w:p w:rsidR="00000000" w:rsidRDefault="00000000">
      <w:pPr>
        <w:pStyle w:val="FootnoteText"/>
        <w:spacing w:line="288" w:lineRule="auto"/>
        <w:ind w:left="567" w:hanging="567"/>
      </w:pPr>
    </w:p>
    <w:p w:rsidR="00000000" w:rsidRDefault="00000000">
      <w:pPr>
        <w:pStyle w:val="FootnoteText"/>
        <w:spacing w:line="288" w:lineRule="auto"/>
      </w:pPr>
      <w:r>
        <w:t>400.</w:t>
      </w:r>
      <w:r>
        <w:tab/>
        <w:t xml:space="preserve">В настоящее время в децентрализованном государственном подсекторе здравоохранения занято 12 056 человек, а в государственном автономном подсекторе – 9 317 человек.  Иными словами, всего в государственном подсекторе здравоохранения занято 21 317 человек, из которых 4 011 – врачи, 2 035 – сотрудники системы социального обеспечения, 1 894 – фельдшерский состав, 4 792 – младший обслуживающий персонал и 10 541 – административные работники и обслуживающий персонал.  Основные ресурсы системы здравоохранения сосредоточены в районах с наивысшими темпами экономического развития (Ла-Пас, </w:t>
      </w:r>
      <w:proofErr w:type="spellStart"/>
      <w:r>
        <w:t>Кочабамба</w:t>
      </w:r>
      <w:proofErr w:type="spellEnd"/>
      <w:r>
        <w:t xml:space="preserve"> и </w:t>
      </w:r>
      <w:proofErr w:type="spellStart"/>
      <w:r>
        <w:t>Санта-Крус</w:t>
      </w:r>
      <w:proofErr w:type="spellEnd"/>
      <w:r>
        <w:t>), а около 80% специалистов работают в городах в специализированных медицинских учреждениях.  После введения в действие в 1996 году законодательства о децентрализации был начат процесс перевода медицинского персонала в префектуры департаментов и разработки норм, определяющих режим реорганизации учреждений на уровне департаментов и систему их ведомственного подчинения.  В настоящее время этот процесс находится на этапе реорганизации муниципальных систем охраны здоровья и соответствующего перераспределения функций и укомплектования кадрами.</w:t>
      </w:r>
    </w:p>
    <w:p w:rsidR="00000000" w:rsidRDefault="00000000">
      <w:pPr>
        <w:pStyle w:val="FootnoteText"/>
        <w:spacing w:line="288" w:lineRule="auto"/>
      </w:pPr>
    </w:p>
    <w:p w:rsidR="00000000" w:rsidRDefault="00000000">
      <w:pPr>
        <w:pStyle w:val="FootnoteText"/>
        <w:spacing w:line="288" w:lineRule="auto"/>
      </w:pPr>
      <w:r>
        <w:t>401.</w:t>
      </w:r>
      <w:r>
        <w:tab/>
        <w:t>20% из 311 муниципалитетов страны не располагают квалифицированными медицинскими работниками;  в этих муниципалитетах медицинская помощь оказывается общинными службами общего профиля.</w:t>
      </w:r>
    </w:p>
    <w:p w:rsidR="00000000" w:rsidRDefault="00000000">
      <w:pPr>
        <w:pStyle w:val="FootnoteText"/>
        <w:spacing w:line="288" w:lineRule="auto"/>
      </w:pPr>
    </w:p>
    <w:p w:rsidR="00000000" w:rsidRDefault="00000000">
      <w:pPr>
        <w:pStyle w:val="FootnoteText"/>
        <w:spacing w:line="288" w:lineRule="auto"/>
      </w:pPr>
      <w:r>
        <w:t>402.</w:t>
      </w:r>
      <w:r>
        <w:tab/>
        <w:t xml:space="preserve">Наличие эффективной системы контроля обеспечило успешную реализацию национальных иммунизационных программ, направленных на сокращение заболеваемости и выявление районов и групп населения, нуждающихся в дополнительной помощи.  Существенные позитивные изменения претерпела система эпидемиологического контроля как в плане сбора информации в учреждениях системы здравоохранения, так и в плане сотрудничества с медицинскими лабораториями.  Растет количество информационных служб, при этом следует отметить, что в некоторых районах они включаются в состав предприятий частного сектора и в состав застрахованных предприятий.  </w:t>
      </w:r>
    </w:p>
    <w:p w:rsidR="00000000" w:rsidRDefault="00000000">
      <w:pPr>
        <w:pStyle w:val="FootnoteText"/>
        <w:spacing w:line="288" w:lineRule="auto"/>
      </w:pPr>
    </w:p>
    <w:p w:rsidR="00000000" w:rsidRDefault="00000000">
      <w:pPr>
        <w:pStyle w:val="FootnoteText"/>
        <w:spacing w:line="288" w:lineRule="auto"/>
      </w:pPr>
      <w:r>
        <w:t>403.</w:t>
      </w:r>
      <w:r>
        <w:tab/>
        <w:t>В статье 12, касающейся снабжения медикаментами и медицинскими препаратами, постановления об осуществлении Указа № 125265 о создании системы базового медицинского страхования предусматривается следующее:</w:t>
      </w:r>
    </w:p>
    <w:p w:rsidR="00000000" w:rsidRDefault="00000000">
      <w:pPr>
        <w:pStyle w:val="FootnoteText"/>
        <w:spacing w:line="288" w:lineRule="auto"/>
      </w:pPr>
    </w:p>
    <w:p w:rsidR="00000000" w:rsidRDefault="00000000">
      <w:pPr>
        <w:pStyle w:val="FootnoteText"/>
        <w:spacing w:line="288" w:lineRule="auto"/>
      </w:pPr>
      <w:r>
        <w:tab/>
        <w:t>а)</w:t>
      </w:r>
      <w:r>
        <w:tab/>
        <w:t>районные управления здравоохранения и медицинские учреждения второго и третьего уровня получают необходимые медикаменты и медицинские препараты из лабораторий при районных отделах снабжения (РОС), находящихся в ведении Центрального медицинского управления по вопросам снабжения (ЦМУС) в качестве децентрализованного отделения министерства здравоохранения и социального обеспечения и одного из элементов Национальной программы снабжения населения медикаментами первой необходимости (НПМПН), в рамках которой определяются такие параметры, как качество, сроки доставки и стоимость медицинских препаратов.  В случае отсутствия запрашиваемых медицинских препаратов или наличия более выгодной экономической конъюнктуры соответствующие медикаменты приобретаются через других предусмотренных законами поставщиков;</w:t>
      </w:r>
    </w:p>
    <w:p w:rsidR="00000000" w:rsidRDefault="00000000">
      <w:pPr>
        <w:pStyle w:val="FootnoteText"/>
        <w:spacing w:line="288" w:lineRule="auto"/>
      </w:pPr>
    </w:p>
    <w:p w:rsidR="00000000" w:rsidRDefault="00000000">
      <w:pPr>
        <w:pStyle w:val="FootnoteText"/>
        <w:spacing w:line="288" w:lineRule="auto"/>
      </w:pPr>
      <w:r>
        <w:tab/>
        <w:t>b)</w:t>
      </w:r>
      <w:r>
        <w:tab/>
        <w:t>медицинские учреждения не могут получать от муниципальных властей медицинские препараты в качестве платы за оказываемые застрахованным лицам услуги;  существует только две формы оплаты медицинских услуг:  наличные или чеки;</w:t>
      </w:r>
    </w:p>
    <w:p w:rsidR="00000000" w:rsidRDefault="00000000">
      <w:pPr>
        <w:pStyle w:val="FootnoteText"/>
        <w:spacing w:line="288" w:lineRule="auto"/>
      </w:pPr>
    </w:p>
    <w:p w:rsidR="00000000" w:rsidRDefault="00000000">
      <w:pPr>
        <w:pStyle w:val="FootnoteText"/>
        <w:spacing w:line="288" w:lineRule="auto"/>
      </w:pPr>
      <w:r>
        <w:tab/>
        <w:t>с)</w:t>
      </w:r>
      <w:r>
        <w:tab/>
        <w:t>основные медикаменты, используемые в системе базового медицинского страхования, должны фигурировать в соответствующем медико-санитарном реестре;</w:t>
      </w:r>
    </w:p>
    <w:p w:rsidR="00000000" w:rsidRDefault="00000000">
      <w:pPr>
        <w:pStyle w:val="FootnoteText"/>
        <w:spacing w:line="288" w:lineRule="auto"/>
      </w:pPr>
    </w:p>
    <w:p w:rsidR="00000000" w:rsidRDefault="00000000">
      <w:pPr>
        <w:pStyle w:val="FootnoteText"/>
        <w:spacing w:line="288" w:lineRule="auto"/>
      </w:pPr>
      <w:r>
        <w:tab/>
      </w:r>
      <w:r>
        <w:rPr>
          <w:lang w:val="en-US"/>
        </w:rPr>
        <w:t>d</w:t>
      </w:r>
      <w:r>
        <w:t>)</w:t>
      </w:r>
      <w:r>
        <w:tab/>
        <w:t>для целей закупки основных медикаментов и медицинских препаратов соответствующие службы государственного сектора должны в обязательном порядке запрашивать котировки ЦМУС или РОС;</w:t>
      </w:r>
    </w:p>
    <w:p w:rsidR="00000000" w:rsidRDefault="00000000">
      <w:pPr>
        <w:pStyle w:val="FootnoteText"/>
        <w:spacing w:line="288" w:lineRule="auto"/>
      </w:pPr>
    </w:p>
    <w:p w:rsidR="00000000" w:rsidRDefault="00000000">
      <w:pPr>
        <w:pStyle w:val="FootnoteText"/>
        <w:spacing w:line="288" w:lineRule="auto"/>
      </w:pPr>
      <w:r>
        <w:tab/>
      </w:r>
      <w:proofErr w:type="spellStart"/>
      <w:r>
        <w:t>е</w:t>
      </w:r>
      <w:proofErr w:type="spellEnd"/>
      <w:r>
        <w:t>)</w:t>
      </w:r>
      <w:r>
        <w:tab/>
        <w:t>цены на медикаменты и медицинские препараты, фигурирующие в приложении 1 к вышеупомянутому Указу, определяются с учетом конкретных расходов ЦМУС;</w:t>
      </w:r>
    </w:p>
    <w:p w:rsidR="00000000" w:rsidRDefault="00000000">
      <w:pPr>
        <w:pStyle w:val="FootnoteText"/>
        <w:spacing w:line="288" w:lineRule="auto"/>
      </w:pPr>
    </w:p>
    <w:p w:rsidR="00000000" w:rsidRDefault="00000000">
      <w:pPr>
        <w:pStyle w:val="FootnoteText"/>
        <w:spacing w:line="288" w:lineRule="auto"/>
      </w:pPr>
      <w:r>
        <w:rPr>
          <w:lang w:val="en-US"/>
        </w:rPr>
        <w:tab/>
        <w:t>f)</w:t>
      </w:r>
      <w:r>
        <w:rPr>
          <w:lang w:val="en-US"/>
        </w:rPr>
        <w:tab/>
      </w:r>
      <w:r>
        <w:t>раз в три месяца РОС составляет доклад о состоянии счетов районных учреждений охраны здоровья, больниц или служб, находящихся в ведении департаментского управления базового медицинского страхования, с целью осуществления административно-финансового контроля за финансовыми расходами.</w:t>
      </w:r>
    </w:p>
    <w:p w:rsidR="00000000" w:rsidRDefault="00000000">
      <w:pPr>
        <w:pStyle w:val="FootnoteText"/>
        <w:spacing w:line="288" w:lineRule="auto"/>
      </w:pPr>
    </w:p>
    <w:p w:rsidR="00000000" w:rsidRDefault="00000000">
      <w:pPr>
        <w:pStyle w:val="FootnoteText"/>
        <w:spacing w:line="288" w:lineRule="auto"/>
      </w:pPr>
      <w:r>
        <w:rPr>
          <w:u w:val="single"/>
        </w:rPr>
        <w:t xml:space="preserve">Пункт 4 </w:t>
      </w:r>
      <w:proofErr w:type="spellStart"/>
      <w:r>
        <w:rPr>
          <w:u w:val="single"/>
        </w:rPr>
        <w:t>g</w:t>
      </w:r>
      <w:proofErr w:type="spellEnd"/>
      <w:r>
        <w:t>)</w:t>
      </w:r>
    </w:p>
    <w:p w:rsidR="00000000" w:rsidRDefault="00000000">
      <w:pPr>
        <w:pStyle w:val="FootnoteText"/>
        <w:spacing w:line="288" w:lineRule="auto"/>
      </w:pPr>
    </w:p>
    <w:p w:rsidR="00000000" w:rsidRDefault="00000000">
      <w:pPr>
        <w:pStyle w:val="FootnoteText"/>
        <w:spacing w:line="288" w:lineRule="auto"/>
      </w:pPr>
      <w:r>
        <w:t>404.</w:t>
      </w:r>
      <w:r>
        <w:tab/>
        <w:t>Данные НДМО за 1998 год свидетельствуют о стабилизации среднего показателя материнской смертности:  416 случаев смерти на 100 000 рождений.</w:t>
      </w:r>
      <w:r>
        <w:rPr>
          <w:lang w:val="en-US"/>
        </w:rPr>
        <w:t xml:space="preserve">  </w:t>
      </w:r>
      <w:r>
        <w:t>В районах плоскогорья показатель материнской смертности составляет 602 случая смерти на 100 000</w:t>
      </w:r>
      <w:r>
        <w:rPr>
          <w:lang w:val="en-US"/>
        </w:rPr>
        <w:t> </w:t>
      </w:r>
      <w:r>
        <w:t>рождений, т.е. более чем в два раза выше, чем в районах предгорья (293 случая), и почти в шесть раз выше, чем в равнинных районах (110 случаев).  Показатель материнской смертности в городах составляет 274 случая смерти на 100 000 живорождений, а в сельской местности – 524 случая (в сельских районах плоскогорья этот показатель составляет 887 случаев смерти на 100 000 живорождений).  Только половина беременных женщин обслуживалась в период беременности квалифицированным персоналом (врач, акушерка, младший медицинский персонал);  47% беременных женщин не получали никакой дородовой помощи.  Только половине женщин была сделана противостолбнячная прививка;  наибольший охват – в равнинных департаментах страны (чуть более 60%).  Велика доля рождений в домашних условиях (57%), 40% из которых происходила без участия квалифицированного персонала.  Основные причины материнской смертности в порядке убывания их значимости: геморрагия, токсимия, различные инфекции и осложнения при родах.  Примерная доля абортов – 27-35%.</w:t>
      </w:r>
    </w:p>
    <w:p w:rsidR="00000000" w:rsidRDefault="00000000"/>
    <w:p w:rsidR="00000000" w:rsidRDefault="00000000">
      <w:r>
        <w:rPr>
          <w:u w:val="single"/>
        </w:rPr>
        <w:t>Пункт 4</w:t>
      </w:r>
      <w:r>
        <w:rPr>
          <w:u w:val="single"/>
          <w:lang w:val="en-US"/>
        </w:rPr>
        <w:t xml:space="preserve"> h</w:t>
      </w:r>
      <w:r>
        <w:t>)</w:t>
      </w:r>
    </w:p>
    <w:p w:rsidR="00000000" w:rsidRDefault="00000000"/>
    <w:p w:rsidR="00000000" w:rsidRDefault="00000000">
      <w:r>
        <w:t>405.</w:t>
      </w:r>
      <w:r>
        <w:tab/>
        <w:t>Согласно данным НДМО за 1998 год, уровень охраны здоровья ребенка определяется охватом профилактической вакцинацией новорожденных детей, детей в возрасте до пяти лет и женщин детородного возраста.  В этой связи производится вакцинация для профилактики следующих заболеваний, предопределяющих высокие уровни детской смертности:  туберкулез (БЦЖ), ДКС (дифтерия, коклюш, столбняк), полиомиелит и корь.  При обследовании новорожденного социальный работник может попросить мать предъявить медицинскую карту ребенка, в которой отмечаются сделанные ребенку прививки с указанием соответствующих дат.  Если мать не имеет такой карты или не предъявляет ее по тем или иным причинам, то социальный работник выясняет у матери, делались ли ребенку основные прививки.  Разумеется, полученные таким путем данные менее надежны, чем данные, изначально фиксируемые в карточке из-за возможных ошибок, обусловленных забывчивостью матери или представлением неточных сведений.</w:t>
      </w:r>
    </w:p>
    <w:p w:rsidR="00000000" w:rsidRDefault="00000000"/>
    <w:p w:rsidR="00000000" w:rsidRDefault="00000000">
      <w:r>
        <w:t>406.</w:t>
      </w:r>
      <w:r>
        <w:tab/>
        <w:t>Согласно данным НДМО за 1998 год, 28% детей в возрасте до трех лет страдают от хронического недоедания (отставание в весе);  в 1989 году аналогичный показатель составлял 39%.  От хронического недоедания страдает каждый третий ребенок на селе и каждый пятый ребенок в городе.  Самая высокая доля детей, страдающих от хронического недоедания, была зафиксирована в районах плоскогорья (32%) и в районах предгорья (30%);  в равнинных районах страны этот показатель составлял 18%.  Согласно данным из того же источника, 15% детей, матери которых имеют среднее или высшее образование, отстают от сверстников в физическом развитии;  тот же показатель среди детей, матери которых не имеют образования, составляет 46%.  Кроме того, 4,4% детей в возрасте до трех лет страдают от острого недоедания (дефицит веса по отношению к росту);  в 1989 году аналогичный показатель составлял всего 1,6%.  По состоянию на 1994 год самый высокий процент детей, страдающих от острого недоедания, был зафиксирован в Чукисаке (14,6%) и Потоси (10%).</w:t>
      </w:r>
    </w:p>
    <w:p w:rsidR="00000000" w:rsidRDefault="00000000"/>
    <w:p w:rsidR="00000000" w:rsidRDefault="00000000">
      <w:pPr>
        <w:pStyle w:val="Heading2"/>
      </w:pPr>
      <w:r>
        <w:t>Пункт 5</w:t>
      </w:r>
    </w:p>
    <w:p w:rsidR="00000000" w:rsidRDefault="00000000">
      <w:pPr>
        <w:pStyle w:val="Heading2"/>
      </w:pPr>
    </w:p>
    <w:p w:rsidR="00000000" w:rsidRDefault="00000000">
      <w:r>
        <w:t>407.</w:t>
      </w:r>
      <w:r>
        <w:tab/>
        <w:t>Несмотря на сокращение детской и материнской смертности в стране сохраняются очаги бедности, где население не имеет доступа к службам охраны здоровья по причинам географического, культурного и экономического характера.  Эти очаги находятся прежде всего в сельских районах и на окраинах некоторых городов, в частности в северной части департамента Потоси и южной части департамента Кочабамба, для которых характерны высокие уровни материнской и детской смертности.</w:t>
      </w:r>
    </w:p>
    <w:p w:rsidR="00000000" w:rsidRDefault="00000000"/>
    <w:p w:rsidR="00000000" w:rsidRDefault="00000000">
      <w:r>
        <w:rPr>
          <w:u w:val="single"/>
        </w:rPr>
        <w:t xml:space="preserve">Пункт 5 </w:t>
      </w:r>
      <w:r>
        <w:rPr>
          <w:u w:val="single"/>
          <w:lang w:val="en-US"/>
        </w:rPr>
        <w:t>a</w:t>
      </w:r>
      <w:r>
        <w:t>)</w:t>
      </w:r>
    </w:p>
    <w:p w:rsidR="00000000" w:rsidRDefault="00000000"/>
    <w:p w:rsidR="00000000" w:rsidRDefault="00000000">
      <w:r>
        <w:t>408.</w:t>
      </w:r>
      <w:r>
        <w:tab/>
        <w:t>По нашему мнению, предложенная предыдущим правительством политика по внедрению новой медико-санитарной модели, предусматривавшей ликвидацию районных медицинских округов, нанесла определенный ущерб административной системе в области охраны здоровья, поскольку эта мера нарушила административные связи на уровне департаментов и муниципалитетов и не предусматривала создания координационных структур на уровне провинций или системы координации административных органов на уровне департаментов и местной власти.</w:t>
      </w:r>
    </w:p>
    <w:p w:rsidR="00000000" w:rsidRDefault="00000000"/>
    <w:p w:rsidR="00000000" w:rsidRDefault="00000000">
      <w:r>
        <w:rPr>
          <w:u w:val="single"/>
        </w:rPr>
        <w:t>Пункт 5</w:t>
      </w:r>
      <w:r>
        <w:rPr>
          <w:u w:val="single"/>
          <w:lang w:val="en-US"/>
        </w:rPr>
        <w:t xml:space="preserve"> b</w:t>
      </w:r>
      <w:r>
        <w:t>)</w:t>
      </w:r>
    </w:p>
    <w:p w:rsidR="00000000" w:rsidRDefault="00000000"/>
    <w:p w:rsidR="00000000" w:rsidRDefault="00000000">
      <w:r>
        <w:t>409.</w:t>
      </w:r>
      <w:r>
        <w:tab/>
        <w:t>Психиатрическая медицинская помощь оказывается специализированными службами и службами общего профиля, и в первую очередь службами первичного медико-санитарного обслуживания.  На практике именно эти службы выполняют в этой связи наибольший объем работы, что объясняется, среди прочего, наибольшей доступностью этих служб и особенностями поведения населения, которое охотнее обращается за медицинской психиатрической помощью, если соответствующая медицинская служба не имеет профиля специализированного психиатрического учреждения.</w:t>
      </w:r>
    </w:p>
    <w:p w:rsidR="00000000" w:rsidRDefault="00000000"/>
    <w:p w:rsidR="00000000" w:rsidRDefault="00000000">
      <w:r>
        <w:t>410.</w:t>
      </w:r>
      <w:r>
        <w:tab/>
        <w:t>Существенно расширился арсенал средств психиатрической помощи на уровне первичного медицинского обслуживания.  Расширению охвата предоставляемой помощи способствует развитие и распространение несложных методов диагностики и лечения психических расстройств на уровне первичной медицинской помощи и организация обучения медицинских работников при содействии специалистов в данной области.  Предпринимаются большие усилия по дальнейшему совершенствованию системы оказания населению психиатрической помощи путем проведения научно-исследовательской деятельности, подготовки медицинских справочников и организации курсов повышения квалификации.  Следует отметить, что уровень специализированной психиатрической помощи, равно как и уровень общего медицинского обслуживания, позволяет удовлетворить только часть потребностей населения.  Определенная часть этих потребностей удовлетворяется на уровне местных общин.  Так, например, районные службы охраны здоровья уже приступили к разработке собственных программ психиатрической помощи при общем содействии местных общин, например, по линии систем социальной помощи и создания групп взаимопомощи и ассоциаций пользователей.</w:t>
      </w:r>
    </w:p>
    <w:p w:rsidR="00000000" w:rsidRDefault="00000000"/>
    <w:p w:rsidR="00000000" w:rsidRDefault="00000000">
      <w:r>
        <w:t>411.</w:t>
      </w:r>
      <w:r>
        <w:tab/>
        <w:t>Кроме того, следует обратить внимание на невысокое качество и недостаточную доступность психиатрического  обслуживания.  Для решения этой проблемы в 1990 году была выдвинута инициатива по перестройке системы услуг в санитарно-гигиенической области и в области охраны психического и физического здоровья.  Как правило, охрана психического и физического здоровья не рассматривается государством в качестве приоритетного направления деятельности, вследствие чего на эти цели выделяются незначительные средства, не позволяющие проводить в этой области эффективную деятельность.  Административные органы и специалисты в области охраны здоровья обладают достаточными резервами для успешной реализации новых задач в области первичной профилактики заболеваний, и в частности устранения психических и физических расстройств здоровья.  Вышеуказанная инициатива объясняется, с одной стороны, тем, что лица, страдающие такими расстройствами, подвергаются социальному остракизму, а с другой стороны, тем, что основной потенциал по оказанию такой помощи, как правило, сосредоточен в психиатрических клиниках.  Инициатива по перестройке системы психиатрической помощи призвана изменить сложившуюся ситуацию, и в настоящее время уже появились признаки, свидетельствующие об определенных позитивных изменениях в этой области.</w:t>
      </w:r>
    </w:p>
    <w:p w:rsidR="00000000" w:rsidRDefault="00000000"/>
    <w:p w:rsidR="00000000" w:rsidRDefault="00000000">
      <w:pPr>
        <w:rPr>
          <w:u w:val="single"/>
        </w:rPr>
      </w:pPr>
      <w:r>
        <w:t>412.</w:t>
      </w:r>
      <w:r>
        <w:tab/>
        <w:t>В 1997 году Исполнительный совет Панамериканской организации здравоохранения поддержал эту инициативу и настоятельно призвал государства-члены всемерно ее поддерживать.</w:t>
      </w:r>
    </w:p>
    <w:p w:rsidR="00000000" w:rsidRDefault="00000000">
      <w:pPr>
        <w:rPr>
          <w:u w:val="single"/>
          <w:lang w:val="en-US"/>
        </w:rPr>
      </w:pPr>
    </w:p>
    <w:p w:rsidR="00000000" w:rsidRDefault="00000000">
      <w:r>
        <w:rPr>
          <w:u w:val="single"/>
        </w:rPr>
        <w:t>Пункт 5 с</w:t>
      </w:r>
      <w:r>
        <w:t>)</w:t>
      </w:r>
    </w:p>
    <w:p w:rsidR="00000000" w:rsidRDefault="00000000"/>
    <w:p w:rsidR="00000000" w:rsidRDefault="00000000">
      <w:r>
        <w:t>413.</w:t>
      </w:r>
      <w:r>
        <w:tab/>
        <w:t>Разработанная правительством страны социальная политика по борьбе с бедностью осуществляется, в частности, в рамках системы базового медицинского страхования, системы бесплатной медицинской помощи пожилым людям и системы эпидемиологической защиты, которые позволяют решать стоящие перед страной проблемы в области охраны здоровья.</w:t>
      </w:r>
    </w:p>
    <w:p w:rsidR="00000000" w:rsidRDefault="00000000"/>
    <w:p w:rsidR="00000000" w:rsidRDefault="00000000">
      <w:r>
        <w:rPr>
          <w:u w:val="single"/>
        </w:rPr>
        <w:t xml:space="preserve">Пункт 5 </w:t>
      </w:r>
      <w:r>
        <w:rPr>
          <w:u w:val="single"/>
          <w:lang w:val="en-US"/>
        </w:rPr>
        <w:t>d</w:t>
      </w:r>
      <w:r>
        <w:t>)</w:t>
      </w:r>
    </w:p>
    <w:p w:rsidR="00000000" w:rsidRDefault="00000000"/>
    <w:p w:rsidR="00000000" w:rsidRDefault="00000000">
      <w:r>
        <w:t>414.</w:t>
      </w:r>
      <w:r>
        <w:tab/>
        <w:t>Целью вышеуказанной стратегии в области охраны здоровья является расширение доступа населения к системе медицинского обслуживания и улучшение общих показателей в этой области.</w:t>
      </w:r>
    </w:p>
    <w:p w:rsidR="00000000" w:rsidRDefault="00000000"/>
    <w:p w:rsidR="00000000" w:rsidRDefault="00000000">
      <w:r>
        <w:rPr>
          <w:u w:val="single"/>
        </w:rPr>
        <w:t xml:space="preserve">Пункт 5 </w:t>
      </w:r>
      <w:proofErr w:type="spellStart"/>
      <w:r>
        <w:rPr>
          <w:u w:val="single"/>
        </w:rPr>
        <w:t>е</w:t>
      </w:r>
      <w:proofErr w:type="spellEnd"/>
      <w:r>
        <w:t>)</w:t>
      </w:r>
    </w:p>
    <w:p w:rsidR="00000000" w:rsidRDefault="00000000"/>
    <w:p w:rsidR="00000000" w:rsidRDefault="00000000">
      <w:r>
        <w:t>415.</w:t>
      </w:r>
      <w:r>
        <w:tab/>
        <w:t>Конкретные действия в целях сокращения детской и материнской смертности предпринимаются по линии системы базового медицинского страхования.  Эти действия призваны улучшить эпидемиологические показатели в области охраны здоровья матери и ребенка и обеспечить решение наиболее насущных проблем, стоящих перед системой здравоохранения.</w:t>
      </w:r>
    </w:p>
    <w:p w:rsidR="00000000" w:rsidRDefault="00000000"/>
    <w:p w:rsidR="00000000" w:rsidRDefault="00000000">
      <w:r>
        <w:t>416.</w:t>
      </w:r>
      <w:r>
        <w:tab/>
        <w:t xml:space="preserve">Осуществление мероприятий по линии эпидемиологической защиты имеет целью повышение уровня охраны здоровья населения, и в частности борьбу с инфекционными заболеваниями.  К числу серьезных проблем можно отнести то обстоятельство, что половина населения страны страдает болезнью </w:t>
      </w:r>
      <w:proofErr w:type="spellStart"/>
      <w:r>
        <w:t>Шагаса</w:t>
      </w:r>
      <w:proofErr w:type="spellEnd"/>
      <w:r>
        <w:t>.  В этой связи осуществляется ряд мероприятий межведомственного уровня с целью профилактики этого заболевания среди здоровой части населения или лечения заболевших.</w:t>
      </w:r>
    </w:p>
    <w:p w:rsidR="00000000" w:rsidRDefault="00000000"/>
    <w:p w:rsidR="00000000" w:rsidRDefault="00000000">
      <w:r>
        <w:rPr>
          <w:u w:val="single"/>
        </w:rPr>
        <w:t xml:space="preserve">Пункт 5 </w:t>
      </w:r>
      <w:r>
        <w:rPr>
          <w:u w:val="single"/>
          <w:lang w:val="en-US"/>
        </w:rPr>
        <w:t>f</w:t>
      </w:r>
      <w:r>
        <w:t>)</w:t>
      </w:r>
    </w:p>
    <w:p w:rsidR="00000000" w:rsidRDefault="00000000"/>
    <w:p w:rsidR="00000000" w:rsidRDefault="00000000">
      <w:r>
        <w:t>417.</w:t>
      </w:r>
      <w:r>
        <w:tab/>
        <w:t>В целях предупреждения загрязнения воздуха и борьбы с этим явлением в двух крупнейших городах страны осуществляются программы по борьбе с выбросами из стационарных и нестационарных источников.  Боливия присоединилась к Конвенции о защите озонового слоя в соответствии с законом № 1484.</w:t>
      </w:r>
    </w:p>
    <w:p w:rsidR="00000000" w:rsidRDefault="00000000"/>
    <w:p w:rsidR="00000000" w:rsidRDefault="00000000">
      <w:r>
        <w:t>418.</w:t>
      </w:r>
      <w:r>
        <w:tab/>
        <w:t xml:space="preserve">В этой области приступила к работе государственная комиссия по озоновому слою, которая наблюдает за соблюдением обязательного национального графика постепенного сокращения потребления </w:t>
      </w:r>
      <w:proofErr w:type="spellStart"/>
      <w:r>
        <w:t>хлорфторуглеродов</w:t>
      </w:r>
      <w:proofErr w:type="spellEnd"/>
      <w:r>
        <w:t>.</w:t>
      </w:r>
    </w:p>
    <w:p w:rsidR="00000000" w:rsidRDefault="00000000"/>
    <w:p w:rsidR="00000000" w:rsidRDefault="00000000">
      <w:r>
        <w:rPr>
          <w:u w:val="single"/>
        </w:rPr>
        <w:t xml:space="preserve">Пункт 5 </w:t>
      </w:r>
      <w:r>
        <w:rPr>
          <w:u w:val="single"/>
          <w:lang w:val="en-US"/>
        </w:rPr>
        <w:t>g</w:t>
      </w:r>
      <w:r>
        <w:t>)</w:t>
      </w:r>
    </w:p>
    <w:p w:rsidR="00000000" w:rsidRDefault="00000000"/>
    <w:p w:rsidR="00000000" w:rsidRDefault="00000000">
      <w:r>
        <w:t>419.</w:t>
      </w:r>
      <w:r>
        <w:tab/>
        <w:t>Комплексная стратегия в области эпидемиологической защиты населения осуществляется на основе данных Национальной информационной системы здравоохранения (НИСЗ).  Ниже приводятся данные, свидетельствующие об определенных успехах в области эпидемиологической защиты населения (к числу наиболее распространенных в стране заболеваний, которые можно предотвратить путем иммунизации, относится, в частности, корь).</w:t>
      </w:r>
    </w:p>
    <w:p w:rsidR="00000000" w:rsidRDefault="00000000">
      <w:pPr>
        <w:spacing w:line="240" w:lineRule="auto"/>
      </w:pPr>
    </w:p>
    <w:p w:rsidR="00000000" w:rsidRDefault="00000000">
      <w:pPr>
        <w:spacing w:line="240" w:lineRule="auto"/>
      </w:pPr>
      <w:r>
        <w:t>Динамика заболеваемости по данным НИСЗ за 1997-1998 годы:</w:t>
      </w:r>
    </w:p>
    <w:p w:rsidR="00000000" w:rsidRDefault="00000000">
      <w:pPr>
        <w:spacing w:line="240" w:lineRule="auto"/>
      </w:pPr>
    </w:p>
    <w:p w:rsidR="00000000" w:rsidRDefault="00000000">
      <w:pPr>
        <w:spacing w:line="240" w:lineRule="auto"/>
      </w:pPr>
      <w:r>
        <w:t>Корь – 10/7</w:t>
      </w:r>
    </w:p>
    <w:p w:rsidR="00000000" w:rsidRDefault="00000000">
      <w:r>
        <w:t>Коклюш – 20/138</w:t>
      </w:r>
    </w:p>
    <w:p w:rsidR="00000000" w:rsidRDefault="00000000">
      <w:r>
        <w:t>Столбняк – 20/14</w:t>
      </w:r>
    </w:p>
    <w:p w:rsidR="00000000" w:rsidRDefault="00000000">
      <w:r>
        <w:t>Дифтерия – 4/3</w:t>
      </w:r>
    </w:p>
    <w:p w:rsidR="00000000" w:rsidRDefault="00000000">
      <w:r>
        <w:t>Полиомиелит – 0/0</w:t>
      </w:r>
    </w:p>
    <w:p w:rsidR="00000000" w:rsidRDefault="00000000">
      <w:r>
        <w:t>Туберкулез (все формы) – 10/9,853</w:t>
      </w:r>
    </w:p>
    <w:p w:rsidR="00000000" w:rsidRDefault="00000000">
      <w:r>
        <w:t>СПИД – 10/8</w:t>
      </w:r>
    </w:p>
    <w:p w:rsidR="00000000" w:rsidRDefault="00000000">
      <w:r>
        <w:t>ВИЧ-инфекция – 15/13</w:t>
      </w:r>
    </w:p>
    <w:p w:rsidR="00000000" w:rsidRDefault="00000000">
      <w:r>
        <w:t>Сифилис (все формы) – 3/2,640</w:t>
      </w:r>
    </w:p>
    <w:p w:rsidR="00000000" w:rsidRDefault="00000000">
      <w:r>
        <w:t>Гонорея – 6/5,484</w:t>
      </w:r>
    </w:p>
    <w:p w:rsidR="00000000" w:rsidRDefault="00000000">
      <w:r>
        <w:t>Малярия – 60/51,478</w:t>
      </w:r>
    </w:p>
    <w:p w:rsidR="00000000" w:rsidRDefault="00000000">
      <w:r>
        <w:t>Желтая лихорадка – 80/63</w:t>
      </w:r>
    </w:p>
    <w:p w:rsidR="00000000" w:rsidRDefault="00000000">
      <w:r>
        <w:t>Бешенство – 500/347.</w:t>
      </w:r>
    </w:p>
    <w:p w:rsidR="00000000" w:rsidRDefault="00000000"/>
    <w:p w:rsidR="00000000" w:rsidRDefault="00000000">
      <w:r>
        <w:t>420.</w:t>
      </w:r>
      <w:r>
        <w:tab/>
        <w:t xml:space="preserve">Боливия принимает участие в реализации инициативы стран Южного Конуса по искоренению такого паразитарного заболевания, как американский </w:t>
      </w:r>
      <w:proofErr w:type="spellStart"/>
      <w:r>
        <w:t>трапаносомоз</w:t>
      </w:r>
      <w:proofErr w:type="spellEnd"/>
      <w:r>
        <w:t xml:space="preserve"> человека путем использования инсектицидов долгосрочного действия.  В 1996 году этими инсектицидами было обработано 35 000 жилищ (за все предыдущее десятилетие – 90 000 жилищ).</w:t>
      </w:r>
    </w:p>
    <w:p w:rsidR="00000000" w:rsidRDefault="00000000"/>
    <w:p w:rsidR="00000000" w:rsidRDefault="00000000">
      <w:r>
        <w:t>421.</w:t>
      </w:r>
      <w:r>
        <w:tab/>
        <w:t xml:space="preserve">В тропических и субтропических зонах Ла-Паса, </w:t>
      </w:r>
      <w:proofErr w:type="spellStart"/>
      <w:r>
        <w:t>Бени</w:t>
      </w:r>
      <w:proofErr w:type="spellEnd"/>
      <w:r>
        <w:t xml:space="preserve">, </w:t>
      </w:r>
      <w:proofErr w:type="spellStart"/>
      <w:r>
        <w:t>Пандо</w:t>
      </w:r>
      <w:proofErr w:type="spellEnd"/>
      <w:r>
        <w:t xml:space="preserve">, </w:t>
      </w:r>
      <w:proofErr w:type="spellStart"/>
      <w:r>
        <w:t>Санта-Круса</w:t>
      </w:r>
      <w:proofErr w:type="spellEnd"/>
      <w:r>
        <w:t xml:space="preserve"> и </w:t>
      </w:r>
      <w:proofErr w:type="spellStart"/>
      <w:r>
        <w:t>Кочабамбы</w:t>
      </w:r>
      <w:proofErr w:type="spellEnd"/>
      <w:r>
        <w:t xml:space="preserve"> распространен </w:t>
      </w:r>
      <w:proofErr w:type="spellStart"/>
      <w:r>
        <w:t>лейшманиоз</w:t>
      </w:r>
      <w:proofErr w:type="spellEnd"/>
      <w:r>
        <w:t xml:space="preserve"> (93,2% – кожный </w:t>
      </w:r>
      <w:proofErr w:type="spellStart"/>
      <w:r>
        <w:t>лейшманиоз</w:t>
      </w:r>
      <w:proofErr w:type="spellEnd"/>
      <w:r>
        <w:t xml:space="preserve"> и 6,8% </w:t>
      </w:r>
      <w:r>
        <w:noBreakHyphen/>
        <w:t xml:space="preserve"> слизистый </w:t>
      </w:r>
      <w:proofErr w:type="spellStart"/>
      <w:r>
        <w:t>лейшманиоз</w:t>
      </w:r>
      <w:proofErr w:type="spellEnd"/>
      <w:r>
        <w:t xml:space="preserve">;  только один раз, а именно в 1993 году, в районе солнечной долины были зафиксированы случаи висцерального </w:t>
      </w:r>
      <w:proofErr w:type="spellStart"/>
      <w:r>
        <w:t>лейшманиоза</w:t>
      </w:r>
      <w:proofErr w:type="spellEnd"/>
      <w:r>
        <w:t xml:space="preserve">).  Лечение </w:t>
      </w:r>
      <w:proofErr w:type="spellStart"/>
      <w:r>
        <w:t>лейшманиоза</w:t>
      </w:r>
      <w:proofErr w:type="spellEnd"/>
      <w:r>
        <w:t xml:space="preserve"> проводится по комплексной медикаментозной схеме.</w:t>
      </w:r>
    </w:p>
    <w:p w:rsidR="00000000" w:rsidRDefault="00000000"/>
    <w:p w:rsidR="00000000" w:rsidRDefault="00000000">
      <w:r>
        <w:t>422.</w:t>
      </w:r>
      <w:r>
        <w:tab/>
        <w:t xml:space="preserve">Случаи желтой лихорадки зафиксированы в департаментах Ла-Пас, </w:t>
      </w:r>
      <w:proofErr w:type="spellStart"/>
      <w:r>
        <w:t>Санта-Крус</w:t>
      </w:r>
      <w:proofErr w:type="spellEnd"/>
      <w:r>
        <w:t xml:space="preserve">, </w:t>
      </w:r>
      <w:proofErr w:type="spellStart"/>
      <w:r>
        <w:t>Бени</w:t>
      </w:r>
      <w:proofErr w:type="spellEnd"/>
      <w:r>
        <w:t xml:space="preserve"> и, в первую очередь, в департаменте </w:t>
      </w:r>
      <w:proofErr w:type="spellStart"/>
      <w:r>
        <w:t>Кочабамба</w:t>
      </w:r>
      <w:proofErr w:type="spellEnd"/>
      <w:r>
        <w:t xml:space="preserve">.  В зонах риска, как правило, при проявлении первых признаков инфекции проводятся кампании по </w:t>
      </w:r>
      <w:proofErr w:type="spellStart"/>
      <w:r>
        <w:t>вакцинированию</w:t>
      </w:r>
      <w:proofErr w:type="spellEnd"/>
      <w:r>
        <w:t xml:space="preserve">.  Призывники, направляемые для прохождения военной службы в эти районы, также подвергаются вакцинации.  Мероприятия по предотвращению эпидемии включают лечение больных </w:t>
      </w:r>
      <w:proofErr w:type="spellStart"/>
      <w:r>
        <w:t>стрептомициновыми</w:t>
      </w:r>
      <w:proofErr w:type="spellEnd"/>
      <w:r>
        <w:t xml:space="preserve"> препаратами и обработку жилых домов и приусадебных участков </w:t>
      </w:r>
      <w:proofErr w:type="spellStart"/>
      <w:r>
        <w:t>дентаметрином</w:t>
      </w:r>
      <w:proofErr w:type="spellEnd"/>
      <w:r>
        <w:t>.</w:t>
      </w:r>
    </w:p>
    <w:p w:rsidR="00000000" w:rsidRDefault="00000000"/>
    <w:p w:rsidR="00000000" w:rsidRDefault="00000000">
      <w:r>
        <w:t>423.</w:t>
      </w:r>
      <w:r>
        <w:tab/>
        <w:t>Осуществляется ряд программ, направленных на снижение уровня заболеваемости полиомиелитом, корью, столбняком, дифтерией, коклюшем и гепатитом Б.</w:t>
      </w:r>
    </w:p>
    <w:p w:rsidR="00000000" w:rsidRDefault="00000000"/>
    <w:p w:rsidR="00000000" w:rsidRDefault="00000000">
      <w:r>
        <w:t>424.</w:t>
      </w:r>
      <w:r>
        <w:tab/>
        <w:t>На общенациональном и районном уровнях проводятся кампании и программы по профилактике и борьбе со вспышками холеры;  основное средство борьбы с этим заболеванием – соблюдение санитарно-гигиенических норм в быту.</w:t>
      </w:r>
    </w:p>
    <w:p w:rsidR="00000000" w:rsidRDefault="00000000"/>
    <w:p w:rsidR="00000000" w:rsidRDefault="00000000">
      <w:r>
        <w:t>425.</w:t>
      </w:r>
      <w:r>
        <w:tab/>
        <w:t xml:space="preserve">Основная часть случаев заболевания туберкулезом зафиксирована в департаментах Ла-Пас, </w:t>
      </w:r>
      <w:proofErr w:type="spellStart"/>
      <w:r>
        <w:t>Санта-Крус</w:t>
      </w:r>
      <w:proofErr w:type="spellEnd"/>
      <w:r>
        <w:t xml:space="preserve"> и </w:t>
      </w:r>
      <w:proofErr w:type="spellStart"/>
      <w:r>
        <w:t>Кочабамба</w:t>
      </w:r>
      <w:proofErr w:type="spellEnd"/>
      <w:r>
        <w:t>;  общий показатель выздоровления, охватывающий все формы легочного туберкулеза, составляет, при условии своевременного лечения под контролем специалистов, 76%.</w:t>
      </w:r>
    </w:p>
    <w:p w:rsidR="00000000" w:rsidRDefault="00000000"/>
    <w:p w:rsidR="00000000" w:rsidRDefault="00000000">
      <w:r>
        <w:t>426.</w:t>
      </w:r>
      <w:r>
        <w:tab/>
        <w:t xml:space="preserve">В сельских районах </w:t>
      </w:r>
      <w:proofErr w:type="spellStart"/>
      <w:r>
        <w:t>Бени</w:t>
      </w:r>
      <w:proofErr w:type="spellEnd"/>
      <w:r>
        <w:t xml:space="preserve">, </w:t>
      </w:r>
      <w:proofErr w:type="spellStart"/>
      <w:r>
        <w:t>Пандо</w:t>
      </w:r>
      <w:proofErr w:type="spellEnd"/>
      <w:r>
        <w:t xml:space="preserve">, </w:t>
      </w:r>
      <w:proofErr w:type="spellStart"/>
      <w:r>
        <w:t>Санта-Круса</w:t>
      </w:r>
      <w:proofErr w:type="spellEnd"/>
      <w:r>
        <w:t xml:space="preserve">, </w:t>
      </w:r>
      <w:proofErr w:type="spellStart"/>
      <w:r>
        <w:t>Кочабамбы</w:t>
      </w:r>
      <w:proofErr w:type="spellEnd"/>
      <w:r>
        <w:t xml:space="preserve">, </w:t>
      </w:r>
      <w:proofErr w:type="spellStart"/>
      <w:r>
        <w:t>Чукисаки</w:t>
      </w:r>
      <w:proofErr w:type="spellEnd"/>
      <w:r>
        <w:t xml:space="preserve">, </w:t>
      </w:r>
      <w:proofErr w:type="spellStart"/>
      <w:r>
        <w:t>Тарихи</w:t>
      </w:r>
      <w:proofErr w:type="spellEnd"/>
      <w:r>
        <w:t xml:space="preserve"> и Ла</w:t>
      </w:r>
      <w:r>
        <w:noBreakHyphen/>
        <w:t xml:space="preserve">Паса распространена проказа.  Средний показатель заболеваемости составляет пять случаев на 100 000 жителей, однако в некоторых районах заболеваемость может достигать 110 случаев на 100 000 жителей.  Лечение проказы проводится на основе </w:t>
      </w:r>
      <w:proofErr w:type="spellStart"/>
      <w:r>
        <w:t>полихимиотерапии</w:t>
      </w:r>
      <w:proofErr w:type="spellEnd"/>
      <w:r>
        <w:t>.</w:t>
      </w:r>
    </w:p>
    <w:p w:rsidR="00000000" w:rsidRDefault="00000000"/>
    <w:p w:rsidR="00000000" w:rsidRDefault="00000000">
      <w:r>
        <w:t>427.</w:t>
      </w:r>
      <w:r>
        <w:tab/>
        <w:t xml:space="preserve">Зарегистрировано 269 случаев заболевания бешенством, из которых 71% приходится на департаменты </w:t>
      </w:r>
      <w:proofErr w:type="spellStart"/>
      <w:r>
        <w:t>Санта-Крус</w:t>
      </w:r>
      <w:proofErr w:type="spellEnd"/>
      <w:r>
        <w:t xml:space="preserve"> и </w:t>
      </w:r>
      <w:proofErr w:type="spellStart"/>
      <w:r>
        <w:t>Кочабамба</w:t>
      </w:r>
      <w:proofErr w:type="spellEnd"/>
      <w:r>
        <w:t>.  Регулярно проводятся кампании по борьбе с насекомыми – переносчиками инфекционных заболеваний;  для этих целей используется препарат "</w:t>
      </w:r>
      <w:proofErr w:type="spellStart"/>
      <w:r>
        <w:t>празиквантель</w:t>
      </w:r>
      <w:proofErr w:type="spellEnd"/>
      <w:r>
        <w:t xml:space="preserve">".  Кроме того, встречаются и другие формы </w:t>
      </w:r>
      <w:proofErr w:type="spellStart"/>
      <w:r>
        <w:t>зооноза</w:t>
      </w:r>
      <w:proofErr w:type="spellEnd"/>
      <w:r>
        <w:t xml:space="preserve">, в частности </w:t>
      </w:r>
      <w:proofErr w:type="spellStart"/>
      <w:r>
        <w:t>фасциолез</w:t>
      </w:r>
      <w:proofErr w:type="spellEnd"/>
      <w:r>
        <w:t xml:space="preserve"> и </w:t>
      </w:r>
      <w:proofErr w:type="spellStart"/>
      <w:r>
        <w:t>афтозный</w:t>
      </w:r>
      <w:proofErr w:type="spellEnd"/>
      <w:r>
        <w:t xml:space="preserve"> стоматит.</w:t>
      </w:r>
    </w:p>
    <w:p w:rsidR="00000000" w:rsidRDefault="00000000"/>
    <w:p w:rsidR="00000000" w:rsidRDefault="00000000">
      <w:r>
        <w:rPr>
          <w:u w:val="single"/>
        </w:rPr>
        <w:t>Пункт 5</w:t>
      </w:r>
      <w:r>
        <w:rPr>
          <w:u w:val="single"/>
          <w:lang w:val="en-US"/>
        </w:rPr>
        <w:t xml:space="preserve"> h</w:t>
      </w:r>
      <w:r>
        <w:t>)</w:t>
      </w:r>
    </w:p>
    <w:p w:rsidR="00000000" w:rsidRDefault="00000000"/>
    <w:p w:rsidR="00000000" w:rsidRDefault="00000000">
      <w:r>
        <w:t>428.</w:t>
      </w:r>
      <w:r>
        <w:tab/>
        <w:t>В рамках системы базового медицинского страхования, созданной в соответствии с Указом № 25265, всем жителям страны гарантируется в случае заболевания бесплатное лечение и медицинское обслуживание.</w:t>
      </w:r>
    </w:p>
    <w:p w:rsidR="00000000" w:rsidRDefault="00000000"/>
    <w:p w:rsidR="00000000" w:rsidRDefault="00000000">
      <w:r>
        <w:rPr>
          <w:u w:val="single"/>
        </w:rPr>
        <w:t>Пункт 5</w:t>
      </w:r>
      <w:r>
        <w:rPr>
          <w:u w:val="single"/>
          <w:lang w:val="en-US"/>
        </w:rPr>
        <w:t xml:space="preserve"> i</w:t>
      </w:r>
      <w:r>
        <w:t>)</w:t>
      </w:r>
    </w:p>
    <w:p w:rsidR="00000000" w:rsidRDefault="00000000"/>
    <w:p w:rsidR="00000000" w:rsidRDefault="00000000">
      <w:r>
        <w:t>429.</w:t>
      </w:r>
      <w:r>
        <w:tab/>
        <w:t>В дальнейшем планируется подвести итоги первого этапа функционирования системы базового медицинского страхования (БМС).</w:t>
      </w:r>
    </w:p>
    <w:p w:rsidR="00000000" w:rsidRDefault="00000000"/>
    <w:p w:rsidR="00000000" w:rsidRDefault="00000000">
      <w:pPr>
        <w:pStyle w:val="Heading2"/>
      </w:pPr>
      <w:r>
        <w:t>Пункт 6</w:t>
      </w:r>
    </w:p>
    <w:p w:rsidR="00000000" w:rsidRDefault="00000000">
      <w:pPr>
        <w:pStyle w:val="Heading2"/>
      </w:pPr>
    </w:p>
    <w:p w:rsidR="00000000" w:rsidRDefault="00000000">
      <w:r>
        <w:t>430.</w:t>
      </w:r>
      <w:r>
        <w:tab/>
        <w:t>Ниже приводятся общие положения Закона № 11886 о правах и привилегиях пожилых людей и бесплатном медицинском обслуживании лиц пожилого возраста:</w:t>
      </w:r>
    </w:p>
    <w:p w:rsidR="00000000" w:rsidRDefault="00000000">
      <w:pPr>
        <w:rPr>
          <w:lang w:val="en-US"/>
        </w:rPr>
      </w:pPr>
    </w:p>
    <w:p w:rsidR="00000000" w:rsidRDefault="00000000">
      <w:r>
        <w:tab/>
        <w:t>Статья 1.  С 1 октября 1998 года вводится режим скидок и льгот для боливийских граждан в возрасте 60 лет</w:t>
      </w:r>
      <w:r>
        <w:rPr>
          <w:lang w:val="en-US"/>
        </w:rPr>
        <w:t xml:space="preserve"> и </w:t>
      </w:r>
      <w:proofErr w:type="spellStart"/>
      <w:r>
        <w:rPr>
          <w:lang w:val="en-US"/>
        </w:rPr>
        <w:t>старше</w:t>
      </w:r>
      <w:proofErr w:type="spellEnd"/>
      <w:r>
        <w:t>, в соответствии с которым они получают право пользоваться льготными тарифами в системе коммунального обслуживания, на общественном транспорте (на оговоренных в статье 6 условиях) и в сфере налогообложения движимого и недвижимого имущества.</w:t>
      </w:r>
    </w:p>
    <w:p w:rsidR="00000000" w:rsidRDefault="00000000"/>
    <w:p w:rsidR="00000000" w:rsidRDefault="00000000">
      <w:r>
        <w:tab/>
        <w:t>Статья 2.  Настоящий режим скидок и льгот охватывает исключительно граждан в возрасте 60 лет и старше;  данная привилегия носит персональный и индивидуальный характер и не подлежит передаче третьим лицам.  Обязательным условием для пользования этой льготой является выставление счета за перечисленные в предыдущей статье услуги на имя бенефициара.  В случае оказания коммунальных услуг или передачу в собственность недвижимости право на владение или соглашение о предоставлении услуг должно предусматривать составление нормативного акта, оформленного до вступления в силу настоящего закона.</w:t>
      </w:r>
    </w:p>
    <w:p w:rsidR="00000000" w:rsidRDefault="00000000"/>
    <w:p w:rsidR="00000000" w:rsidRDefault="00000000">
      <w:r>
        <w:tab/>
        <w:t>Бенефициары, которые подписывают соглашение купли-продажи недвижимого имущества или предоставления коммунальных услуг после вступления в силу настоящего закона, должны подтвердить свое право собственника путем представления документов о соответствующей уплате налогов за произведенные операции и административные процедуры, включая смену названий, а также соответствующий контракт об услугах или сертификат о купле-продаже движимого имущества.</w:t>
      </w:r>
    </w:p>
    <w:p w:rsidR="00000000" w:rsidRDefault="00000000"/>
    <w:p w:rsidR="00000000" w:rsidRDefault="00000000">
      <w:r>
        <w:tab/>
        <w:t xml:space="preserve">Квартиросъемщик, претендующий на снабжение водой и электроэнергией по льготным тарифам, должен подтвердить свой статус путем предъявления оплаченных счетов за снимаемую жилую площадь или соответствующий контракт о </w:t>
      </w:r>
      <w:proofErr w:type="spellStart"/>
      <w:r>
        <w:t>поднаеме</w:t>
      </w:r>
      <w:proofErr w:type="spellEnd"/>
      <w:r>
        <w:t>.</w:t>
      </w:r>
    </w:p>
    <w:p w:rsidR="00000000" w:rsidRDefault="00000000"/>
    <w:p w:rsidR="00000000" w:rsidRDefault="00000000">
      <w:r>
        <w:tab/>
        <w:t>Статья 3.  Для коммунальных предприятий энергоснабжения и водоснабжения населения устанавливается следующий режим льготных тарифов:</w:t>
      </w:r>
    </w:p>
    <w:p w:rsidR="00000000" w:rsidRDefault="00000000"/>
    <w:p w:rsidR="00000000" w:rsidRDefault="00000000">
      <w:r>
        <w:tab/>
        <w:t>Электроэнергия:  от 0 до 100 </w:t>
      </w:r>
      <w:proofErr w:type="spellStart"/>
      <w:r>
        <w:t>кВт.ч</w:t>
      </w:r>
      <w:proofErr w:type="spellEnd"/>
      <w:r>
        <w:t>. (установленный лимит потребления) </w:t>
      </w:r>
      <w:r>
        <w:noBreakHyphen/>
        <w:t xml:space="preserve"> 20</w:t>
      </w:r>
      <w:r>
        <w:noBreakHyphen/>
        <w:t>процентная скидка.</w:t>
      </w:r>
    </w:p>
    <w:p w:rsidR="00000000" w:rsidRDefault="00000000"/>
    <w:p w:rsidR="00000000" w:rsidRDefault="00000000">
      <w:r>
        <w:tab/>
        <w:t>Питьевая вода:  от 0 до 15 м</w:t>
      </w:r>
      <w:r>
        <w:rPr>
          <w:vertAlign w:val="superscript"/>
        </w:rPr>
        <w:t>3</w:t>
      </w:r>
      <w:r>
        <w:t xml:space="preserve"> (установленный лимит потребления) – 20</w:t>
      </w:r>
      <w:r>
        <w:noBreakHyphen/>
        <w:t>процентная скидка.</w:t>
      </w:r>
    </w:p>
    <w:p w:rsidR="00000000" w:rsidRDefault="00000000"/>
    <w:p w:rsidR="00000000" w:rsidRDefault="00000000">
      <w:r>
        <w:tab/>
        <w:t>Статья 4.  Ежемесячно соответствующая служба подсчитывает общую сумму скидок, предоставленных в соответствии с настоящей статьей, и выставляет общий счет государственному казначейству.  Налоговая администрация в свою очередь оформляет налоговый кредитный сертификат, в котором проставляется обозначенная в счете общая сумма скидок.  Этот сертификат имеет продажную стоимость и может использоваться для погашения налогов.</w:t>
      </w:r>
    </w:p>
    <w:p w:rsidR="00000000" w:rsidRDefault="00000000"/>
    <w:p w:rsidR="00000000" w:rsidRDefault="00000000">
      <w:r>
        <w:tab/>
        <w:t>Статья 5.  Включить в статью 53 Закона № 843 (действующий нормативный акт) пункт </w:t>
      </w:r>
      <w:proofErr w:type="spellStart"/>
      <w:r>
        <w:t>е</w:t>
      </w:r>
      <w:proofErr w:type="spellEnd"/>
      <w:r>
        <w:t>) следующего содержания:</w:t>
      </w:r>
    </w:p>
    <w:p w:rsidR="00000000" w:rsidRDefault="00000000"/>
    <w:p w:rsidR="00000000" w:rsidRDefault="00000000">
      <w:r>
        <w:tab/>
        <w:t>"Лица в возрасте 60 лет и старше, являющиеся владельцами субсидируемого или малогабаритного жилья, которое служит им постоянным местом жительства, имеют право на 20</w:t>
      </w:r>
      <w:r>
        <w:noBreakHyphen/>
        <w:t>процентную скидку от общей суммы годового налога в пределах первой ступени шкалы, предусмотренной в статье 57".</w:t>
      </w:r>
    </w:p>
    <w:p w:rsidR="00000000" w:rsidRDefault="00000000"/>
    <w:p w:rsidR="00000000" w:rsidRDefault="00000000">
      <w:r>
        <w:tab/>
        <w:t>Статья 6.  Национальные пассажирские авиационные, железнодорожные и судоходные компании, государственные транспортные компании департаментов и провинций, а также частные транспортные предприятия предоставляют пожилым людям 20</w:t>
      </w:r>
      <w:r>
        <w:noBreakHyphen/>
        <w:t>процентную скидку за каждый проезд.</w:t>
      </w:r>
    </w:p>
    <w:p w:rsidR="00000000" w:rsidRDefault="00000000"/>
    <w:p w:rsidR="00000000" w:rsidRDefault="00000000">
      <w:r>
        <w:tab/>
        <w:t>Статья 7.  В целях улучшения благосостояния пожилых людей вводится система бесплатного медицинского обслуживания лиц пожилого возраста, распространяемая на всех боливийских граждан в возрасте 60 лет и старше, не охваченных иными механизмами социальной помощи в области здоровья и постоянно проживающих на территории страны.</w:t>
      </w:r>
    </w:p>
    <w:p w:rsidR="00000000" w:rsidRDefault="00000000"/>
    <w:p w:rsidR="00000000" w:rsidRDefault="00000000">
      <w:r>
        <w:tab/>
        <w:t>Органы исполнительной власти определяют порядок применения этой системы и формы ее финансирования из государственного и муниципального бюджета, а также режим предоставления соответствующих услуг любыми учреждениями системы социального страхования страны.</w:t>
      </w:r>
    </w:p>
    <w:p w:rsidR="00000000" w:rsidRDefault="00000000"/>
    <w:p w:rsidR="00000000" w:rsidRDefault="00000000">
      <w:r>
        <w:tab/>
        <w:t>Статья 8.  Государственные и частные учреждения, предоставляющие услуги, в частности, лицам в возрасте 60 лет и старше, должны предусмотреть в графике своей работы специальное время для приема этой льготной категории граждан.  В том случае, если это представляется невозможным, бенефициарам необходимо предоставить возможность обращения в приоритетном порядке во все учреждения, где им могут быть оказаны соответствующие услуги.</w:t>
      </w:r>
    </w:p>
    <w:p w:rsidR="00000000" w:rsidRDefault="00000000"/>
    <w:p w:rsidR="00000000" w:rsidRDefault="00000000">
      <w:r>
        <w:tab/>
        <w:t>Статья 9.  Нарушение настоящего закона влечет за собой следующие санкции:</w:t>
      </w:r>
    </w:p>
    <w:p w:rsidR="00000000" w:rsidRDefault="00000000"/>
    <w:p w:rsidR="00000000" w:rsidRDefault="00000000">
      <w:pPr>
        <w:pStyle w:val="BodyTextIndent"/>
        <w:spacing w:line="288" w:lineRule="auto"/>
        <w:ind w:left="0" w:firstLine="0"/>
      </w:pPr>
      <w:r>
        <w:tab/>
        <w:t>а)</w:t>
      </w:r>
      <w:r>
        <w:tab/>
        <w:t>Гражданин, указавший заведомо ложную дату своего рождения для целей приобретения вышеупомянутых льгот, безвозвратно теряет право на пользование правами и привилегиями, предусмотренными в настоящем законе, без ущерба для применения к нему соответствующих уголовных санкций.</w:t>
      </w:r>
    </w:p>
    <w:p w:rsidR="00000000" w:rsidRDefault="00000000">
      <w:pPr>
        <w:pStyle w:val="BodyTextIndent"/>
        <w:spacing w:line="288" w:lineRule="auto"/>
      </w:pPr>
    </w:p>
    <w:p w:rsidR="00000000" w:rsidRDefault="00000000">
      <w:r>
        <w:tab/>
      </w:r>
      <w:r>
        <w:rPr>
          <w:lang w:val="en-US"/>
        </w:rPr>
        <w:t>b</w:t>
      </w:r>
      <w:r>
        <w:t>)</w:t>
      </w:r>
      <w:r>
        <w:tab/>
        <w:t>Предприятия и физические лица, обязанные предоставлять соответствующие скидки и не делающие этого, наказываются штрафом в размере двойной стоимости соответствующих услуг.</w:t>
      </w:r>
    </w:p>
    <w:p w:rsidR="00000000" w:rsidRDefault="00000000">
      <w:pPr>
        <w:ind w:left="1134" w:hanging="1134"/>
      </w:pPr>
    </w:p>
    <w:p w:rsidR="00000000" w:rsidRDefault="00000000">
      <w:r>
        <w:tab/>
        <w:t>Статья 10.  Юридические нормы, противоречащие настоящему закону, объявляются недействительными.</w:t>
      </w:r>
    </w:p>
    <w:p w:rsidR="00000000" w:rsidRDefault="00000000"/>
    <w:p w:rsidR="00000000" w:rsidRDefault="00000000">
      <w:pPr>
        <w:pStyle w:val="Heading1"/>
      </w:pPr>
      <w:r>
        <w:t>Переходная статья</w:t>
      </w:r>
    </w:p>
    <w:p w:rsidR="00000000" w:rsidRDefault="00000000">
      <w:pPr>
        <w:pStyle w:val="Heading1"/>
      </w:pPr>
    </w:p>
    <w:p w:rsidR="00000000" w:rsidRDefault="00000000">
      <w:r>
        <w:tab/>
        <w:t>До введения в действие общенационального удостоверения личности (ОУЛ) документами, подтверждающими право бенефициара на соответствующие скидки и льготы, считаются удостоверение личности, членский билет единого национального реестра и военный билет.</w:t>
      </w:r>
    </w:p>
    <w:p w:rsidR="00000000" w:rsidRDefault="00000000"/>
    <w:p w:rsidR="00000000" w:rsidRDefault="00000000">
      <w:r>
        <w:tab/>
        <w:t>Установленные настоящим законом скидки должны обеспечиваться в незамедлительном порядке при предъявлении любого из вышеуказанных документов.  Настоящий закон препровождается исполнительной власти на предмет проверки его конституционности и последующего утверждения на сессии Национального конгресса.</w:t>
      </w:r>
    </w:p>
    <w:p w:rsidR="00000000" w:rsidRDefault="00000000"/>
    <w:p w:rsidR="00000000" w:rsidRDefault="00000000">
      <w:pPr>
        <w:pStyle w:val="Heading2"/>
      </w:pPr>
      <w:r>
        <w:t>Пункт 7</w:t>
      </w:r>
    </w:p>
    <w:p w:rsidR="00000000" w:rsidRDefault="00000000">
      <w:pPr>
        <w:pStyle w:val="Heading2"/>
      </w:pPr>
    </w:p>
    <w:p w:rsidR="00000000" w:rsidRDefault="00000000">
      <w:r>
        <w:t>431.</w:t>
      </w:r>
      <w:r>
        <w:tab/>
        <w:t>Для целей надлежащего функционирования соответствующих служб на уровне общины и в качестве средств оперативного контроля в рамках системы базового медицинского страхования используются следующие формуляры и документы:</w:t>
      </w:r>
    </w:p>
    <w:p w:rsidR="00000000" w:rsidRDefault="00000000"/>
    <w:p w:rsidR="00000000" w:rsidRDefault="00000000">
      <w:r>
        <w:tab/>
        <w:t>а)</w:t>
      </w:r>
      <w:r>
        <w:tab/>
        <w:t>реестр амбулаторного обслуживания, формуляр № 11;</w:t>
      </w:r>
    </w:p>
    <w:p w:rsidR="00000000" w:rsidRDefault="00000000"/>
    <w:p w:rsidR="00000000" w:rsidRDefault="00000000">
      <w:r>
        <w:tab/>
      </w:r>
      <w:r>
        <w:rPr>
          <w:lang w:val="en-US"/>
        </w:rPr>
        <w:t>b)</w:t>
      </w:r>
      <w:r>
        <w:tab/>
        <w:t>реестр госпитального обслуживания, формуляр № 12;</w:t>
      </w:r>
    </w:p>
    <w:p w:rsidR="00000000" w:rsidRDefault="00000000"/>
    <w:p w:rsidR="00000000" w:rsidRDefault="00000000">
      <w:r>
        <w:rPr>
          <w:lang w:val="en-US"/>
        </w:rPr>
        <w:tab/>
        <w:t>c)</w:t>
      </w:r>
      <w:r>
        <w:rPr>
          <w:lang w:val="en-US"/>
        </w:rPr>
        <w:tab/>
        <w:t>р</w:t>
      </w:r>
      <w:proofErr w:type="spellStart"/>
      <w:r>
        <w:t>еестр</w:t>
      </w:r>
      <w:proofErr w:type="spellEnd"/>
      <w:r>
        <w:t xml:space="preserve"> лабораторных исследований и </w:t>
      </w:r>
      <w:proofErr w:type="spellStart"/>
      <w:r>
        <w:t>эхографического</w:t>
      </w:r>
      <w:proofErr w:type="spellEnd"/>
      <w:r>
        <w:t xml:space="preserve"> обследования беременных женщин, формуляр № 13;</w:t>
      </w:r>
    </w:p>
    <w:p w:rsidR="00000000" w:rsidRDefault="00000000"/>
    <w:p w:rsidR="00000000" w:rsidRDefault="00000000">
      <w:r>
        <w:tab/>
        <w:t>d)</w:t>
      </w:r>
      <w:r>
        <w:tab/>
        <w:t>реестр прочих транспортных расходов, связанных с оказанием срочной медицинской помощи по беременности и родам, формуляр № 14а;</w:t>
      </w:r>
    </w:p>
    <w:p w:rsidR="00000000" w:rsidRDefault="00000000"/>
    <w:p w:rsidR="00000000" w:rsidRDefault="00000000">
      <w:r>
        <w:tab/>
      </w:r>
      <w:proofErr w:type="spellStart"/>
      <w:r>
        <w:t>e</w:t>
      </w:r>
      <w:proofErr w:type="spellEnd"/>
      <w:r>
        <w:t>)</w:t>
      </w:r>
      <w:r>
        <w:tab/>
        <w:t>реестр прочих расходов, связанных с обслуживанием общин, не имеющих собственных медицинских учреждений, формуляр № 4b;</w:t>
      </w:r>
    </w:p>
    <w:p w:rsidR="00000000" w:rsidRDefault="00000000"/>
    <w:p w:rsidR="00000000" w:rsidRDefault="00000000">
      <w:r>
        <w:tab/>
      </w:r>
      <w:proofErr w:type="spellStart"/>
      <w:r>
        <w:t>f</w:t>
      </w:r>
      <w:proofErr w:type="spellEnd"/>
      <w:r>
        <w:t>)</w:t>
      </w:r>
      <w:r>
        <w:tab/>
        <w:t>справочный бюллетень;</w:t>
      </w:r>
    </w:p>
    <w:p w:rsidR="00000000" w:rsidRDefault="00000000"/>
    <w:p w:rsidR="00000000" w:rsidRDefault="00000000">
      <w:pPr>
        <w:rPr>
          <w:lang w:val="en-US"/>
        </w:rPr>
      </w:pPr>
      <w:r>
        <w:rPr>
          <w:lang w:val="en-US"/>
        </w:rPr>
        <w:tab/>
        <w:t>g)</w:t>
      </w:r>
      <w:r>
        <w:rPr>
          <w:lang w:val="en-US"/>
        </w:rPr>
        <w:tab/>
        <w:t>л</w:t>
      </w:r>
      <w:proofErr w:type="spellStart"/>
      <w:r>
        <w:t>абораторное</w:t>
      </w:r>
      <w:proofErr w:type="spellEnd"/>
      <w:r>
        <w:rPr>
          <w:lang w:val="en-US"/>
        </w:rPr>
        <w:t xml:space="preserve"> </w:t>
      </w:r>
      <w:r>
        <w:t>расписание;</w:t>
      </w:r>
    </w:p>
    <w:p w:rsidR="00000000" w:rsidRDefault="00000000">
      <w:pPr>
        <w:rPr>
          <w:lang w:val="en-US"/>
        </w:rPr>
      </w:pPr>
    </w:p>
    <w:p w:rsidR="00000000" w:rsidRDefault="00000000">
      <w:r>
        <w:rPr>
          <w:lang w:val="en-US"/>
        </w:rPr>
        <w:tab/>
        <w:t>h)</w:t>
      </w:r>
      <w:r>
        <w:rPr>
          <w:lang w:val="en-US"/>
        </w:rPr>
        <w:tab/>
        <w:t>с</w:t>
      </w:r>
      <w:proofErr w:type="spellStart"/>
      <w:r>
        <w:t>ертификат</w:t>
      </w:r>
      <w:proofErr w:type="spellEnd"/>
      <w:r>
        <w:t xml:space="preserve"> оказанных услуг (СОУ), формуляр № 15 (документ в обязательном порядке заверяется печатью СЕДЕС);</w:t>
      </w:r>
    </w:p>
    <w:p w:rsidR="00000000" w:rsidRDefault="00000000"/>
    <w:p w:rsidR="00000000" w:rsidRDefault="00000000">
      <w:r>
        <w:tab/>
        <w:t>i)</w:t>
      </w:r>
      <w:r>
        <w:tab/>
        <w:t>карта БМС;</w:t>
      </w:r>
    </w:p>
    <w:p w:rsidR="00000000" w:rsidRDefault="00000000"/>
    <w:p w:rsidR="00000000" w:rsidRDefault="00000000">
      <w:r>
        <w:tab/>
      </w:r>
      <w:proofErr w:type="spellStart"/>
      <w:r>
        <w:t>j</w:t>
      </w:r>
      <w:proofErr w:type="spellEnd"/>
      <w:r>
        <w:t>)</w:t>
      </w:r>
      <w:r>
        <w:tab/>
        <w:t>членская книжка;</w:t>
      </w:r>
    </w:p>
    <w:p w:rsidR="00000000" w:rsidRDefault="00000000"/>
    <w:p w:rsidR="00000000" w:rsidRDefault="00000000">
      <w:r>
        <w:tab/>
      </w:r>
      <w:proofErr w:type="spellStart"/>
      <w:r>
        <w:t>k</w:t>
      </w:r>
      <w:proofErr w:type="spellEnd"/>
      <w:r>
        <w:t>)</w:t>
      </w:r>
      <w:r>
        <w:tab/>
        <w:t>сборник рецептов;</w:t>
      </w:r>
    </w:p>
    <w:p w:rsidR="00000000" w:rsidRDefault="00000000"/>
    <w:p w:rsidR="00000000" w:rsidRDefault="00000000">
      <w:r>
        <w:tab/>
      </w:r>
      <w:proofErr w:type="spellStart"/>
      <w:r>
        <w:t>l</w:t>
      </w:r>
      <w:proofErr w:type="spellEnd"/>
      <w:r>
        <w:t>)</w:t>
      </w:r>
      <w:r>
        <w:tab/>
        <w:t>фармакопея;</w:t>
      </w:r>
    </w:p>
    <w:p w:rsidR="00000000" w:rsidRDefault="00000000"/>
    <w:p w:rsidR="00000000" w:rsidRDefault="00000000">
      <w:r>
        <w:tab/>
      </w:r>
      <w:proofErr w:type="spellStart"/>
      <w:r>
        <w:t>m</w:t>
      </w:r>
      <w:proofErr w:type="spellEnd"/>
      <w:r>
        <w:t>)</w:t>
      </w:r>
      <w:r>
        <w:tab/>
        <w:t>отчет о месячных расходах и заявка на медицинские препараты;</w:t>
      </w:r>
    </w:p>
    <w:p w:rsidR="00000000" w:rsidRDefault="00000000"/>
    <w:p w:rsidR="00000000" w:rsidRDefault="00000000">
      <w:r>
        <w:tab/>
      </w:r>
      <w:proofErr w:type="spellStart"/>
      <w:r>
        <w:t>n</w:t>
      </w:r>
      <w:proofErr w:type="spellEnd"/>
      <w:r>
        <w:t>)</w:t>
      </w:r>
      <w:r>
        <w:tab/>
        <w:t>история болезни;</w:t>
      </w:r>
    </w:p>
    <w:p w:rsidR="00000000" w:rsidRDefault="00000000"/>
    <w:p w:rsidR="00000000" w:rsidRDefault="00000000">
      <w:r>
        <w:tab/>
      </w:r>
      <w:proofErr w:type="spellStart"/>
      <w:r>
        <w:t>o</w:t>
      </w:r>
      <w:proofErr w:type="spellEnd"/>
      <w:r>
        <w:t>)</w:t>
      </w:r>
      <w:r>
        <w:tab/>
        <w:t>книжка роженицы.</w:t>
      </w:r>
    </w:p>
    <w:p w:rsidR="00000000" w:rsidRDefault="00000000"/>
    <w:p w:rsidR="00000000" w:rsidRDefault="00000000">
      <w:r>
        <w:t>432.</w:t>
      </w:r>
      <w:r>
        <w:tab/>
        <w:t>Сотрудники общинных служб общего профиля оказывают медицинскую помощь только в тех сельских муниципалитетах, где отсутствуют медицинские учреждения.  Эти сотрудники проходят соответствующую подготовку, сдают экзамены и получают разрешение на оказание медицинской помощи в районных медицинских учреждениях в соответствии с нормами, установленными СЕДЕС.</w:t>
      </w:r>
    </w:p>
    <w:p w:rsidR="00000000" w:rsidRDefault="00000000"/>
    <w:p w:rsidR="00000000" w:rsidRDefault="00000000">
      <w:r>
        <w:t>433.</w:t>
      </w:r>
      <w:r>
        <w:tab/>
        <w:t>Деятельность сотрудников сельских общинных служб финансируется за счет средств, получаемых в результате обслуживания сельских муниципалитетов, не имеющих доступа к службам охраны здоровья.  Больные оплачивают только стоимость медикаментов и медицинских препаратов.</w:t>
      </w:r>
    </w:p>
    <w:p w:rsidR="00000000" w:rsidRDefault="00000000"/>
    <w:p w:rsidR="00000000" w:rsidRDefault="00000000">
      <w:r>
        <w:t>434.</w:t>
      </w:r>
      <w:r>
        <w:tab/>
        <w:t>В статье 7 Указа № </w:t>
      </w:r>
      <w:r>
        <w:rPr>
          <w:lang w:val="en-US"/>
        </w:rPr>
        <w:t>1</w:t>
      </w:r>
      <w:r>
        <w:t>25265 предусматривается периодическое посещение сотрудниками медицинских служб сельских общин, не имеющих собственных медицинских учреждений.  Эти поездки ежегодно планируются и утверждаются районными учреждениями здравоохранения и включаются в ежегодные муниципальные планы оперативных действий;  при этом стоимость этих поездок не должна превышать 10% от общей суммы годового бюджета местного компенсационного фонда охраны здоровья.  Финансовые отчисления производятся в соответствии с графиком намеченных мероприятий.  Стоимость поездок включает транспортные расходы, суточные и стоимость горючего.  Каждый муниципалитет определяет собственную шкалу суточных.  Расходы, связанные с проведением периодических поездок, ежемесячно фиксируются в формуляре № 4</w:t>
      </w:r>
      <w:r>
        <w:rPr>
          <w:lang w:val="en-US"/>
        </w:rPr>
        <w:t>b</w:t>
      </w:r>
      <w:r>
        <w:t>, к которому прилагается соответствующий формуляр СОУ.</w:t>
      </w:r>
    </w:p>
    <w:p w:rsidR="00000000" w:rsidRDefault="00000000"/>
    <w:p w:rsidR="00000000" w:rsidRDefault="00000000">
      <w:pPr>
        <w:pStyle w:val="Heading2"/>
      </w:pPr>
      <w:r>
        <w:t>Пункт 8</w:t>
      </w:r>
    </w:p>
    <w:p w:rsidR="00000000" w:rsidRDefault="00000000">
      <w:pPr>
        <w:pStyle w:val="Heading2"/>
      </w:pPr>
    </w:p>
    <w:p w:rsidR="00000000" w:rsidRDefault="00000000">
      <w:r>
        <w:t>435.</w:t>
      </w:r>
      <w:r>
        <w:tab/>
        <w:t xml:space="preserve">Ниже излагаются основные цели Стратегического плана охраны здоровья в рамках борьбы с бедностью (СПОЗ), системы эпидемиологической защиты и руководящие принципы политики в области здравоохранения: </w:t>
      </w:r>
    </w:p>
    <w:p w:rsidR="00000000" w:rsidRDefault="00000000"/>
    <w:p w:rsidR="00000000" w:rsidRDefault="00000000">
      <w:pPr>
        <w:rPr>
          <w:lang w:val="en-US"/>
        </w:rPr>
      </w:pPr>
      <w:r>
        <w:tab/>
        <w:t>а)</w:t>
      </w:r>
      <w:r>
        <w:tab/>
        <w:t>разъяснение населению основных принципов функционирования служб охраны здоровья и профилактики заболеваний в рамках эффективных информационно-просветительских инициатив, разрабатываемых на основе стратегического плана социальных мероприятий в области охраны здоровья;</w:t>
      </w:r>
    </w:p>
    <w:p w:rsidR="00000000" w:rsidRDefault="00000000">
      <w:pPr>
        <w:rPr>
          <w:lang w:val="en-US"/>
        </w:rPr>
      </w:pPr>
    </w:p>
    <w:p w:rsidR="00000000" w:rsidRDefault="00000000">
      <w:r>
        <w:rPr>
          <w:lang w:val="en-US"/>
        </w:rPr>
        <w:tab/>
        <w:t>b)</w:t>
      </w:r>
      <w:r>
        <w:rPr>
          <w:lang w:val="en-US"/>
        </w:rPr>
        <w:tab/>
      </w:r>
      <w:r>
        <w:t>разработка механизмов взаимодействия и координации в рамках общенациональной политики продовольственной безопасности, гарантирующей боливийскому населению качественное и здоровое питание и содействие созданию благоприятных экологических условий;</w:t>
      </w:r>
    </w:p>
    <w:p w:rsidR="00000000" w:rsidRDefault="00000000"/>
    <w:p w:rsidR="00000000" w:rsidRDefault="00000000">
      <w:r>
        <w:tab/>
        <w:t>c)</w:t>
      </w:r>
      <w:r>
        <w:tab/>
        <w:t>приоритетное финансирование из государственного бюджета и оперативное привлечение ресурсов в рамках фондов и технических механизмов международных организаций, проектов, дружественных стран, потенциальных доноров и других структур для целей укрепления служб и механизмов по охране здоровья и профилактике заболеваний, имеющих приоритетное значение для целей борьбы с эпидемиями.</w:t>
      </w:r>
    </w:p>
    <w:p w:rsidR="00000000" w:rsidRDefault="00000000">
      <w:pPr>
        <w:ind w:left="567"/>
      </w:pPr>
    </w:p>
    <w:p w:rsidR="00000000" w:rsidRDefault="00000000">
      <w:pPr>
        <w:pStyle w:val="Heading2"/>
      </w:pPr>
      <w:r>
        <w:t>Пункт 9</w:t>
      </w:r>
    </w:p>
    <w:p w:rsidR="00000000" w:rsidRDefault="00000000">
      <w:pPr>
        <w:pStyle w:val="Heading2"/>
      </w:pPr>
    </w:p>
    <w:p w:rsidR="00000000" w:rsidRDefault="00000000">
      <w:r>
        <w:t>436.</w:t>
      </w:r>
      <w:r>
        <w:tab/>
        <w:t>Деятельность по осуществлению положений статей 12 Пакта осуществляется с переменным успехом по следующим ключевым направлениям:</w:t>
      </w:r>
    </w:p>
    <w:p w:rsidR="00000000" w:rsidRDefault="00000000"/>
    <w:p w:rsidR="00000000" w:rsidRDefault="00000000">
      <w:r>
        <w:tab/>
        <w:t>а)</w:t>
      </w:r>
      <w:r>
        <w:tab/>
        <w:t>охрана физического и психического здоровья;</w:t>
      </w:r>
    </w:p>
    <w:p w:rsidR="00000000" w:rsidRDefault="00000000"/>
    <w:p w:rsidR="00000000" w:rsidRDefault="00000000">
      <w:r>
        <w:tab/>
      </w:r>
      <w:r>
        <w:rPr>
          <w:lang w:val="en-US"/>
        </w:rPr>
        <w:t>b)</w:t>
      </w:r>
      <w:r>
        <w:rPr>
          <w:lang w:val="en-US"/>
        </w:rPr>
        <w:tab/>
      </w:r>
      <w:r>
        <w:t>сокращение младенческой и детской смертности и содействие здоровому развитию детей;</w:t>
      </w:r>
    </w:p>
    <w:p w:rsidR="00000000" w:rsidRDefault="00000000"/>
    <w:p w:rsidR="00000000" w:rsidRDefault="00000000">
      <w:r>
        <w:tab/>
        <w:t>c)</w:t>
      </w:r>
      <w:r>
        <w:tab/>
        <w:t>профилактика и лечение эпидемических, эндемических, профессиональных и иных заболеваний.</w:t>
      </w:r>
    </w:p>
    <w:p w:rsidR="00000000" w:rsidRDefault="00000000"/>
    <w:p w:rsidR="00000000" w:rsidRDefault="00000000">
      <w:pPr>
        <w:jc w:val="center"/>
        <w:rPr>
          <w:b/>
        </w:rPr>
      </w:pPr>
      <w:r>
        <w:rPr>
          <w:b/>
          <w:lang w:val="en-US"/>
        </w:rPr>
        <w:t>H</w:t>
      </w:r>
      <w:r>
        <w:rPr>
          <w:b/>
        </w:rPr>
        <w:t>.</w:t>
      </w:r>
      <w:r>
        <w:rPr>
          <w:b/>
        </w:rPr>
        <w:tab/>
      </w:r>
      <w:r>
        <w:rPr>
          <w:b/>
          <w:u w:val="single"/>
        </w:rPr>
        <w:t>Статья 3</w:t>
      </w:r>
    </w:p>
    <w:p w:rsidR="00000000" w:rsidRDefault="00000000">
      <w:pPr>
        <w:jc w:val="center"/>
      </w:pPr>
    </w:p>
    <w:p w:rsidR="00000000" w:rsidRDefault="00000000">
      <w:pPr>
        <w:pStyle w:val="Heading2"/>
      </w:pPr>
      <w:r>
        <w:t>Руководящие принципы, пункт 1 а) статьи 13 Пакта</w:t>
      </w:r>
    </w:p>
    <w:p w:rsidR="00000000" w:rsidRDefault="00000000">
      <w:pPr>
        <w:pStyle w:val="Heading2"/>
      </w:pPr>
    </w:p>
    <w:p w:rsidR="00000000" w:rsidRDefault="00000000">
      <w:r>
        <w:t>437.</w:t>
      </w:r>
      <w:r>
        <w:tab/>
        <w:t>В статье 177 Политической конституции страны говорится, что образование относится к числу важнейших функций государства, что государственное образование является бесплатным и что начальное образование носит обязательный характер.</w:t>
      </w:r>
    </w:p>
    <w:p w:rsidR="00000000" w:rsidRDefault="00000000"/>
    <w:p w:rsidR="00000000" w:rsidRDefault="00000000">
      <w:r>
        <w:t>438.</w:t>
      </w:r>
      <w:r>
        <w:tab/>
        <w:t>В этой связи три последних правительства страны осуществляют с 1993 года программу реформы системы образования, цель которой заключается в существенном расширении ее охвата, в первую очередь, на уровне начального образования, повышении качества и демократизации национальной образовательной системы.  К числу основных элементов этой программы относятся увеличение цикла начального образования с 5 до 8 лет, внесение изменений в школьную программу и децентрализация учебных заведений.</w:t>
      </w:r>
    </w:p>
    <w:p w:rsidR="00000000" w:rsidRDefault="00000000"/>
    <w:p w:rsidR="00000000" w:rsidRDefault="00000000">
      <w:r>
        <w:rPr>
          <w:u w:val="single"/>
        </w:rPr>
        <w:t>Пункт 1</w:t>
      </w:r>
      <w:r>
        <w:rPr>
          <w:u w:val="single"/>
          <w:lang w:val="en-US"/>
        </w:rPr>
        <w:t xml:space="preserve"> b</w:t>
      </w:r>
      <w:r>
        <w:t>)</w:t>
      </w:r>
    </w:p>
    <w:p w:rsidR="00000000" w:rsidRDefault="00000000"/>
    <w:p w:rsidR="00000000" w:rsidRDefault="00000000">
      <w:r>
        <w:t>439.</w:t>
      </w:r>
      <w:r>
        <w:tab/>
        <w:t>На уровне начального и среднего образования обучение проводится как в государственных, так и в частных учебных заведениях.  Обучение во всех государственных учебных заведениях является бесплатным, при этом жители городских районов имеют более широкий доступ к системе образования по сравнению с жителями сельских районов.</w:t>
      </w:r>
    </w:p>
    <w:p w:rsidR="00000000" w:rsidRDefault="00000000"/>
    <w:p w:rsidR="00000000" w:rsidRDefault="00000000">
      <w:r>
        <w:t>440.</w:t>
      </w:r>
      <w:r>
        <w:tab/>
        <w:t>В рамках альтернативной системы образования предусматриваются следующие виды среднего образования:</w:t>
      </w:r>
    </w:p>
    <w:p w:rsidR="00000000" w:rsidRDefault="00000000"/>
    <w:p w:rsidR="00000000" w:rsidRDefault="00000000">
      <w:pPr>
        <w:pStyle w:val="BodyTextIndent"/>
        <w:spacing w:line="288" w:lineRule="auto"/>
      </w:pPr>
      <w:r>
        <w:t>-</w:t>
      </w:r>
      <w:r>
        <w:tab/>
        <w:t>УБО (ускоренное базовое образование):  речь идет о ликвидации неграмотности среди взрослых, которые не посещали школу или были вынуждены ее бросить.</w:t>
      </w:r>
    </w:p>
    <w:p w:rsidR="00000000" w:rsidRDefault="00000000">
      <w:pPr>
        <w:pStyle w:val="BodyTextIndent"/>
        <w:spacing w:line="288" w:lineRule="auto"/>
      </w:pPr>
    </w:p>
    <w:p w:rsidR="00000000" w:rsidRDefault="00000000">
      <w:pPr>
        <w:ind w:left="1134" w:hanging="567"/>
      </w:pPr>
      <w:r>
        <w:t>-</w:t>
      </w:r>
      <w:r>
        <w:tab/>
        <w:t>БИПТП (Боливийский институт профессионально-технической подготовки):  этот институт обеспечивает профессионально-техническую подготовку взрослых по целому ряду специальностей.</w:t>
      </w:r>
    </w:p>
    <w:p w:rsidR="00000000" w:rsidRDefault="00000000">
      <w:pPr>
        <w:ind w:left="1134" w:hanging="567"/>
      </w:pPr>
    </w:p>
    <w:p w:rsidR="00000000" w:rsidRDefault="00000000">
      <w:pPr>
        <w:ind w:left="1134" w:hanging="567"/>
      </w:pPr>
      <w:r>
        <w:t>-</w:t>
      </w:r>
      <w:r>
        <w:tab/>
        <w:t>ЦУСО (Центр ускоренного среднего образования):  в этом центре любые совершеннолетние лица (с 21 года) могут получить аттестат зрелости по завершении двухлетнего курса обучения.</w:t>
      </w:r>
    </w:p>
    <w:p w:rsidR="00000000" w:rsidRDefault="00000000">
      <w:pPr>
        <w:ind w:left="1134" w:hanging="567"/>
      </w:pPr>
    </w:p>
    <w:p w:rsidR="00000000" w:rsidRDefault="00000000">
      <w:pPr>
        <w:ind w:left="1134" w:hanging="567"/>
      </w:pPr>
      <w:r>
        <w:t>-</w:t>
      </w:r>
      <w:r>
        <w:tab/>
        <w:t>ЦКО (Центр комплексного обучения):  такие центры функционируют в городах и предлагают комплексную программу обучения технико-гуманитарного характера с учетом потребностей соответствующих общин.</w:t>
      </w:r>
    </w:p>
    <w:p w:rsidR="00000000" w:rsidRDefault="00000000">
      <w:pPr>
        <w:ind w:left="1134" w:hanging="567"/>
      </w:pPr>
    </w:p>
    <w:p w:rsidR="00000000" w:rsidRDefault="00000000">
      <w:pPr>
        <w:ind w:left="1134" w:hanging="567"/>
      </w:pPr>
      <w:r>
        <w:t>-</w:t>
      </w:r>
      <w:r>
        <w:tab/>
        <w:t>КУЦСО (Комплексный учебный центр для сельских общин):  этот центр занимается подготовкой квалифицированной рабочей силы и технических специалистов среднего звена для сельских общин и способствует формированию рынка рабочей силы и организации производственных единиц.</w:t>
      </w:r>
    </w:p>
    <w:p w:rsidR="00000000" w:rsidRDefault="00000000">
      <w:pPr>
        <w:ind w:left="1134" w:hanging="567"/>
      </w:pPr>
    </w:p>
    <w:p w:rsidR="00000000" w:rsidRDefault="00000000">
      <w:pPr>
        <w:ind w:left="1134" w:hanging="567"/>
      </w:pPr>
      <w:r>
        <w:t>-</w:t>
      </w:r>
      <w:r>
        <w:tab/>
        <w:t>ГСУТЦ (</w:t>
      </w:r>
      <w:proofErr w:type="spellStart"/>
      <w:r>
        <w:t>Гуманитарно-сельскохозяйственный</w:t>
      </w:r>
      <w:proofErr w:type="spellEnd"/>
      <w:r>
        <w:t xml:space="preserve"> учебно-технический центр):  этот центр предлагает комплексное социально-гуманитарное и технико-профессиональное образование по трем основным направлениям:  социальная работа в общинах, профессионально-техническая подготовка и общее среднее образование.</w:t>
      </w:r>
    </w:p>
    <w:p w:rsidR="00000000" w:rsidRDefault="00000000">
      <w:pPr>
        <w:ind w:left="1134" w:hanging="567"/>
      </w:pPr>
    </w:p>
    <w:p w:rsidR="00000000" w:rsidRDefault="00000000">
      <w:pPr>
        <w:keepNext/>
      </w:pPr>
      <w:r>
        <w:rPr>
          <w:u w:val="single"/>
        </w:rPr>
        <w:t>Пункт 1 с</w:t>
      </w:r>
      <w:r>
        <w:t>)</w:t>
      </w:r>
    </w:p>
    <w:p w:rsidR="00000000" w:rsidRDefault="00000000">
      <w:pPr>
        <w:keepNext/>
      </w:pPr>
    </w:p>
    <w:p w:rsidR="00000000" w:rsidRDefault="00000000">
      <w:r>
        <w:t>441.</w:t>
      </w:r>
      <w:r>
        <w:tab/>
        <w:t>Боливийская система высшего образования, базирующаяся в первую очередь на университетах, подразделяется на две подсистемы:  общественную или государственную, включающую 12 университетов, и частную, включающую 27 университетов.  Обеими подсистемами охватывается приблизительно 25% молодежи в возрасте от 18 до 25 лет.</w:t>
      </w:r>
    </w:p>
    <w:p w:rsidR="00000000" w:rsidRDefault="00000000"/>
    <w:p w:rsidR="00000000" w:rsidRDefault="00000000">
      <w:r>
        <w:t>442.</w:t>
      </w:r>
      <w:r>
        <w:tab/>
        <w:t>Несмотря на отсутствие каких-либо серьезных проблем, препятствующих доступу населения к системе университетского образования, общественные или государственные университеты, стоимость обучения в которых не превышает 20 долл. США за год, в течение последних десяти лет постепенно вводят в действующую систему беспрепятственного доступа к высшему образованию определенные ограничения, включая, в частности, такие меры, как установление квоты учащихся для обучения по некоторым специальностям, создание механизма вступительных экзаменов или организацию обязательных вводно-подготовительных курсов.</w:t>
      </w:r>
    </w:p>
    <w:p w:rsidR="00000000" w:rsidRDefault="00000000"/>
    <w:p w:rsidR="00000000" w:rsidRDefault="00000000">
      <w:r>
        <w:t>443.</w:t>
      </w:r>
      <w:r>
        <w:tab/>
        <w:t>Что касается частных университетов, то основная проблема заключается в высокой стоимости обучения (800-1 200 долл. США в год).  При этом в большинстве этих университетов нет никаких других серьезных ограничений, препятствующих соблюдению принципа свободного доступа.</w:t>
      </w:r>
    </w:p>
    <w:p w:rsidR="00000000" w:rsidRDefault="00000000"/>
    <w:p w:rsidR="00000000" w:rsidRDefault="00000000">
      <w:r>
        <w:rPr>
          <w:u w:val="single"/>
        </w:rPr>
        <w:t>Пункт 1</w:t>
      </w:r>
      <w:r>
        <w:rPr>
          <w:u w:val="single"/>
          <w:lang w:val="en-US"/>
        </w:rPr>
        <w:t xml:space="preserve"> d</w:t>
      </w:r>
      <w:r>
        <w:t>)</w:t>
      </w:r>
    </w:p>
    <w:p w:rsidR="00000000" w:rsidRDefault="00000000"/>
    <w:p w:rsidR="00000000" w:rsidRDefault="00000000">
      <w:r>
        <w:t>444.</w:t>
      </w:r>
      <w:r>
        <w:tab/>
        <w:t>Вечерняя школа относится к системе учреждений, обеспечивающих начальное образование детей, подростков, молодых трудящихся и беспризорных детей;  в этой связи министерство просвещения, культуры и спорта осуществляет по линии Управления по вопросам альтернативного образования проект "Разработка и внедрение учебной программы вечерней школы для детей, подростков, молодых трудящихся и беспризорных детей".  Обучение в этой школе бесплатное и факультативное.  В настоящее время проект находится на этапе обкатки.  Кроме того, осуществляется программа, предусматривающая общее обучение и профессионально-техническую подготовку детей и подростков, живущих на улице и не посещающих школу;  конечная цель этой программы заключается в социальной реинтеграции этих детей и подростков и их возвращении в школьную и семейную среду.</w:t>
      </w:r>
    </w:p>
    <w:p w:rsidR="00000000" w:rsidRDefault="00000000"/>
    <w:p w:rsidR="00000000" w:rsidRDefault="00000000">
      <w:r>
        <w:t>445.</w:t>
      </w:r>
      <w:r>
        <w:tab/>
        <w:t>По причине высокого показателя отсева из учебных заведений для взрослых, что объясняется их профессиональной деятельностью, затрудняющей посещение учебных центров в дневное время, в течение последних трех лет министерство просвещения, культуры и спорта разрабатывает проект реформирования учебной программы (</w:t>
      </w:r>
      <w:r>
        <w:rPr>
          <w:lang w:val="en-US"/>
        </w:rPr>
        <w:t xml:space="preserve">R.A. 028/94), </w:t>
      </w:r>
      <w:r>
        <w:t>который в настоящее время проходит процесс обкатки.  Этот проект, осуществляемый при содействии Немецкой ассоциации образования взрослых, предусматривает курс ускоренного начального и среднего образования в рамках пакета автономных учебных программ.</w:t>
      </w:r>
    </w:p>
    <w:p w:rsidR="00000000" w:rsidRDefault="00000000"/>
    <w:p w:rsidR="00000000" w:rsidRDefault="00000000">
      <w:r>
        <w:t>446.</w:t>
      </w:r>
      <w:r>
        <w:tab/>
        <w:t>Кроме того, желающие могут получить профессионально-техническую подготовку в таких учебных заведениях, как УБО, ЦУСО, центры комплексного обучения, КУЦСО или ГСУТЦ.</w:t>
      </w:r>
    </w:p>
    <w:p w:rsidR="00000000" w:rsidRDefault="00000000"/>
    <w:p w:rsidR="00000000" w:rsidRDefault="00000000">
      <w:pPr>
        <w:pStyle w:val="Heading2"/>
      </w:pPr>
      <w:r>
        <w:t>Пункт 2</w:t>
      </w:r>
    </w:p>
    <w:p w:rsidR="00000000" w:rsidRDefault="00000000">
      <w:pPr>
        <w:pStyle w:val="Heading2"/>
      </w:pPr>
    </w:p>
    <w:p w:rsidR="00000000" w:rsidRDefault="00000000">
      <w:r>
        <w:t>447.</w:t>
      </w:r>
      <w:r>
        <w:tab/>
        <w:t>К числу наиболее серьезных проблем, несомненно, относится нехватка людских и финансовых ресурсов для организации учебного процесса и создания рабочих мест в отдаленных сельских районах.  В приводимой ниже таблице содержатся целевые показатели охвата детей начальным образованием за период с 1997 года:</w:t>
      </w:r>
    </w:p>
    <w:p w:rsidR="00000000" w:rsidRDefault="00000000"/>
    <w:tbl>
      <w:tblPr>
        <w:tblW w:w="0" w:type="auto"/>
        <w:tblInd w:w="-106" w:type="dxa"/>
        <w:tblLayout w:type="fixed"/>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rPr>
          <w:cantSplit/>
        </w:trPr>
        <w:tc>
          <w:tcPr>
            <w:tcW w:w="9570" w:type="dxa"/>
            <w:gridSpan w:val="6"/>
          </w:tcPr>
          <w:p w:rsidR="00000000" w:rsidRDefault="00000000">
            <w:pPr>
              <w:pStyle w:val="Heading7"/>
              <w:spacing w:line="288" w:lineRule="auto"/>
              <w:rPr>
                <w:b/>
                <w:u w:val="none"/>
              </w:rPr>
            </w:pPr>
            <w:r>
              <w:rPr>
                <w:b/>
                <w:u w:val="none"/>
              </w:rPr>
              <w:t>Целевые показатели в %</w:t>
            </w:r>
          </w:p>
          <w:p w:rsidR="00000000" w:rsidRDefault="00000000"/>
        </w:tc>
      </w:tr>
      <w:tr w:rsidR="00000000">
        <w:tblPrEx>
          <w:tblCellMar>
            <w:top w:w="0" w:type="dxa"/>
            <w:bottom w:w="0" w:type="dxa"/>
          </w:tblCellMar>
        </w:tblPrEx>
        <w:tc>
          <w:tcPr>
            <w:tcW w:w="1595" w:type="dxa"/>
          </w:tcPr>
          <w:p w:rsidR="00000000" w:rsidRDefault="00000000"/>
        </w:tc>
        <w:tc>
          <w:tcPr>
            <w:tcW w:w="1595" w:type="dxa"/>
          </w:tcPr>
          <w:p w:rsidR="00000000" w:rsidRDefault="00000000">
            <w:pPr>
              <w:jc w:val="center"/>
              <w:rPr>
                <w:b/>
              </w:rPr>
            </w:pPr>
            <w:r>
              <w:rPr>
                <w:b/>
              </w:rPr>
              <w:t>1997</w:t>
            </w:r>
          </w:p>
        </w:tc>
        <w:tc>
          <w:tcPr>
            <w:tcW w:w="1595" w:type="dxa"/>
          </w:tcPr>
          <w:p w:rsidR="00000000" w:rsidRDefault="00000000">
            <w:pPr>
              <w:jc w:val="center"/>
              <w:rPr>
                <w:b/>
              </w:rPr>
            </w:pPr>
            <w:r>
              <w:rPr>
                <w:b/>
              </w:rPr>
              <w:t>1998</w:t>
            </w:r>
          </w:p>
        </w:tc>
        <w:tc>
          <w:tcPr>
            <w:tcW w:w="1595" w:type="dxa"/>
          </w:tcPr>
          <w:p w:rsidR="00000000" w:rsidRDefault="00000000">
            <w:pPr>
              <w:jc w:val="center"/>
              <w:rPr>
                <w:b/>
              </w:rPr>
            </w:pPr>
            <w:r>
              <w:rPr>
                <w:b/>
              </w:rPr>
              <w:t>1999</w:t>
            </w:r>
          </w:p>
        </w:tc>
        <w:tc>
          <w:tcPr>
            <w:tcW w:w="1595" w:type="dxa"/>
          </w:tcPr>
          <w:p w:rsidR="00000000" w:rsidRDefault="00000000">
            <w:pPr>
              <w:jc w:val="center"/>
              <w:rPr>
                <w:b/>
              </w:rPr>
            </w:pPr>
            <w:r>
              <w:rPr>
                <w:b/>
              </w:rPr>
              <w:t>2000</w:t>
            </w:r>
          </w:p>
        </w:tc>
        <w:tc>
          <w:tcPr>
            <w:tcW w:w="1595" w:type="dxa"/>
          </w:tcPr>
          <w:p w:rsidR="00000000" w:rsidRDefault="00000000">
            <w:pPr>
              <w:jc w:val="center"/>
              <w:rPr>
                <w:b/>
              </w:rPr>
            </w:pPr>
            <w:r>
              <w:rPr>
                <w:b/>
              </w:rPr>
              <w:t>2001</w:t>
            </w:r>
          </w:p>
        </w:tc>
      </w:tr>
      <w:tr w:rsidR="00000000">
        <w:tblPrEx>
          <w:tblCellMar>
            <w:top w:w="0" w:type="dxa"/>
            <w:bottom w:w="0" w:type="dxa"/>
          </w:tblCellMar>
        </w:tblPrEx>
        <w:tc>
          <w:tcPr>
            <w:tcW w:w="1595" w:type="dxa"/>
          </w:tcPr>
          <w:p w:rsidR="00000000" w:rsidRDefault="00000000"/>
        </w:tc>
        <w:tc>
          <w:tcPr>
            <w:tcW w:w="1595" w:type="dxa"/>
          </w:tcPr>
          <w:p w:rsidR="00000000" w:rsidRDefault="00000000">
            <w:pPr>
              <w:jc w:val="center"/>
              <w:rPr>
                <w:b/>
              </w:rPr>
            </w:pPr>
          </w:p>
        </w:tc>
        <w:tc>
          <w:tcPr>
            <w:tcW w:w="1595" w:type="dxa"/>
          </w:tcPr>
          <w:p w:rsidR="00000000" w:rsidRDefault="00000000">
            <w:pPr>
              <w:jc w:val="center"/>
              <w:rPr>
                <w:b/>
              </w:rPr>
            </w:pPr>
          </w:p>
        </w:tc>
        <w:tc>
          <w:tcPr>
            <w:tcW w:w="1595" w:type="dxa"/>
          </w:tcPr>
          <w:p w:rsidR="00000000" w:rsidRDefault="00000000">
            <w:pPr>
              <w:jc w:val="center"/>
              <w:rPr>
                <w:b/>
              </w:rPr>
            </w:pPr>
          </w:p>
        </w:tc>
        <w:tc>
          <w:tcPr>
            <w:tcW w:w="1595" w:type="dxa"/>
          </w:tcPr>
          <w:p w:rsidR="00000000" w:rsidRDefault="00000000">
            <w:pPr>
              <w:jc w:val="center"/>
              <w:rPr>
                <w:b/>
              </w:rPr>
            </w:pPr>
          </w:p>
        </w:tc>
        <w:tc>
          <w:tcPr>
            <w:tcW w:w="1595" w:type="dxa"/>
          </w:tcPr>
          <w:p w:rsidR="00000000" w:rsidRDefault="00000000">
            <w:pPr>
              <w:jc w:val="center"/>
              <w:rPr>
                <w:b/>
              </w:rPr>
            </w:pPr>
          </w:p>
        </w:tc>
      </w:tr>
      <w:tr w:rsidR="00000000">
        <w:tblPrEx>
          <w:tblCellMar>
            <w:top w:w="0" w:type="dxa"/>
            <w:bottom w:w="0" w:type="dxa"/>
          </w:tblCellMar>
        </w:tblPrEx>
        <w:tc>
          <w:tcPr>
            <w:tcW w:w="1595" w:type="dxa"/>
          </w:tcPr>
          <w:p w:rsidR="00000000" w:rsidRDefault="00000000">
            <w:pPr>
              <w:pStyle w:val="Heading1"/>
            </w:pPr>
            <w:r>
              <w:t>По стране</w:t>
            </w:r>
          </w:p>
        </w:tc>
        <w:tc>
          <w:tcPr>
            <w:tcW w:w="1595" w:type="dxa"/>
          </w:tcPr>
          <w:p w:rsidR="00000000" w:rsidRDefault="00000000">
            <w:pPr>
              <w:jc w:val="center"/>
            </w:pPr>
            <w:r>
              <w:t>79,8%</w:t>
            </w:r>
          </w:p>
        </w:tc>
        <w:tc>
          <w:tcPr>
            <w:tcW w:w="1595" w:type="dxa"/>
          </w:tcPr>
          <w:p w:rsidR="00000000" w:rsidRDefault="00000000">
            <w:pPr>
              <w:jc w:val="center"/>
            </w:pPr>
            <w:r>
              <w:t>82,2%</w:t>
            </w:r>
          </w:p>
        </w:tc>
        <w:tc>
          <w:tcPr>
            <w:tcW w:w="1595" w:type="dxa"/>
          </w:tcPr>
          <w:p w:rsidR="00000000" w:rsidRDefault="00000000">
            <w:pPr>
              <w:jc w:val="center"/>
            </w:pPr>
            <w:r>
              <w:t>85,3%</w:t>
            </w:r>
          </w:p>
        </w:tc>
        <w:tc>
          <w:tcPr>
            <w:tcW w:w="1595" w:type="dxa"/>
          </w:tcPr>
          <w:p w:rsidR="00000000" w:rsidRDefault="00000000">
            <w:pPr>
              <w:jc w:val="center"/>
            </w:pPr>
            <w:r>
              <w:t>86,1%</w:t>
            </w:r>
          </w:p>
        </w:tc>
        <w:tc>
          <w:tcPr>
            <w:tcW w:w="1595" w:type="dxa"/>
          </w:tcPr>
          <w:p w:rsidR="00000000" w:rsidRDefault="00000000">
            <w:pPr>
              <w:jc w:val="center"/>
            </w:pPr>
            <w:r>
              <w:t>86,9%</w:t>
            </w:r>
          </w:p>
        </w:tc>
      </w:tr>
    </w:tbl>
    <w:p w:rsidR="00000000" w:rsidRDefault="00000000"/>
    <w:p w:rsidR="00000000" w:rsidRDefault="00000000">
      <w:pPr>
        <w:pStyle w:val="Heading2"/>
      </w:pPr>
      <w:r>
        <w:t>Пункт 3</w:t>
      </w:r>
    </w:p>
    <w:p w:rsidR="00000000" w:rsidRDefault="00000000">
      <w:pPr>
        <w:pStyle w:val="Heading2"/>
      </w:pPr>
    </w:p>
    <w:p w:rsidR="00000000" w:rsidRDefault="00000000">
      <w:r>
        <w:t>448.</w:t>
      </w:r>
      <w:r>
        <w:tab/>
        <w:t>Чистый реальный уровень охвата государственной и частной систем начального образования составлял в 1997 году 79,8%.  В приложениях 1 и 2 ("Показатели государственной системы образования за 1998 год" и "Данные за 1998 год относительно численности зачисленных в школу детей в разбивке по районам и полу") содержится подробная информация о состоянии государственной системы начального образования.</w:t>
      </w:r>
    </w:p>
    <w:p w:rsidR="00000000" w:rsidRDefault="00000000"/>
    <w:p w:rsidR="00000000" w:rsidRDefault="00000000">
      <w:r>
        <w:t>449.</w:t>
      </w:r>
      <w:r>
        <w:tab/>
        <w:t>В последние два десятилетия государство и гражданское общество предпринимали при содействии международного сообщества самые разнообразные инициативы узконаправленного и широкого профиля в целях борьбы с неграмотностью, однако с учетом огромных масштабов этой проблемы достигнутые результаты нельзя назвать впечатляющими.</w:t>
      </w:r>
    </w:p>
    <w:p w:rsidR="00000000" w:rsidRDefault="00000000"/>
    <w:p w:rsidR="00000000" w:rsidRDefault="00000000">
      <w:r>
        <w:t>450.</w:t>
      </w:r>
      <w:r>
        <w:tab/>
        <w:t>В рамках борьбы с бедностью нынешнее правительство разработало Национальный план ликвидации неграмотности в целях повышения уровня жизни и производства на период 1998</w:t>
      </w:r>
      <w:r>
        <w:noBreakHyphen/>
        <w:t>2002 годов.</w:t>
      </w:r>
    </w:p>
    <w:p w:rsidR="00000000" w:rsidRDefault="00000000"/>
    <w:p w:rsidR="00000000" w:rsidRDefault="00000000">
      <w:pPr>
        <w:pStyle w:val="Heading7"/>
        <w:spacing w:line="288" w:lineRule="auto"/>
        <w:rPr>
          <w:b/>
          <w:u w:val="none"/>
        </w:rPr>
      </w:pPr>
      <w:r>
        <w:rPr>
          <w:b/>
          <w:u w:val="none"/>
        </w:rPr>
        <w:t>Общие данные о численности абсолютно неграмотного или</w:t>
      </w:r>
    </w:p>
    <w:p w:rsidR="00000000" w:rsidRDefault="00000000">
      <w:pPr>
        <w:pStyle w:val="Heading7"/>
        <w:spacing w:line="288" w:lineRule="auto"/>
        <w:rPr>
          <w:b/>
          <w:u w:val="none"/>
        </w:rPr>
      </w:pPr>
      <w:r>
        <w:rPr>
          <w:b/>
          <w:u w:val="none"/>
        </w:rPr>
        <w:t>функционально неграмотного населения</w:t>
      </w:r>
    </w:p>
    <w:p w:rsidR="00000000" w:rsidRDefault="00000000">
      <w:pPr>
        <w:jc w:val="center"/>
      </w:pPr>
      <w:r>
        <w:t>(за 1998 год)</w:t>
      </w:r>
    </w:p>
    <w:p w:rsidR="00000000" w:rsidRDefault="00000000">
      <w:pPr>
        <w:pStyle w:val="16"/>
        <w:tabs>
          <w:tab w:val="left" w:pos="567"/>
          <w:tab w:val="left" w:pos="1134"/>
          <w:tab w:val="left" w:pos="1701"/>
          <w:tab w:val="left" w:pos="2268"/>
          <w:tab w:val="left" w:pos="6237"/>
        </w:tabs>
      </w:pPr>
    </w:p>
    <w:tbl>
      <w:tblPr>
        <w:tblW w:w="0" w:type="auto"/>
        <w:tblInd w:w="-10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817"/>
        <w:gridCol w:w="1418"/>
        <w:gridCol w:w="1559"/>
        <w:gridCol w:w="425"/>
        <w:gridCol w:w="1559"/>
        <w:gridCol w:w="2197"/>
        <w:gridCol w:w="1595"/>
      </w:tblGrid>
      <w:tr w:rsidR="00000000">
        <w:tblPrEx>
          <w:tblCellMar>
            <w:top w:w="0" w:type="dxa"/>
            <w:bottom w:w="0" w:type="dxa"/>
          </w:tblCellMar>
        </w:tblPrEx>
        <w:trPr>
          <w:cantSplit/>
        </w:trPr>
        <w:tc>
          <w:tcPr>
            <w:tcW w:w="817" w:type="dxa"/>
            <w:tcBorders>
              <w:top w:val="double" w:sz="4" w:space="0" w:color="auto"/>
              <w:bottom w:val="nil"/>
            </w:tcBorders>
          </w:tcPr>
          <w:p w:rsidR="00000000" w:rsidRDefault="00000000">
            <w:pPr>
              <w:jc w:val="center"/>
              <w:rPr>
                <w:b/>
                <w:sz w:val="22"/>
              </w:rPr>
            </w:pPr>
            <w:r>
              <w:rPr>
                <w:b/>
                <w:sz w:val="22"/>
              </w:rPr>
              <w:t>Год</w:t>
            </w:r>
          </w:p>
        </w:tc>
        <w:tc>
          <w:tcPr>
            <w:tcW w:w="1418" w:type="dxa"/>
            <w:tcBorders>
              <w:top w:val="double" w:sz="4" w:space="0" w:color="auto"/>
            </w:tcBorders>
          </w:tcPr>
          <w:p w:rsidR="00000000" w:rsidRDefault="00000000">
            <w:pPr>
              <w:jc w:val="center"/>
              <w:rPr>
                <w:b/>
                <w:sz w:val="22"/>
              </w:rPr>
            </w:pPr>
            <w:r>
              <w:rPr>
                <w:b/>
                <w:sz w:val="22"/>
              </w:rPr>
              <w:t>Население</w:t>
            </w:r>
          </w:p>
          <w:p w:rsidR="00000000" w:rsidRDefault="00000000">
            <w:pPr>
              <w:jc w:val="center"/>
              <w:rPr>
                <w:b/>
                <w:sz w:val="22"/>
              </w:rPr>
            </w:pPr>
            <w:r>
              <w:rPr>
                <w:b/>
                <w:sz w:val="22"/>
              </w:rPr>
              <w:t>(от 15 до 45 лет)</w:t>
            </w:r>
          </w:p>
        </w:tc>
        <w:tc>
          <w:tcPr>
            <w:tcW w:w="1559" w:type="dxa"/>
            <w:tcBorders>
              <w:top w:val="double" w:sz="4" w:space="0" w:color="auto"/>
            </w:tcBorders>
          </w:tcPr>
          <w:p w:rsidR="00000000" w:rsidRDefault="00000000">
            <w:pPr>
              <w:jc w:val="center"/>
              <w:rPr>
                <w:b/>
                <w:sz w:val="22"/>
              </w:rPr>
            </w:pPr>
            <w:r>
              <w:rPr>
                <w:b/>
                <w:sz w:val="22"/>
              </w:rPr>
              <w:t>Абсолютно неграмотное население</w:t>
            </w:r>
          </w:p>
        </w:tc>
        <w:tc>
          <w:tcPr>
            <w:tcW w:w="1984" w:type="dxa"/>
            <w:gridSpan w:val="2"/>
            <w:tcBorders>
              <w:top w:val="double" w:sz="4" w:space="0" w:color="auto"/>
            </w:tcBorders>
          </w:tcPr>
          <w:p w:rsidR="00000000" w:rsidRDefault="00000000">
            <w:pPr>
              <w:jc w:val="center"/>
              <w:rPr>
                <w:b/>
                <w:sz w:val="22"/>
              </w:rPr>
            </w:pPr>
            <w:r>
              <w:rPr>
                <w:b/>
                <w:sz w:val="22"/>
              </w:rPr>
              <w:t>Неграмотное население, не охваченное школьным образованием</w:t>
            </w:r>
          </w:p>
        </w:tc>
        <w:tc>
          <w:tcPr>
            <w:tcW w:w="2197" w:type="dxa"/>
            <w:tcBorders>
              <w:top w:val="double" w:sz="4" w:space="0" w:color="auto"/>
            </w:tcBorders>
          </w:tcPr>
          <w:p w:rsidR="00000000" w:rsidRDefault="00000000">
            <w:pPr>
              <w:jc w:val="center"/>
              <w:rPr>
                <w:b/>
                <w:sz w:val="22"/>
              </w:rPr>
            </w:pPr>
            <w:r>
              <w:rPr>
                <w:b/>
                <w:sz w:val="22"/>
              </w:rPr>
              <w:t>Лица, оставившие школу до завершения пятого класса начальной школы</w:t>
            </w:r>
          </w:p>
        </w:tc>
        <w:tc>
          <w:tcPr>
            <w:tcW w:w="1595" w:type="dxa"/>
            <w:tcBorders>
              <w:top w:val="double" w:sz="4" w:space="0" w:color="auto"/>
            </w:tcBorders>
          </w:tcPr>
          <w:p w:rsidR="00000000" w:rsidRDefault="00000000">
            <w:pPr>
              <w:jc w:val="center"/>
              <w:rPr>
                <w:b/>
                <w:sz w:val="22"/>
              </w:rPr>
            </w:pPr>
            <w:r>
              <w:rPr>
                <w:b/>
                <w:sz w:val="22"/>
              </w:rPr>
              <w:t>Общая численность неграмотного населения</w:t>
            </w:r>
          </w:p>
        </w:tc>
      </w:tr>
      <w:tr w:rsidR="00000000">
        <w:tblPrEx>
          <w:tblCellMar>
            <w:top w:w="0" w:type="dxa"/>
            <w:bottom w:w="0" w:type="dxa"/>
          </w:tblCellMar>
        </w:tblPrEx>
        <w:trPr>
          <w:cantSplit/>
        </w:trPr>
        <w:tc>
          <w:tcPr>
            <w:tcW w:w="817" w:type="dxa"/>
            <w:tcBorders>
              <w:top w:val="single" w:sz="4" w:space="0" w:color="auto"/>
              <w:bottom w:val="double" w:sz="4" w:space="0" w:color="auto"/>
            </w:tcBorders>
          </w:tcPr>
          <w:p w:rsidR="00000000" w:rsidRDefault="00000000">
            <w:pPr>
              <w:jc w:val="center"/>
              <w:rPr>
                <w:b/>
                <w:sz w:val="22"/>
              </w:rPr>
            </w:pPr>
            <w:r>
              <w:rPr>
                <w:b/>
                <w:sz w:val="22"/>
              </w:rPr>
              <w:t>1998</w:t>
            </w:r>
          </w:p>
        </w:tc>
        <w:tc>
          <w:tcPr>
            <w:tcW w:w="1418" w:type="dxa"/>
          </w:tcPr>
          <w:p w:rsidR="00000000" w:rsidRDefault="00000000">
            <w:pPr>
              <w:jc w:val="center"/>
              <w:rPr>
                <w:b/>
                <w:sz w:val="22"/>
              </w:rPr>
            </w:pPr>
            <w:r>
              <w:rPr>
                <w:b/>
                <w:sz w:val="22"/>
              </w:rPr>
              <w:t>3 579 921</w:t>
            </w:r>
          </w:p>
        </w:tc>
        <w:tc>
          <w:tcPr>
            <w:tcW w:w="1984" w:type="dxa"/>
            <w:gridSpan w:val="2"/>
          </w:tcPr>
          <w:p w:rsidR="00000000" w:rsidRDefault="00000000">
            <w:pPr>
              <w:jc w:val="center"/>
              <w:rPr>
                <w:b/>
                <w:sz w:val="22"/>
              </w:rPr>
            </w:pPr>
            <w:r>
              <w:rPr>
                <w:b/>
                <w:sz w:val="22"/>
              </w:rPr>
              <w:t>447 490</w:t>
            </w:r>
          </w:p>
        </w:tc>
        <w:tc>
          <w:tcPr>
            <w:tcW w:w="1559" w:type="dxa"/>
          </w:tcPr>
          <w:p w:rsidR="00000000" w:rsidRDefault="00000000">
            <w:pPr>
              <w:jc w:val="center"/>
              <w:rPr>
                <w:b/>
                <w:sz w:val="22"/>
              </w:rPr>
            </w:pPr>
            <w:r>
              <w:rPr>
                <w:b/>
                <w:sz w:val="22"/>
              </w:rPr>
              <w:t>193 316</w:t>
            </w:r>
          </w:p>
        </w:tc>
        <w:tc>
          <w:tcPr>
            <w:tcW w:w="2197" w:type="dxa"/>
          </w:tcPr>
          <w:p w:rsidR="00000000" w:rsidRDefault="00000000">
            <w:pPr>
              <w:jc w:val="center"/>
              <w:rPr>
                <w:b/>
                <w:sz w:val="22"/>
              </w:rPr>
            </w:pPr>
            <w:r>
              <w:rPr>
                <w:b/>
                <w:sz w:val="22"/>
              </w:rPr>
              <w:t>391 871</w:t>
            </w:r>
          </w:p>
        </w:tc>
        <w:tc>
          <w:tcPr>
            <w:tcW w:w="1595" w:type="dxa"/>
          </w:tcPr>
          <w:p w:rsidR="00000000" w:rsidRDefault="00000000">
            <w:pPr>
              <w:jc w:val="center"/>
              <w:rPr>
                <w:b/>
                <w:sz w:val="22"/>
              </w:rPr>
            </w:pPr>
            <w:r>
              <w:rPr>
                <w:b/>
                <w:sz w:val="22"/>
              </w:rPr>
              <w:t>1 032 677</w:t>
            </w:r>
          </w:p>
        </w:tc>
      </w:tr>
    </w:tbl>
    <w:p w:rsidR="00000000" w:rsidRDefault="00000000"/>
    <w:p w:rsidR="00000000" w:rsidRDefault="00000000"/>
    <w:p w:rsidR="00000000" w:rsidRDefault="00000000">
      <w:r>
        <w:t>451.</w:t>
      </w:r>
      <w:r>
        <w:tab/>
        <w:t>В рамках согласованной и целенаправленной деятельности на общенациональном уровне в плане предлагаются эффективные пути ликвидации неграмотности среди граждан в возрасте старше 15 лет с уделением особого внимания:</w:t>
      </w:r>
    </w:p>
    <w:p w:rsidR="00000000" w:rsidRDefault="00000000"/>
    <w:p w:rsidR="00000000" w:rsidRDefault="00000000">
      <w:r>
        <w:tab/>
        <w:t>а)</w:t>
      </w:r>
      <w:r>
        <w:tab/>
        <w:t>самой многочисленной возрастной группе (от 15 до 45 лет);</w:t>
      </w:r>
    </w:p>
    <w:p w:rsidR="00000000" w:rsidRDefault="00000000"/>
    <w:p w:rsidR="00000000" w:rsidRDefault="00000000">
      <w:r>
        <w:tab/>
        <w:t>b)</w:t>
      </w:r>
      <w:r>
        <w:tab/>
        <w:t>социальным группам с высокой долей неграмотных и малообеспеченных лиц (женщины, представители коренных народов и сельские жители) на принципах обеспечения их справедливого доступа к системе образования;  и</w:t>
      </w:r>
    </w:p>
    <w:p w:rsidR="00000000" w:rsidRDefault="00000000"/>
    <w:p w:rsidR="00000000" w:rsidRDefault="00000000">
      <w:r>
        <w:tab/>
        <w:t>с)</w:t>
      </w:r>
      <w:r>
        <w:tab/>
        <w:t>наиболее производительным социальным группам с точки зрения их потенциальной эффективности.</w:t>
      </w:r>
    </w:p>
    <w:p w:rsidR="00000000" w:rsidRDefault="00000000">
      <w:pPr>
        <w:pStyle w:val="1"/>
      </w:pPr>
    </w:p>
    <w:p w:rsidR="00000000" w:rsidRDefault="00000000">
      <w:pPr>
        <w:pStyle w:val="Heading7"/>
        <w:spacing w:line="288" w:lineRule="auto"/>
        <w:rPr>
          <w:b/>
          <w:u w:val="none"/>
        </w:rPr>
      </w:pPr>
      <w:r>
        <w:rPr>
          <w:b/>
          <w:u w:val="none"/>
        </w:rPr>
        <w:t>Целевые показатели в области борьбы с абсолютной</w:t>
      </w:r>
    </w:p>
    <w:p w:rsidR="00000000" w:rsidRDefault="00000000">
      <w:pPr>
        <w:jc w:val="center"/>
        <w:rPr>
          <w:b/>
        </w:rPr>
      </w:pPr>
      <w:r>
        <w:rPr>
          <w:b/>
        </w:rPr>
        <w:t>неграмотностью на период 1999-2002 годов</w:t>
      </w:r>
    </w:p>
    <w:p w:rsidR="00000000" w:rsidRDefault="00000000">
      <w:pPr>
        <w:jc w:val="center"/>
        <w:rPr>
          <w:b/>
        </w:rPr>
      </w:pPr>
    </w:p>
    <w:tbl>
      <w:tblPr>
        <w:tblW w:w="0" w:type="auto"/>
        <w:tblInd w:w="-10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660"/>
        <w:gridCol w:w="1382"/>
        <w:gridCol w:w="1382"/>
        <w:gridCol w:w="1382"/>
        <w:gridCol w:w="1382"/>
        <w:gridCol w:w="1382"/>
      </w:tblGrid>
      <w:tr w:rsidR="00000000">
        <w:tblPrEx>
          <w:tblCellMar>
            <w:top w:w="0" w:type="dxa"/>
            <w:bottom w:w="0" w:type="dxa"/>
          </w:tblCellMar>
        </w:tblPrEx>
        <w:tc>
          <w:tcPr>
            <w:tcW w:w="2660" w:type="dxa"/>
          </w:tcPr>
          <w:p w:rsidR="00000000" w:rsidRDefault="00000000">
            <w:pPr>
              <w:pStyle w:val="FootnoteText"/>
              <w:spacing w:line="288" w:lineRule="auto"/>
            </w:pPr>
          </w:p>
        </w:tc>
        <w:tc>
          <w:tcPr>
            <w:tcW w:w="1382" w:type="dxa"/>
          </w:tcPr>
          <w:p w:rsidR="00000000" w:rsidRDefault="00000000">
            <w:pPr>
              <w:pStyle w:val="FootnoteText"/>
              <w:spacing w:line="288" w:lineRule="auto"/>
              <w:jc w:val="center"/>
              <w:rPr>
                <w:b/>
              </w:rPr>
            </w:pPr>
            <w:r>
              <w:rPr>
                <w:b/>
              </w:rPr>
              <w:t>1999</w:t>
            </w:r>
          </w:p>
        </w:tc>
        <w:tc>
          <w:tcPr>
            <w:tcW w:w="1382" w:type="dxa"/>
          </w:tcPr>
          <w:p w:rsidR="00000000" w:rsidRDefault="00000000">
            <w:pPr>
              <w:pStyle w:val="FootnoteText"/>
              <w:spacing w:line="288" w:lineRule="auto"/>
              <w:jc w:val="center"/>
              <w:rPr>
                <w:b/>
              </w:rPr>
            </w:pPr>
            <w:r>
              <w:rPr>
                <w:b/>
              </w:rPr>
              <w:t>2000</w:t>
            </w:r>
          </w:p>
        </w:tc>
        <w:tc>
          <w:tcPr>
            <w:tcW w:w="1382" w:type="dxa"/>
          </w:tcPr>
          <w:p w:rsidR="00000000" w:rsidRDefault="00000000">
            <w:pPr>
              <w:pStyle w:val="FootnoteText"/>
              <w:spacing w:line="288" w:lineRule="auto"/>
              <w:jc w:val="center"/>
              <w:rPr>
                <w:b/>
              </w:rPr>
            </w:pPr>
            <w:r>
              <w:rPr>
                <w:b/>
              </w:rPr>
              <w:t>2001</w:t>
            </w:r>
          </w:p>
        </w:tc>
        <w:tc>
          <w:tcPr>
            <w:tcW w:w="1382" w:type="dxa"/>
          </w:tcPr>
          <w:p w:rsidR="00000000" w:rsidRDefault="00000000">
            <w:pPr>
              <w:pStyle w:val="FootnoteText"/>
              <w:spacing w:line="288" w:lineRule="auto"/>
              <w:jc w:val="center"/>
              <w:rPr>
                <w:b/>
              </w:rPr>
            </w:pPr>
            <w:r>
              <w:rPr>
                <w:b/>
              </w:rPr>
              <w:t>2002</w:t>
            </w:r>
          </w:p>
        </w:tc>
        <w:tc>
          <w:tcPr>
            <w:tcW w:w="1382" w:type="dxa"/>
          </w:tcPr>
          <w:p w:rsidR="00000000" w:rsidRDefault="00000000">
            <w:pPr>
              <w:pStyle w:val="FootnoteText"/>
              <w:spacing w:line="288" w:lineRule="auto"/>
              <w:jc w:val="center"/>
              <w:rPr>
                <w:b/>
              </w:rPr>
            </w:pPr>
            <w:r>
              <w:rPr>
                <w:b/>
              </w:rPr>
              <w:t>Всего</w:t>
            </w:r>
          </w:p>
        </w:tc>
      </w:tr>
      <w:tr w:rsidR="00000000">
        <w:tblPrEx>
          <w:tblCellMar>
            <w:top w:w="0" w:type="dxa"/>
            <w:bottom w:w="0" w:type="dxa"/>
          </w:tblCellMar>
        </w:tblPrEx>
        <w:tc>
          <w:tcPr>
            <w:tcW w:w="2660" w:type="dxa"/>
          </w:tcPr>
          <w:p w:rsidR="00000000" w:rsidRDefault="00000000">
            <w:pPr>
              <w:pStyle w:val="FootnoteText"/>
              <w:spacing w:line="288" w:lineRule="auto"/>
            </w:pPr>
            <w:r>
              <w:t>Абсолютный</w:t>
            </w:r>
          </w:p>
          <w:p w:rsidR="00000000" w:rsidRDefault="00000000">
            <w:pPr>
              <w:pStyle w:val="FootnoteText"/>
              <w:spacing w:line="288" w:lineRule="auto"/>
            </w:pPr>
            <w:r>
              <w:t>целевой показатель</w:t>
            </w:r>
          </w:p>
        </w:tc>
        <w:tc>
          <w:tcPr>
            <w:tcW w:w="1382" w:type="dxa"/>
          </w:tcPr>
          <w:p w:rsidR="00000000" w:rsidRDefault="00000000">
            <w:pPr>
              <w:pStyle w:val="FootnoteText"/>
              <w:spacing w:line="288" w:lineRule="auto"/>
              <w:jc w:val="center"/>
            </w:pPr>
            <w:r>
              <w:t>0</w:t>
            </w:r>
          </w:p>
        </w:tc>
        <w:tc>
          <w:tcPr>
            <w:tcW w:w="1382" w:type="dxa"/>
          </w:tcPr>
          <w:p w:rsidR="00000000" w:rsidRDefault="00000000">
            <w:pPr>
              <w:pStyle w:val="FootnoteText"/>
              <w:spacing w:line="288" w:lineRule="auto"/>
              <w:jc w:val="center"/>
            </w:pPr>
            <w:r>
              <w:t>207 406</w:t>
            </w:r>
          </w:p>
        </w:tc>
        <w:tc>
          <w:tcPr>
            <w:tcW w:w="1382" w:type="dxa"/>
          </w:tcPr>
          <w:p w:rsidR="00000000" w:rsidRDefault="00000000">
            <w:pPr>
              <w:pStyle w:val="FootnoteText"/>
              <w:spacing w:line="288" w:lineRule="auto"/>
              <w:jc w:val="center"/>
            </w:pPr>
            <w:r>
              <w:t>207 407</w:t>
            </w:r>
          </w:p>
        </w:tc>
        <w:tc>
          <w:tcPr>
            <w:tcW w:w="1382" w:type="dxa"/>
          </w:tcPr>
          <w:p w:rsidR="00000000" w:rsidRDefault="00000000">
            <w:pPr>
              <w:pStyle w:val="FootnoteText"/>
              <w:spacing w:line="288" w:lineRule="auto"/>
              <w:jc w:val="center"/>
            </w:pPr>
            <w:r>
              <w:t>0</w:t>
            </w:r>
          </w:p>
        </w:tc>
        <w:tc>
          <w:tcPr>
            <w:tcW w:w="1382" w:type="dxa"/>
          </w:tcPr>
          <w:p w:rsidR="00000000" w:rsidRDefault="00000000">
            <w:pPr>
              <w:pStyle w:val="FootnoteText"/>
              <w:spacing w:line="288" w:lineRule="auto"/>
              <w:jc w:val="center"/>
            </w:pPr>
            <w:r>
              <w:t>414 813</w:t>
            </w:r>
          </w:p>
        </w:tc>
      </w:tr>
      <w:tr w:rsidR="00000000">
        <w:tblPrEx>
          <w:tblCellMar>
            <w:top w:w="0" w:type="dxa"/>
            <w:bottom w:w="0" w:type="dxa"/>
          </w:tblCellMar>
        </w:tblPrEx>
        <w:tc>
          <w:tcPr>
            <w:tcW w:w="2660" w:type="dxa"/>
          </w:tcPr>
          <w:p w:rsidR="00000000" w:rsidRDefault="00000000">
            <w:pPr>
              <w:pStyle w:val="FootnoteText"/>
              <w:spacing w:line="288" w:lineRule="auto"/>
            </w:pPr>
            <w:r>
              <w:t>Относительный целевой показатель</w:t>
            </w:r>
          </w:p>
        </w:tc>
        <w:tc>
          <w:tcPr>
            <w:tcW w:w="1382" w:type="dxa"/>
          </w:tcPr>
          <w:p w:rsidR="00000000" w:rsidRDefault="00000000">
            <w:pPr>
              <w:pStyle w:val="FootnoteText"/>
              <w:spacing w:line="288" w:lineRule="auto"/>
              <w:jc w:val="center"/>
            </w:pPr>
            <w:r>
              <w:t>0</w:t>
            </w:r>
          </w:p>
        </w:tc>
        <w:tc>
          <w:tcPr>
            <w:tcW w:w="1382" w:type="dxa"/>
          </w:tcPr>
          <w:p w:rsidR="00000000" w:rsidRDefault="00000000">
            <w:pPr>
              <w:pStyle w:val="FootnoteText"/>
              <w:spacing w:line="288" w:lineRule="auto"/>
              <w:jc w:val="center"/>
            </w:pPr>
            <w:r>
              <w:t>50%</w:t>
            </w:r>
          </w:p>
        </w:tc>
        <w:tc>
          <w:tcPr>
            <w:tcW w:w="1382" w:type="dxa"/>
          </w:tcPr>
          <w:p w:rsidR="00000000" w:rsidRDefault="00000000">
            <w:pPr>
              <w:pStyle w:val="FootnoteText"/>
              <w:spacing w:line="288" w:lineRule="auto"/>
              <w:jc w:val="center"/>
            </w:pPr>
            <w:r>
              <w:t>50%</w:t>
            </w:r>
          </w:p>
        </w:tc>
        <w:tc>
          <w:tcPr>
            <w:tcW w:w="1382" w:type="dxa"/>
          </w:tcPr>
          <w:p w:rsidR="00000000" w:rsidRDefault="00000000">
            <w:pPr>
              <w:pStyle w:val="FootnoteText"/>
              <w:spacing w:line="288" w:lineRule="auto"/>
              <w:jc w:val="center"/>
            </w:pPr>
            <w:r>
              <w:t>0</w:t>
            </w:r>
          </w:p>
        </w:tc>
        <w:tc>
          <w:tcPr>
            <w:tcW w:w="1382" w:type="dxa"/>
          </w:tcPr>
          <w:p w:rsidR="00000000" w:rsidRDefault="00000000">
            <w:pPr>
              <w:pStyle w:val="FootnoteText"/>
              <w:spacing w:line="288" w:lineRule="auto"/>
              <w:jc w:val="center"/>
            </w:pPr>
            <w:r>
              <w:t>100%</w:t>
            </w:r>
          </w:p>
        </w:tc>
      </w:tr>
    </w:tbl>
    <w:p w:rsidR="00000000" w:rsidRDefault="00000000">
      <w:pPr>
        <w:pStyle w:val="FootnoteText"/>
        <w:spacing w:line="288" w:lineRule="auto"/>
      </w:pPr>
    </w:p>
    <w:p w:rsidR="00000000" w:rsidRDefault="00000000">
      <w:pPr>
        <w:pStyle w:val="FootnoteText"/>
        <w:keepNext/>
        <w:spacing w:line="288" w:lineRule="auto"/>
        <w:jc w:val="center"/>
        <w:rPr>
          <w:b/>
        </w:rPr>
      </w:pPr>
      <w:r>
        <w:rPr>
          <w:b/>
        </w:rPr>
        <w:t>Целевые показатели в области борьбы с функциональной</w:t>
      </w:r>
    </w:p>
    <w:p w:rsidR="00000000" w:rsidRDefault="00000000">
      <w:pPr>
        <w:pStyle w:val="FootnoteText"/>
        <w:keepNext/>
        <w:spacing w:line="288" w:lineRule="auto"/>
        <w:jc w:val="center"/>
        <w:rPr>
          <w:b/>
        </w:rPr>
      </w:pPr>
      <w:r>
        <w:rPr>
          <w:b/>
        </w:rPr>
        <w:t>неграмотностью на период 1999-2002 годов</w:t>
      </w:r>
    </w:p>
    <w:p w:rsidR="00000000" w:rsidRDefault="00000000">
      <w:pPr>
        <w:pStyle w:val="FootnoteText"/>
        <w:keepNext/>
        <w:spacing w:line="288" w:lineRule="auto"/>
        <w:jc w:val="center"/>
        <w:rPr>
          <w:b/>
        </w:rPr>
      </w:pPr>
    </w:p>
    <w:tbl>
      <w:tblPr>
        <w:tblW w:w="0" w:type="auto"/>
        <w:tblInd w:w="-10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660"/>
        <w:gridCol w:w="1382"/>
        <w:gridCol w:w="1382"/>
        <w:gridCol w:w="1382"/>
        <w:gridCol w:w="1382"/>
        <w:gridCol w:w="1382"/>
      </w:tblGrid>
      <w:tr w:rsidR="00000000">
        <w:tblPrEx>
          <w:tblCellMar>
            <w:top w:w="0" w:type="dxa"/>
            <w:bottom w:w="0" w:type="dxa"/>
          </w:tblCellMar>
        </w:tblPrEx>
        <w:tc>
          <w:tcPr>
            <w:tcW w:w="2660" w:type="dxa"/>
          </w:tcPr>
          <w:p w:rsidR="00000000" w:rsidRDefault="00000000">
            <w:pPr>
              <w:pStyle w:val="FootnoteText"/>
              <w:keepNext/>
              <w:spacing w:line="288" w:lineRule="auto"/>
            </w:pPr>
          </w:p>
        </w:tc>
        <w:tc>
          <w:tcPr>
            <w:tcW w:w="1382" w:type="dxa"/>
          </w:tcPr>
          <w:p w:rsidR="00000000" w:rsidRDefault="00000000">
            <w:pPr>
              <w:pStyle w:val="FootnoteText"/>
              <w:keepNext/>
              <w:spacing w:line="288" w:lineRule="auto"/>
              <w:jc w:val="center"/>
              <w:rPr>
                <w:b/>
              </w:rPr>
            </w:pPr>
            <w:r>
              <w:rPr>
                <w:b/>
              </w:rPr>
              <w:t>1999</w:t>
            </w:r>
          </w:p>
        </w:tc>
        <w:tc>
          <w:tcPr>
            <w:tcW w:w="1382" w:type="dxa"/>
          </w:tcPr>
          <w:p w:rsidR="00000000" w:rsidRDefault="00000000">
            <w:pPr>
              <w:pStyle w:val="FootnoteText"/>
              <w:keepNext/>
              <w:spacing w:line="288" w:lineRule="auto"/>
              <w:jc w:val="center"/>
              <w:rPr>
                <w:b/>
              </w:rPr>
            </w:pPr>
            <w:r>
              <w:rPr>
                <w:b/>
              </w:rPr>
              <w:t>2000</w:t>
            </w:r>
          </w:p>
        </w:tc>
        <w:tc>
          <w:tcPr>
            <w:tcW w:w="1382" w:type="dxa"/>
          </w:tcPr>
          <w:p w:rsidR="00000000" w:rsidRDefault="00000000">
            <w:pPr>
              <w:pStyle w:val="FootnoteText"/>
              <w:keepNext/>
              <w:spacing w:line="288" w:lineRule="auto"/>
              <w:jc w:val="center"/>
              <w:rPr>
                <w:b/>
              </w:rPr>
            </w:pPr>
            <w:r>
              <w:rPr>
                <w:b/>
              </w:rPr>
              <w:t>2001</w:t>
            </w:r>
          </w:p>
        </w:tc>
        <w:tc>
          <w:tcPr>
            <w:tcW w:w="1382" w:type="dxa"/>
          </w:tcPr>
          <w:p w:rsidR="00000000" w:rsidRDefault="00000000">
            <w:pPr>
              <w:pStyle w:val="FootnoteText"/>
              <w:keepNext/>
              <w:spacing w:line="288" w:lineRule="auto"/>
              <w:jc w:val="center"/>
              <w:rPr>
                <w:b/>
              </w:rPr>
            </w:pPr>
            <w:r>
              <w:rPr>
                <w:b/>
              </w:rPr>
              <w:t>2002</w:t>
            </w:r>
          </w:p>
        </w:tc>
        <w:tc>
          <w:tcPr>
            <w:tcW w:w="1382" w:type="dxa"/>
          </w:tcPr>
          <w:p w:rsidR="00000000" w:rsidRDefault="00000000">
            <w:pPr>
              <w:pStyle w:val="FootnoteText"/>
              <w:keepNext/>
              <w:spacing w:line="288" w:lineRule="auto"/>
              <w:jc w:val="center"/>
              <w:rPr>
                <w:b/>
              </w:rPr>
            </w:pPr>
            <w:r>
              <w:rPr>
                <w:b/>
              </w:rPr>
              <w:t>ВСЕГО</w:t>
            </w:r>
          </w:p>
        </w:tc>
      </w:tr>
      <w:tr w:rsidR="00000000">
        <w:tblPrEx>
          <w:tblCellMar>
            <w:top w:w="0" w:type="dxa"/>
            <w:bottom w:w="0" w:type="dxa"/>
          </w:tblCellMar>
        </w:tblPrEx>
        <w:tc>
          <w:tcPr>
            <w:tcW w:w="2660" w:type="dxa"/>
          </w:tcPr>
          <w:p w:rsidR="00000000" w:rsidRDefault="00000000">
            <w:pPr>
              <w:pStyle w:val="FootnoteText"/>
              <w:keepNext/>
              <w:spacing w:line="288" w:lineRule="auto"/>
            </w:pPr>
            <w:r>
              <w:t>Абсолютный</w:t>
            </w:r>
          </w:p>
          <w:p w:rsidR="00000000" w:rsidRDefault="00000000">
            <w:pPr>
              <w:pStyle w:val="FootnoteText"/>
              <w:keepNext/>
              <w:spacing w:line="288" w:lineRule="auto"/>
            </w:pPr>
            <w:r>
              <w:t>целевой показатель</w:t>
            </w:r>
          </w:p>
        </w:tc>
        <w:tc>
          <w:tcPr>
            <w:tcW w:w="1382" w:type="dxa"/>
          </w:tcPr>
          <w:p w:rsidR="00000000" w:rsidRDefault="00000000">
            <w:pPr>
              <w:pStyle w:val="FootnoteText"/>
              <w:keepNext/>
              <w:spacing w:line="288" w:lineRule="auto"/>
              <w:jc w:val="center"/>
            </w:pPr>
            <w:r>
              <w:t>146 297</w:t>
            </w:r>
          </w:p>
        </w:tc>
        <w:tc>
          <w:tcPr>
            <w:tcW w:w="1382" w:type="dxa"/>
          </w:tcPr>
          <w:p w:rsidR="00000000" w:rsidRDefault="00000000">
            <w:pPr>
              <w:pStyle w:val="FootnoteText"/>
              <w:keepNext/>
              <w:spacing w:line="288" w:lineRule="auto"/>
              <w:jc w:val="center"/>
            </w:pPr>
            <w:r>
              <w:t>243 075</w:t>
            </w:r>
          </w:p>
        </w:tc>
        <w:tc>
          <w:tcPr>
            <w:tcW w:w="1382" w:type="dxa"/>
          </w:tcPr>
          <w:p w:rsidR="00000000" w:rsidRDefault="00000000">
            <w:pPr>
              <w:pStyle w:val="FootnoteText"/>
              <w:keepNext/>
              <w:spacing w:line="288" w:lineRule="auto"/>
              <w:jc w:val="center"/>
            </w:pPr>
            <w:r>
              <w:t>204 815</w:t>
            </w:r>
          </w:p>
        </w:tc>
        <w:tc>
          <w:tcPr>
            <w:tcW w:w="1382" w:type="dxa"/>
          </w:tcPr>
          <w:p w:rsidR="00000000" w:rsidRDefault="00000000">
            <w:pPr>
              <w:pStyle w:val="FootnoteText"/>
              <w:keepNext/>
              <w:spacing w:line="288" w:lineRule="auto"/>
              <w:jc w:val="center"/>
            </w:pPr>
            <w:r>
              <w:t>0</w:t>
            </w:r>
          </w:p>
        </w:tc>
        <w:tc>
          <w:tcPr>
            <w:tcW w:w="1382" w:type="dxa"/>
          </w:tcPr>
          <w:p w:rsidR="00000000" w:rsidRDefault="00000000">
            <w:pPr>
              <w:pStyle w:val="FootnoteText"/>
              <w:keepNext/>
              <w:spacing w:line="288" w:lineRule="auto"/>
              <w:jc w:val="center"/>
            </w:pPr>
            <w:r>
              <w:t>585 187</w:t>
            </w:r>
          </w:p>
        </w:tc>
      </w:tr>
      <w:tr w:rsidR="00000000">
        <w:tblPrEx>
          <w:tblCellMar>
            <w:top w:w="0" w:type="dxa"/>
            <w:bottom w:w="0" w:type="dxa"/>
          </w:tblCellMar>
        </w:tblPrEx>
        <w:tc>
          <w:tcPr>
            <w:tcW w:w="2660" w:type="dxa"/>
          </w:tcPr>
          <w:p w:rsidR="00000000" w:rsidRDefault="00000000">
            <w:pPr>
              <w:pStyle w:val="FootnoteText"/>
              <w:keepNext/>
              <w:spacing w:line="288" w:lineRule="auto"/>
            </w:pPr>
            <w:r>
              <w:t>Относительный целевой показатель</w:t>
            </w:r>
          </w:p>
        </w:tc>
        <w:tc>
          <w:tcPr>
            <w:tcW w:w="1382" w:type="dxa"/>
          </w:tcPr>
          <w:p w:rsidR="00000000" w:rsidRDefault="00000000">
            <w:pPr>
              <w:pStyle w:val="FootnoteText"/>
              <w:keepNext/>
              <w:spacing w:line="288" w:lineRule="auto"/>
              <w:jc w:val="center"/>
            </w:pPr>
            <w:r>
              <w:t>25%</w:t>
            </w:r>
          </w:p>
        </w:tc>
        <w:tc>
          <w:tcPr>
            <w:tcW w:w="1382" w:type="dxa"/>
          </w:tcPr>
          <w:p w:rsidR="00000000" w:rsidRDefault="00000000">
            <w:pPr>
              <w:pStyle w:val="FootnoteText"/>
              <w:keepNext/>
              <w:spacing w:line="288" w:lineRule="auto"/>
              <w:jc w:val="center"/>
            </w:pPr>
            <w:r>
              <w:t>40%</w:t>
            </w:r>
          </w:p>
        </w:tc>
        <w:tc>
          <w:tcPr>
            <w:tcW w:w="1382" w:type="dxa"/>
          </w:tcPr>
          <w:p w:rsidR="00000000" w:rsidRDefault="00000000">
            <w:pPr>
              <w:pStyle w:val="FootnoteText"/>
              <w:keepNext/>
              <w:spacing w:line="288" w:lineRule="auto"/>
              <w:jc w:val="center"/>
            </w:pPr>
            <w:r>
              <w:t>35%</w:t>
            </w:r>
          </w:p>
        </w:tc>
        <w:tc>
          <w:tcPr>
            <w:tcW w:w="1382" w:type="dxa"/>
          </w:tcPr>
          <w:p w:rsidR="00000000" w:rsidRDefault="00000000">
            <w:pPr>
              <w:pStyle w:val="FootnoteText"/>
              <w:keepNext/>
              <w:spacing w:line="288" w:lineRule="auto"/>
              <w:jc w:val="center"/>
            </w:pPr>
            <w:r>
              <w:t>0</w:t>
            </w:r>
          </w:p>
        </w:tc>
        <w:tc>
          <w:tcPr>
            <w:tcW w:w="1382" w:type="dxa"/>
          </w:tcPr>
          <w:p w:rsidR="00000000" w:rsidRDefault="00000000">
            <w:pPr>
              <w:pStyle w:val="FootnoteText"/>
              <w:keepNext/>
              <w:spacing w:line="288" w:lineRule="auto"/>
              <w:jc w:val="center"/>
            </w:pPr>
            <w:r>
              <w:t>100%</w:t>
            </w:r>
          </w:p>
        </w:tc>
      </w:tr>
    </w:tbl>
    <w:p w:rsidR="00000000" w:rsidRDefault="00000000">
      <w:pPr>
        <w:pStyle w:val="FootnoteText"/>
        <w:spacing w:line="288" w:lineRule="auto"/>
      </w:pPr>
    </w:p>
    <w:p w:rsidR="00000000" w:rsidRDefault="00000000">
      <w:pPr>
        <w:pStyle w:val="FootnoteText"/>
        <w:spacing w:line="288" w:lineRule="auto"/>
        <w:rPr>
          <w:u w:val="single"/>
        </w:rPr>
      </w:pPr>
      <w:r>
        <w:rPr>
          <w:u w:val="single"/>
        </w:rPr>
        <w:t>Пункт 4</w:t>
      </w:r>
    </w:p>
    <w:p w:rsidR="00000000" w:rsidRDefault="00000000">
      <w:pPr>
        <w:pStyle w:val="FootnoteText"/>
        <w:spacing w:line="288" w:lineRule="auto"/>
        <w:rPr>
          <w:u w:val="single"/>
        </w:rPr>
      </w:pPr>
    </w:p>
    <w:p w:rsidR="00000000" w:rsidRDefault="00000000">
      <w:pPr>
        <w:pStyle w:val="FootnoteText"/>
        <w:spacing w:line="288" w:lineRule="auto"/>
      </w:pPr>
      <w:r>
        <w:t>452.</w:t>
      </w:r>
      <w:r>
        <w:tab/>
        <w:t>Доля расходов на систему дошкольного, начального и среднего образования составляла в государственном бюджете на 1998 год 14%.</w:t>
      </w:r>
    </w:p>
    <w:p w:rsidR="00000000" w:rsidRDefault="00000000">
      <w:pPr>
        <w:pStyle w:val="FootnoteText"/>
        <w:spacing w:line="288" w:lineRule="auto"/>
      </w:pPr>
    </w:p>
    <w:p w:rsidR="00000000" w:rsidRDefault="00000000">
      <w:pPr>
        <w:pStyle w:val="FootnoteText"/>
        <w:spacing w:line="288" w:lineRule="auto"/>
      </w:pPr>
      <w:r>
        <w:t>453.</w:t>
      </w:r>
      <w:r>
        <w:tab/>
        <w:t>Ниже приводятся данные о доле текущего финансирования системы начального и среднего образования от общей суммы ассигнований на весь сектор системы образования:</w:t>
      </w:r>
    </w:p>
    <w:p w:rsidR="00000000" w:rsidRDefault="00000000">
      <w:pPr>
        <w:pStyle w:val="FootnoteText"/>
        <w:spacing w:line="288" w:lineRule="auto"/>
      </w:pPr>
    </w:p>
    <w:tbl>
      <w:tblPr>
        <w:tblW w:w="0" w:type="auto"/>
        <w:tblInd w:w="-106" w:type="dxa"/>
        <w:tblLayout w:type="fixed"/>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rPr>
          <w:cantSplit/>
        </w:trPr>
        <w:tc>
          <w:tcPr>
            <w:tcW w:w="9570" w:type="dxa"/>
            <w:gridSpan w:val="6"/>
          </w:tcPr>
          <w:p w:rsidR="00000000" w:rsidRDefault="00000000">
            <w:pPr>
              <w:pStyle w:val="Heading7"/>
              <w:spacing w:line="288" w:lineRule="auto"/>
              <w:rPr>
                <w:b/>
                <w:u w:val="none"/>
              </w:rPr>
            </w:pPr>
            <w:r>
              <w:rPr>
                <w:b/>
                <w:u w:val="none"/>
              </w:rPr>
              <w:t>Доля соответствующих расходов в %</w:t>
            </w:r>
          </w:p>
          <w:p w:rsidR="00000000" w:rsidRDefault="00000000"/>
        </w:tc>
      </w:tr>
      <w:tr w:rsidR="00000000">
        <w:tblPrEx>
          <w:tblCellMar>
            <w:top w:w="0" w:type="dxa"/>
            <w:bottom w:w="0" w:type="dxa"/>
          </w:tblCellMar>
        </w:tblPrEx>
        <w:tc>
          <w:tcPr>
            <w:tcW w:w="1595" w:type="dxa"/>
          </w:tcPr>
          <w:p w:rsidR="00000000" w:rsidRDefault="00000000"/>
        </w:tc>
        <w:tc>
          <w:tcPr>
            <w:tcW w:w="1595" w:type="dxa"/>
          </w:tcPr>
          <w:p w:rsidR="00000000" w:rsidRDefault="00000000">
            <w:pPr>
              <w:jc w:val="center"/>
              <w:rPr>
                <w:b/>
              </w:rPr>
            </w:pPr>
            <w:r>
              <w:rPr>
                <w:b/>
              </w:rPr>
              <w:t>1997</w:t>
            </w:r>
          </w:p>
        </w:tc>
        <w:tc>
          <w:tcPr>
            <w:tcW w:w="1595" w:type="dxa"/>
          </w:tcPr>
          <w:p w:rsidR="00000000" w:rsidRDefault="00000000">
            <w:pPr>
              <w:jc w:val="center"/>
              <w:rPr>
                <w:b/>
              </w:rPr>
            </w:pPr>
            <w:r>
              <w:rPr>
                <w:b/>
              </w:rPr>
              <w:t>1998</w:t>
            </w:r>
          </w:p>
        </w:tc>
        <w:tc>
          <w:tcPr>
            <w:tcW w:w="1595" w:type="dxa"/>
          </w:tcPr>
          <w:p w:rsidR="00000000" w:rsidRDefault="00000000">
            <w:pPr>
              <w:jc w:val="center"/>
              <w:rPr>
                <w:b/>
              </w:rPr>
            </w:pPr>
            <w:r>
              <w:rPr>
                <w:b/>
              </w:rPr>
              <w:t>1999</w:t>
            </w:r>
          </w:p>
        </w:tc>
        <w:tc>
          <w:tcPr>
            <w:tcW w:w="1595" w:type="dxa"/>
          </w:tcPr>
          <w:p w:rsidR="00000000" w:rsidRDefault="00000000">
            <w:pPr>
              <w:jc w:val="center"/>
              <w:rPr>
                <w:b/>
              </w:rPr>
            </w:pPr>
            <w:r>
              <w:rPr>
                <w:b/>
              </w:rPr>
              <w:t>2000</w:t>
            </w:r>
          </w:p>
        </w:tc>
        <w:tc>
          <w:tcPr>
            <w:tcW w:w="1595" w:type="dxa"/>
          </w:tcPr>
          <w:p w:rsidR="00000000" w:rsidRDefault="00000000">
            <w:pPr>
              <w:jc w:val="center"/>
              <w:rPr>
                <w:b/>
              </w:rPr>
            </w:pPr>
            <w:r>
              <w:rPr>
                <w:b/>
              </w:rPr>
              <w:t>2001</w:t>
            </w:r>
          </w:p>
          <w:p w:rsidR="00000000" w:rsidRDefault="00000000">
            <w:pPr>
              <w:jc w:val="center"/>
              <w:rPr>
                <w:b/>
              </w:rPr>
            </w:pPr>
          </w:p>
        </w:tc>
      </w:tr>
      <w:tr w:rsidR="00000000">
        <w:tblPrEx>
          <w:tblCellMar>
            <w:top w:w="0" w:type="dxa"/>
            <w:bottom w:w="0" w:type="dxa"/>
          </w:tblCellMar>
        </w:tblPrEx>
        <w:tc>
          <w:tcPr>
            <w:tcW w:w="1595" w:type="dxa"/>
          </w:tcPr>
          <w:p w:rsidR="00000000" w:rsidRDefault="00000000">
            <w:pPr>
              <w:pStyle w:val="Heading1"/>
            </w:pPr>
            <w:r>
              <w:t>По стране</w:t>
            </w:r>
          </w:p>
        </w:tc>
        <w:tc>
          <w:tcPr>
            <w:tcW w:w="1595" w:type="dxa"/>
          </w:tcPr>
          <w:p w:rsidR="00000000" w:rsidRDefault="00000000">
            <w:pPr>
              <w:jc w:val="center"/>
            </w:pPr>
            <w:r>
              <w:t>71,0%</w:t>
            </w:r>
          </w:p>
        </w:tc>
        <w:tc>
          <w:tcPr>
            <w:tcW w:w="1595" w:type="dxa"/>
          </w:tcPr>
          <w:p w:rsidR="00000000" w:rsidRDefault="00000000">
            <w:pPr>
              <w:jc w:val="center"/>
            </w:pPr>
            <w:r>
              <w:t>71,0%</w:t>
            </w:r>
          </w:p>
        </w:tc>
        <w:tc>
          <w:tcPr>
            <w:tcW w:w="1595" w:type="dxa"/>
          </w:tcPr>
          <w:p w:rsidR="00000000" w:rsidRDefault="00000000">
            <w:pPr>
              <w:jc w:val="center"/>
            </w:pPr>
            <w:r>
              <w:t>73,6%</w:t>
            </w:r>
          </w:p>
        </w:tc>
        <w:tc>
          <w:tcPr>
            <w:tcW w:w="1595" w:type="dxa"/>
          </w:tcPr>
          <w:p w:rsidR="00000000" w:rsidRDefault="00000000">
            <w:pPr>
              <w:jc w:val="center"/>
            </w:pPr>
            <w:r>
              <w:t>74,6%</w:t>
            </w:r>
          </w:p>
        </w:tc>
        <w:tc>
          <w:tcPr>
            <w:tcW w:w="1595" w:type="dxa"/>
          </w:tcPr>
          <w:p w:rsidR="00000000" w:rsidRDefault="00000000">
            <w:pPr>
              <w:jc w:val="center"/>
            </w:pPr>
            <w:r>
              <w:t>76,4%</w:t>
            </w:r>
          </w:p>
        </w:tc>
      </w:tr>
    </w:tbl>
    <w:p w:rsidR="00000000" w:rsidRDefault="00000000">
      <w:pPr>
        <w:pStyle w:val="FootnoteText"/>
        <w:spacing w:line="288" w:lineRule="auto"/>
      </w:pPr>
    </w:p>
    <w:p w:rsidR="00000000" w:rsidRDefault="00000000">
      <w:pPr>
        <w:pStyle w:val="FootnoteText"/>
        <w:spacing w:line="288" w:lineRule="auto"/>
      </w:pPr>
      <w:r>
        <w:t>454.</w:t>
      </w:r>
      <w:r>
        <w:tab/>
        <w:t>В рамках школьной системы в Боливии функционируют две подсистемы:  формальная и альтернативная.</w:t>
      </w:r>
    </w:p>
    <w:p w:rsidR="00000000" w:rsidRDefault="00000000">
      <w:pPr>
        <w:pStyle w:val="FootnoteText"/>
        <w:spacing w:line="288" w:lineRule="auto"/>
      </w:pPr>
    </w:p>
    <w:p w:rsidR="00000000" w:rsidRDefault="00000000">
      <w:pPr>
        <w:pStyle w:val="FootnoteText"/>
        <w:spacing w:line="288" w:lineRule="auto"/>
      </w:pPr>
      <w:r>
        <w:t>455.</w:t>
      </w:r>
      <w:r>
        <w:tab/>
        <w:t>Формальная подсистема образования охватывает:</w:t>
      </w:r>
    </w:p>
    <w:p w:rsidR="00000000" w:rsidRDefault="00000000">
      <w:pPr>
        <w:pStyle w:val="FootnoteText"/>
        <w:spacing w:line="288" w:lineRule="auto"/>
      </w:pPr>
    </w:p>
    <w:p w:rsidR="00000000" w:rsidRDefault="00000000">
      <w:pPr>
        <w:pStyle w:val="FootnoteText"/>
        <w:spacing w:line="288" w:lineRule="auto"/>
      </w:pPr>
      <w:r>
        <w:tab/>
        <w:t>а)</w:t>
      </w:r>
      <w:r>
        <w:tab/>
        <w:t>уровень дошкольного образования:  под руководством семьи и государства детям предлагается официальный курс обучения продолжительностью не менее одного года с целью их подготовки к начальной школе;</w:t>
      </w:r>
    </w:p>
    <w:p w:rsidR="00000000" w:rsidRDefault="00000000">
      <w:pPr>
        <w:pStyle w:val="FootnoteText"/>
        <w:spacing w:line="288" w:lineRule="auto"/>
      </w:pPr>
    </w:p>
    <w:p w:rsidR="00000000" w:rsidRDefault="00000000">
      <w:pPr>
        <w:pStyle w:val="FootnoteText"/>
        <w:spacing w:line="288" w:lineRule="auto"/>
      </w:pPr>
      <w:r>
        <w:tab/>
        <w:t>b)</w:t>
      </w:r>
      <w:r>
        <w:tab/>
        <w:t>уровень начального образования:  основная цель, которая ставится на данном этапе, заключается в развитии у учащихся познавательных, аффективных и психомоторных навыков в рамках четко структурированного и гибкого учебного процесса, обеспечивающего достижение намеченных целей при надлежащем учете индивидуальных различий в усвоении школьниками знаний без каких</w:t>
      </w:r>
      <w:r>
        <w:noBreakHyphen/>
        <w:t>либо отставаний.  Курс начального образования, продолжительность которого составляет в среднем 8 лет, включает в себя три цикла:   i)  цикл базового обучения, предусматривающий усвоение учащимися базовых навыков в области осознанного и аналитического чтения, устного изложения пройденного материала, письма и овладение навыками элементарного математического мышления;  ii)  цикл прикладных знаний, предусматривающий усвоение учащимися научно-технических знаний и привитие им элементарных профессионально-технических навыков,  и  iii)  цикл расширенных знаний, предусматривающий углубленное изучение точных и гуманитарных наук, развитие речи, математических навыков и способностей в сфере художественного, музыкального и театрального творчества;</w:t>
      </w:r>
    </w:p>
    <w:p w:rsidR="00000000" w:rsidRDefault="00000000">
      <w:pPr>
        <w:pStyle w:val="FootnoteText"/>
        <w:spacing w:line="288" w:lineRule="auto"/>
      </w:pPr>
    </w:p>
    <w:p w:rsidR="00000000" w:rsidRDefault="00000000">
      <w:pPr>
        <w:pStyle w:val="FootnoteText"/>
        <w:spacing w:line="288" w:lineRule="auto"/>
      </w:pPr>
      <w:r>
        <w:tab/>
        <w:t>с)</w:t>
      </w:r>
      <w:r>
        <w:tab/>
        <w:t>уровень среднего образования:  курс среднего образования состоит из двух одинаковых по продолжительности учебных циклов, обеспечивающих достижение предусматриваемых на данном этапе целей с учетом индивидуальных различий в темпах усвоения учащимися знаний без каких-либо отставаний.  Цикл технической подготовки предусматривает привитие учащимся профессионально-технических навыков первичного уровня, а также углубление знаний, полученных на уровне начального образования.  Цикл комплексного обучения предусматривает две альтернативные формы образования:  среднетехническое образование и гуманитарно-научное образование.</w:t>
      </w:r>
    </w:p>
    <w:p w:rsidR="00000000" w:rsidRDefault="00000000">
      <w:pPr>
        <w:pStyle w:val="FootnoteText"/>
        <w:spacing w:line="288" w:lineRule="auto"/>
      </w:pPr>
    </w:p>
    <w:p w:rsidR="00000000" w:rsidRDefault="00000000">
      <w:pPr>
        <w:pStyle w:val="FootnoteText"/>
        <w:spacing w:line="288" w:lineRule="auto"/>
      </w:pPr>
      <w:r>
        <w:t>456.</w:t>
      </w:r>
      <w:r>
        <w:tab/>
        <w:t>Подсистема альтернативного образования охватывает учебные курсы для взрослых, структуры специального образования и механизмы непрерывного обучения.</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Пункт 5 а)</w:t>
      </w:r>
    </w:p>
    <w:p w:rsidR="00000000" w:rsidRDefault="00000000">
      <w:pPr>
        <w:pStyle w:val="FootnoteText"/>
        <w:spacing w:line="288" w:lineRule="auto"/>
        <w:rPr>
          <w:u w:val="single"/>
        </w:rPr>
      </w:pPr>
    </w:p>
    <w:p w:rsidR="00000000" w:rsidRDefault="00000000">
      <w:pPr>
        <w:pStyle w:val="FootnoteText"/>
        <w:spacing w:line="288" w:lineRule="auto"/>
      </w:pPr>
      <w:r>
        <w:t>457.</w:t>
      </w:r>
      <w:r>
        <w:tab/>
        <w:t>Данные об охвате детей школьным образованием в разбивке по полу свидетельствуют о некотором незначительном преобладании мальчиков на трех уровнях системы официального образования.  В нижеследующей таблице приводятся данные за 1998 год, касающиеся доли чистого охвата детей школьного возраста системой школьного образования:</w:t>
      </w:r>
    </w:p>
    <w:p w:rsidR="00000000" w:rsidRDefault="00000000">
      <w:pPr>
        <w:pStyle w:val="FootnoteText"/>
        <w:spacing w:line="288" w:lineRule="auto"/>
      </w:pPr>
    </w:p>
    <w:tbl>
      <w:tblPr>
        <w:tblW w:w="0" w:type="auto"/>
        <w:tblInd w:w="1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1594"/>
        <w:gridCol w:w="1525"/>
      </w:tblGrid>
      <w:tr w:rsidR="00000000">
        <w:tblPrEx>
          <w:tblCellMar>
            <w:top w:w="0" w:type="dxa"/>
            <w:bottom w:w="0" w:type="dxa"/>
          </w:tblCellMar>
        </w:tblPrEx>
        <w:tc>
          <w:tcPr>
            <w:tcW w:w="3260" w:type="dxa"/>
          </w:tcPr>
          <w:p w:rsidR="00000000" w:rsidRDefault="00000000">
            <w:pPr>
              <w:pStyle w:val="FootnoteText"/>
              <w:spacing w:line="288" w:lineRule="auto"/>
            </w:pPr>
          </w:p>
        </w:tc>
        <w:tc>
          <w:tcPr>
            <w:tcW w:w="1594" w:type="dxa"/>
          </w:tcPr>
          <w:p w:rsidR="00000000" w:rsidRDefault="00000000">
            <w:pPr>
              <w:pStyle w:val="FootnoteText"/>
              <w:spacing w:line="288" w:lineRule="auto"/>
              <w:jc w:val="center"/>
              <w:rPr>
                <w:b/>
              </w:rPr>
            </w:pPr>
            <w:r>
              <w:rPr>
                <w:b/>
              </w:rPr>
              <w:t>Мальчики</w:t>
            </w:r>
          </w:p>
        </w:tc>
        <w:tc>
          <w:tcPr>
            <w:tcW w:w="1525" w:type="dxa"/>
          </w:tcPr>
          <w:p w:rsidR="00000000" w:rsidRDefault="00000000">
            <w:pPr>
              <w:pStyle w:val="FootnoteText"/>
              <w:spacing w:line="288" w:lineRule="auto"/>
              <w:jc w:val="center"/>
              <w:rPr>
                <w:b/>
              </w:rPr>
            </w:pPr>
            <w:r>
              <w:rPr>
                <w:b/>
              </w:rPr>
              <w:t>Девочки</w:t>
            </w:r>
          </w:p>
        </w:tc>
      </w:tr>
      <w:tr w:rsidR="00000000">
        <w:tblPrEx>
          <w:tblCellMar>
            <w:top w:w="0" w:type="dxa"/>
            <w:bottom w:w="0" w:type="dxa"/>
          </w:tblCellMar>
        </w:tblPrEx>
        <w:tc>
          <w:tcPr>
            <w:tcW w:w="3260" w:type="dxa"/>
          </w:tcPr>
          <w:p w:rsidR="00000000" w:rsidRDefault="00000000">
            <w:pPr>
              <w:pStyle w:val="FootnoteText"/>
              <w:spacing w:line="288" w:lineRule="auto"/>
            </w:pPr>
            <w:r>
              <w:t>Дошкольное образование</w:t>
            </w:r>
          </w:p>
        </w:tc>
        <w:tc>
          <w:tcPr>
            <w:tcW w:w="1594" w:type="dxa"/>
          </w:tcPr>
          <w:p w:rsidR="00000000" w:rsidRDefault="00000000">
            <w:pPr>
              <w:pStyle w:val="FootnoteText"/>
              <w:spacing w:line="288" w:lineRule="auto"/>
              <w:jc w:val="center"/>
            </w:pPr>
            <w:r>
              <w:t>37%</w:t>
            </w:r>
          </w:p>
        </w:tc>
        <w:tc>
          <w:tcPr>
            <w:tcW w:w="1525" w:type="dxa"/>
          </w:tcPr>
          <w:p w:rsidR="00000000" w:rsidRDefault="00000000">
            <w:pPr>
              <w:pStyle w:val="FootnoteText"/>
              <w:spacing w:line="288" w:lineRule="auto"/>
              <w:jc w:val="center"/>
            </w:pPr>
            <w:r>
              <w:t>38%</w:t>
            </w:r>
          </w:p>
        </w:tc>
      </w:tr>
      <w:tr w:rsidR="00000000">
        <w:tblPrEx>
          <w:tblCellMar>
            <w:top w:w="0" w:type="dxa"/>
            <w:bottom w:w="0" w:type="dxa"/>
          </w:tblCellMar>
        </w:tblPrEx>
        <w:tc>
          <w:tcPr>
            <w:tcW w:w="3260" w:type="dxa"/>
          </w:tcPr>
          <w:p w:rsidR="00000000" w:rsidRDefault="00000000">
            <w:pPr>
              <w:pStyle w:val="FootnoteText"/>
              <w:spacing w:line="288" w:lineRule="auto"/>
            </w:pPr>
            <w:r>
              <w:t>Начальное образование</w:t>
            </w:r>
          </w:p>
        </w:tc>
        <w:tc>
          <w:tcPr>
            <w:tcW w:w="1594" w:type="dxa"/>
          </w:tcPr>
          <w:p w:rsidR="00000000" w:rsidRDefault="00000000">
            <w:pPr>
              <w:pStyle w:val="FootnoteText"/>
              <w:spacing w:line="288" w:lineRule="auto"/>
              <w:jc w:val="center"/>
            </w:pPr>
            <w:r>
              <w:t>89%</w:t>
            </w:r>
          </w:p>
        </w:tc>
        <w:tc>
          <w:tcPr>
            <w:tcW w:w="1525" w:type="dxa"/>
          </w:tcPr>
          <w:p w:rsidR="00000000" w:rsidRDefault="00000000">
            <w:pPr>
              <w:pStyle w:val="FootnoteText"/>
              <w:spacing w:line="288" w:lineRule="auto"/>
              <w:jc w:val="center"/>
            </w:pPr>
            <w:r>
              <w:t>86%</w:t>
            </w:r>
          </w:p>
        </w:tc>
      </w:tr>
      <w:tr w:rsidR="00000000">
        <w:tblPrEx>
          <w:tblCellMar>
            <w:top w:w="0" w:type="dxa"/>
            <w:bottom w:w="0" w:type="dxa"/>
          </w:tblCellMar>
        </w:tblPrEx>
        <w:tc>
          <w:tcPr>
            <w:tcW w:w="3260" w:type="dxa"/>
          </w:tcPr>
          <w:p w:rsidR="00000000" w:rsidRDefault="00000000">
            <w:pPr>
              <w:pStyle w:val="FootnoteText"/>
              <w:spacing w:line="288" w:lineRule="auto"/>
            </w:pPr>
            <w:r>
              <w:t>Среднее образование</w:t>
            </w:r>
          </w:p>
        </w:tc>
        <w:tc>
          <w:tcPr>
            <w:tcW w:w="1594" w:type="dxa"/>
          </w:tcPr>
          <w:p w:rsidR="00000000" w:rsidRDefault="00000000">
            <w:pPr>
              <w:pStyle w:val="FootnoteText"/>
              <w:spacing w:line="288" w:lineRule="auto"/>
              <w:jc w:val="center"/>
            </w:pPr>
            <w:r>
              <w:t>41%</w:t>
            </w:r>
          </w:p>
        </w:tc>
        <w:tc>
          <w:tcPr>
            <w:tcW w:w="1525" w:type="dxa"/>
          </w:tcPr>
          <w:p w:rsidR="00000000" w:rsidRDefault="00000000">
            <w:pPr>
              <w:pStyle w:val="FootnoteText"/>
              <w:spacing w:line="288" w:lineRule="auto"/>
              <w:jc w:val="center"/>
            </w:pPr>
            <w:r>
              <w:t>38%</w:t>
            </w:r>
          </w:p>
        </w:tc>
      </w:tr>
    </w:tbl>
    <w:p w:rsidR="00000000" w:rsidRDefault="00000000">
      <w:pPr>
        <w:pStyle w:val="FootnoteText"/>
        <w:spacing w:line="288" w:lineRule="auto"/>
      </w:pPr>
    </w:p>
    <w:p w:rsidR="00000000" w:rsidRDefault="00000000">
      <w:r>
        <w:rPr>
          <w:u w:val="single"/>
        </w:rPr>
        <w:t xml:space="preserve">Пункт 5 </w:t>
      </w:r>
      <w:r>
        <w:rPr>
          <w:u w:val="single"/>
          <w:lang w:val="en-US"/>
        </w:rPr>
        <w:t>b</w:t>
      </w:r>
      <w:r>
        <w:t>)</w:t>
      </w:r>
    </w:p>
    <w:p w:rsidR="00000000" w:rsidRDefault="00000000"/>
    <w:p w:rsidR="00000000" w:rsidRDefault="00000000">
      <w:r>
        <w:t>458.</w:t>
      </w:r>
      <w:r>
        <w:tab/>
        <w:t>В принятом в 1955 году Боливийском кодексе образования отмечается, что образование является правом всех граждан страны, будь то мужчины или женщины, представители коренных народов, крестьяне или внутренние или внешние мигранты.  Кроме того, в принятом в июле 1994 года Законе № 1565 о реформе системы образования говорится, что система образования в Боливии является многокультурной и двуязычной.</w:t>
      </w:r>
    </w:p>
    <w:p w:rsidR="00000000" w:rsidRDefault="00000000"/>
    <w:p w:rsidR="00000000" w:rsidRDefault="00000000">
      <w:r>
        <w:t>459.</w:t>
      </w:r>
      <w:r>
        <w:tab/>
        <w:t>Следует также отметить, что законами страны запрещается любая дискриминация по расовым, религиозным, языковым или иным признакам, препятствующая осуществлению права на образование всеми боливийскими гражданами или проживающими в стране иностранцами.</w:t>
      </w:r>
    </w:p>
    <w:p w:rsidR="00000000" w:rsidRDefault="00000000"/>
    <w:p w:rsidR="00000000" w:rsidRDefault="00000000">
      <w:r>
        <w:t>460.</w:t>
      </w:r>
      <w:r>
        <w:tab/>
        <w:t>В рамках реформы системы образования, осуществляемой в соответствии с Законом № 1678 об инвалидах и Указом № 24807, предпринимаются меры по расширению доступа учащихся с особыми потребностями в сфере образования к обычной школьной системе, в частности через создание благоприятных административных, организационно-институциональных и учебных условий, способствующих их полномасштабному участию в учебном процессе с соблюдением принципа равенства возможностей.  Ниже приводится информация об основных направлениях деятельности в этой области:</w:t>
      </w:r>
    </w:p>
    <w:p w:rsidR="00000000" w:rsidRDefault="00000000"/>
    <w:p w:rsidR="00000000" w:rsidRDefault="00000000">
      <w:pPr>
        <w:ind w:left="1134" w:hanging="1134"/>
      </w:pPr>
      <w:r>
        <w:tab/>
        <w:t>-</w:t>
      </w:r>
      <w:r>
        <w:tab/>
        <w:t>с учетом потребностей специальных учебных заведений разрабатываются нормативные положения, позволяющие систематизировать и анализировать их деятельность с целью создания более эффективных и гибких механизмов участия учащихся этих центров в учебных процессах общего профиля (обычные школы);</w:t>
      </w:r>
    </w:p>
    <w:p w:rsidR="00000000" w:rsidRDefault="00000000">
      <w:pPr>
        <w:ind w:left="1134" w:hanging="1134"/>
      </w:pPr>
    </w:p>
    <w:p w:rsidR="00000000" w:rsidRDefault="00000000">
      <w:pPr>
        <w:ind w:left="1134" w:hanging="1134"/>
      </w:pPr>
      <w:r>
        <w:tab/>
        <w:t>-</w:t>
      </w:r>
      <w:r>
        <w:tab/>
        <w:t>с учетом потребностей в людских ресурсах разворачивается процесс создания учреждений для подготовки квалифицированных специалистов, способных надлежащим образом решать сложную задачу по раскрытию максимального потенциала учащихся;</w:t>
      </w:r>
    </w:p>
    <w:p w:rsidR="00000000" w:rsidRDefault="00000000">
      <w:pPr>
        <w:ind w:left="1134" w:hanging="1134"/>
      </w:pPr>
    </w:p>
    <w:p w:rsidR="00000000" w:rsidRDefault="00000000">
      <w:pPr>
        <w:ind w:left="1134" w:hanging="1134"/>
      </w:pPr>
      <w:r>
        <w:tab/>
        <w:t>-</w:t>
      </w:r>
      <w:r>
        <w:tab/>
        <w:t>в интересах совершенствования учебного процесса осуществляются мероприятия по систематизации данных по видам обучения, что способствует унификации оценочных и оперативных критериев определения особых образовательных потребностей;</w:t>
      </w:r>
    </w:p>
    <w:p w:rsidR="00000000" w:rsidRDefault="00000000">
      <w:pPr>
        <w:ind w:left="1134" w:hanging="1134"/>
      </w:pPr>
    </w:p>
    <w:p w:rsidR="00000000" w:rsidRDefault="00000000">
      <w:pPr>
        <w:ind w:left="1134" w:hanging="1134"/>
      </w:pPr>
      <w:r>
        <w:tab/>
        <w:t>-</w:t>
      </w:r>
      <w:r>
        <w:tab/>
        <w:t xml:space="preserve">в </w:t>
      </w:r>
      <w:proofErr w:type="spellStart"/>
      <w:r>
        <w:t>организационно-институциональной</w:t>
      </w:r>
      <w:proofErr w:type="spellEnd"/>
      <w:r>
        <w:t xml:space="preserve"> сфере планируется провести мероприятия по укреплению учреждений, обслуживающих инвалидов, с целью создания благоприятных условий для обеспечения доступа всех граждан к "образованию для всех";</w:t>
      </w:r>
    </w:p>
    <w:p w:rsidR="00000000" w:rsidRDefault="00000000">
      <w:pPr>
        <w:ind w:left="1134" w:hanging="1134"/>
      </w:pPr>
    </w:p>
    <w:p w:rsidR="00000000" w:rsidRDefault="00000000">
      <w:pPr>
        <w:ind w:left="1134" w:hanging="1134"/>
      </w:pPr>
      <w:r>
        <w:tab/>
        <w:t>-</w:t>
      </w:r>
      <w:r>
        <w:tab/>
        <w:t>с учетом целей стратегического характера был начат процесс укрепления межведомственных связей, способствующий введению в действие комплексных стратегий по решению проблем, с которыми сталкиваются инвалиды (в том числе проблем в области образования).</w:t>
      </w:r>
    </w:p>
    <w:p w:rsidR="00000000" w:rsidRDefault="00000000">
      <w:pPr>
        <w:ind w:left="1134" w:hanging="1134"/>
      </w:pPr>
    </w:p>
    <w:p w:rsidR="00000000" w:rsidRDefault="00000000">
      <w:pPr>
        <w:ind w:left="1134" w:hanging="1134"/>
      </w:pPr>
      <w:r>
        <w:rPr>
          <w:u w:val="single"/>
        </w:rPr>
        <w:t>Пункт 5 с</w:t>
      </w:r>
      <w:r>
        <w:t>)</w:t>
      </w:r>
    </w:p>
    <w:p w:rsidR="00000000" w:rsidRDefault="00000000">
      <w:pPr>
        <w:ind w:left="1134" w:hanging="1134"/>
      </w:pPr>
    </w:p>
    <w:p w:rsidR="00000000" w:rsidRDefault="00000000">
      <w:r>
        <w:t>461.</w:t>
      </w:r>
      <w:r>
        <w:tab/>
        <w:t>Хотя образование в Боливии является бесплатным и обязательным, в некоторых сельских районах не всегда обеспечивается надлежащий доступ населения к системе образования, главным образом по причине отсутствия учебных заведений.  Вместе с тем следует отметить, что в рамках реформы системы образования осуществляется ряд мероприятий, призванных расширить охват сельских детей системой школьного образования.</w:t>
      </w:r>
    </w:p>
    <w:p w:rsidR="00000000" w:rsidRDefault="00000000"/>
    <w:p w:rsidR="00000000" w:rsidRDefault="00000000">
      <w:r>
        <w:t>462.</w:t>
      </w:r>
      <w:r>
        <w:tab/>
        <w:t>Кроме того, следует отметить, что министерство просвещения, культуры и спорта разрабатывает в этой связи проект, предусматривающий охват сельских районов и городских окраин мероприятиями в рамках программы "Альтернативная система заочного среднего образования".</w:t>
      </w:r>
    </w:p>
    <w:p w:rsidR="00000000" w:rsidRDefault="00000000"/>
    <w:p w:rsidR="00000000" w:rsidRDefault="00000000">
      <w:r>
        <w:rPr>
          <w:u w:val="single"/>
        </w:rPr>
        <w:t xml:space="preserve">Пункт 5 </w:t>
      </w:r>
      <w:r>
        <w:rPr>
          <w:u w:val="single"/>
          <w:lang w:val="en-US"/>
        </w:rPr>
        <w:t>d</w:t>
      </w:r>
      <w:r>
        <w:t>)</w:t>
      </w:r>
    </w:p>
    <w:p w:rsidR="00000000" w:rsidRDefault="00000000"/>
    <w:p w:rsidR="00000000" w:rsidRDefault="00000000">
      <w:r>
        <w:t>463.</w:t>
      </w:r>
      <w:r>
        <w:tab/>
        <w:t>Система двуязычного образования, практикуемая в рамках начальной школы, предусматривает преподавание школьного курса на трех основных языках коренных народов страны:  кечуа, аймара и гуарани.  Для меньшинств бассейна Амазонки, где используется 30 местных языков, министерство разрабатывает специальную образовательную программу, также предусматривающую режим двуязычного преподавания.</w:t>
      </w:r>
    </w:p>
    <w:p w:rsidR="00000000" w:rsidRDefault="00000000"/>
    <w:p w:rsidR="00000000" w:rsidRDefault="00000000">
      <w:pPr>
        <w:pStyle w:val="Heading2"/>
      </w:pPr>
      <w:r>
        <w:t>Пункт 6</w:t>
      </w:r>
    </w:p>
    <w:p w:rsidR="00000000" w:rsidRDefault="00000000">
      <w:pPr>
        <w:pStyle w:val="Heading2"/>
      </w:pPr>
    </w:p>
    <w:p w:rsidR="00000000" w:rsidRDefault="00000000">
      <w:r>
        <w:t>464.</w:t>
      </w:r>
      <w:r>
        <w:tab/>
        <w:t>В настоящее время осуществляется сбор обновленных данных по этой тематике.</w:t>
      </w:r>
    </w:p>
    <w:p w:rsidR="00000000" w:rsidRDefault="00000000"/>
    <w:p w:rsidR="00000000" w:rsidRDefault="00000000">
      <w:pPr>
        <w:pStyle w:val="Heading2"/>
      </w:pPr>
      <w:r>
        <w:t>Пункт 7</w:t>
      </w:r>
    </w:p>
    <w:p w:rsidR="00000000" w:rsidRDefault="00000000">
      <w:pPr>
        <w:pStyle w:val="Heading2"/>
      </w:pPr>
    </w:p>
    <w:p w:rsidR="00000000" w:rsidRDefault="00000000">
      <w:r>
        <w:t>465.</w:t>
      </w:r>
      <w:r>
        <w:tab/>
        <w:t>Государственные школы составляют 88% от общего количества учебных заведений.  Кроме того, 6% государственных школ находятся в ведении церковных организаций на условиях так называемого "соглашения".</w:t>
      </w:r>
    </w:p>
    <w:p w:rsidR="00000000" w:rsidRDefault="00000000"/>
    <w:p w:rsidR="00000000" w:rsidRDefault="00000000">
      <w:r>
        <w:t>466.</w:t>
      </w:r>
      <w:r>
        <w:tab/>
        <w:t>Остальные 6% школ – это частные учебные заведения, создание которых не сопряжено с особыми трудностями и деятельность которых регулируется государством, устанавливающим минимальный набор обязательных требований к инфраструктуре, учебной программе и профессиональной квалификации преподавателей и определяющим общую шкалу месячной/годовой платы за обучение.</w:t>
      </w:r>
    </w:p>
    <w:p w:rsidR="00000000" w:rsidRDefault="00000000"/>
    <w:p w:rsidR="00000000" w:rsidRDefault="00000000">
      <w:pPr>
        <w:pStyle w:val="Heading2"/>
      </w:pPr>
      <w:r>
        <w:t>Пункт 8</w:t>
      </w:r>
    </w:p>
    <w:p w:rsidR="00000000" w:rsidRDefault="00000000">
      <w:pPr>
        <w:pStyle w:val="Heading2"/>
      </w:pPr>
    </w:p>
    <w:p w:rsidR="00000000" w:rsidRDefault="00000000">
      <w:r>
        <w:t>467.</w:t>
      </w:r>
      <w:r>
        <w:tab/>
        <w:t>Последние решения властей призваны укрепить возможности государства в отношении расширения сферы применения этого права.</w:t>
      </w:r>
    </w:p>
    <w:p w:rsidR="00000000" w:rsidRDefault="00000000"/>
    <w:p w:rsidR="00000000" w:rsidRDefault="00000000">
      <w:pPr>
        <w:pStyle w:val="Heading2"/>
      </w:pPr>
      <w:r>
        <w:t>Пункт 8</w:t>
      </w:r>
    </w:p>
    <w:p w:rsidR="00000000" w:rsidRDefault="00000000">
      <w:pPr>
        <w:pStyle w:val="Heading2"/>
      </w:pPr>
    </w:p>
    <w:p w:rsidR="00000000" w:rsidRDefault="00000000">
      <w:pPr>
        <w:pStyle w:val="Heading2"/>
        <w:rPr>
          <w:u w:val="none"/>
        </w:rPr>
      </w:pPr>
      <w:r>
        <w:rPr>
          <w:u w:val="none"/>
        </w:rPr>
        <w:t>468.</w:t>
      </w:r>
      <w:r>
        <w:rPr>
          <w:u w:val="none"/>
        </w:rPr>
        <w:tab/>
        <w:t>Еще до начала реформы системы образования, а именно на этапе подготовки этого проекта, его финансирование осуществлялось в основном по линии международного сотрудничества.</w:t>
      </w:r>
    </w:p>
    <w:p w:rsidR="00000000" w:rsidRDefault="00000000">
      <w:pPr>
        <w:pStyle w:val="Heading2"/>
      </w:pPr>
    </w:p>
    <w:p w:rsidR="00000000" w:rsidRDefault="00000000">
      <w:r>
        <w:t>469.</w:t>
      </w:r>
      <w:r>
        <w:tab/>
        <w:t>Кроме того, следует отметить, что международные учреждения в области технического сотрудничества поддерживают не только базовую систему образования страны, но и способствуют развитию системы профессионально-технического, среднего, послесреднего и высшего образования, проведению научно-технических исследований и культурных мероприятий.  К числу организаций, которые оказывают Боливии такую помощь на систематической основе, относятся ОЛГ, ЮНЕСКО, соглашение "Андрес Бельо" и ОАГ.</w:t>
      </w:r>
    </w:p>
    <w:p w:rsidR="00000000" w:rsidRDefault="00000000"/>
    <w:p w:rsidR="00000000" w:rsidRDefault="00000000">
      <w:pPr>
        <w:jc w:val="center"/>
        <w:rPr>
          <w:b/>
        </w:rPr>
      </w:pPr>
      <w:r>
        <w:rPr>
          <w:b/>
          <w:lang w:val="en-US"/>
        </w:rPr>
        <w:t>I</w:t>
      </w:r>
      <w:r>
        <w:rPr>
          <w:b/>
        </w:rPr>
        <w:t>.</w:t>
      </w:r>
      <w:r>
        <w:rPr>
          <w:b/>
        </w:rPr>
        <w:tab/>
      </w:r>
      <w:r>
        <w:rPr>
          <w:b/>
          <w:u w:val="single"/>
        </w:rPr>
        <w:t>Статья 14</w:t>
      </w:r>
    </w:p>
    <w:p w:rsidR="00000000" w:rsidRDefault="00000000">
      <w:pPr>
        <w:jc w:val="center"/>
      </w:pPr>
    </w:p>
    <w:p w:rsidR="00000000" w:rsidRDefault="00000000">
      <w:r>
        <w:t>470.</w:t>
      </w:r>
      <w:r>
        <w:tab/>
        <w:t>В соответствии с Политической конституцией страны начальное образование является в Боливии обязательным и бесплатным.</w:t>
      </w:r>
    </w:p>
    <w:p w:rsidR="00000000" w:rsidRDefault="00000000"/>
    <w:p w:rsidR="00000000" w:rsidRDefault="00000000">
      <w:pPr>
        <w:jc w:val="center"/>
        <w:rPr>
          <w:b/>
        </w:rPr>
      </w:pPr>
      <w:r>
        <w:rPr>
          <w:b/>
          <w:lang w:val="en-US"/>
        </w:rPr>
        <w:t>J</w:t>
      </w:r>
      <w:r>
        <w:rPr>
          <w:b/>
        </w:rPr>
        <w:t>.</w:t>
      </w:r>
      <w:r>
        <w:rPr>
          <w:b/>
        </w:rPr>
        <w:tab/>
      </w:r>
      <w:r>
        <w:rPr>
          <w:b/>
          <w:u w:val="single"/>
        </w:rPr>
        <w:t>Статья 15</w:t>
      </w:r>
    </w:p>
    <w:p w:rsidR="00000000" w:rsidRDefault="00000000">
      <w:pPr>
        <w:jc w:val="center"/>
      </w:pPr>
    </w:p>
    <w:p w:rsidR="00000000" w:rsidRDefault="00000000">
      <w:pPr>
        <w:pStyle w:val="Heading2"/>
      </w:pPr>
      <w:r>
        <w:t>Руководящие принципы, пункт 1 а) статьи 15 Пакта</w:t>
      </w:r>
    </w:p>
    <w:p w:rsidR="00000000" w:rsidRDefault="00000000">
      <w:pPr>
        <w:pStyle w:val="Heading2"/>
      </w:pPr>
    </w:p>
    <w:p w:rsidR="00000000" w:rsidRDefault="00000000">
      <w:r>
        <w:t>471.</w:t>
      </w:r>
      <w:r>
        <w:tab/>
        <w:t>Государство финансирует разнообразную деятельность в сфере культуры, о чем свидетельствуют следующие факты:</w:t>
      </w:r>
    </w:p>
    <w:p w:rsidR="00000000" w:rsidRDefault="00000000"/>
    <w:p w:rsidR="00000000" w:rsidRDefault="00000000">
      <w:pPr>
        <w:ind w:left="1134" w:hanging="1134"/>
      </w:pPr>
      <w:r>
        <w:tab/>
        <w:t>-</w:t>
      </w:r>
      <w:r>
        <w:tab/>
        <w:t>государство осуществляет надзорные функции и стимулирует выпуск кинематографической продукции через финансовый фонд Национального комитета кинематографии (НКК);</w:t>
      </w:r>
    </w:p>
    <w:p w:rsidR="00000000" w:rsidRDefault="00000000">
      <w:pPr>
        <w:ind w:left="1134" w:hanging="1134"/>
      </w:pPr>
    </w:p>
    <w:p w:rsidR="00000000" w:rsidRDefault="00000000">
      <w:pPr>
        <w:ind w:left="1134" w:hanging="1134"/>
      </w:pPr>
      <w:r>
        <w:tab/>
        <w:t>-</w:t>
      </w:r>
      <w:r>
        <w:tab/>
        <w:t>государство обеспечивает выплату жалования музыкантам национального симфонического оркестра;  деятельность этого оркестра финансируется также за счет добровольных взносов из частных источников;</w:t>
      </w:r>
    </w:p>
    <w:p w:rsidR="00000000" w:rsidRDefault="00000000">
      <w:pPr>
        <w:ind w:left="1134" w:hanging="1134"/>
      </w:pPr>
    </w:p>
    <w:p w:rsidR="00000000" w:rsidRDefault="00000000">
      <w:pPr>
        <w:ind w:left="1134" w:hanging="1134"/>
      </w:pPr>
      <w:r>
        <w:tab/>
        <w:t>-</w:t>
      </w:r>
      <w:r>
        <w:tab/>
        <w:t>аналогичный механизм применяется государством для финансирования боливийского хорового общества;</w:t>
      </w:r>
    </w:p>
    <w:p w:rsidR="00000000" w:rsidRDefault="00000000">
      <w:pPr>
        <w:ind w:left="1134" w:hanging="1134"/>
      </w:pPr>
    </w:p>
    <w:p w:rsidR="00000000" w:rsidRDefault="00000000">
      <w:pPr>
        <w:ind w:left="1134" w:hanging="1134"/>
      </w:pPr>
      <w:r>
        <w:tab/>
        <w:t>-</w:t>
      </w:r>
      <w:r>
        <w:tab/>
        <w:t>существует ряд государственных премий в различных сферах искусства и литературы;</w:t>
      </w:r>
    </w:p>
    <w:p w:rsidR="00000000" w:rsidRDefault="00000000">
      <w:pPr>
        <w:ind w:left="1134" w:hanging="1134"/>
      </w:pPr>
    </w:p>
    <w:p w:rsidR="00000000" w:rsidRDefault="00000000">
      <w:pPr>
        <w:ind w:left="1134" w:hanging="1134"/>
      </w:pPr>
      <w:r>
        <w:tab/>
        <w:t>-</w:t>
      </w:r>
      <w:r>
        <w:tab/>
        <w:t>при содействии государства, частных фондов и международных организаций проводятся многочисленные культурные мероприятия, включая, в частности, фестивали в Сукре, Потоси, фестиваль "Мусика баррокка де чикитос", театральные конкурсы и т.д.</w:t>
      </w:r>
    </w:p>
    <w:p w:rsidR="00000000" w:rsidRDefault="00000000">
      <w:pPr>
        <w:ind w:left="1134" w:hanging="1134"/>
      </w:pPr>
    </w:p>
    <w:p w:rsidR="00000000" w:rsidRDefault="00000000">
      <w:pPr>
        <w:ind w:left="1134" w:hanging="1134"/>
      </w:pPr>
      <w:r>
        <w:rPr>
          <w:u w:val="single"/>
        </w:rPr>
        <w:t xml:space="preserve">Пункт 1 </w:t>
      </w:r>
      <w:r>
        <w:rPr>
          <w:u w:val="single"/>
          <w:lang w:val="en-US"/>
        </w:rPr>
        <w:t>b</w:t>
      </w:r>
      <w:r>
        <w:t>)</w:t>
      </w:r>
    </w:p>
    <w:p w:rsidR="00000000" w:rsidRDefault="00000000">
      <w:pPr>
        <w:ind w:left="1134" w:hanging="1134"/>
      </w:pPr>
    </w:p>
    <w:p w:rsidR="00000000" w:rsidRDefault="00000000">
      <w:r>
        <w:t>472.</w:t>
      </w:r>
      <w:r>
        <w:tab/>
        <w:t>Согласно схеме децентрализованного административного управления инфраструктура учреждений народного творчества находится в ведении муниципальных властей (дома культуры, картинные галереи, театры).</w:t>
      </w:r>
    </w:p>
    <w:p w:rsidR="00000000" w:rsidRDefault="00000000"/>
    <w:p w:rsidR="00000000" w:rsidRDefault="00000000">
      <w:r>
        <w:t>473.</w:t>
      </w:r>
      <w:r>
        <w:tab/>
        <w:t>Государственные музеи финансируются из бюджета министерства просвещения, культуры и спорта по линии Управления по вопросам культуры.</w:t>
      </w:r>
    </w:p>
    <w:p w:rsidR="00000000" w:rsidRDefault="00000000"/>
    <w:p w:rsidR="00000000" w:rsidRDefault="00000000">
      <w:pPr>
        <w:rPr>
          <w:lang w:val="en-US"/>
        </w:rPr>
      </w:pPr>
      <w:r>
        <w:t>474.</w:t>
      </w:r>
      <w:r>
        <w:tab/>
        <w:t>Библиотеки также находятся в ведении муниципальных властей.</w:t>
      </w:r>
    </w:p>
    <w:p w:rsidR="00000000" w:rsidRDefault="00000000">
      <w:pPr>
        <w:rPr>
          <w:lang w:val="en-US"/>
        </w:rPr>
      </w:pPr>
    </w:p>
    <w:p w:rsidR="00000000" w:rsidRDefault="00000000">
      <w:r>
        <w:rPr>
          <w:u w:val="single"/>
        </w:rPr>
        <w:t>Пункт 1 с</w:t>
      </w:r>
      <w:r>
        <w:t>)</w:t>
      </w:r>
    </w:p>
    <w:p w:rsidR="00000000" w:rsidRDefault="00000000"/>
    <w:p w:rsidR="00000000" w:rsidRDefault="00000000">
      <w:r>
        <w:t>475.</w:t>
      </w:r>
      <w:r>
        <w:tab/>
        <w:t>В настоящее время правительство через различные подразделения по линии министерства просвещения, культуры и спорта осуществляет деятельность по благоустройству населенных пунктов, воссозданию исторических центров и мемориалов, возрождению традиций устного народного творчества как одного из факторов укрепления культурной самобытности.</w:t>
      </w:r>
    </w:p>
    <w:p w:rsidR="00000000" w:rsidRDefault="00000000"/>
    <w:p w:rsidR="00000000" w:rsidRDefault="00000000">
      <w:r>
        <w:t>476.</w:t>
      </w:r>
      <w:r>
        <w:tab/>
        <w:t xml:space="preserve">Кроме того, в последние годы проводилась подготовительная деятельность, целью которой является объявление – по установленным ЮНЕСКО категориям – некоторых культурных памятников страны объектами исторического наследия человечества в качестве средства придания мировой значимости таким образцам национальной культуры Боливии, как фестивали в Сукре и </w:t>
      </w:r>
      <w:proofErr w:type="spellStart"/>
      <w:r>
        <w:t>Потоси</w:t>
      </w:r>
      <w:proofErr w:type="spellEnd"/>
      <w:r>
        <w:t xml:space="preserve">, "Лас </w:t>
      </w:r>
      <w:proofErr w:type="spellStart"/>
      <w:r>
        <w:t>мисьонес</w:t>
      </w:r>
      <w:proofErr w:type="spellEnd"/>
      <w:r>
        <w:t xml:space="preserve"> </w:t>
      </w:r>
      <w:proofErr w:type="spellStart"/>
      <w:r>
        <w:t>хесуитикас</w:t>
      </w:r>
      <w:proofErr w:type="spellEnd"/>
      <w:r>
        <w:t xml:space="preserve"> де </w:t>
      </w:r>
      <w:proofErr w:type="spellStart"/>
      <w:r>
        <w:t>чикитос</w:t>
      </w:r>
      <w:proofErr w:type="spellEnd"/>
      <w:r>
        <w:t>", "</w:t>
      </w:r>
      <w:proofErr w:type="spellStart"/>
      <w:r>
        <w:t>Самайпата</w:t>
      </w:r>
      <w:proofErr w:type="spellEnd"/>
      <w:r>
        <w:t xml:space="preserve">" и "Лас </w:t>
      </w:r>
      <w:proofErr w:type="spellStart"/>
      <w:r>
        <w:t>руинас</w:t>
      </w:r>
      <w:proofErr w:type="spellEnd"/>
      <w:r>
        <w:t xml:space="preserve"> де </w:t>
      </w:r>
      <w:proofErr w:type="spellStart"/>
      <w:r>
        <w:t>Тиаванаку</w:t>
      </w:r>
      <w:proofErr w:type="spellEnd"/>
      <w:r>
        <w:t>".</w:t>
      </w:r>
    </w:p>
    <w:p w:rsidR="00000000" w:rsidRDefault="00000000"/>
    <w:p w:rsidR="00000000" w:rsidRDefault="00000000">
      <w:r>
        <w:rPr>
          <w:u w:val="single"/>
        </w:rPr>
        <w:t xml:space="preserve">Пункт 1 </w:t>
      </w:r>
      <w:r>
        <w:rPr>
          <w:u w:val="single"/>
          <w:lang w:val="en-US"/>
        </w:rPr>
        <w:t>d</w:t>
      </w:r>
      <w:r>
        <w:t>)</w:t>
      </w:r>
    </w:p>
    <w:p w:rsidR="00000000" w:rsidRDefault="00000000"/>
    <w:p w:rsidR="00000000" w:rsidRDefault="00000000">
      <w:r>
        <w:t>477.</w:t>
      </w:r>
      <w:r>
        <w:tab/>
        <w:t>Частные предприятия и муниципалитеты проводят совместную работу по поддержке и организации культурных мероприятий районного уровня, включая, в частности, различные местные праздники, музыкальные и танцевальные конкурсы и т.д.</w:t>
      </w:r>
    </w:p>
    <w:p w:rsidR="00000000" w:rsidRDefault="00000000"/>
    <w:p w:rsidR="00000000" w:rsidRDefault="00000000">
      <w:r>
        <w:t>478.</w:t>
      </w:r>
      <w:r>
        <w:tab/>
        <w:t xml:space="preserve">Министерство просвещения, культуры и спорта осуществляет ряд программ и проектов в области межрегиональной культурной интеграции ("Семильяс дель </w:t>
      </w:r>
      <w:proofErr w:type="spellStart"/>
      <w:r>
        <w:t>арте</w:t>
      </w:r>
      <w:proofErr w:type="spellEnd"/>
      <w:r>
        <w:t>"), а также ряд инициатив по розыску старинных музыкальных партитур и изданию музыкальных произведений барочного, колониального и республиканского периодов.</w:t>
      </w:r>
    </w:p>
    <w:p w:rsidR="00000000" w:rsidRDefault="00000000"/>
    <w:p w:rsidR="00000000" w:rsidRDefault="00000000">
      <w:r>
        <w:rPr>
          <w:u w:val="single"/>
        </w:rPr>
        <w:t xml:space="preserve">Пункт 1 </w:t>
      </w:r>
      <w:proofErr w:type="spellStart"/>
      <w:r>
        <w:rPr>
          <w:u w:val="single"/>
        </w:rPr>
        <w:t>е</w:t>
      </w:r>
      <w:proofErr w:type="spellEnd"/>
      <w:r>
        <w:t>)</w:t>
      </w:r>
    </w:p>
    <w:p w:rsidR="00000000" w:rsidRDefault="00000000"/>
    <w:p w:rsidR="00000000" w:rsidRDefault="00000000">
      <w:r>
        <w:t>479.</w:t>
      </w:r>
      <w:r>
        <w:tab/>
        <w:t>Несмотря на отсутствие конкретной нормы, обязывающей средства массовой информации включать в распространяемую ими продукцию определенную долю материалов культурного характера, власти, как правило, исходят из того, что в общенациональных средствах массовой информации доля таких материалов должна доходить до 50%.  К сожалению, в большинстве органов массовой информации это требование не выполняется.</w:t>
      </w:r>
    </w:p>
    <w:p w:rsidR="00000000" w:rsidRDefault="00000000"/>
    <w:p w:rsidR="00000000" w:rsidRDefault="00000000">
      <w:r>
        <w:t>480.</w:t>
      </w:r>
      <w:r>
        <w:tab/>
        <w:t>Кроме того, в последние годы проводится активная работа по сохранению, восстановлению и реставрации объектов архитектурного, художественного и археологического наследия.  В этой работе принимают участие государственные органы, местные административные органы и организации по вопросам международного сотрудничества.</w:t>
      </w:r>
    </w:p>
    <w:p w:rsidR="00000000" w:rsidRDefault="00000000"/>
    <w:p w:rsidR="00000000" w:rsidRDefault="00000000">
      <w:r>
        <w:t>481.</w:t>
      </w:r>
      <w:r>
        <w:tab/>
        <w:t>В настоящее время осуществляется процесс пересмотра законодательства в области культурного наследия.</w:t>
      </w:r>
    </w:p>
    <w:p w:rsidR="00000000" w:rsidRDefault="00000000"/>
    <w:p w:rsidR="00000000" w:rsidRDefault="00000000">
      <w:r>
        <w:rPr>
          <w:u w:val="single"/>
        </w:rPr>
        <w:t xml:space="preserve">Пункт 1 </w:t>
      </w:r>
      <w:r>
        <w:rPr>
          <w:u w:val="single"/>
          <w:lang w:val="en-US"/>
        </w:rPr>
        <w:t>f</w:t>
      </w:r>
      <w:r>
        <w:t>)</w:t>
      </w:r>
    </w:p>
    <w:p w:rsidR="00000000" w:rsidRDefault="00000000"/>
    <w:p w:rsidR="00000000" w:rsidRDefault="00000000">
      <w:r>
        <w:t>482.</w:t>
      </w:r>
      <w:r>
        <w:tab/>
        <w:t>В настоящее время правительство страны, опираясь на поддержку законодательных и судебных органов, церковных организаций, правоохранительных органов и вооруженных сил, административные органы департаментов и муниципалитетов и структуры гражданского общества, предпринимает активные усилия по разработке национальной программы по охране объектов культурного достояния.  Главный принцип, лежащий в основе этой программы, заключается в проведении правительством при поддержке органов власти на уровне департаментов информационно-просветительской деятельности в этой области на основе такого же комплексного подхода, который применяется в области охраны окружающей среды.  Эта инициатива имеет огромное значение по той причине, что впервые в учебный процесс на уровне среднего образования включается проблематика охраны материального, духовного и естественного достояния, при том что последний из указанных компонентов предполагает наличие неразрывной сугубо культурологической связи между человеком и биосферой.</w:t>
      </w:r>
    </w:p>
    <w:p w:rsidR="00000000" w:rsidRDefault="00000000"/>
    <w:p w:rsidR="00000000" w:rsidRDefault="00000000">
      <w:r>
        <w:t>483.</w:t>
      </w:r>
      <w:r>
        <w:tab/>
        <w:t>Кроме того, эта программа предусматривает заключение с национальными средствами массовой информации договоренности относительно культивирования в обществе мысли о необходимости охраны материального, духовного и культурного наследия.</w:t>
      </w:r>
    </w:p>
    <w:p w:rsidR="00000000" w:rsidRDefault="00000000"/>
    <w:p w:rsidR="00000000" w:rsidRDefault="00000000">
      <w:r>
        <w:t>484.</w:t>
      </w:r>
      <w:r>
        <w:tab/>
        <w:t xml:space="preserve">Вместе с тем общая ситуация в данной области остается такой, как она описывается в предыдущем разделе.  </w:t>
      </w:r>
    </w:p>
    <w:p w:rsidR="00000000" w:rsidRDefault="00000000"/>
    <w:p w:rsidR="00000000" w:rsidRDefault="00000000">
      <w:r>
        <w:rPr>
          <w:u w:val="single"/>
        </w:rPr>
        <w:t>Пункт 1</w:t>
      </w:r>
      <w:r>
        <w:rPr>
          <w:u w:val="single"/>
          <w:lang w:val="en-US"/>
        </w:rPr>
        <w:t xml:space="preserve"> g</w:t>
      </w:r>
      <w:r>
        <w:t>)</w:t>
      </w:r>
    </w:p>
    <w:p w:rsidR="00000000" w:rsidRDefault="00000000"/>
    <w:p w:rsidR="00000000" w:rsidRDefault="00000000">
      <w:r>
        <w:t>485.</w:t>
      </w:r>
      <w:r>
        <w:tab/>
        <w:t>В статье 1 Закона № 1322 от 13 апреля 1992 года говорится, что положения этого закона в качестве государственного нормативного акта предусматривают соблюдение интересов общества, регулируют режим защиты права авторов на собственные произведения, будь то произведения литературы, искусства или науки, а также определяемых в этом законе сопутствующих прав.  Кроме того, в законе четко оговаривается, что защита соответствующего произведения не требует его регистрации, передачи на хранение или выполнения каких-либо иных формальностей, поскольку оно находится под защитой уже с момента его создания (статья 2).</w:t>
      </w:r>
    </w:p>
    <w:p w:rsidR="00000000" w:rsidRDefault="00000000"/>
    <w:p w:rsidR="00000000" w:rsidRDefault="00000000">
      <w:r>
        <w:t>486.</w:t>
      </w:r>
      <w:r>
        <w:tab/>
        <w:t>В рамках ограничений, диктуемых авторским правом, закон предусматривает возможность цитирования того или иного автора, под которым понимается включение автором в собственное произведение небольших фрагментов произведений других авторов при том условии, что речь идет об обнародованных произведениях, что указывается источник и автор используемого произведения и что соответствующая цитата включается в произведение для анализа, комментирования или критического разбора с благопристойными или научно-исследовательскими целями в соответствии с нормами добропорядочности и в той мере, в какой это оправдывается поставленными целями и не влечет за собой каких-либо злоупотреблений (статья 24).</w:t>
      </w:r>
    </w:p>
    <w:p w:rsidR="00000000" w:rsidRDefault="00000000"/>
    <w:p w:rsidR="00000000" w:rsidRDefault="00000000">
      <w:pPr>
        <w:keepNext/>
      </w:pPr>
      <w:r>
        <w:rPr>
          <w:u w:val="single"/>
        </w:rPr>
        <w:t>Пункт 1</w:t>
      </w:r>
      <w:r>
        <w:rPr>
          <w:u w:val="single"/>
          <w:lang w:val="en-US"/>
        </w:rPr>
        <w:t xml:space="preserve"> h</w:t>
      </w:r>
      <w:r>
        <w:t>)</w:t>
      </w:r>
    </w:p>
    <w:p w:rsidR="00000000" w:rsidRDefault="00000000">
      <w:pPr>
        <w:keepNext/>
      </w:pPr>
    </w:p>
    <w:p w:rsidR="00000000" w:rsidRDefault="00000000">
      <w:r>
        <w:t>487.</w:t>
      </w:r>
      <w:r>
        <w:tab/>
        <w:t>В ведении государства находится система высших учебных заведений в области культуры и художественного творчества, включая, в частности, государственную консерваторию, национальную школу художественного творчества и национальную школу изобразительного искусства и школу современного танца.  Кроме того, в университетах имеются художественные и литературные факультеты, предусматривающие широкую подготовку студентов в области литературы и искусства с целью их последующей деятельности в избранных ими сферах культуры.  В рамках учебных курсов по подготовке архитекторов, инженеров-экологов, работников социальной сферы, работников сферы туризма и т.д. предусматривается изучение материалов в области культуры, искусства и естественного и культурного наследия страны.</w:t>
      </w:r>
    </w:p>
    <w:p w:rsidR="00000000" w:rsidRDefault="00000000"/>
    <w:p w:rsidR="00000000" w:rsidRDefault="00000000">
      <w:r>
        <w:rPr>
          <w:u w:val="single"/>
        </w:rPr>
        <w:t>Пункт 1</w:t>
      </w:r>
      <w:r>
        <w:rPr>
          <w:u w:val="single"/>
          <w:lang w:val="en-US"/>
        </w:rPr>
        <w:t xml:space="preserve"> i</w:t>
      </w:r>
      <w:r>
        <w:t>)</w:t>
      </w:r>
    </w:p>
    <w:p w:rsidR="00000000" w:rsidRDefault="00000000"/>
    <w:p w:rsidR="00000000" w:rsidRDefault="00000000">
      <w:r>
        <w:t>488.</w:t>
      </w:r>
      <w:r>
        <w:tab/>
        <w:t>В целях возвращения и реставрации незаконно присвоенных объектов культурного достояния осуществляется процесс подписания двусторонних и многосторонних соглашений и проводятся широкомасштабные и активные пропагандистские кампании в средствах массовой информации;  кроме того, эти вопросы ставятся перед правительствами соседних государств.</w:t>
      </w:r>
    </w:p>
    <w:p w:rsidR="00000000" w:rsidRDefault="00000000"/>
    <w:p w:rsidR="00000000" w:rsidRDefault="00000000">
      <w:r>
        <w:rPr>
          <w:u w:val="single"/>
        </w:rPr>
        <w:t>Пункт 2</w:t>
      </w:r>
    </w:p>
    <w:p w:rsidR="00000000" w:rsidRDefault="00000000"/>
    <w:p w:rsidR="00000000" w:rsidRDefault="00000000">
      <w:r>
        <w:t>489.</w:t>
      </w:r>
      <w:r>
        <w:tab/>
        <w:t>Несмотря на отсутствие нормативных актов, регламентирующих режим пользования результатами научного прогресса, существует проект закона о науке и технике, который планируется рассмотреть на следующей чрезвычайной сессии законодательной власти.</w:t>
      </w:r>
    </w:p>
    <w:p w:rsidR="00000000" w:rsidRDefault="00000000"/>
    <w:p w:rsidR="00000000" w:rsidRDefault="00000000">
      <w:r>
        <w:rPr>
          <w:u w:val="single"/>
        </w:rPr>
        <w:t>Пункт 2 а</w:t>
      </w:r>
      <w:r>
        <w:t>)</w:t>
      </w:r>
    </w:p>
    <w:p w:rsidR="00000000" w:rsidRDefault="00000000"/>
    <w:p w:rsidR="00000000" w:rsidRDefault="00000000">
      <w:r>
        <w:t>490.</w:t>
      </w:r>
      <w:r>
        <w:tab/>
        <w:t>В этой связи следует отметить, что в стране применяется Закон № 1333 об охране окружающей среды.</w:t>
      </w:r>
    </w:p>
    <w:p w:rsidR="00000000" w:rsidRDefault="00000000"/>
    <w:p w:rsidR="00000000" w:rsidRDefault="00000000">
      <w:r>
        <w:rPr>
          <w:u w:val="single"/>
        </w:rPr>
        <w:t xml:space="preserve">Пункт 2 </w:t>
      </w:r>
      <w:r>
        <w:rPr>
          <w:u w:val="single"/>
          <w:lang w:val="en-US"/>
        </w:rPr>
        <w:t>b</w:t>
      </w:r>
      <w:r>
        <w:t>)</w:t>
      </w:r>
    </w:p>
    <w:p w:rsidR="00000000" w:rsidRDefault="00000000"/>
    <w:p w:rsidR="00000000" w:rsidRDefault="00000000">
      <w:r>
        <w:t>491.</w:t>
      </w:r>
      <w:r>
        <w:tab/>
        <w:t>Несмотря на отсутствие конкретных мер в этой области, следует отметить, что в настоящее время на рассмотрении парламента находится проект закона о науке и технике, который предусматривает применение юридического механизма, определяющего порядок пользование результатами научного прогресса.</w:t>
      </w:r>
    </w:p>
    <w:p w:rsidR="00000000" w:rsidRDefault="00000000"/>
    <w:p w:rsidR="00000000" w:rsidRDefault="00000000">
      <w:r>
        <w:t>492.</w:t>
      </w:r>
      <w:r>
        <w:tab/>
        <w:t xml:space="preserve">Что касается системы распространения информации, то Национальный комитет по науке и технике (НКНТ) не располагает механизмами по распространению информации о результатах научно-технического прогресса в стране и за рубежом.  Однако это станет возможным после принятия вышеупомянутого закона о науке и технике.  При этом ведется работа по созданию соответствующей </w:t>
      </w:r>
      <w:r>
        <w:rPr>
          <w:lang w:val="en-US"/>
        </w:rPr>
        <w:t>Web</w:t>
      </w:r>
      <w:r>
        <w:t>-страницы в Интернете, на которой предполагается размещать информацию по данной тематике.</w:t>
      </w:r>
    </w:p>
    <w:p w:rsidR="00000000" w:rsidRDefault="00000000"/>
    <w:p w:rsidR="00000000" w:rsidRDefault="00000000">
      <w:r>
        <w:rPr>
          <w:u w:val="single"/>
        </w:rPr>
        <w:t>Пункт 2 с</w:t>
      </w:r>
      <w:r>
        <w:t>)</w:t>
      </w:r>
    </w:p>
    <w:p w:rsidR="00000000" w:rsidRDefault="00000000"/>
    <w:p w:rsidR="00000000" w:rsidRDefault="00000000">
      <w:r>
        <w:t>493.</w:t>
      </w:r>
      <w:r>
        <w:tab/>
        <w:t>НКНТ пока еще не располагает механизмами, препятствующими использованию результатов научно-технического прогресса в ущерб интересам населения.  При содействии ПОЗ/ВОЗ планируется создание национального комитета по вопросам этики, целью которого является содействие конструктивному использованию результатов научно-технического прогресса на благо боливийского общества.</w:t>
      </w:r>
    </w:p>
    <w:p w:rsidR="00000000" w:rsidRDefault="00000000"/>
    <w:p w:rsidR="00000000" w:rsidRDefault="00000000">
      <w:r>
        <w:rPr>
          <w:u w:val="single"/>
        </w:rPr>
        <w:t>Пункт 2 d</w:t>
      </w:r>
      <w:r>
        <w:t>)</w:t>
      </w:r>
    </w:p>
    <w:p w:rsidR="00000000" w:rsidRDefault="00000000"/>
    <w:p w:rsidR="00000000" w:rsidRDefault="00000000">
      <w:r>
        <w:t>494.</w:t>
      </w:r>
      <w:r>
        <w:tab/>
        <w:t>Никаких ограничений на этот счет не имеется.</w:t>
      </w:r>
    </w:p>
    <w:p w:rsidR="00000000" w:rsidRDefault="00000000"/>
    <w:p w:rsidR="00000000" w:rsidRDefault="00000000">
      <w:pPr>
        <w:pStyle w:val="Heading2"/>
      </w:pPr>
      <w:r>
        <w:t>Пункт 3</w:t>
      </w:r>
    </w:p>
    <w:p w:rsidR="00000000" w:rsidRDefault="00000000">
      <w:pPr>
        <w:pStyle w:val="Heading2"/>
      </w:pPr>
    </w:p>
    <w:p w:rsidR="00000000" w:rsidRDefault="00000000">
      <w:r>
        <w:t>495.</w:t>
      </w:r>
      <w:r>
        <w:tab/>
        <w:t>Для целей защиты моральных и патримониальных интересов в связи с какими-либо научными, литературными или художественными произведениями в статьях 14 и 15 Закона № 1322 предусматривается вечное, неотъемлемое, неотторжимое и неотчуждаемое право автора произведения:</w:t>
      </w:r>
    </w:p>
    <w:p w:rsidR="00000000" w:rsidRDefault="00000000"/>
    <w:p w:rsidR="00000000" w:rsidRDefault="00000000">
      <w:r>
        <w:tab/>
        <w:t>а)</w:t>
      </w:r>
      <w:r>
        <w:tab/>
        <w:t>требовать в любой момент подтверждения своего авторства, и в частности указания своего имени или псевдонима в тех случаях, когда речь идет о каких-либо актах, связанных с использованием его произведения;</w:t>
      </w:r>
    </w:p>
    <w:p w:rsidR="00000000" w:rsidRDefault="00000000"/>
    <w:p w:rsidR="00000000" w:rsidRDefault="00000000">
      <w:r>
        <w:tab/>
        <w:t>b)</w:t>
      </w:r>
      <w:r>
        <w:tab/>
        <w:t>противодействовать какой бы то ни было деформации, искажению или иному изменению произведения;</w:t>
      </w:r>
    </w:p>
    <w:p w:rsidR="00000000" w:rsidRDefault="00000000"/>
    <w:p w:rsidR="00000000" w:rsidRDefault="00000000">
      <w:r>
        <w:tab/>
        <w:t>с)</w:t>
      </w:r>
      <w:r>
        <w:tab/>
        <w:t>хранить свое неизданное произведение.  После смерти автора произведение не может быть обнародовано, если автор запрещает это в своем завещании, равным образом не подлежит разглашению и имя автора, если в том же завещании не предусматривается иное.</w:t>
      </w:r>
    </w:p>
    <w:p w:rsidR="00000000" w:rsidRDefault="00000000"/>
    <w:p w:rsidR="00000000" w:rsidRDefault="00000000">
      <w:r>
        <w:t>Автор охраняемого законом произведения или его правопреемники наделяются исключительным правом осуществлять, санкционировать или запрещать любые следующие действия:</w:t>
      </w:r>
    </w:p>
    <w:p w:rsidR="00000000" w:rsidRDefault="00000000"/>
    <w:p w:rsidR="00000000" w:rsidRDefault="00000000">
      <w:r>
        <w:tab/>
        <w:t>а)</w:t>
      </w:r>
      <w:r>
        <w:tab/>
        <w:t>полное или частичное воспроизведение произведения;</w:t>
      </w:r>
    </w:p>
    <w:p w:rsidR="00000000" w:rsidRDefault="00000000"/>
    <w:p w:rsidR="00000000" w:rsidRDefault="00000000">
      <w:r>
        <w:tab/>
        <w:t>b)</w:t>
      </w:r>
      <w:r>
        <w:tab/>
        <w:t>его перевод, адаптирование, исправление или внесение в него любых изменений;</w:t>
      </w:r>
    </w:p>
    <w:p w:rsidR="00000000" w:rsidRDefault="00000000"/>
    <w:p w:rsidR="00000000" w:rsidRDefault="00000000">
      <w:r>
        <w:tab/>
        <w:t>с)</w:t>
      </w:r>
      <w:r>
        <w:tab/>
        <w:t>обнародование произведения путем показа, исполнения, радиотрансляции или использования каких-либо других средств распространения.</w:t>
      </w:r>
    </w:p>
    <w:p w:rsidR="00000000" w:rsidRDefault="00000000"/>
    <w:p w:rsidR="00000000" w:rsidRDefault="00000000">
      <w:r>
        <w:t>496.</w:t>
      </w:r>
      <w:r>
        <w:tab/>
        <w:t>21 июня 1997 года боливийское правительство утвердило на основании Указа № 24676 постановление о биологической безопасности в целях сведения к минимуму возможных рисков и предупреждения возможных негативных последствий для здоровья человека, окружающей среды и биологического многообразия, связанных с проведением исследований в области генетически измененных культур (ГИК).</w:t>
      </w:r>
    </w:p>
    <w:p w:rsidR="00000000" w:rsidRDefault="00000000"/>
    <w:p w:rsidR="00000000" w:rsidRDefault="00000000">
      <w:r>
        <w:t>497.</w:t>
      </w:r>
      <w:r>
        <w:tab/>
        <w:t>Боливия является членом Парижской конвенции об охране промышленной собственности и располагает в этой связи соответствующим национальным законодательством.</w:t>
      </w:r>
    </w:p>
    <w:p w:rsidR="00000000" w:rsidRDefault="00000000"/>
    <w:p w:rsidR="00000000" w:rsidRDefault="00000000">
      <w:r>
        <w:t>498.</w:t>
      </w:r>
      <w:r>
        <w:tab/>
        <w:t xml:space="preserve">В качестве члена Сообщества стран </w:t>
      </w:r>
      <w:proofErr w:type="spellStart"/>
      <w:r>
        <w:t>Андского</w:t>
      </w:r>
      <w:proofErr w:type="spellEnd"/>
      <w:r>
        <w:t xml:space="preserve"> региона Боливия взяла на себя обязательство по выполнению решений 344, 345 и 391 Комитета Картахенского соглашения:</w:t>
      </w:r>
    </w:p>
    <w:p w:rsidR="00000000" w:rsidRDefault="00000000"/>
    <w:p w:rsidR="00000000" w:rsidRDefault="00000000">
      <w:r>
        <w:tab/>
        <w:t>Решение 344:  Общий режим промышленной собственности.</w:t>
      </w:r>
    </w:p>
    <w:p w:rsidR="00000000" w:rsidRDefault="00000000"/>
    <w:p w:rsidR="00000000" w:rsidRDefault="00000000">
      <w:r>
        <w:tab/>
        <w:t>Решение 345:  Общий режим защиты прав закупщиков продукции растениеводства.</w:t>
      </w:r>
    </w:p>
    <w:p w:rsidR="00000000" w:rsidRDefault="00000000"/>
    <w:p w:rsidR="00000000" w:rsidRDefault="00000000">
      <w:r>
        <w:tab/>
        <w:t>Решение 391:  Общий режим доступа к генетическим ресурсам.</w:t>
      </w:r>
    </w:p>
    <w:p w:rsidR="00000000" w:rsidRDefault="00000000"/>
    <w:p w:rsidR="00000000" w:rsidRDefault="00000000">
      <w:r>
        <w:t>499.</w:t>
      </w:r>
      <w:r>
        <w:tab/>
        <w:t>В настоящее время на рассмотрении сената находится Закон о развитии науки и техники, предусматривающий расширение НКНТ и реорганизацию Национального фонда по науке и технике (НФНТ), что, несомненно, будет способствовать укреплению позиций Боливии в этой области.</w:t>
      </w:r>
    </w:p>
    <w:p w:rsidR="00000000" w:rsidRDefault="00000000"/>
    <w:p w:rsidR="00000000" w:rsidRDefault="00000000">
      <w:pPr>
        <w:keepNext/>
      </w:pPr>
      <w:r>
        <w:rPr>
          <w:u w:val="single"/>
        </w:rPr>
        <w:t>Пункт 4 а и b</w:t>
      </w:r>
      <w:r>
        <w:t>)</w:t>
      </w:r>
    </w:p>
    <w:p w:rsidR="00000000" w:rsidRDefault="00000000">
      <w:pPr>
        <w:keepNext/>
      </w:pPr>
    </w:p>
    <w:p w:rsidR="00000000" w:rsidRDefault="00000000">
      <w:r>
        <w:t>500.</w:t>
      </w:r>
      <w:r>
        <w:tab/>
        <w:t>Информация по этому вопросу приводится в пункте 2 выше.</w:t>
      </w:r>
    </w:p>
    <w:p w:rsidR="00000000" w:rsidRDefault="00000000"/>
    <w:p w:rsidR="00000000" w:rsidRDefault="00000000">
      <w:pPr>
        <w:pStyle w:val="Heading2"/>
      </w:pPr>
      <w:r>
        <w:t>Пункт 5</w:t>
      </w:r>
    </w:p>
    <w:p w:rsidR="00000000" w:rsidRDefault="00000000">
      <w:pPr>
        <w:pStyle w:val="Heading2"/>
      </w:pPr>
    </w:p>
    <w:p w:rsidR="00000000" w:rsidRDefault="00000000">
      <w:r>
        <w:t>501.</w:t>
      </w:r>
      <w:r>
        <w:tab/>
        <w:t>На основании Указа № 25159 от 4 сентября 1998 года была создана Национальная служба интеллектуальной собственности (НСИС) в качестве самостоятельного административного органа общенационального масштаба, находящегося в общем ведении министерства экономического развития и в оперативном подчинении управления по вопросам национальной промышленности и торговли.  Организационные функции НСИС заключаются в регулировании режима применения правовых норм в области интеллектуальной собственности и применении норм в области промышленной собственности и авторских прав в качестве компетентного административного органа общенационального масштаба.</w:t>
      </w:r>
    </w:p>
    <w:p w:rsidR="00000000" w:rsidRDefault="00000000"/>
    <w:p w:rsidR="00000000" w:rsidRDefault="00000000">
      <w:r>
        <w:t>502.</w:t>
      </w:r>
      <w:r>
        <w:tab/>
        <w:t>Применяемый НСИС правовой режим предусматривает использование внутригосударственных нормативных актов, подписанных страной международных конвенций и действующих в сфере интеллектуальной собственности норм обычного права (статьи 3 и 4 Указа № 25159).</w:t>
      </w:r>
    </w:p>
    <w:p w:rsidR="00000000" w:rsidRDefault="00000000"/>
    <w:p w:rsidR="00000000" w:rsidRDefault="00000000">
      <w:r>
        <w:rPr>
          <w:u w:val="single"/>
        </w:rPr>
        <w:t>Пункт 5 а</w:t>
      </w:r>
      <w:r>
        <w:t>)</w:t>
      </w:r>
    </w:p>
    <w:p w:rsidR="00000000" w:rsidRDefault="00000000"/>
    <w:p w:rsidR="00000000" w:rsidRDefault="00000000">
      <w:r>
        <w:t>503.</w:t>
      </w:r>
      <w:r>
        <w:tab/>
        <w:t>В стране существует право на свободный обмен информацией между авторами произведений при условии соблюдения их моральных и патримониальных прав.  Коммерческое использование произведений, охраняемых Законом об авторских правах, допускается лишь с согласия их авторов;  в противном случае такие действия считаются нарушением их прав и пострадавшие вправе обращаться в Национальное управление авторских прав или в обычные органы правосудия.</w:t>
      </w:r>
    </w:p>
    <w:p w:rsidR="00000000" w:rsidRDefault="00000000"/>
    <w:p w:rsidR="00000000" w:rsidRDefault="00000000">
      <w:r>
        <w:t>504.</w:t>
      </w:r>
      <w:r>
        <w:tab/>
        <w:t>Предусматриваемый боливийским законодательством срок охраны авторских прав включает всю жизнь автора и еще 50 лет после его смерти.  По завершении этого периода произведение становится частью общенародного достояния и может использоваться в некоммерческих целях без каких бы то ни было ограничений;  коммерческое использование таких произведений допускается лишь с санкции Национального управления авторских прав (статьи 18 и 60).</w:t>
      </w:r>
    </w:p>
    <w:p w:rsidR="00000000" w:rsidRDefault="00000000"/>
    <w:p w:rsidR="00000000" w:rsidRDefault="00000000">
      <w:pPr>
        <w:keepNext/>
      </w:pPr>
      <w:r>
        <w:rPr>
          <w:u w:val="single"/>
        </w:rPr>
        <w:t>Пункт 5 b</w:t>
      </w:r>
      <w:r>
        <w:t>)</w:t>
      </w:r>
    </w:p>
    <w:p w:rsidR="00000000" w:rsidRDefault="00000000">
      <w:pPr>
        <w:keepNext/>
      </w:pPr>
    </w:p>
    <w:p w:rsidR="00000000" w:rsidRDefault="00000000">
      <w:r>
        <w:t>505.</w:t>
      </w:r>
      <w:r>
        <w:tab/>
        <w:t>Никаких конкретных мер в сфере научной деятельности не предпринималось.  Вместе с тем хотелось бы обратить внимание на наличие соответствующих нормативных актов в сфере художественного творчества и культуры.</w:t>
      </w:r>
    </w:p>
    <w:p w:rsidR="00000000" w:rsidRDefault="00000000"/>
    <w:p w:rsidR="00000000" w:rsidRDefault="00000000">
      <w:r>
        <w:rPr>
          <w:u w:val="single"/>
        </w:rPr>
        <w:t>Пункт 5 с</w:t>
      </w:r>
      <w:r>
        <w:t>)</w:t>
      </w:r>
    </w:p>
    <w:p w:rsidR="00000000" w:rsidRDefault="00000000"/>
    <w:p w:rsidR="00000000" w:rsidRDefault="00000000">
      <w:r>
        <w:t>506.</w:t>
      </w:r>
      <w:r>
        <w:tab/>
        <w:t>В рамках Закона об авторских правах предусматривается организация и учреждение ассоциаций авторов и творческих работников, ведающих вопросами распоряжения их патримониальными правами (сбор, распределение и расходование средств, образующихся в результате использования их произведений).  В том же законе предусматривается создание профильных литературных или художественных ассоциаций, которые признаются в качестве законных образований при условии соблюдения предусмотренных в этой связи юридических процедур (статья 64 закона № 1322;  статья 27 Указа № 23907).</w:t>
      </w:r>
    </w:p>
    <w:p w:rsidR="00000000" w:rsidRDefault="00000000"/>
    <w:p w:rsidR="00000000" w:rsidRDefault="00000000">
      <w:r>
        <w:rPr>
          <w:u w:val="single"/>
        </w:rPr>
        <w:t>Пункт 6 а</w:t>
      </w:r>
      <w:r>
        <w:t>)</w:t>
      </w:r>
    </w:p>
    <w:p w:rsidR="00000000" w:rsidRDefault="00000000"/>
    <w:p w:rsidR="00000000" w:rsidRDefault="00000000">
      <w:r>
        <w:t>507.</w:t>
      </w:r>
      <w:r>
        <w:tab/>
        <w:t>Боливия является членом многих международных организаций по защите авторских прав.  Для целей надлежащей защиты этого права Боливия подписала следующие документы:</w:t>
      </w:r>
    </w:p>
    <w:p w:rsidR="00000000" w:rsidRDefault="00000000"/>
    <w:p w:rsidR="00000000" w:rsidRDefault="00000000">
      <w:r>
        <w:tab/>
      </w:r>
      <w:proofErr w:type="spellStart"/>
      <w:r>
        <w:t>Бернскую</w:t>
      </w:r>
      <w:proofErr w:type="spellEnd"/>
      <w:r>
        <w:t xml:space="preserve"> конвенцию об охране литературных и художественных произведений;</w:t>
      </w:r>
    </w:p>
    <w:p w:rsidR="00000000" w:rsidRDefault="00000000"/>
    <w:p w:rsidR="00000000" w:rsidRDefault="00000000">
      <w:pPr>
        <w:ind w:left="567" w:hanging="567"/>
      </w:pPr>
      <w:r>
        <w:tab/>
        <w:t>Конвенцию об охране прав артистов-исполнителей, производителей фонограмм и органов радиовещания;</w:t>
      </w:r>
    </w:p>
    <w:p w:rsidR="00000000" w:rsidRDefault="00000000">
      <w:pPr>
        <w:ind w:left="567" w:hanging="567"/>
      </w:pPr>
    </w:p>
    <w:p w:rsidR="00000000" w:rsidRDefault="00000000">
      <w:pPr>
        <w:ind w:left="567" w:hanging="567"/>
      </w:pPr>
      <w:r>
        <w:tab/>
        <w:t>Соглашение о ТАПИС (Соглашение о торговых аспектах прав интеллектуальной собственности);</w:t>
      </w:r>
    </w:p>
    <w:p w:rsidR="00000000" w:rsidRDefault="00000000">
      <w:pPr>
        <w:ind w:left="567" w:hanging="567"/>
      </w:pPr>
    </w:p>
    <w:p w:rsidR="00000000" w:rsidRDefault="00000000">
      <w:pPr>
        <w:ind w:left="567" w:hanging="567"/>
      </w:pPr>
      <w:r>
        <w:tab/>
        <w:t>Решение 351 Сообщества стран Андского региона;</w:t>
      </w:r>
    </w:p>
    <w:p w:rsidR="00000000" w:rsidRDefault="00000000">
      <w:pPr>
        <w:ind w:left="567" w:hanging="567"/>
      </w:pPr>
    </w:p>
    <w:p w:rsidR="00000000" w:rsidRDefault="00000000">
      <w:pPr>
        <w:ind w:left="567" w:hanging="567"/>
      </w:pPr>
      <w:r>
        <w:tab/>
      </w:r>
      <w:proofErr w:type="spellStart"/>
      <w:r>
        <w:t>Монтевидейский</w:t>
      </w:r>
      <w:proofErr w:type="spellEnd"/>
      <w:r>
        <w:t xml:space="preserve"> договор об интеллектуальной собственности.</w:t>
      </w:r>
    </w:p>
    <w:p w:rsidR="00000000" w:rsidRDefault="00000000">
      <w:pPr>
        <w:ind w:left="567" w:hanging="567"/>
      </w:pPr>
    </w:p>
    <w:p w:rsidR="00000000" w:rsidRDefault="00000000">
      <w:pPr>
        <w:ind w:left="567" w:hanging="567"/>
      </w:pPr>
      <w:r>
        <w:rPr>
          <w:u w:val="single"/>
        </w:rPr>
        <w:t>Пункт 6 b</w:t>
      </w:r>
      <w:r>
        <w:t>)</w:t>
      </w:r>
    </w:p>
    <w:p w:rsidR="00000000" w:rsidRDefault="00000000">
      <w:pPr>
        <w:ind w:left="567" w:hanging="567"/>
      </w:pPr>
    </w:p>
    <w:p w:rsidR="00000000" w:rsidRDefault="00000000">
      <w:pPr>
        <w:pStyle w:val="BodyTextIndent"/>
        <w:spacing w:line="288" w:lineRule="auto"/>
        <w:ind w:left="0" w:firstLine="0"/>
      </w:pPr>
      <w:r>
        <w:t>508.</w:t>
      </w:r>
      <w:r>
        <w:tab/>
        <w:t xml:space="preserve">Периодически проводятся конференции, семинары, рабочие совещания и другие мероприятия, в работе которых принимают участие многосторонние организации по вопросам сотрудничества (ОАГ, исполнительный секретариат соглашения "Андрес Бельо", Латиноамериканская программа по вопросам науки и техники в интересах развития, ЮНЕСКО и другие).  </w:t>
      </w:r>
      <w:proofErr w:type="spellStart"/>
      <w:r>
        <w:t>Бóльшая</w:t>
      </w:r>
      <w:proofErr w:type="spellEnd"/>
      <w:r>
        <w:t xml:space="preserve"> часть этих мероприятий проводится по инициативе университетов, главным образом государственной системы образования, и при финансовом содействии международных организаций.</w:t>
      </w:r>
    </w:p>
    <w:p w:rsidR="00000000" w:rsidRDefault="00000000">
      <w:pPr>
        <w:pStyle w:val="BodyTextIndent"/>
        <w:spacing w:line="288" w:lineRule="auto"/>
        <w:ind w:left="0" w:firstLine="0"/>
      </w:pPr>
    </w:p>
    <w:p w:rsidR="00000000" w:rsidRDefault="00000000">
      <w:pPr>
        <w:pStyle w:val="BodyTextIndent"/>
        <w:keepNext/>
        <w:spacing w:line="288" w:lineRule="auto"/>
        <w:ind w:left="0" w:firstLine="0"/>
      </w:pPr>
      <w:r>
        <w:rPr>
          <w:u w:val="single"/>
        </w:rPr>
        <w:t>Пункт 7</w:t>
      </w:r>
    </w:p>
    <w:p w:rsidR="00000000" w:rsidRDefault="00000000">
      <w:pPr>
        <w:pStyle w:val="BodyTextIndent"/>
        <w:keepNext/>
        <w:spacing w:line="288" w:lineRule="auto"/>
        <w:ind w:left="0" w:firstLine="0"/>
      </w:pPr>
    </w:p>
    <w:p w:rsidR="00000000" w:rsidRDefault="00000000">
      <w:pPr>
        <w:pStyle w:val="BodyTextIndent"/>
        <w:spacing w:line="288" w:lineRule="auto"/>
        <w:ind w:left="0" w:firstLine="0"/>
      </w:pPr>
      <w:r>
        <w:t>509.</w:t>
      </w:r>
      <w:r>
        <w:tab/>
        <w:t>За отчетный период не было отмечено никаких изменений, которые оказывали бы негативное воздействие на осуществление предусмотренных в этой статье прав.</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rPr>
          <w:u w:val="single"/>
        </w:rPr>
        <w:t>Пункт 8</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510.</w:t>
      </w:r>
      <w:r>
        <w:tab/>
        <w:t>Никаких докладов в этой связи правительство не представляло.</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rPr>
          <w:u w:val="single"/>
        </w:rPr>
        <w:t>Пункт 9</w:t>
      </w:r>
    </w:p>
    <w:p w:rsidR="00000000" w:rsidRDefault="00000000">
      <w:pPr>
        <w:pStyle w:val="BodyTextIndent"/>
        <w:spacing w:line="288" w:lineRule="auto"/>
        <w:ind w:left="0" w:firstLine="0"/>
      </w:pPr>
    </w:p>
    <w:p w:rsidR="00000000" w:rsidRDefault="00000000">
      <w:pPr>
        <w:pStyle w:val="BodyTextIndent"/>
        <w:spacing w:line="288" w:lineRule="auto"/>
        <w:ind w:left="0" w:firstLine="0"/>
      </w:pPr>
      <w:r>
        <w:t>511.</w:t>
      </w:r>
      <w:r>
        <w:tab/>
        <w:t xml:space="preserve">К числу организаций, которые оказывают Боливии систематическую помощь в области развития культуры, относятся ОЛГ, организация "Уньон </w:t>
      </w:r>
      <w:proofErr w:type="spellStart"/>
      <w:r>
        <w:t>латина</w:t>
      </w:r>
      <w:proofErr w:type="spellEnd"/>
      <w:r>
        <w:t>", соглашение "</w:t>
      </w:r>
      <w:proofErr w:type="spellStart"/>
      <w:r>
        <w:t>Андрес</w:t>
      </w:r>
      <w:proofErr w:type="spellEnd"/>
      <w:r>
        <w:t xml:space="preserve"> Бельо" и ЮНЕСКО.</w:t>
      </w:r>
    </w:p>
    <w:p w:rsidR="00000000" w:rsidRDefault="00000000">
      <w:pPr>
        <w:pStyle w:val="BodyTextIndent"/>
        <w:spacing w:line="288" w:lineRule="auto"/>
        <w:ind w:left="0" w:firstLine="0"/>
      </w:pPr>
    </w:p>
    <w:p w:rsidR="00000000" w:rsidRDefault="00000000">
      <w:pPr>
        <w:pStyle w:val="BodyTextIndent"/>
        <w:spacing w:line="288" w:lineRule="auto"/>
        <w:ind w:left="0" w:firstLine="0"/>
      </w:pPr>
    </w:p>
    <w:p w:rsidR="00000000" w:rsidRDefault="00000000">
      <w:pPr>
        <w:pStyle w:val="BodyTextIndent"/>
        <w:spacing w:line="288" w:lineRule="auto"/>
        <w:ind w:left="0" w:firstLine="0"/>
        <w:jc w:val="center"/>
      </w:pPr>
      <w:r>
        <w:t>--------</w:t>
      </w: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С приложениями к настоящему докладу можно ознакомиться в Управлении Верховного комиссара Организации Объединенных Наций по правам человека.</w:t>
      </w:r>
    </w:p>
  </w:footnote>
  <w:footnote w:id="2">
    <w:p w:rsidR="00000000" w:rsidRDefault="00000000">
      <w:pPr>
        <w:pStyle w:val="FootnoteText"/>
      </w:pPr>
    </w:p>
    <w:p w:rsidR="00000000" w:rsidRDefault="00000000">
      <w:pPr>
        <w:pStyle w:val="FootnoteText"/>
      </w:pPr>
      <w:r>
        <w:rPr>
          <w:rStyle w:val="FootnoteReference"/>
        </w:rPr>
        <w:t>**</w:t>
      </w:r>
      <w:r>
        <w:tab/>
        <w:t xml:space="preserve">Информация, представленная в соответствии с руководящими принципами, касающимися вступительной части докладов государств-участников, содержится в базовом документе </w:t>
      </w:r>
      <w:r>
        <w:rPr>
          <w:lang w:val="en-US"/>
        </w:rPr>
        <w:t>HRI/CORE/1/Add.54/Rev.1.</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footnote>
  <w:footnote w:id="3">
    <w:p w:rsidR="00000000" w:rsidRDefault="00000000">
      <w:pPr>
        <w:pStyle w:val="FootnoteText"/>
      </w:pPr>
      <w:r>
        <w:rPr>
          <w:rStyle w:val="FootnoteReference"/>
        </w:rPr>
        <w:sym w:font="Symbol" w:char="F02A"/>
      </w:r>
      <w:r>
        <w:tab/>
        <w:t>Заголовки относятся к тексту Общих руководящих принципов в отношении формы и содержания докладов, представляемых государствами-участниками в соответствии со статьями 16 и 17 Пакта (</w:t>
      </w:r>
      <w:r>
        <w:rPr>
          <w:lang w:val="en-US"/>
        </w:rPr>
        <w:t>E/G.12/1991/1)</w:t>
      </w:r>
      <w:r>
        <w:t>.</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E/1990/5/Add.44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E/1990/5/Add.44</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FB6A5D4"/>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outlineLvl w:val="4"/>
    </w:pPr>
    <w:rPr>
      <w:b/>
      <w:u w:val="single"/>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kern w:val="0"/>
      <w:sz w:val="24"/>
    </w:rPr>
  </w:style>
  <w:style w:type="paragraph" w:styleId="Title">
    <w:name w:val="Title"/>
    <w:basedOn w:val="Normal"/>
    <w:qFormat/>
    <w:pPr>
      <w:spacing w:before="240" w:after="60"/>
      <w:jc w:val="center"/>
      <w:outlineLvl w:val="0"/>
    </w:pPr>
    <w:rPr>
      <w:rFonts w:ascii="Arial" w:hAnsi="Arial"/>
      <w:b/>
      <w:kern w:val="28"/>
      <w:sz w:val="32"/>
    </w:rPr>
  </w:style>
  <w:style w:type="paragraph" w:styleId="BodyText">
    <w:name w:val="Body Text"/>
    <w:basedOn w:val="Normal"/>
    <w:semiHidden/>
    <w:pPr>
      <w:tabs>
        <w:tab w:val="left" w:pos="567"/>
        <w:tab w:val="left" w:pos="1134"/>
        <w:tab w:val="left" w:pos="1701"/>
        <w:tab w:val="left" w:pos="2268"/>
        <w:tab w:val="left" w:pos="6237"/>
      </w:tabs>
      <w:spacing w:line="720" w:lineRule="auto"/>
    </w:pPr>
    <w:rPr>
      <w:b/>
    </w:rPr>
  </w:style>
  <w:style w:type="paragraph" w:styleId="BodyTextIndent">
    <w:name w:val="Body Text Indent"/>
    <w:basedOn w:val="Normal"/>
    <w:semiHidden/>
    <w:pPr>
      <w:tabs>
        <w:tab w:val="left" w:pos="567"/>
        <w:tab w:val="left" w:pos="1134"/>
        <w:tab w:val="left" w:pos="1701"/>
        <w:tab w:val="left" w:pos="2268"/>
        <w:tab w:val="left" w:pos="6237"/>
      </w:tabs>
      <w:spacing w:line="720" w:lineRule="auto"/>
      <w:ind w:left="567" w:hanging="567"/>
    </w:pPr>
  </w:style>
  <w:style w:type="paragraph" w:customStyle="1" w:styleId="1">
    <w:name w:val="текст 1"/>
    <w:basedOn w:val="Normal"/>
  </w:style>
  <w:style w:type="paragraph" w:customStyle="1" w:styleId="2">
    <w:name w:val="текст 2"/>
    <w:basedOn w:val="Normal"/>
  </w:style>
  <w:style w:type="paragraph" w:styleId="ListBullet">
    <w:name w:val="List Bullet"/>
    <w:basedOn w:val="Normal"/>
    <w:autoRedefine/>
    <w:semiHidden/>
    <w:pPr>
      <w:tabs>
        <w:tab w:val="left" w:pos="567"/>
        <w:tab w:val="left" w:pos="1134"/>
        <w:tab w:val="left" w:pos="1701"/>
        <w:tab w:val="left" w:pos="2268"/>
        <w:tab w:val="left" w:pos="6237"/>
      </w:tabs>
    </w:p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37514</Words>
  <Characters>213835</Characters>
  <Application>Microsoft Office Word</Application>
  <DocSecurity>4</DocSecurity>
  <Lines>1781</Lines>
  <Paragraphs>427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262604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Tatiana Daniltcheva</dc:creator>
  <cp:keywords/>
  <dc:description/>
  <cp:lastModifiedBy>Алла КОСТОМАРОВА</cp:lastModifiedBy>
  <cp:revision>2</cp:revision>
  <cp:lastPrinted>2000-07-07T12:30:00Z</cp:lastPrinted>
  <dcterms:created xsi:type="dcterms:W3CDTF">2000-07-07T12:39:00Z</dcterms:created>
  <dcterms:modified xsi:type="dcterms:W3CDTF">2000-07-07T12:39:00Z</dcterms:modified>
</cp:coreProperties>
</file>