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E654FB" w14:paraId="73B5AE76" w14:textId="77777777" w:rsidTr="001E45CF">
        <w:trPr>
          <w:trHeight w:hRule="exact" w:val="851"/>
        </w:trPr>
        <w:tc>
          <w:tcPr>
            <w:tcW w:w="1274" w:type="dxa"/>
            <w:tcBorders>
              <w:bottom w:val="single" w:sz="4" w:space="0" w:color="auto"/>
            </w:tcBorders>
          </w:tcPr>
          <w:p w14:paraId="30F02B2F" w14:textId="77777777" w:rsidR="00B116DD" w:rsidRPr="00E654FB" w:rsidRDefault="00B116DD" w:rsidP="00283E17">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08B57023" w14:textId="77777777" w:rsidR="006B3E27" w:rsidRPr="00E654FB" w:rsidRDefault="006B3E27" w:rsidP="005540EB">
            <w:pPr>
              <w:spacing w:after="80" w:line="480" w:lineRule="exact"/>
              <w:ind w:left="57"/>
              <w:jc w:val="left"/>
              <w:rPr>
                <w:sz w:val="30"/>
                <w:szCs w:val="30"/>
                <w:rtl/>
              </w:rPr>
            </w:pPr>
            <w:r w:rsidRPr="00E654FB">
              <w:rPr>
                <w:rFonts w:hint="cs"/>
                <w:sz w:val="30"/>
                <w:szCs w:val="30"/>
                <w:rtl/>
              </w:rPr>
              <w:t>الأمم المتحدة</w:t>
            </w:r>
          </w:p>
        </w:tc>
        <w:tc>
          <w:tcPr>
            <w:tcW w:w="3261" w:type="dxa"/>
            <w:tcBorders>
              <w:bottom w:val="single" w:sz="4" w:space="0" w:color="auto"/>
            </w:tcBorders>
            <w:vAlign w:val="bottom"/>
          </w:tcPr>
          <w:p w14:paraId="339B9BD3" w14:textId="7B6CB5B1" w:rsidR="006B3E27" w:rsidRPr="009119CD" w:rsidRDefault="009119CD" w:rsidP="009119CD">
            <w:pPr>
              <w:bidi w:val="0"/>
              <w:jc w:val="left"/>
            </w:pPr>
            <w:r w:rsidRPr="00BB3044">
              <w:rPr>
                <w:sz w:val="40"/>
              </w:rPr>
              <w:t>CMW</w:t>
            </w:r>
            <w:r w:rsidRPr="00BB3044">
              <w:t>/C/PRY/CO/</w:t>
            </w:r>
            <w:r w:rsidRPr="00A13CDF">
              <w:t>2</w:t>
            </w:r>
          </w:p>
        </w:tc>
      </w:tr>
      <w:tr w:rsidR="006B3E27" w:rsidRPr="00E654FB" w14:paraId="13E6E153" w14:textId="77777777" w:rsidTr="001E45CF">
        <w:trPr>
          <w:trHeight w:hRule="exact" w:val="2554"/>
        </w:trPr>
        <w:tc>
          <w:tcPr>
            <w:tcW w:w="1274" w:type="dxa"/>
            <w:tcBorders>
              <w:top w:val="single" w:sz="4" w:space="0" w:color="auto"/>
              <w:bottom w:val="single" w:sz="12" w:space="0" w:color="auto"/>
            </w:tcBorders>
          </w:tcPr>
          <w:p w14:paraId="1BF2E9A5" w14:textId="77777777" w:rsidR="006B3E27" w:rsidRPr="00E654FB" w:rsidRDefault="0059622A" w:rsidP="001E45CF">
            <w:pPr>
              <w:jc w:val="center"/>
              <w:rPr>
                <w:rtl/>
              </w:rPr>
            </w:pPr>
            <w:r w:rsidRPr="00E654FB">
              <w:rPr>
                <w:noProof/>
              </w:rPr>
              <w:drawing>
                <wp:inline distT="0" distB="0" distL="0" distR="0" wp14:anchorId="220D2FF7" wp14:editId="6EF5D06C">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50FA0D52" w14:textId="77777777" w:rsidR="006B3E27" w:rsidRPr="00A13CDF" w:rsidRDefault="001E1CAD" w:rsidP="005540EB">
            <w:pPr>
              <w:spacing w:before="120" w:after="40" w:line="560" w:lineRule="exact"/>
              <w:ind w:left="57"/>
              <w:jc w:val="left"/>
              <w:rPr>
                <w:b/>
                <w:bCs/>
                <w:sz w:val="42"/>
                <w:szCs w:val="42"/>
                <w:rtl/>
              </w:rPr>
            </w:pPr>
            <w:r w:rsidRPr="00A13CDF">
              <w:rPr>
                <w:rFonts w:hint="cs"/>
                <w:b/>
                <w:bCs/>
                <w:sz w:val="42"/>
                <w:szCs w:val="42"/>
                <w:rtl/>
              </w:rPr>
              <w:t>ا</w:t>
            </w:r>
            <w:r w:rsidR="00523BAE" w:rsidRPr="00A13CDF">
              <w:rPr>
                <w:rFonts w:hint="cs"/>
                <w:b/>
                <w:bCs/>
                <w:sz w:val="42"/>
                <w:szCs w:val="42"/>
                <w:rtl/>
              </w:rPr>
              <w:t>لا</w:t>
            </w:r>
            <w:r w:rsidR="004A14A6" w:rsidRPr="00A13CDF">
              <w:rPr>
                <w:rFonts w:hint="cs"/>
                <w:b/>
                <w:bCs/>
                <w:sz w:val="42"/>
                <w:szCs w:val="42"/>
                <w:rtl/>
              </w:rPr>
              <w:t>تفاقي</w:t>
            </w:r>
            <w:r w:rsidR="00523BAE" w:rsidRPr="00A13CDF">
              <w:rPr>
                <w:rFonts w:hint="cs"/>
                <w:b/>
                <w:bCs/>
                <w:sz w:val="42"/>
                <w:szCs w:val="42"/>
                <w:rtl/>
              </w:rPr>
              <w:t>ـ</w:t>
            </w:r>
            <w:r w:rsidR="004A14A6" w:rsidRPr="00A13CDF">
              <w:rPr>
                <w:rFonts w:hint="cs"/>
                <w:b/>
                <w:bCs/>
                <w:sz w:val="42"/>
                <w:szCs w:val="42"/>
                <w:rtl/>
              </w:rPr>
              <w:t xml:space="preserve">ة </w:t>
            </w:r>
            <w:r w:rsidR="00523BAE" w:rsidRPr="00A13CDF">
              <w:rPr>
                <w:rFonts w:hint="cs"/>
                <w:b/>
                <w:bCs/>
                <w:sz w:val="42"/>
                <w:szCs w:val="42"/>
                <w:rtl/>
              </w:rPr>
              <w:t xml:space="preserve">الدوليـة </w:t>
            </w:r>
            <w:r w:rsidR="0045649E" w:rsidRPr="00A13CDF">
              <w:rPr>
                <w:rFonts w:hint="cs"/>
                <w:b/>
                <w:bCs/>
                <w:sz w:val="42"/>
                <w:szCs w:val="42"/>
                <w:rtl/>
              </w:rPr>
              <w:t>لحماية حقوق جميع العمال المهاجرين وأفراد أسره</w:t>
            </w:r>
            <w:r w:rsidR="0086216C" w:rsidRPr="00A13CDF">
              <w:rPr>
                <w:rFonts w:hint="cs"/>
                <w:b/>
                <w:bCs/>
                <w:sz w:val="42"/>
                <w:szCs w:val="42"/>
                <w:rtl/>
              </w:rPr>
              <w:t>م</w:t>
            </w:r>
          </w:p>
        </w:tc>
        <w:tc>
          <w:tcPr>
            <w:tcW w:w="3261" w:type="dxa"/>
            <w:tcBorders>
              <w:top w:val="single" w:sz="4" w:space="0" w:color="auto"/>
              <w:bottom w:val="single" w:sz="12" w:space="0" w:color="auto"/>
            </w:tcBorders>
          </w:tcPr>
          <w:p w14:paraId="595FD025" w14:textId="2646C52F" w:rsidR="006B3E27" w:rsidRDefault="009119CD" w:rsidP="00336B60">
            <w:pPr>
              <w:bidi w:val="0"/>
              <w:spacing w:before="240"/>
              <w:jc w:val="left"/>
            </w:pPr>
            <w:r>
              <w:t>Dist</w:t>
            </w:r>
            <w:r w:rsidR="00BB3044" w:rsidRPr="00BB3044">
              <w:t>r.:</w:t>
            </w:r>
            <w:r>
              <w:t xml:space="preserve"> </w:t>
            </w:r>
            <w:r w:rsidR="00BB3044">
              <w:t>General</w:t>
            </w:r>
          </w:p>
          <w:p w14:paraId="72A64A59" w14:textId="2ED7526F" w:rsidR="009119CD" w:rsidRDefault="00BB3044" w:rsidP="009119CD">
            <w:pPr>
              <w:bidi w:val="0"/>
              <w:spacing w:line="240" w:lineRule="exact"/>
              <w:jc w:val="left"/>
            </w:pPr>
            <w:r w:rsidRPr="00A13CDF">
              <w:t>3</w:t>
            </w:r>
            <w:r w:rsidRPr="00CB00E7">
              <w:t xml:space="preserve"> June </w:t>
            </w:r>
            <w:r w:rsidR="009119CD" w:rsidRPr="00A13CDF">
              <w:t>2022</w:t>
            </w:r>
          </w:p>
          <w:p w14:paraId="69F16827" w14:textId="77777777" w:rsidR="009119CD" w:rsidRDefault="009119CD" w:rsidP="009119CD">
            <w:pPr>
              <w:bidi w:val="0"/>
              <w:spacing w:line="240" w:lineRule="exact"/>
              <w:jc w:val="left"/>
            </w:pPr>
            <w:r>
              <w:t>Arabic</w:t>
            </w:r>
          </w:p>
          <w:p w14:paraId="23DDED57" w14:textId="0DF6C9C5" w:rsidR="009119CD" w:rsidRPr="009119CD" w:rsidRDefault="009119CD" w:rsidP="009119CD">
            <w:pPr>
              <w:bidi w:val="0"/>
              <w:spacing w:line="240" w:lineRule="exact"/>
              <w:jc w:val="left"/>
            </w:pPr>
            <w:r>
              <w:t>Origina</w:t>
            </w:r>
            <w:r w:rsidR="00BB3044" w:rsidRPr="00BB3044">
              <w:t xml:space="preserve">l: </w:t>
            </w:r>
            <w:r w:rsidR="00BB3044">
              <w:t>Spanish</w:t>
            </w:r>
          </w:p>
        </w:tc>
      </w:tr>
    </w:tbl>
    <w:p w14:paraId="0924C35B" w14:textId="77777777" w:rsidR="00BB3044" w:rsidRPr="00A13CDF" w:rsidRDefault="00BB3044" w:rsidP="00BB3044">
      <w:pPr>
        <w:pStyle w:val="SingleTxtGA"/>
        <w:spacing w:before="120" w:after="0"/>
        <w:ind w:left="0" w:right="284"/>
        <w:jc w:val="left"/>
        <w:rPr>
          <w:b/>
          <w:bCs/>
          <w:sz w:val="26"/>
          <w:szCs w:val="26"/>
          <w:lang w:val="en-US" w:eastAsia="zh-TW" w:bidi="en-GB"/>
        </w:rPr>
      </w:pPr>
      <w:r w:rsidRPr="00A13CDF">
        <w:rPr>
          <w:b/>
          <w:bCs/>
          <w:sz w:val="26"/>
          <w:szCs w:val="26"/>
          <w:rtl/>
        </w:rPr>
        <w:t>اللجنة المعنية بحماية حقوق جميع العمال المهاجرين وأفراد أسرهم</w:t>
      </w:r>
    </w:p>
    <w:p w14:paraId="6267413D" w14:textId="52E176BE" w:rsidR="00BB3044" w:rsidRPr="00A13CDF" w:rsidRDefault="00BB3044" w:rsidP="00BB3044">
      <w:pPr>
        <w:pStyle w:val="HChGA"/>
        <w:rPr>
          <w:lang w:val="en-US" w:eastAsia="zh-TW" w:bidi="en-GB"/>
        </w:rPr>
      </w:pPr>
      <w:r w:rsidRPr="00A13CDF">
        <w:rPr>
          <w:rtl/>
        </w:rPr>
        <w:tab/>
      </w:r>
      <w:r w:rsidRPr="00A13CDF">
        <w:rPr>
          <w:rtl/>
        </w:rPr>
        <w:tab/>
        <w:t>الملاحظات الختامية بشأن التقرير الدوري الثاني لباراغواي</w:t>
      </w:r>
      <w:r w:rsidRPr="00A13CDF">
        <w:rPr>
          <w:rStyle w:val="FootnoteReference"/>
          <w:sz w:val="26"/>
          <w:szCs w:val="26"/>
          <w:vertAlign w:val="baseline"/>
          <w:rtl/>
        </w:rPr>
        <w:footnoteReference w:customMarkFollows="1" w:id="1"/>
        <w:t>*</w:t>
      </w:r>
      <w:bookmarkStart w:id="0" w:name="_Hlk106978697"/>
      <w:bookmarkEnd w:id="0"/>
    </w:p>
    <w:p w14:paraId="2E3EB06E" w14:textId="0DDA28C0" w:rsidR="00BB3044" w:rsidRPr="00BB3044" w:rsidRDefault="00BB3044" w:rsidP="00BB3044">
      <w:pPr>
        <w:pStyle w:val="SingleTxtGA"/>
        <w:rPr>
          <w:rFonts w:eastAsiaTheme="minorEastAsia"/>
          <w:lang w:val="ar-SA" w:eastAsia="zh-TW" w:bidi="en-GB"/>
        </w:rPr>
      </w:pPr>
      <w:bookmarkStart w:id="1" w:name="_Hlk98746163"/>
      <w:r w:rsidRPr="00A13CDF">
        <w:rPr>
          <w:rFonts w:eastAsiaTheme="minorEastAsia"/>
          <w:rtl/>
        </w:rPr>
        <w:t>1</w:t>
      </w:r>
      <w:r w:rsidRPr="00BB3044">
        <w:rPr>
          <w:rFonts w:eastAsiaTheme="minorEastAsia"/>
          <w:rtl/>
        </w:rPr>
        <w:t>-</w:t>
      </w:r>
      <w:r w:rsidRPr="00BB3044">
        <w:rPr>
          <w:rFonts w:eastAsiaTheme="minorEastAsia"/>
          <w:rtl/>
        </w:rPr>
        <w:tab/>
        <w:t>نظرت اللّجنة في التقرير الدوري الثاني لباراغواي</w:t>
      </w:r>
      <w:r w:rsidRPr="00CB00E7">
        <w:rPr>
          <w:rStyle w:val="FootnoteReference"/>
          <w:rFonts w:eastAsiaTheme="minorEastAsia"/>
          <w:szCs w:val="22"/>
          <w:rtl/>
        </w:rPr>
        <w:t>(</w:t>
      </w:r>
      <w:r w:rsidRPr="00A13CDF">
        <w:rPr>
          <w:rStyle w:val="FootnoteReference"/>
          <w:rFonts w:eastAsiaTheme="minorEastAsia"/>
          <w:szCs w:val="22"/>
          <w:lang w:val="en-US"/>
        </w:rPr>
        <w:footnoteReference w:id="2"/>
      </w:r>
      <w:r w:rsidR="00165B22" w:rsidRPr="00165B22">
        <w:rPr>
          <w:rFonts w:eastAsiaTheme="minorEastAsia" w:hint="cs"/>
          <w:vertAlign w:val="superscript"/>
          <w:rtl/>
        </w:rPr>
        <w:t>)</w:t>
      </w:r>
      <w:r w:rsidRPr="00BB3044">
        <w:rPr>
          <w:rFonts w:eastAsiaTheme="minorEastAsia"/>
          <w:rtl/>
        </w:rPr>
        <w:t xml:space="preserve"> في جلستيها</w:t>
      </w:r>
      <w:r>
        <w:rPr>
          <w:rFonts w:eastAsiaTheme="minorEastAsia"/>
          <w:rtl/>
        </w:rPr>
        <w:t xml:space="preserve"> </w:t>
      </w:r>
      <w:r w:rsidRPr="00A13CDF">
        <w:rPr>
          <w:rFonts w:eastAsiaTheme="minorEastAsia"/>
          <w:rtl/>
        </w:rPr>
        <w:t>484</w:t>
      </w:r>
      <w:r>
        <w:rPr>
          <w:rFonts w:eastAsiaTheme="minorEastAsia"/>
          <w:rtl/>
        </w:rPr>
        <w:t xml:space="preserve"> و</w:t>
      </w:r>
      <w:r w:rsidRPr="00A13CDF">
        <w:rPr>
          <w:rFonts w:eastAsiaTheme="minorEastAsia"/>
          <w:rtl/>
        </w:rPr>
        <w:t>485</w:t>
      </w:r>
      <w:r w:rsidR="00E15DEB" w:rsidRPr="00CB00E7">
        <w:rPr>
          <w:rStyle w:val="FootnoteReference"/>
          <w:rFonts w:eastAsiaTheme="minorEastAsia"/>
          <w:szCs w:val="22"/>
          <w:rtl/>
        </w:rPr>
        <w:t>(</w:t>
      </w:r>
      <w:r w:rsidR="00E15DEB" w:rsidRPr="00A13CDF">
        <w:rPr>
          <w:rStyle w:val="FootnoteReference"/>
          <w:rFonts w:eastAsiaTheme="minorEastAsia"/>
          <w:szCs w:val="22"/>
          <w:lang w:val="en-US"/>
        </w:rPr>
        <w:footnoteReference w:id="3"/>
      </w:r>
      <w:r w:rsidR="00E15DEB" w:rsidRPr="00165B22">
        <w:rPr>
          <w:rFonts w:eastAsiaTheme="minorEastAsia" w:hint="cs"/>
          <w:vertAlign w:val="superscript"/>
          <w:rtl/>
        </w:rPr>
        <w:t>)</w:t>
      </w:r>
      <w:r w:rsidR="00E15DEB" w:rsidRPr="00E15DEB">
        <w:rPr>
          <w:rStyle w:val="FootnoteReference"/>
          <w:rFonts w:eastAsiaTheme="minorEastAsia" w:hint="cs"/>
          <w:szCs w:val="22"/>
          <w:vertAlign w:val="baseline"/>
          <w:rtl/>
        </w:rPr>
        <w:t>،</w:t>
      </w:r>
      <w:r w:rsidRPr="00BB3044">
        <w:rPr>
          <w:rStyle w:val="FootnoteReference"/>
          <w:rFonts w:eastAsiaTheme="minorEastAsia"/>
          <w:szCs w:val="22"/>
          <w:rtl/>
        </w:rPr>
        <w:t xml:space="preserve"> </w:t>
      </w:r>
      <w:r w:rsidRPr="00BB3044">
        <w:rPr>
          <w:rFonts w:eastAsiaTheme="minorEastAsia"/>
          <w:rtl/>
        </w:rPr>
        <w:t xml:space="preserve">المعقودتين يومي </w:t>
      </w:r>
      <w:r w:rsidRPr="00A13CDF">
        <w:rPr>
          <w:rFonts w:eastAsiaTheme="minorEastAsia"/>
          <w:rtl/>
        </w:rPr>
        <w:t>4</w:t>
      </w:r>
      <w:r w:rsidRPr="00BB3044">
        <w:rPr>
          <w:rFonts w:eastAsiaTheme="minorEastAsia"/>
          <w:rtl/>
        </w:rPr>
        <w:t xml:space="preserve"> و</w:t>
      </w:r>
      <w:r w:rsidRPr="00A13CDF">
        <w:rPr>
          <w:rFonts w:eastAsiaTheme="minorEastAsia"/>
          <w:rtl/>
        </w:rPr>
        <w:t>5</w:t>
      </w:r>
      <w:r w:rsidRPr="00BB3044">
        <w:rPr>
          <w:rFonts w:eastAsiaTheme="minorEastAsia"/>
          <w:rtl/>
        </w:rPr>
        <w:t xml:space="preserve"> نيسان/أبريل </w:t>
      </w:r>
      <w:r w:rsidRPr="00A13CDF">
        <w:rPr>
          <w:rFonts w:eastAsiaTheme="minorEastAsia"/>
          <w:rtl/>
        </w:rPr>
        <w:t>2022</w:t>
      </w:r>
      <w:r w:rsidRPr="00BB3044">
        <w:rPr>
          <w:rFonts w:eastAsiaTheme="minorEastAsia"/>
          <w:rtl/>
        </w:rPr>
        <w:t xml:space="preserve">. واعتمدت هذه الملاحظات الختامية في جلستها </w:t>
      </w:r>
      <w:r w:rsidRPr="00A13CDF">
        <w:rPr>
          <w:rFonts w:eastAsiaTheme="minorEastAsia"/>
          <w:rtl/>
        </w:rPr>
        <w:t>492</w:t>
      </w:r>
      <w:r w:rsidRPr="00BB3044">
        <w:rPr>
          <w:rFonts w:eastAsiaTheme="minorEastAsia"/>
          <w:rtl/>
        </w:rPr>
        <w:t xml:space="preserve">، المعقودة في </w:t>
      </w:r>
      <w:r w:rsidRPr="00A13CDF">
        <w:rPr>
          <w:rFonts w:eastAsiaTheme="minorEastAsia"/>
          <w:rtl/>
        </w:rPr>
        <w:t>8</w:t>
      </w:r>
      <w:r w:rsidRPr="00BB3044">
        <w:rPr>
          <w:rFonts w:eastAsiaTheme="minorEastAsia"/>
          <w:rtl/>
        </w:rPr>
        <w:t xml:space="preserve"> نيسان/أبريل </w:t>
      </w:r>
      <w:r w:rsidRPr="00A13CDF">
        <w:rPr>
          <w:rFonts w:eastAsiaTheme="minorEastAsia"/>
          <w:rtl/>
        </w:rPr>
        <w:t>2022</w:t>
      </w:r>
    </w:p>
    <w:bookmarkEnd w:id="1"/>
    <w:p w14:paraId="36033BB0" w14:textId="58C35C32" w:rsidR="00BB3044" w:rsidRPr="00A13CDF" w:rsidRDefault="00BB3044" w:rsidP="00BB3044">
      <w:pPr>
        <w:pStyle w:val="H1GA"/>
        <w:rPr>
          <w:lang w:val="en-US" w:eastAsia="zh-TW" w:bidi="en-GB"/>
        </w:rPr>
      </w:pPr>
      <w:r w:rsidRPr="00A13CDF">
        <w:rPr>
          <w:rtl/>
        </w:rPr>
        <w:tab/>
        <w:t>ألف-</w:t>
      </w:r>
      <w:r w:rsidRPr="00A13CDF">
        <w:rPr>
          <w:rtl/>
        </w:rPr>
        <w:tab/>
        <w:t>مقدمة</w:t>
      </w:r>
    </w:p>
    <w:p w14:paraId="35158C9B" w14:textId="30F280FB" w:rsidR="00BB3044" w:rsidRPr="00573251" w:rsidRDefault="00BB3044" w:rsidP="00BB3044">
      <w:pPr>
        <w:pStyle w:val="SingleTxtGA"/>
        <w:rPr>
          <w:rFonts w:eastAsiaTheme="minorEastAsia"/>
          <w:rtl/>
          <w:lang w:val="en-US" w:eastAsia="zh-TW"/>
        </w:rPr>
      </w:pPr>
      <w:bookmarkStart w:id="3" w:name="_Hlk98746071"/>
      <w:r w:rsidRPr="00A13CDF">
        <w:rPr>
          <w:rFonts w:eastAsiaTheme="minorEastAsia"/>
          <w:rtl/>
        </w:rPr>
        <w:t>2</w:t>
      </w:r>
      <w:r w:rsidRPr="00BB3044">
        <w:rPr>
          <w:rFonts w:eastAsiaTheme="minorEastAsia"/>
          <w:rtl/>
        </w:rPr>
        <w:t>-</w:t>
      </w:r>
      <w:r w:rsidRPr="00BB3044">
        <w:rPr>
          <w:rFonts w:eastAsiaTheme="minorEastAsia"/>
          <w:rtl/>
        </w:rPr>
        <w:tab/>
        <w:t>ترحب اللجنة بتقديم الدولة الطرف تقريرها الدوري الثاني، الذي أُعد استجابة لقائمة المسائل المحالة قبل تقديمه</w:t>
      </w:r>
      <w:r w:rsidR="00E15DEB" w:rsidRPr="00CB00E7">
        <w:rPr>
          <w:rStyle w:val="FootnoteReference"/>
          <w:rFonts w:eastAsiaTheme="minorEastAsia"/>
          <w:szCs w:val="22"/>
          <w:rtl/>
        </w:rPr>
        <w:t>(</w:t>
      </w:r>
      <w:r w:rsidR="00E15DEB" w:rsidRPr="00A13CDF">
        <w:rPr>
          <w:rStyle w:val="FootnoteReference"/>
          <w:rFonts w:eastAsiaTheme="minorEastAsia"/>
          <w:szCs w:val="22"/>
          <w:lang w:val="en-US"/>
        </w:rPr>
        <w:footnoteReference w:id="4"/>
      </w:r>
      <w:r w:rsidR="00E15DEB" w:rsidRPr="00165B22">
        <w:rPr>
          <w:rFonts w:eastAsiaTheme="minorEastAsia" w:hint="cs"/>
          <w:vertAlign w:val="superscript"/>
          <w:rtl/>
        </w:rPr>
        <w:t>)</w:t>
      </w:r>
      <w:r w:rsidRPr="00BB3044">
        <w:rPr>
          <w:rFonts w:eastAsiaTheme="minorEastAsia"/>
          <w:rtl/>
        </w:rPr>
        <w:t>، وبالمعلومات الإضافية التي قدمها الوفد أثناء الحوار الذي ترأسه نائب وزير العدل، إدغار تابوادا إنسفران، مصحوب</w:t>
      </w:r>
      <w:r w:rsidR="000E775F">
        <w:rPr>
          <w:rFonts w:eastAsiaTheme="minorEastAsia"/>
          <w:rtl/>
        </w:rPr>
        <w:t xml:space="preserve">اً </w:t>
      </w:r>
      <w:r w:rsidRPr="00BB3044">
        <w:rPr>
          <w:rFonts w:eastAsiaTheme="minorEastAsia"/>
          <w:rtl/>
        </w:rPr>
        <w:t>بالقائم بأعمال البعثة الدائمة لباراغواي لدى مكتب الأمم المتحدة والمنظمات الدولية الأخرى في جنيف، السفير خوليو بيرالتا. وضم الوفد أيض</w:t>
      </w:r>
      <w:r w:rsidR="000E775F">
        <w:rPr>
          <w:rFonts w:eastAsiaTheme="minorEastAsia"/>
          <w:rtl/>
        </w:rPr>
        <w:t xml:space="preserve">اً </w:t>
      </w:r>
      <w:r w:rsidRPr="00BB3044">
        <w:rPr>
          <w:rFonts w:eastAsiaTheme="minorEastAsia"/>
          <w:rtl/>
        </w:rPr>
        <w:t>ممثلين عن</w:t>
      </w:r>
      <w:r>
        <w:rPr>
          <w:rFonts w:eastAsiaTheme="minorEastAsia"/>
          <w:rtl/>
        </w:rPr>
        <w:t xml:space="preserve"> </w:t>
      </w:r>
      <w:r w:rsidRPr="00BB3044">
        <w:rPr>
          <w:rFonts w:eastAsiaTheme="minorEastAsia"/>
          <w:rtl/>
        </w:rPr>
        <w:t>المديرية العامة للهجرة، وهي كيان تابع لوزارة الداخلية؛ وممثلين عن الأمانة المعنية بشؤون المواطنين الباراغويين العائدين واللاجئين؛ ووزارة الخارجية؛ والبعثة الدائمة لباراغواي لدى مكتب الأمم المتحدة والمنظمات الدولية الأخرى في جنيف.</w:t>
      </w:r>
    </w:p>
    <w:bookmarkEnd w:id="3"/>
    <w:p w14:paraId="16BFDC98" w14:textId="7AF30605" w:rsidR="00BB3044" w:rsidRPr="00E15DEB" w:rsidRDefault="00BB3044" w:rsidP="00BB3044">
      <w:pPr>
        <w:pStyle w:val="SingleTxtGA"/>
        <w:rPr>
          <w:rFonts w:eastAsiaTheme="minorEastAsia"/>
          <w:lang w:val="en-US" w:eastAsia="zh-TW" w:bidi="en-GB"/>
        </w:rPr>
      </w:pPr>
      <w:r w:rsidRPr="00A13CDF">
        <w:rPr>
          <w:rFonts w:eastAsiaTheme="minorEastAsia"/>
          <w:rtl/>
        </w:rPr>
        <w:t>3</w:t>
      </w:r>
      <w:r w:rsidRPr="00BB3044">
        <w:rPr>
          <w:rFonts w:eastAsiaTheme="minorEastAsia"/>
          <w:rtl/>
        </w:rPr>
        <w:t>-</w:t>
      </w:r>
      <w:r w:rsidR="000E775F">
        <w:rPr>
          <w:rFonts w:eastAsiaTheme="minorEastAsia"/>
          <w:rtl/>
        </w:rPr>
        <w:tab/>
      </w:r>
      <w:r w:rsidRPr="00BB3044">
        <w:rPr>
          <w:rFonts w:eastAsiaTheme="minorEastAsia"/>
          <w:rtl/>
          <w:lang w:val="en-US"/>
        </w:rPr>
        <w:t xml:space="preserve">وتعرب </w:t>
      </w:r>
      <w:r w:rsidRPr="00BB3044">
        <w:rPr>
          <w:rFonts w:eastAsiaTheme="minorEastAsia"/>
          <w:rtl/>
        </w:rPr>
        <w:t>اللجنة عن تقديرها بشأن الحوار المفتوح والبناء الذي دار مع الوفد، والمعلومات التي قدمها ممثلو الدولة الطرف،</w:t>
      </w:r>
      <w:r>
        <w:rPr>
          <w:rFonts w:eastAsiaTheme="minorEastAsia"/>
          <w:rtl/>
        </w:rPr>
        <w:t xml:space="preserve"> </w:t>
      </w:r>
      <w:r w:rsidRPr="00BB3044">
        <w:rPr>
          <w:rFonts w:eastAsiaTheme="minorEastAsia"/>
          <w:rtl/>
        </w:rPr>
        <w:t>والنهْج الإيجابي المتَّبع في الجلسات الذي أتاح فرصةً للتحليل والتفكير بشكل</w:t>
      </w:r>
      <w:r w:rsidR="000E775F">
        <w:rPr>
          <w:rFonts w:eastAsiaTheme="minorEastAsia" w:hint="cs"/>
          <w:rtl/>
        </w:rPr>
        <w:t> </w:t>
      </w:r>
      <w:r w:rsidRPr="00BB3044">
        <w:rPr>
          <w:rFonts w:eastAsiaTheme="minorEastAsia"/>
          <w:rtl/>
        </w:rPr>
        <w:t>مشترك.</w:t>
      </w:r>
    </w:p>
    <w:p w14:paraId="597E753B" w14:textId="23DA10DF" w:rsidR="00BB3044" w:rsidRPr="00BB3044" w:rsidRDefault="00BB3044" w:rsidP="00BB3044">
      <w:pPr>
        <w:pStyle w:val="SingleTxtGA"/>
        <w:rPr>
          <w:rFonts w:eastAsiaTheme="minorEastAsia"/>
          <w:lang w:val="ar-SA" w:eastAsia="zh-TW" w:bidi="en-GB"/>
        </w:rPr>
      </w:pPr>
      <w:r w:rsidRPr="00A13CDF">
        <w:rPr>
          <w:rFonts w:eastAsiaTheme="minorEastAsia"/>
          <w:rtl/>
        </w:rPr>
        <w:t>4</w:t>
      </w:r>
      <w:r w:rsidRPr="00BB3044">
        <w:rPr>
          <w:rFonts w:eastAsiaTheme="minorEastAsia"/>
          <w:rtl/>
        </w:rPr>
        <w:t>-</w:t>
      </w:r>
      <w:r w:rsidRPr="00BB3044">
        <w:rPr>
          <w:rFonts w:eastAsiaTheme="minorEastAsia"/>
          <w:rtl/>
        </w:rPr>
        <w:tab/>
        <w:t>وتدرك اللّجنة أن باراغواي قد أحرزت تقدماً في مجال حماية حقوق مواطنيها في الخارج باعتبارها بلد منشأ للعمّال المهاجرين. وتلاحظ أيض</w:t>
      </w:r>
      <w:r w:rsidR="000E775F">
        <w:rPr>
          <w:rFonts w:eastAsiaTheme="minorEastAsia"/>
          <w:rtl/>
        </w:rPr>
        <w:t xml:space="preserve">اً </w:t>
      </w:r>
      <w:r w:rsidRPr="00BB3044">
        <w:rPr>
          <w:rFonts w:eastAsiaTheme="minorEastAsia"/>
          <w:rtl/>
        </w:rPr>
        <w:t>أن الدولة الطرف، بوصفها بلد عبور وعودة ومقصد، تواجه عدد</w:t>
      </w:r>
      <w:r w:rsidR="000E775F">
        <w:rPr>
          <w:rFonts w:eastAsiaTheme="minorEastAsia"/>
          <w:rtl/>
        </w:rPr>
        <w:t xml:space="preserve">اً </w:t>
      </w:r>
      <w:r w:rsidRPr="00BB3044">
        <w:rPr>
          <w:rFonts w:eastAsiaTheme="minorEastAsia"/>
          <w:rtl/>
        </w:rPr>
        <w:t>من التحديات المتصلة بحماية حقوق العمال المهاجرين وأفراد أسرهم.</w:t>
      </w:r>
    </w:p>
    <w:p w14:paraId="6364333F" w14:textId="77777777" w:rsidR="00BB3044" w:rsidRPr="00BB3044" w:rsidRDefault="00BB3044" w:rsidP="00BB3044">
      <w:pPr>
        <w:pStyle w:val="SingleTxtGA"/>
        <w:rPr>
          <w:rFonts w:eastAsiaTheme="minorEastAsia"/>
          <w:lang w:val="ar-SA" w:eastAsia="zh-TW" w:bidi="en-GB"/>
        </w:rPr>
      </w:pPr>
      <w:r w:rsidRPr="00A13CDF">
        <w:rPr>
          <w:rFonts w:eastAsiaTheme="minorEastAsia"/>
          <w:rtl/>
        </w:rPr>
        <w:t>5</w:t>
      </w:r>
      <w:r w:rsidRPr="00BB3044">
        <w:rPr>
          <w:rFonts w:eastAsiaTheme="minorEastAsia"/>
          <w:rtl/>
        </w:rPr>
        <w:t>-</w:t>
      </w:r>
      <w:r w:rsidRPr="00BB3044">
        <w:rPr>
          <w:rFonts w:eastAsiaTheme="minorEastAsia"/>
          <w:rtl/>
        </w:rPr>
        <w:tab/>
        <w:t xml:space="preserve">وتلاحظ اللّجنة أن بعض البلدان التي استقر فيها </w:t>
      </w:r>
      <w:r w:rsidRPr="00A13CDF">
        <w:rPr>
          <w:rFonts w:eastAsiaTheme="minorEastAsia"/>
          <w:rtl/>
        </w:rPr>
        <w:t>الباراغويون</w:t>
      </w:r>
      <w:r w:rsidRPr="00BB3044">
        <w:rPr>
          <w:rFonts w:eastAsiaTheme="minorEastAsia"/>
          <w:rtl/>
        </w:rPr>
        <w:t>، هي بلدان أعضاء في السوق الجنوبية المشتركة، ممّا يمكنهم من الاستفادة من المزايا المترتبة عن الاتّفاقات المبرمة داخل هذه السوق.</w:t>
      </w:r>
    </w:p>
    <w:p w14:paraId="160ED76C" w14:textId="73F3701C" w:rsidR="00BB3044" w:rsidRPr="00A13CDF" w:rsidRDefault="00BB3044" w:rsidP="00BB3044">
      <w:pPr>
        <w:pStyle w:val="H1GA"/>
        <w:rPr>
          <w:lang w:val="ar-SA" w:eastAsia="zh-TW" w:bidi="en-GB"/>
        </w:rPr>
      </w:pPr>
      <w:r w:rsidRPr="00A13CDF">
        <w:rPr>
          <w:rtl/>
        </w:rPr>
        <w:lastRenderedPageBreak/>
        <w:tab/>
        <w:t>باء-</w:t>
      </w:r>
      <w:r w:rsidRPr="00A13CDF">
        <w:rPr>
          <w:rtl/>
        </w:rPr>
        <w:tab/>
        <w:t>الجوانب الإيجابية</w:t>
      </w:r>
    </w:p>
    <w:p w14:paraId="526B146A" w14:textId="3AC42AE0" w:rsidR="00BB3044" w:rsidRPr="00BB3044" w:rsidRDefault="00BB3044" w:rsidP="00BB3044">
      <w:pPr>
        <w:pStyle w:val="SingleTxtGA"/>
        <w:rPr>
          <w:rFonts w:eastAsiaTheme="minorEastAsia"/>
          <w:lang w:val="ar-SA" w:eastAsia="zh-TW" w:bidi="en-GB"/>
        </w:rPr>
      </w:pPr>
      <w:r w:rsidRPr="00A13CDF">
        <w:rPr>
          <w:rFonts w:eastAsiaTheme="minorEastAsia"/>
          <w:rtl/>
        </w:rPr>
        <w:t>6</w:t>
      </w:r>
      <w:r w:rsidRPr="00BB3044">
        <w:rPr>
          <w:rFonts w:eastAsiaTheme="minorEastAsia"/>
          <w:rtl/>
        </w:rPr>
        <w:t>-</w:t>
      </w:r>
      <w:r w:rsidRPr="00BB3044">
        <w:rPr>
          <w:rFonts w:eastAsiaTheme="minorEastAsia"/>
          <w:rtl/>
        </w:rPr>
        <w:tab/>
        <w:t>ترحّب اللّجنة بالجهود التي بذلتها الدولة الطرف والخطوات التي اتّخذتها من أجل تعزيز وحماية حقوق العمال المهاجرين وأفراد أسرهم. وتعرب عن تقديرها أيضاً لاستقبال الدولة الطرف المهاجرين واللاجئين الفنزويليين لأسباب إنسانية، وتستحسن قيام الدولة الطرف بما يلي:</w:t>
      </w:r>
    </w:p>
    <w:p w14:paraId="70FAF99A" w14:textId="6451A2E9" w:rsidR="00BB3044" w:rsidRPr="00BB3044" w:rsidRDefault="00BB3044" w:rsidP="00BB3044">
      <w:pPr>
        <w:pStyle w:val="SingleTxtGA"/>
        <w:rPr>
          <w:rFonts w:eastAsiaTheme="minorEastAsia"/>
          <w:lang w:val="ar-SA" w:eastAsia="zh-TW" w:bidi="en-GB"/>
        </w:rPr>
      </w:pPr>
      <w:r>
        <w:rPr>
          <w:rFonts w:eastAsiaTheme="minorEastAsia"/>
          <w:rtl/>
        </w:rPr>
        <w:tab/>
      </w:r>
      <w:r w:rsidRPr="00BB3044">
        <w:rPr>
          <w:rFonts w:eastAsiaTheme="minorEastAsia"/>
          <w:rtl/>
        </w:rPr>
        <w:t>(أ)</w:t>
      </w:r>
      <w:r w:rsidRPr="00BB3044">
        <w:rPr>
          <w:rFonts w:eastAsiaTheme="minorEastAsia"/>
          <w:rtl/>
        </w:rPr>
        <w:tab/>
        <w:t xml:space="preserve">التصديق، في تشرين الثاني/نوفمبر </w:t>
      </w:r>
      <w:r w:rsidRPr="00A13CDF">
        <w:rPr>
          <w:rFonts w:eastAsiaTheme="minorEastAsia"/>
          <w:rtl/>
        </w:rPr>
        <w:t>2021</w:t>
      </w:r>
      <w:r w:rsidRPr="00BB3044">
        <w:rPr>
          <w:rFonts w:eastAsiaTheme="minorEastAsia"/>
          <w:rtl/>
        </w:rPr>
        <w:t xml:space="preserve">، على اتفاقية منظمة العمل الدولية بشأن العمل بعض الوقت لعام </w:t>
      </w:r>
      <w:r w:rsidRPr="00A13CDF">
        <w:rPr>
          <w:rFonts w:eastAsiaTheme="minorEastAsia"/>
          <w:rtl/>
        </w:rPr>
        <w:t>1994</w:t>
      </w:r>
      <w:r w:rsidRPr="00BB3044">
        <w:rPr>
          <w:rFonts w:eastAsiaTheme="minorEastAsia"/>
          <w:rtl/>
        </w:rPr>
        <w:t xml:space="preserve"> (رقم </w:t>
      </w:r>
      <w:r w:rsidRPr="00A13CDF">
        <w:rPr>
          <w:rFonts w:eastAsiaTheme="minorEastAsia"/>
          <w:rtl/>
        </w:rPr>
        <w:t>175</w:t>
      </w:r>
      <w:r w:rsidRPr="00BB3044">
        <w:rPr>
          <w:rFonts w:eastAsiaTheme="minorEastAsia"/>
          <w:rtl/>
        </w:rPr>
        <w:t xml:space="preserve">)، التي ستدخل حيز النفاذ بالنسبة لباراغواي في تشرين الثاني/نوفمبر </w:t>
      </w:r>
      <w:r w:rsidRPr="00A13CDF">
        <w:rPr>
          <w:rFonts w:eastAsiaTheme="minorEastAsia"/>
          <w:rtl/>
        </w:rPr>
        <w:t>2022</w:t>
      </w:r>
      <w:r w:rsidRPr="00BB3044">
        <w:rPr>
          <w:rFonts w:eastAsiaTheme="minorEastAsia"/>
          <w:rtl/>
        </w:rPr>
        <w:t>؛</w:t>
      </w:r>
      <w:bookmarkStart w:id="4" w:name="_Hlk104909953"/>
      <w:bookmarkEnd w:id="4"/>
    </w:p>
    <w:p w14:paraId="674673A4" w14:textId="557641D4" w:rsidR="00BB3044" w:rsidRPr="00BB3044" w:rsidRDefault="00BB3044" w:rsidP="00BB3044">
      <w:pPr>
        <w:pStyle w:val="SingleTxtGA"/>
        <w:rPr>
          <w:rFonts w:eastAsiaTheme="minorEastAsia"/>
          <w:lang w:val="ar-SA" w:eastAsia="zh-TW" w:bidi="en-GB"/>
        </w:rPr>
      </w:pPr>
      <w:r>
        <w:rPr>
          <w:rFonts w:eastAsiaTheme="minorEastAsia"/>
          <w:rtl/>
        </w:rPr>
        <w:tab/>
      </w:r>
      <w:r w:rsidRPr="00BB3044">
        <w:rPr>
          <w:rFonts w:eastAsiaTheme="minorEastAsia"/>
          <w:rtl/>
        </w:rPr>
        <w:t>(ب)</w:t>
      </w:r>
      <w:r w:rsidRPr="00BB3044">
        <w:rPr>
          <w:rFonts w:eastAsiaTheme="minorEastAsia"/>
          <w:rtl/>
        </w:rPr>
        <w:tab/>
        <w:t xml:space="preserve">التصديق، في تشرين الأول/أكتوبر </w:t>
      </w:r>
      <w:r w:rsidRPr="00A13CDF">
        <w:rPr>
          <w:rFonts w:eastAsiaTheme="minorEastAsia"/>
          <w:rtl/>
        </w:rPr>
        <w:t>2021</w:t>
      </w:r>
      <w:r w:rsidRPr="00BB3044">
        <w:rPr>
          <w:rFonts w:eastAsiaTheme="minorEastAsia"/>
          <w:rtl/>
        </w:rPr>
        <w:t xml:space="preserve">، على اتفاقية منظمة العمل الدولية للضمان الاجتماعي (المعايير الدنيا) لعام </w:t>
      </w:r>
      <w:r w:rsidRPr="00A13CDF">
        <w:rPr>
          <w:rFonts w:eastAsiaTheme="minorEastAsia"/>
          <w:rtl/>
        </w:rPr>
        <w:t>1952</w:t>
      </w:r>
      <w:r w:rsidRPr="00BB3044">
        <w:rPr>
          <w:rFonts w:eastAsiaTheme="minorEastAsia"/>
          <w:rtl/>
        </w:rPr>
        <w:t xml:space="preserve"> (رقم </w:t>
      </w:r>
      <w:r w:rsidRPr="00A13CDF">
        <w:rPr>
          <w:rFonts w:eastAsiaTheme="minorEastAsia"/>
          <w:rtl/>
        </w:rPr>
        <w:t>102</w:t>
      </w:r>
      <w:r w:rsidRPr="00BB3044">
        <w:rPr>
          <w:rFonts w:eastAsiaTheme="minorEastAsia"/>
          <w:rtl/>
        </w:rPr>
        <w:t xml:space="preserve">)، التي ستدخل حيز النفاذ بالنسبة لباراغواي في تشرين الأول/أكتوبر </w:t>
      </w:r>
      <w:r w:rsidRPr="00A13CDF">
        <w:rPr>
          <w:rFonts w:eastAsiaTheme="minorEastAsia"/>
          <w:rtl/>
        </w:rPr>
        <w:t>2022</w:t>
      </w:r>
      <w:r w:rsidRPr="00BB3044">
        <w:rPr>
          <w:rFonts w:eastAsiaTheme="minorEastAsia"/>
          <w:rtl/>
        </w:rPr>
        <w:t>؛</w:t>
      </w:r>
    </w:p>
    <w:p w14:paraId="10AEB1C7" w14:textId="2D7505F7" w:rsidR="00BB3044" w:rsidRPr="00200750" w:rsidRDefault="00BB3044" w:rsidP="00BB3044">
      <w:pPr>
        <w:pStyle w:val="SingleTxtGA"/>
        <w:rPr>
          <w:rFonts w:eastAsiaTheme="minorEastAsia"/>
          <w:lang w:val="en-US" w:eastAsia="zh-TW" w:bidi="en-GB"/>
        </w:rPr>
      </w:pPr>
      <w:r>
        <w:rPr>
          <w:rFonts w:eastAsiaTheme="minorEastAsia"/>
          <w:rtl/>
        </w:rPr>
        <w:tab/>
      </w:r>
      <w:r w:rsidRPr="00BB3044">
        <w:rPr>
          <w:rFonts w:eastAsiaTheme="minorEastAsia"/>
          <w:rtl/>
        </w:rPr>
        <w:t>(ج)</w:t>
      </w:r>
      <w:r>
        <w:rPr>
          <w:rFonts w:eastAsiaTheme="minorEastAsia"/>
          <w:rtl/>
        </w:rPr>
        <w:tab/>
      </w:r>
      <w:r w:rsidRPr="00BB3044">
        <w:rPr>
          <w:rFonts w:eastAsiaTheme="minorEastAsia"/>
          <w:rtl/>
        </w:rPr>
        <w:t>الانضمام طرف</w:t>
      </w:r>
      <w:r w:rsidR="000E775F">
        <w:rPr>
          <w:rFonts w:eastAsiaTheme="minorEastAsia"/>
          <w:rtl/>
        </w:rPr>
        <w:t xml:space="preserve">اً </w:t>
      </w:r>
      <w:r w:rsidRPr="00BB3044">
        <w:rPr>
          <w:rFonts w:eastAsiaTheme="minorEastAsia"/>
          <w:rtl/>
        </w:rPr>
        <w:t xml:space="preserve">في البروتوكول الاختياري لاتفاقية حقوق الطفل المتعلّق بإجراء تقديم البلاغات في كانون الثاني/يناير </w:t>
      </w:r>
      <w:r w:rsidRPr="00A13CDF">
        <w:rPr>
          <w:rFonts w:eastAsiaTheme="minorEastAsia"/>
          <w:rtl/>
        </w:rPr>
        <w:t>2017</w:t>
      </w:r>
      <w:r w:rsidR="00200750">
        <w:rPr>
          <w:rFonts w:eastAsiaTheme="minorEastAsia" w:hint="cs"/>
          <w:rtl/>
        </w:rPr>
        <w:t>؛</w:t>
      </w:r>
    </w:p>
    <w:p w14:paraId="529D97DC" w14:textId="4DCD8317" w:rsidR="00BB3044" w:rsidRPr="00BB3044" w:rsidRDefault="00BB3044" w:rsidP="00BB3044">
      <w:pPr>
        <w:pStyle w:val="SingleTxtGA"/>
        <w:rPr>
          <w:rFonts w:eastAsiaTheme="minorEastAsia"/>
          <w:lang w:val="ar-SA" w:eastAsia="zh-TW" w:bidi="en-GB"/>
        </w:rPr>
      </w:pPr>
      <w:r>
        <w:rPr>
          <w:rFonts w:eastAsiaTheme="minorEastAsia"/>
          <w:rtl/>
        </w:rPr>
        <w:tab/>
      </w:r>
      <w:r w:rsidRPr="00BB3044">
        <w:rPr>
          <w:rFonts w:eastAsiaTheme="minorEastAsia"/>
          <w:rtl/>
        </w:rPr>
        <w:t>(د)</w:t>
      </w:r>
      <w:r w:rsidRPr="00BB3044">
        <w:rPr>
          <w:rFonts w:eastAsiaTheme="minorEastAsia"/>
          <w:rtl/>
        </w:rPr>
        <w:tab/>
        <w:t xml:space="preserve">الانضمام، في تموز/يوليه </w:t>
      </w:r>
      <w:r w:rsidRPr="00A13CDF">
        <w:rPr>
          <w:rFonts w:eastAsiaTheme="minorEastAsia"/>
          <w:rtl/>
        </w:rPr>
        <w:t>2014</w:t>
      </w:r>
      <w:r w:rsidRPr="00BB3044">
        <w:rPr>
          <w:rFonts w:eastAsiaTheme="minorEastAsia"/>
          <w:rtl/>
        </w:rPr>
        <w:t xml:space="preserve">، إلى الاتفاقية بشأن وضع الأشخاص عديمي الجنسية لعام </w:t>
      </w:r>
      <w:r w:rsidRPr="00A13CDF">
        <w:rPr>
          <w:rFonts w:eastAsiaTheme="minorEastAsia"/>
          <w:rtl/>
        </w:rPr>
        <w:t>1954</w:t>
      </w:r>
      <w:r w:rsidRPr="00BB3044">
        <w:rPr>
          <w:rFonts w:eastAsiaTheme="minorEastAsia"/>
          <w:rtl/>
        </w:rPr>
        <w:t>.</w:t>
      </w:r>
    </w:p>
    <w:p w14:paraId="1577AF27" w14:textId="75280F6D" w:rsidR="00BB3044" w:rsidRPr="00BB3044" w:rsidRDefault="00BB3044" w:rsidP="00BB3044">
      <w:pPr>
        <w:pStyle w:val="SingleTxtGA"/>
        <w:rPr>
          <w:rFonts w:eastAsiaTheme="minorEastAsia"/>
          <w:lang w:val="ar-SA" w:eastAsia="zh-TW" w:bidi="en-GB"/>
        </w:rPr>
      </w:pPr>
      <w:r>
        <w:rPr>
          <w:rFonts w:eastAsiaTheme="minorEastAsia"/>
          <w:rtl/>
        </w:rPr>
        <w:tab/>
      </w:r>
      <w:r w:rsidRPr="00BB3044">
        <w:rPr>
          <w:rFonts w:eastAsiaTheme="minorEastAsia"/>
          <w:rtl/>
        </w:rPr>
        <w:t>(هـ)</w:t>
      </w:r>
      <w:r w:rsidRPr="00BB3044">
        <w:rPr>
          <w:rFonts w:eastAsiaTheme="minorEastAsia"/>
          <w:rtl/>
        </w:rPr>
        <w:tab/>
        <w:t>التصديق،</w:t>
      </w:r>
      <w:r>
        <w:rPr>
          <w:rFonts w:eastAsiaTheme="minorEastAsia"/>
          <w:rtl/>
        </w:rPr>
        <w:t xml:space="preserve"> </w:t>
      </w:r>
      <w:r w:rsidRPr="00BB3044">
        <w:rPr>
          <w:rFonts w:eastAsiaTheme="minorEastAsia"/>
          <w:rtl/>
        </w:rPr>
        <w:t xml:space="preserve">في أيّار/مايو </w:t>
      </w:r>
      <w:r w:rsidRPr="00A13CDF">
        <w:rPr>
          <w:rFonts w:eastAsiaTheme="minorEastAsia"/>
          <w:rtl/>
        </w:rPr>
        <w:t>2013</w:t>
      </w:r>
      <w:r w:rsidRPr="00BB3044">
        <w:rPr>
          <w:rFonts w:eastAsiaTheme="minorEastAsia"/>
          <w:rtl/>
        </w:rPr>
        <w:t xml:space="preserve">، على اتفاقية منظمة العمل الدولية لعام </w:t>
      </w:r>
      <w:r w:rsidRPr="00A13CDF">
        <w:rPr>
          <w:rFonts w:eastAsiaTheme="minorEastAsia"/>
          <w:rtl/>
        </w:rPr>
        <w:t>2011</w:t>
      </w:r>
      <w:r w:rsidRPr="00BB3044">
        <w:rPr>
          <w:rFonts w:eastAsiaTheme="minorEastAsia"/>
          <w:rtl/>
        </w:rPr>
        <w:t xml:space="preserve"> (رقم</w:t>
      </w:r>
      <w:r>
        <w:rPr>
          <w:rFonts w:eastAsiaTheme="minorEastAsia" w:hint="cs"/>
          <w:rtl/>
        </w:rPr>
        <w:t> </w:t>
      </w:r>
      <w:r w:rsidRPr="00A13CDF">
        <w:rPr>
          <w:rFonts w:eastAsiaTheme="minorEastAsia"/>
          <w:rtl/>
        </w:rPr>
        <w:t>189</w:t>
      </w:r>
      <w:r w:rsidRPr="00BB3044">
        <w:rPr>
          <w:rFonts w:eastAsiaTheme="minorEastAsia"/>
          <w:rtl/>
        </w:rPr>
        <w:t>) بشأن العمال المنزليين.</w:t>
      </w:r>
    </w:p>
    <w:p w14:paraId="1F0AA9A7" w14:textId="7D729E3B" w:rsidR="00BB3044" w:rsidRPr="00BB3044" w:rsidRDefault="00BB3044" w:rsidP="00BB3044">
      <w:pPr>
        <w:pStyle w:val="SingleTxtGA"/>
        <w:rPr>
          <w:rFonts w:eastAsiaTheme="minorEastAsia"/>
          <w:lang w:val="en-US" w:eastAsia="zh-TW"/>
        </w:rPr>
      </w:pPr>
      <w:r>
        <w:rPr>
          <w:rFonts w:eastAsiaTheme="minorEastAsia"/>
          <w:rtl/>
        </w:rPr>
        <w:tab/>
      </w:r>
      <w:r w:rsidRPr="00BB3044">
        <w:rPr>
          <w:rFonts w:eastAsiaTheme="minorEastAsia"/>
          <w:rtl/>
        </w:rPr>
        <w:t>(و)</w:t>
      </w:r>
      <w:r w:rsidRPr="00BB3044">
        <w:rPr>
          <w:rFonts w:eastAsiaTheme="minorEastAsia"/>
          <w:rtl/>
        </w:rPr>
        <w:tab/>
        <w:t>الانضمام، في</w:t>
      </w:r>
      <w:r>
        <w:rPr>
          <w:rFonts w:eastAsiaTheme="minorEastAsia"/>
          <w:rtl/>
        </w:rPr>
        <w:t xml:space="preserve"> </w:t>
      </w:r>
      <w:r w:rsidRPr="00BB3044">
        <w:rPr>
          <w:rFonts w:eastAsiaTheme="minorEastAsia"/>
          <w:rtl/>
        </w:rPr>
        <w:t xml:space="preserve">حزيران/يونيه </w:t>
      </w:r>
      <w:r w:rsidRPr="00A13CDF">
        <w:rPr>
          <w:rFonts w:eastAsiaTheme="minorEastAsia"/>
          <w:rtl/>
        </w:rPr>
        <w:t>2012</w:t>
      </w:r>
      <w:r w:rsidRPr="00BB3044">
        <w:rPr>
          <w:rFonts w:eastAsiaTheme="minorEastAsia"/>
          <w:rtl/>
        </w:rPr>
        <w:t>،</w:t>
      </w:r>
      <w:r>
        <w:rPr>
          <w:rFonts w:eastAsiaTheme="minorEastAsia"/>
          <w:rtl/>
        </w:rPr>
        <w:t xml:space="preserve"> </w:t>
      </w:r>
      <w:r w:rsidRPr="00BB3044">
        <w:rPr>
          <w:rFonts w:eastAsiaTheme="minorEastAsia"/>
          <w:rtl/>
        </w:rPr>
        <w:t xml:space="preserve">إلى الاتفاقية المتعلقة بخفض حالات انعدام الجنسية لعام </w:t>
      </w:r>
      <w:r w:rsidRPr="00A13CDF">
        <w:rPr>
          <w:rFonts w:eastAsiaTheme="minorEastAsia"/>
          <w:rtl/>
        </w:rPr>
        <w:t>1961</w:t>
      </w:r>
      <w:r w:rsidRPr="00BB3044">
        <w:rPr>
          <w:rFonts w:eastAsiaTheme="minorEastAsia"/>
          <w:rtl/>
          <w:lang w:val="en-US" w:eastAsia="zh-TW"/>
        </w:rPr>
        <w:t>.</w:t>
      </w:r>
    </w:p>
    <w:p w14:paraId="7992B2E7" w14:textId="0E350474" w:rsidR="00BB3044" w:rsidRPr="00BB3044" w:rsidRDefault="00BB3044" w:rsidP="00BB3044">
      <w:pPr>
        <w:pStyle w:val="SingleTxtGA"/>
        <w:rPr>
          <w:rFonts w:eastAsiaTheme="minorEastAsia"/>
          <w:lang w:val="ar-SA" w:eastAsia="zh-TW" w:bidi="en-GB"/>
        </w:rPr>
      </w:pPr>
      <w:r w:rsidRPr="00A13CDF">
        <w:rPr>
          <w:rFonts w:eastAsiaTheme="minorEastAsia"/>
          <w:rtl/>
        </w:rPr>
        <w:t>7</w:t>
      </w:r>
      <w:r w:rsidRPr="00BB3044">
        <w:rPr>
          <w:rFonts w:eastAsiaTheme="minorEastAsia"/>
          <w:rtl/>
        </w:rPr>
        <w:t>-</w:t>
      </w:r>
      <w:r w:rsidRPr="00BB3044">
        <w:rPr>
          <w:rFonts w:eastAsiaTheme="minorEastAsia"/>
          <w:rtl/>
        </w:rPr>
        <w:tab/>
        <w:t>وتقرّ اللجنة بأن الدولة الطرف ما فتئت تبني إطار</w:t>
      </w:r>
      <w:r w:rsidR="000E775F">
        <w:rPr>
          <w:rFonts w:eastAsiaTheme="minorEastAsia"/>
          <w:rtl/>
        </w:rPr>
        <w:t xml:space="preserve">اً </w:t>
      </w:r>
      <w:r w:rsidRPr="00BB3044">
        <w:rPr>
          <w:rFonts w:eastAsiaTheme="minorEastAsia"/>
          <w:rtl/>
        </w:rPr>
        <w:t>قانوني</w:t>
      </w:r>
      <w:r w:rsidR="000E775F">
        <w:rPr>
          <w:rFonts w:eastAsiaTheme="minorEastAsia"/>
          <w:rtl/>
        </w:rPr>
        <w:t xml:space="preserve">اً </w:t>
      </w:r>
      <w:r w:rsidRPr="00BB3044">
        <w:rPr>
          <w:rFonts w:eastAsiaTheme="minorEastAsia"/>
          <w:rtl/>
        </w:rPr>
        <w:t>على أساس الصكوك المحلية واتفاقات التعاون الثنائية والمتعددة الأطراف، وترحب باعتماد التدابير التشريعية والمؤسسية التالية:</w:t>
      </w:r>
    </w:p>
    <w:p w14:paraId="0BE64A86" w14:textId="361C0E52" w:rsidR="00BB3044" w:rsidRPr="00BB3044" w:rsidRDefault="00BB3044" w:rsidP="00BB3044">
      <w:pPr>
        <w:pStyle w:val="SingleTxtGA"/>
        <w:rPr>
          <w:rFonts w:eastAsiaTheme="minorEastAsia"/>
          <w:lang w:val="ar-SA" w:eastAsia="zh-TW" w:bidi="en-GB"/>
        </w:rPr>
      </w:pPr>
      <w:bookmarkStart w:id="5" w:name="_Hlk98746914"/>
      <w:r>
        <w:rPr>
          <w:rFonts w:eastAsiaTheme="minorEastAsia"/>
          <w:rtl/>
        </w:rPr>
        <w:tab/>
      </w:r>
      <w:r w:rsidRPr="00BB3044">
        <w:rPr>
          <w:rFonts w:eastAsiaTheme="minorEastAsia"/>
          <w:rtl/>
        </w:rPr>
        <w:t>(أ)</w:t>
      </w:r>
      <w:r w:rsidRPr="00BB3044">
        <w:rPr>
          <w:rFonts w:eastAsiaTheme="minorEastAsia"/>
          <w:rtl/>
        </w:rPr>
        <w:tab/>
        <w:t xml:space="preserve">القانون رقم </w:t>
      </w:r>
      <w:r w:rsidRPr="00A13CDF">
        <w:rPr>
          <w:rFonts w:eastAsiaTheme="minorEastAsia"/>
          <w:rtl/>
        </w:rPr>
        <w:t>6338</w:t>
      </w:r>
      <w:r w:rsidRPr="00BB3044">
        <w:rPr>
          <w:rFonts w:eastAsiaTheme="minorEastAsia"/>
          <w:rtl/>
        </w:rPr>
        <w:t>/</w:t>
      </w:r>
      <w:r w:rsidRPr="00A13CDF">
        <w:rPr>
          <w:rFonts w:eastAsiaTheme="minorEastAsia"/>
          <w:rtl/>
        </w:rPr>
        <w:t>19</w:t>
      </w:r>
      <w:r w:rsidRPr="00BB3044">
        <w:rPr>
          <w:rFonts w:eastAsiaTheme="minorEastAsia"/>
          <w:rtl/>
        </w:rPr>
        <w:t xml:space="preserve"> المؤرخ تموز/يوليه </w:t>
      </w:r>
      <w:r w:rsidRPr="00A13CDF">
        <w:rPr>
          <w:rFonts w:eastAsiaTheme="minorEastAsia"/>
          <w:rtl/>
        </w:rPr>
        <w:t>2019</w:t>
      </w:r>
      <w:r w:rsidRPr="00BB3044">
        <w:rPr>
          <w:rFonts w:eastAsiaTheme="minorEastAsia"/>
          <w:rtl/>
        </w:rPr>
        <w:t xml:space="preserve"> المعدّل للمادة </w:t>
      </w:r>
      <w:r w:rsidRPr="00A13CDF">
        <w:rPr>
          <w:rFonts w:eastAsiaTheme="minorEastAsia"/>
          <w:rtl/>
        </w:rPr>
        <w:t>10</w:t>
      </w:r>
      <w:r w:rsidRPr="00BB3044">
        <w:rPr>
          <w:rFonts w:eastAsiaTheme="minorEastAsia"/>
          <w:rtl/>
        </w:rPr>
        <w:t xml:space="preserve"> من القانون رقم</w:t>
      </w:r>
      <w:r w:rsidR="00E1540A">
        <w:rPr>
          <w:rFonts w:eastAsiaTheme="minorEastAsia" w:hint="cs"/>
          <w:rtl/>
        </w:rPr>
        <w:t> </w:t>
      </w:r>
      <w:r w:rsidRPr="00A13CDF">
        <w:rPr>
          <w:rFonts w:eastAsiaTheme="minorEastAsia"/>
          <w:rtl/>
        </w:rPr>
        <w:t>5407</w:t>
      </w:r>
      <w:r w:rsidRPr="00BB3044">
        <w:rPr>
          <w:rFonts w:eastAsiaTheme="minorEastAsia"/>
          <w:rtl/>
        </w:rPr>
        <w:t>/</w:t>
      </w:r>
      <w:r w:rsidRPr="00A13CDF">
        <w:rPr>
          <w:rFonts w:eastAsiaTheme="minorEastAsia"/>
          <w:rtl/>
        </w:rPr>
        <w:t>15</w:t>
      </w:r>
      <w:r w:rsidRPr="00BB3044">
        <w:rPr>
          <w:rFonts w:eastAsiaTheme="minorEastAsia"/>
          <w:rtl/>
        </w:rPr>
        <w:t xml:space="preserve"> بشأن العمل المنزلي؛</w:t>
      </w:r>
    </w:p>
    <w:p w14:paraId="1CC59ADF" w14:textId="2F3D17BB" w:rsidR="00BB3044" w:rsidRPr="00BB3044" w:rsidRDefault="00BB3044" w:rsidP="00BB3044">
      <w:pPr>
        <w:pStyle w:val="SingleTxtGA"/>
        <w:rPr>
          <w:rFonts w:eastAsiaTheme="minorEastAsia"/>
          <w:lang w:val="ar-SA" w:eastAsia="zh-TW" w:bidi="en-GB"/>
        </w:rPr>
      </w:pPr>
      <w:r>
        <w:rPr>
          <w:rFonts w:eastAsiaTheme="minorEastAsia"/>
          <w:rtl/>
        </w:rPr>
        <w:tab/>
      </w:r>
      <w:r w:rsidRPr="00BB3044">
        <w:rPr>
          <w:rFonts w:eastAsiaTheme="minorEastAsia"/>
          <w:rtl/>
        </w:rPr>
        <w:t>(ب)</w:t>
      </w:r>
      <w:r w:rsidRPr="00BB3044">
        <w:rPr>
          <w:rFonts w:eastAsiaTheme="minorEastAsia"/>
          <w:rtl/>
        </w:rPr>
        <w:tab/>
        <w:t xml:space="preserve">القرار رقم </w:t>
      </w:r>
      <w:r w:rsidRPr="00A13CDF">
        <w:rPr>
          <w:rFonts w:eastAsiaTheme="minorEastAsia"/>
          <w:rtl/>
        </w:rPr>
        <w:t>62</w:t>
      </w:r>
      <w:r w:rsidRPr="00BB3044">
        <w:rPr>
          <w:rFonts w:eastAsiaTheme="minorEastAsia"/>
          <w:rtl/>
        </w:rPr>
        <w:t>/</w:t>
      </w:r>
      <w:r w:rsidRPr="00A13CDF">
        <w:rPr>
          <w:rFonts w:eastAsiaTheme="minorEastAsia"/>
          <w:rtl/>
        </w:rPr>
        <w:t>2019</w:t>
      </w:r>
      <w:r w:rsidRPr="00BB3044">
        <w:rPr>
          <w:rFonts w:eastAsiaTheme="minorEastAsia"/>
          <w:rtl/>
        </w:rPr>
        <w:t xml:space="preserve"> المؤرخ شباط/فبراير </w:t>
      </w:r>
      <w:r w:rsidRPr="00A13CDF">
        <w:rPr>
          <w:rFonts w:eastAsiaTheme="minorEastAsia"/>
          <w:rtl/>
        </w:rPr>
        <w:t>2019</w:t>
      </w:r>
      <w:r w:rsidRPr="00BB3044">
        <w:rPr>
          <w:rFonts w:eastAsiaTheme="minorEastAsia"/>
          <w:rtl/>
        </w:rPr>
        <w:t xml:space="preserve"> المتعلّق بالإقامة المؤقتة للفنزويليين؛</w:t>
      </w:r>
    </w:p>
    <w:p w14:paraId="63D32C95" w14:textId="55C420D9" w:rsidR="00BB3044" w:rsidRPr="00BB3044" w:rsidRDefault="00BB3044" w:rsidP="00BB3044">
      <w:pPr>
        <w:pStyle w:val="SingleTxtGA"/>
        <w:rPr>
          <w:rFonts w:eastAsiaTheme="minorEastAsia"/>
          <w:lang w:val="ar-SA" w:eastAsia="zh-TW" w:bidi="en-GB"/>
        </w:rPr>
      </w:pPr>
      <w:r>
        <w:rPr>
          <w:rFonts w:eastAsiaTheme="minorEastAsia"/>
          <w:rtl/>
        </w:rPr>
        <w:tab/>
      </w:r>
      <w:r w:rsidRPr="00BB3044">
        <w:rPr>
          <w:rFonts w:eastAsiaTheme="minorEastAsia"/>
          <w:rtl/>
        </w:rPr>
        <w:t>(ج)</w:t>
      </w:r>
      <w:r w:rsidRPr="00BB3044">
        <w:rPr>
          <w:rFonts w:eastAsiaTheme="minorEastAsia"/>
          <w:rtl/>
        </w:rPr>
        <w:tab/>
        <w:t xml:space="preserve">القانون رقم </w:t>
      </w:r>
      <w:r w:rsidRPr="00A13CDF">
        <w:rPr>
          <w:rFonts w:eastAsiaTheme="minorEastAsia"/>
          <w:rtl/>
        </w:rPr>
        <w:t>6149</w:t>
      </w:r>
      <w:r w:rsidRPr="00BB3044">
        <w:rPr>
          <w:rFonts w:eastAsiaTheme="minorEastAsia"/>
          <w:rtl/>
        </w:rPr>
        <w:t xml:space="preserve"> المؤرخ أيلول/سبتمبر </w:t>
      </w:r>
      <w:r w:rsidRPr="00A13CDF">
        <w:rPr>
          <w:rFonts w:eastAsiaTheme="minorEastAsia"/>
          <w:rtl/>
        </w:rPr>
        <w:t>2018</w:t>
      </w:r>
      <w:r w:rsidRPr="00BB3044">
        <w:rPr>
          <w:rFonts w:eastAsiaTheme="minorEastAsia"/>
          <w:rtl/>
        </w:rPr>
        <w:t xml:space="preserve"> المتعلّق بحماية الأشخاص عديمي الجنسية وضمان تسهيلات تجنسهم؛</w:t>
      </w:r>
    </w:p>
    <w:p w14:paraId="37624C96" w14:textId="602CFC59" w:rsidR="00BB3044" w:rsidRPr="00BB3044" w:rsidRDefault="00BB3044" w:rsidP="00BB3044">
      <w:pPr>
        <w:pStyle w:val="SingleTxtGA"/>
        <w:rPr>
          <w:rFonts w:eastAsiaTheme="minorEastAsia"/>
          <w:lang w:val="ar-SA" w:eastAsia="zh-TW" w:bidi="en-GB"/>
        </w:rPr>
      </w:pPr>
      <w:r>
        <w:rPr>
          <w:rFonts w:eastAsiaTheme="minorEastAsia"/>
          <w:rtl/>
        </w:rPr>
        <w:tab/>
      </w:r>
      <w:r w:rsidRPr="00BB3044">
        <w:rPr>
          <w:rFonts w:eastAsiaTheme="minorEastAsia"/>
          <w:rtl/>
        </w:rPr>
        <w:t>(د)</w:t>
      </w:r>
      <w:r w:rsidRPr="00BB3044">
        <w:rPr>
          <w:rFonts w:eastAsiaTheme="minorEastAsia"/>
          <w:rtl/>
        </w:rPr>
        <w:tab/>
        <w:t xml:space="preserve">المرسوم رقم </w:t>
      </w:r>
      <w:r w:rsidRPr="00A13CDF">
        <w:rPr>
          <w:rFonts w:eastAsiaTheme="minorEastAsia"/>
          <w:rtl/>
        </w:rPr>
        <w:t>6285</w:t>
      </w:r>
      <w:r w:rsidRPr="00BB3044">
        <w:rPr>
          <w:rFonts w:eastAsiaTheme="minorEastAsia"/>
          <w:rtl/>
        </w:rPr>
        <w:t>/</w:t>
      </w:r>
      <w:r w:rsidRPr="00A13CDF">
        <w:rPr>
          <w:rFonts w:eastAsiaTheme="minorEastAsia"/>
          <w:rtl/>
        </w:rPr>
        <w:t>16</w:t>
      </w:r>
      <w:r w:rsidRPr="00BB3044">
        <w:rPr>
          <w:rFonts w:eastAsiaTheme="minorEastAsia"/>
          <w:rtl/>
        </w:rPr>
        <w:t xml:space="preserve"> المؤرخ تشرين الثاني/نوفمبر </w:t>
      </w:r>
      <w:r w:rsidRPr="00A13CDF">
        <w:rPr>
          <w:rFonts w:eastAsiaTheme="minorEastAsia"/>
          <w:rtl/>
        </w:rPr>
        <w:t>2016</w:t>
      </w:r>
      <w:r w:rsidRPr="00BB3044">
        <w:rPr>
          <w:rFonts w:eastAsiaTheme="minorEastAsia"/>
          <w:rtl/>
        </w:rPr>
        <w:t xml:space="preserve"> الذي يعتمد الاستراتيجية الوطنية لمنع العمل القسري في باراغواي؛</w:t>
      </w:r>
    </w:p>
    <w:p w14:paraId="5120E504" w14:textId="4B949BC5" w:rsidR="00BB3044" w:rsidRPr="00BB3044" w:rsidRDefault="00BB3044" w:rsidP="00BB3044">
      <w:pPr>
        <w:pStyle w:val="SingleTxtGA"/>
        <w:rPr>
          <w:rFonts w:eastAsiaTheme="minorEastAsia"/>
          <w:lang w:val="ar-SA" w:eastAsia="zh-TW" w:bidi="en-GB"/>
        </w:rPr>
      </w:pPr>
      <w:r>
        <w:rPr>
          <w:rFonts w:eastAsiaTheme="minorEastAsia"/>
          <w:rtl/>
        </w:rPr>
        <w:tab/>
      </w:r>
      <w:r w:rsidRPr="00BB3044">
        <w:rPr>
          <w:rFonts w:eastAsiaTheme="minorEastAsia"/>
          <w:rtl/>
        </w:rPr>
        <w:t>(هـ)</w:t>
      </w:r>
      <w:r w:rsidRPr="00BB3044">
        <w:rPr>
          <w:rFonts w:eastAsiaTheme="minorEastAsia"/>
          <w:rtl/>
        </w:rPr>
        <w:tab/>
        <w:t xml:space="preserve">المرسوم رقم </w:t>
      </w:r>
      <w:r w:rsidRPr="00A13CDF">
        <w:rPr>
          <w:rFonts w:eastAsiaTheme="minorEastAsia"/>
          <w:rtl/>
        </w:rPr>
        <w:t>4483</w:t>
      </w:r>
      <w:r w:rsidRPr="00BB3044">
        <w:rPr>
          <w:rFonts w:eastAsiaTheme="minorEastAsia"/>
          <w:rtl/>
        </w:rPr>
        <w:t>/</w:t>
      </w:r>
      <w:r w:rsidRPr="00A13CDF">
        <w:rPr>
          <w:rFonts w:eastAsiaTheme="minorEastAsia"/>
          <w:rtl/>
        </w:rPr>
        <w:t>15</w:t>
      </w:r>
      <w:r w:rsidRPr="00BB3044">
        <w:rPr>
          <w:rFonts w:eastAsiaTheme="minorEastAsia"/>
          <w:rtl/>
        </w:rPr>
        <w:t xml:space="preserve"> المؤرخ تشرين الثاني/نوفمبر </w:t>
      </w:r>
      <w:r w:rsidRPr="00A13CDF">
        <w:rPr>
          <w:rFonts w:eastAsiaTheme="minorEastAsia"/>
          <w:rtl/>
        </w:rPr>
        <w:t>2015</w:t>
      </w:r>
      <w:r w:rsidRPr="00BB3044">
        <w:rPr>
          <w:rFonts w:eastAsiaTheme="minorEastAsia"/>
          <w:rtl/>
        </w:rPr>
        <w:t xml:space="preserve"> الذي يعتمد السياسة الوطنية للهجرة في باراغواي؛</w:t>
      </w:r>
    </w:p>
    <w:p w14:paraId="75FEB213" w14:textId="38D9C22B" w:rsidR="00BB3044" w:rsidRPr="00BB3044" w:rsidRDefault="00BB3044" w:rsidP="00BB3044">
      <w:pPr>
        <w:pStyle w:val="SingleTxtGA"/>
        <w:rPr>
          <w:rFonts w:eastAsiaTheme="minorEastAsia"/>
          <w:lang w:val="ar-SA" w:eastAsia="zh-TW" w:bidi="en-GB"/>
        </w:rPr>
      </w:pPr>
      <w:r>
        <w:rPr>
          <w:rFonts w:eastAsiaTheme="minorEastAsia"/>
          <w:rtl/>
        </w:rPr>
        <w:tab/>
      </w:r>
      <w:r w:rsidRPr="00BB3044">
        <w:rPr>
          <w:rFonts w:eastAsiaTheme="minorEastAsia"/>
          <w:rtl/>
        </w:rPr>
        <w:t>(و)</w:t>
      </w:r>
      <w:r w:rsidRPr="00BB3044">
        <w:rPr>
          <w:rFonts w:eastAsiaTheme="minorEastAsia"/>
          <w:rtl/>
        </w:rPr>
        <w:tab/>
        <w:t xml:space="preserve">القانون رقم </w:t>
      </w:r>
      <w:r w:rsidRPr="00A13CDF">
        <w:rPr>
          <w:rFonts w:eastAsiaTheme="minorEastAsia"/>
          <w:rtl/>
        </w:rPr>
        <w:t>4634</w:t>
      </w:r>
      <w:r w:rsidRPr="00BB3044">
        <w:rPr>
          <w:rFonts w:eastAsiaTheme="minorEastAsia"/>
          <w:rtl/>
        </w:rPr>
        <w:t>/</w:t>
      </w:r>
      <w:r w:rsidRPr="00A13CDF">
        <w:rPr>
          <w:rFonts w:eastAsiaTheme="minorEastAsia"/>
          <w:rtl/>
        </w:rPr>
        <w:t>12</w:t>
      </w:r>
      <w:r w:rsidRPr="00BB3044">
        <w:rPr>
          <w:rFonts w:eastAsiaTheme="minorEastAsia"/>
          <w:rtl/>
        </w:rPr>
        <w:t xml:space="preserve"> المؤرخ حزيران/ يونيه </w:t>
      </w:r>
      <w:r w:rsidRPr="00A13CDF">
        <w:rPr>
          <w:rFonts w:eastAsiaTheme="minorEastAsia"/>
          <w:rtl/>
        </w:rPr>
        <w:t>2012</w:t>
      </w:r>
      <w:r w:rsidRPr="00BB3044">
        <w:rPr>
          <w:rFonts w:eastAsiaTheme="minorEastAsia"/>
          <w:rtl/>
        </w:rPr>
        <w:t xml:space="preserve"> الذي يعتمد اتفاق الضمان الاجتماعي بين باراغواي وشيلي.</w:t>
      </w:r>
      <w:bookmarkEnd w:id="5"/>
    </w:p>
    <w:p w14:paraId="47028B1F" w14:textId="77777777" w:rsidR="00BB3044" w:rsidRPr="00BB3044" w:rsidRDefault="00BB3044" w:rsidP="00BB3044">
      <w:pPr>
        <w:pStyle w:val="SingleTxtGA"/>
        <w:rPr>
          <w:rFonts w:eastAsiaTheme="minorEastAsia"/>
          <w:lang w:val="ar-SA" w:eastAsia="zh-TW" w:bidi="en-GB"/>
        </w:rPr>
      </w:pPr>
      <w:r w:rsidRPr="00A13CDF">
        <w:rPr>
          <w:rFonts w:eastAsiaTheme="minorEastAsia"/>
          <w:rtl/>
        </w:rPr>
        <w:t>8</w:t>
      </w:r>
      <w:r w:rsidRPr="00BB3044">
        <w:rPr>
          <w:rFonts w:eastAsiaTheme="minorEastAsia"/>
          <w:rtl/>
        </w:rPr>
        <w:t>-</w:t>
      </w:r>
      <w:r w:rsidRPr="00BB3044">
        <w:rPr>
          <w:rFonts w:eastAsiaTheme="minorEastAsia"/>
          <w:rtl/>
        </w:rPr>
        <w:tab/>
        <w:t xml:space="preserve">وتود اللجنة تسليط الضوء على بدء حلقات العمل من أجل تسوية أوضاع المهاجرين وتقديم المساعدة الشاملة لهم، والأنشطة التي يضطلع بها عدد من الهيئات التداولية، مثل المجالس والأفرقة العاملة واللّجان، التي عملت على برامج ومشاريع مخصصة للمهاجرين. وتقر اللجنة بالجهود التي تبذلها </w:t>
      </w:r>
      <w:r w:rsidRPr="00BB3044">
        <w:rPr>
          <w:rFonts w:eastAsiaTheme="minorEastAsia"/>
          <w:rtl/>
        </w:rPr>
        <w:lastRenderedPageBreak/>
        <w:t>الدولة الطرف لتنسيق أنشطة جميع مؤسساتها من أجل الامتثال لالتزاماتها بموجب الاتفاقية. كما تقر اللجنة بالمشاركة النشطة للدولة الطرف في عمليات الحوار الإقليمية من أجل التعامل مع تدفقات الهجرة في أمريكا الجنوبية، بوسائل منها توفير التدريب للبلدان الأخرى في المنطقة.</w:t>
      </w:r>
    </w:p>
    <w:p w14:paraId="47A006CB" w14:textId="77777777" w:rsidR="00BB3044" w:rsidRPr="00BB3044" w:rsidRDefault="00BB3044" w:rsidP="00BB3044">
      <w:pPr>
        <w:pStyle w:val="SingleTxtGA"/>
        <w:rPr>
          <w:rFonts w:eastAsiaTheme="minorEastAsia"/>
          <w:lang w:val="en-US" w:eastAsia="zh-TW" w:bidi="en-GB"/>
        </w:rPr>
      </w:pPr>
      <w:r w:rsidRPr="00A13CDF">
        <w:rPr>
          <w:rFonts w:eastAsiaTheme="minorEastAsia"/>
          <w:rtl/>
        </w:rPr>
        <w:t>9</w:t>
      </w:r>
      <w:r w:rsidRPr="00BB3044">
        <w:rPr>
          <w:rFonts w:eastAsiaTheme="minorEastAsia"/>
          <w:rtl/>
        </w:rPr>
        <w:t>-</w:t>
      </w:r>
      <w:r w:rsidRPr="00BB3044">
        <w:rPr>
          <w:rFonts w:eastAsiaTheme="minorEastAsia"/>
          <w:rtl/>
        </w:rPr>
        <w:tab/>
        <w:t>وتستحسن اللّجنة إنشاء فريق من خمسة محامين متخصصين في حقوق المهاجرين واللاجئين لتعزيز القدرة المؤسسية وضمان وصول العدد المتزايد من المهاجرين وطالبي اللجوء في الدولة الطرف إلى العدالة بصورة فعالة. إلاّ أنّها ترى أنه يجب على هذا الفريق الوصول إلى المناطق والمقاطعات التي تتواجد فيها معظم الحالات، مثل تلك التي تقع على الحدود مع بلدان أخرى، لكي يكون له تأثير حقيقي على حالة المهاجرين.</w:t>
      </w:r>
    </w:p>
    <w:p w14:paraId="61316E1D" w14:textId="6D78CE91" w:rsidR="00BB3044" w:rsidRPr="00BB3044" w:rsidRDefault="00BB3044" w:rsidP="00BB3044">
      <w:pPr>
        <w:pStyle w:val="SingleTxtGA"/>
        <w:rPr>
          <w:rFonts w:eastAsiaTheme="minorEastAsia"/>
          <w:lang w:val="ar-SA" w:eastAsia="zh-TW" w:bidi="en-GB"/>
        </w:rPr>
      </w:pPr>
      <w:r w:rsidRPr="00A13CDF">
        <w:rPr>
          <w:rFonts w:eastAsiaTheme="minorEastAsia"/>
          <w:rtl/>
        </w:rPr>
        <w:t>10</w:t>
      </w:r>
      <w:r w:rsidRPr="00BB3044">
        <w:rPr>
          <w:rFonts w:eastAsiaTheme="minorEastAsia"/>
          <w:rtl/>
        </w:rPr>
        <w:t>-</w:t>
      </w:r>
      <w:r w:rsidRPr="00BB3044">
        <w:rPr>
          <w:rFonts w:eastAsiaTheme="minorEastAsia"/>
          <w:rtl/>
        </w:rPr>
        <w:tab/>
        <w:t>وتحيط اللجنة علم</w:t>
      </w:r>
      <w:r w:rsidR="000E775F">
        <w:rPr>
          <w:rFonts w:eastAsiaTheme="minorEastAsia"/>
          <w:rtl/>
        </w:rPr>
        <w:t xml:space="preserve">اً </w:t>
      </w:r>
      <w:r w:rsidRPr="00BB3044">
        <w:rPr>
          <w:rFonts w:eastAsiaTheme="minorEastAsia"/>
          <w:rtl/>
        </w:rPr>
        <w:t>بنظام متابعة التوصيات</w:t>
      </w:r>
      <w:r w:rsidR="00E1540A">
        <w:rPr>
          <w:rFonts w:eastAsiaTheme="minorEastAsia" w:hint="cs"/>
          <w:rtl/>
        </w:rPr>
        <w:t xml:space="preserve"> (</w:t>
      </w:r>
      <w:r w:rsidR="00E1540A" w:rsidRPr="00DF08F9">
        <w:t>SIMORE Plus</w:t>
      </w:r>
      <w:r w:rsidR="00E1540A">
        <w:rPr>
          <w:rFonts w:eastAsiaTheme="minorEastAsia" w:hint="cs"/>
          <w:rtl/>
        </w:rPr>
        <w:t>)</w:t>
      </w:r>
      <w:r w:rsidRPr="00BB3044">
        <w:rPr>
          <w:rFonts w:eastAsiaTheme="minorEastAsia"/>
          <w:rtl/>
        </w:rPr>
        <w:t>، وهو آليّة لجمع البيانات بهدف استخدامها في اعداد التقارير الدوريّة، وبالاستعانة بهذا النظام لإعداد التقرير المقدم من الدولة</w:t>
      </w:r>
      <w:r w:rsidR="000E775F">
        <w:rPr>
          <w:rFonts w:eastAsiaTheme="minorEastAsia" w:hint="cs"/>
          <w:rtl/>
        </w:rPr>
        <w:t> </w:t>
      </w:r>
      <w:r w:rsidRPr="00BB3044">
        <w:rPr>
          <w:rFonts w:eastAsiaTheme="minorEastAsia"/>
          <w:rtl/>
        </w:rPr>
        <w:t>الطرف.</w:t>
      </w:r>
    </w:p>
    <w:p w14:paraId="405A3C9B" w14:textId="1CE4C5BB" w:rsidR="00BB3044" w:rsidRPr="00A13CDF" w:rsidRDefault="00BB3044" w:rsidP="00BB3044">
      <w:pPr>
        <w:pStyle w:val="H1GA"/>
        <w:rPr>
          <w:lang w:val="ar-SA" w:eastAsia="zh-TW" w:bidi="en-GB"/>
        </w:rPr>
      </w:pPr>
      <w:r w:rsidRPr="00A13CDF">
        <w:rPr>
          <w:rtl/>
        </w:rPr>
        <w:tab/>
        <w:t>جيم-</w:t>
      </w:r>
      <w:r w:rsidRPr="00A13CDF">
        <w:rPr>
          <w:rtl/>
        </w:rPr>
        <w:tab/>
        <w:t>دواعي القلق الرئيسية والتوصيات</w:t>
      </w:r>
    </w:p>
    <w:p w14:paraId="36AF0406" w14:textId="15D04B13" w:rsidR="00BB3044" w:rsidRPr="00A13CDF" w:rsidRDefault="00BB3044" w:rsidP="00BB3044">
      <w:pPr>
        <w:pStyle w:val="H23GA"/>
        <w:rPr>
          <w:rtl/>
          <w:lang w:val="en-US" w:eastAsia="zh-TW" w:bidi="en-GB"/>
        </w:rPr>
      </w:pPr>
      <w:r w:rsidRPr="00A13CDF">
        <w:rPr>
          <w:rtl/>
        </w:rPr>
        <w:tab/>
        <w:t>1-</w:t>
      </w:r>
      <w:r w:rsidRPr="00A13CDF">
        <w:rPr>
          <w:rtl/>
        </w:rPr>
        <w:tab/>
        <w:t>تدابير التنفيذ العامة (المادتان 73 و84)</w:t>
      </w:r>
    </w:p>
    <w:p w14:paraId="3A50CEBB" w14:textId="733A210F" w:rsidR="00BB3044" w:rsidRPr="00A13CDF" w:rsidRDefault="00BB3044" w:rsidP="00BB3044">
      <w:pPr>
        <w:pStyle w:val="H23GA"/>
        <w:rPr>
          <w:lang w:val="ar-SA" w:eastAsia="zh-TW" w:bidi="en-GB"/>
        </w:rPr>
      </w:pPr>
      <w:r w:rsidRPr="00A13CDF">
        <w:rPr>
          <w:rtl/>
        </w:rPr>
        <w:tab/>
      </w:r>
      <w:r w:rsidRPr="00A13CDF">
        <w:rPr>
          <w:rtl/>
        </w:rPr>
        <w:tab/>
        <w:t>السياق الحالي</w:t>
      </w:r>
    </w:p>
    <w:p w14:paraId="49179C39" w14:textId="71C071FA" w:rsidR="00BB3044" w:rsidRPr="00BB3044" w:rsidRDefault="00BB3044" w:rsidP="00BB3044">
      <w:pPr>
        <w:pStyle w:val="SingleTxtGA"/>
        <w:rPr>
          <w:rFonts w:eastAsiaTheme="minorEastAsia"/>
          <w:lang w:val="ar-SA" w:eastAsia="zh-TW" w:bidi="en-GB"/>
        </w:rPr>
      </w:pPr>
      <w:r w:rsidRPr="00A13CDF">
        <w:rPr>
          <w:rFonts w:eastAsiaTheme="minorEastAsia"/>
          <w:rtl/>
        </w:rPr>
        <w:t>11</w:t>
      </w:r>
      <w:r w:rsidRPr="00BB3044">
        <w:rPr>
          <w:rFonts w:eastAsiaTheme="minorEastAsia"/>
          <w:rtl/>
        </w:rPr>
        <w:t>-</w:t>
      </w:r>
      <w:r w:rsidRPr="00BB3044">
        <w:rPr>
          <w:rFonts w:eastAsiaTheme="minorEastAsia"/>
          <w:rtl/>
        </w:rPr>
        <w:tab/>
        <w:t>تستحسن اللجنة تمكّن الرعايا الأجانب المقيمين في الدولة الطرف غير الحاملين للوثائق اللازمة واللاجئين وطالبي اللجوء والأشخاص عديمي الجنسية من الاستفادة من التطعيم ضد مرض فيروس كورونا (كوفيد-</w:t>
      </w:r>
      <w:r w:rsidRPr="00A13CDF">
        <w:rPr>
          <w:rFonts w:eastAsiaTheme="minorEastAsia"/>
          <w:rtl/>
        </w:rPr>
        <w:t>19</w:t>
      </w:r>
      <w:r w:rsidRPr="00BB3044">
        <w:rPr>
          <w:rFonts w:eastAsiaTheme="minorEastAsia"/>
          <w:rtl/>
        </w:rPr>
        <w:t xml:space="preserve">)، منذ أيّار/مايو </w:t>
      </w:r>
      <w:r w:rsidRPr="00A13CDF">
        <w:rPr>
          <w:rFonts w:eastAsiaTheme="minorEastAsia"/>
          <w:rtl/>
        </w:rPr>
        <w:t>2021</w:t>
      </w:r>
      <w:r w:rsidRPr="00BB3044">
        <w:rPr>
          <w:rFonts w:eastAsiaTheme="minorEastAsia"/>
          <w:rtl/>
        </w:rPr>
        <w:t>، لدى الحصول على وثائق صالحة من اللجنة الوطنية للاجئين. بيد أنّها تشعر بالقلق لأن إغلاق الحدود الذي دام شهور</w:t>
      </w:r>
      <w:r w:rsidR="000E775F">
        <w:rPr>
          <w:rFonts w:eastAsiaTheme="minorEastAsia"/>
          <w:rtl/>
        </w:rPr>
        <w:t xml:space="preserve">اً </w:t>
      </w:r>
      <w:r w:rsidRPr="00BB3044">
        <w:rPr>
          <w:rFonts w:eastAsiaTheme="minorEastAsia"/>
          <w:rtl/>
        </w:rPr>
        <w:t>في بداية جائحة كوفيد-</w:t>
      </w:r>
      <w:r w:rsidRPr="00A13CDF">
        <w:rPr>
          <w:rFonts w:eastAsiaTheme="minorEastAsia"/>
          <w:rtl/>
        </w:rPr>
        <w:t>19</w:t>
      </w:r>
      <w:r w:rsidRPr="00BB3044">
        <w:rPr>
          <w:rFonts w:eastAsiaTheme="minorEastAsia"/>
          <w:rtl/>
        </w:rPr>
        <w:t xml:space="preserve"> ومحدودية فرص حصول المهاجرين واللاجئين على موارد الرزق زاد من صعوبة حصولهم على الإعانات التي وضعتها الحكومة. ويساور اللجنة القلق إزاء الأثر الكبير لكوفيد-</w:t>
      </w:r>
      <w:r w:rsidRPr="00A13CDF">
        <w:rPr>
          <w:rFonts w:eastAsiaTheme="minorEastAsia"/>
          <w:rtl/>
        </w:rPr>
        <w:t>19</w:t>
      </w:r>
      <w:r w:rsidRPr="00BB3044">
        <w:rPr>
          <w:rFonts w:eastAsiaTheme="minorEastAsia"/>
          <w:rtl/>
        </w:rPr>
        <w:t xml:space="preserve"> على المهاجرين وعدم وجود سياسات وبرامج محددة للتخفيف من آثاره. وتحيط اللجنة علم</w:t>
      </w:r>
      <w:r w:rsidR="000E775F">
        <w:rPr>
          <w:rFonts w:eastAsiaTheme="minorEastAsia"/>
          <w:rtl/>
        </w:rPr>
        <w:t xml:space="preserve">اً </w:t>
      </w:r>
      <w:r w:rsidRPr="00BB3044">
        <w:rPr>
          <w:rFonts w:eastAsiaTheme="minorEastAsia"/>
          <w:rtl/>
        </w:rPr>
        <w:t xml:space="preserve">بإعادة الفتح التدريجية للحدود منذ تشرين الأول/أكتوبر </w:t>
      </w:r>
      <w:r w:rsidRPr="00A13CDF">
        <w:rPr>
          <w:rFonts w:eastAsiaTheme="minorEastAsia"/>
          <w:rtl/>
        </w:rPr>
        <w:t>2020</w:t>
      </w:r>
      <w:r w:rsidRPr="00BB3044">
        <w:rPr>
          <w:rFonts w:eastAsiaTheme="minorEastAsia"/>
          <w:rtl/>
        </w:rPr>
        <w:t xml:space="preserve"> وبالمرونة التي أبديت لمواطني باراغواي العائدين.</w:t>
      </w:r>
    </w:p>
    <w:p w14:paraId="29D10AB4" w14:textId="471425D9" w:rsidR="00BB3044" w:rsidRPr="00A13CDF" w:rsidRDefault="00BB3044" w:rsidP="00BB3044">
      <w:pPr>
        <w:pStyle w:val="SingleTxtGA"/>
        <w:rPr>
          <w:rFonts w:eastAsiaTheme="minorEastAsia"/>
          <w:bCs/>
          <w:lang w:val="ar-SA" w:eastAsia="zh-TW" w:bidi="en-GB"/>
        </w:rPr>
      </w:pPr>
      <w:r w:rsidRPr="00A13CDF">
        <w:rPr>
          <w:rFonts w:eastAsiaTheme="minorEastAsia"/>
          <w:rtl/>
        </w:rPr>
        <w:t>12</w:t>
      </w:r>
      <w:r w:rsidRPr="00BB3044">
        <w:rPr>
          <w:rFonts w:eastAsiaTheme="minorEastAsia"/>
          <w:rtl/>
        </w:rPr>
        <w:t>-</w:t>
      </w:r>
      <w:r w:rsidRPr="00BB3044">
        <w:rPr>
          <w:rFonts w:eastAsiaTheme="minorEastAsia"/>
          <w:rtl/>
        </w:rPr>
        <w:tab/>
      </w:r>
      <w:r w:rsidRPr="00A13CDF">
        <w:rPr>
          <w:rFonts w:eastAsiaTheme="minorEastAsia"/>
          <w:bCs/>
          <w:rtl/>
        </w:rPr>
        <w:t>توصي اللجنة الدولة الطرف بحماية حقوق المهاجرين وأفراد أسرهم، لا سيما حقهم في الصحة، والتخفيف من الآثار الضارة الناجمة عن جائحة كوفيد-19، استنادا</w:t>
      </w:r>
      <w:r w:rsidR="00C44303" w:rsidRPr="00A13CDF">
        <w:rPr>
          <w:rFonts w:eastAsiaTheme="minorEastAsia" w:hint="cs"/>
          <w:bCs/>
          <w:rtl/>
        </w:rPr>
        <w:t>ً</w:t>
      </w:r>
      <w:r w:rsidRPr="00A13CDF">
        <w:rPr>
          <w:rFonts w:eastAsiaTheme="minorEastAsia"/>
          <w:bCs/>
          <w:rtl/>
        </w:rPr>
        <w:t xml:space="preserve"> إلى المذكرة التوجيهية المشتركة</w:t>
      </w:r>
      <w:r w:rsidR="00C44303" w:rsidRPr="00A13CDF">
        <w:rPr>
          <w:rStyle w:val="FootnoteReference"/>
          <w:rFonts w:eastAsiaTheme="minorEastAsia"/>
          <w:b/>
          <w:szCs w:val="22"/>
          <w:rtl/>
        </w:rPr>
        <w:t>(</w:t>
      </w:r>
      <w:r w:rsidR="00C44303" w:rsidRPr="00A13CDF">
        <w:rPr>
          <w:rStyle w:val="FootnoteReference"/>
          <w:rFonts w:eastAsiaTheme="minorEastAsia"/>
          <w:b/>
          <w:szCs w:val="22"/>
          <w:lang w:val="en-US"/>
        </w:rPr>
        <w:footnoteReference w:id="5"/>
      </w:r>
      <w:r w:rsidR="00C44303" w:rsidRPr="00A13CDF">
        <w:rPr>
          <w:rFonts w:eastAsiaTheme="minorEastAsia" w:hint="cs"/>
          <w:b/>
          <w:vertAlign w:val="superscript"/>
          <w:rtl/>
        </w:rPr>
        <w:t>)</w:t>
      </w:r>
      <w:r w:rsidR="004E6A7D" w:rsidRPr="00A13CDF">
        <w:rPr>
          <w:rFonts w:eastAsiaTheme="minorEastAsia" w:hint="cs"/>
          <w:bCs/>
          <w:rtl/>
        </w:rPr>
        <w:t xml:space="preserve"> </w:t>
      </w:r>
      <w:r w:rsidRPr="00A13CDF">
        <w:rPr>
          <w:rFonts w:eastAsiaTheme="minorEastAsia"/>
          <w:bCs/>
          <w:rtl/>
        </w:rPr>
        <w:t>بشأن آثار جائحة كوفيد-19 على حقوق الإنسان للمهاجرين، الصادرة عن اللجنة والمقرر الخاص المعني بحقوق الإنسان للمهاجرين.</w:t>
      </w:r>
    </w:p>
    <w:p w14:paraId="5394669E" w14:textId="77777777" w:rsidR="00BB3044" w:rsidRPr="00A13CDF" w:rsidRDefault="00BB3044" w:rsidP="00BB3044">
      <w:pPr>
        <w:pStyle w:val="H23GA"/>
        <w:rPr>
          <w:lang w:val="ar-SA" w:eastAsia="zh-TW" w:bidi="en-GB"/>
        </w:rPr>
      </w:pPr>
      <w:r w:rsidRPr="00A13CDF">
        <w:rPr>
          <w:rtl/>
        </w:rPr>
        <w:tab/>
      </w:r>
      <w:r w:rsidRPr="00A13CDF">
        <w:rPr>
          <w:rtl/>
        </w:rPr>
        <w:tab/>
        <w:t>التشريعات وتطبيقها</w:t>
      </w:r>
    </w:p>
    <w:p w14:paraId="7F31A352" w14:textId="2A229195" w:rsidR="00BB3044" w:rsidRPr="00BB3044" w:rsidRDefault="00BB3044" w:rsidP="00BB3044">
      <w:pPr>
        <w:pStyle w:val="SingleTxtGA"/>
        <w:rPr>
          <w:rFonts w:eastAsiaTheme="minorEastAsia"/>
          <w:lang w:val="ar-SA" w:eastAsia="zh-TW" w:bidi="en-GB"/>
        </w:rPr>
      </w:pPr>
      <w:r w:rsidRPr="00A13CDF">
        <w:rPr>
          <w:rFonts w:eastAsiaTheme="minorEastAsia"/>
          <w:rtl/>
        </w:rPr>
        <w:t>13</w:t>
      </w:r>
      <w:r w:rsidRPr="00BB3044">
        <w:rPr>
          <w:rFonts w:eastAsiaTheme="minorEastAsia"/>
          <w:rtl/>
        </w:rPr>
        <w:t>-</w:t>
      </w:r>
      <w:r w:rsidRPr="00BB3044">
        <w:rPr>
          <w:rFonts w:eastAsiaTheme="minorEastAsia"/>
          <w:rtl/>
        </w:rPr>
        <w:tab/>
        <w:t>تحيط اللجنة علم</w:t>
      </w:r>
      <w:r w:rsidR="000E775F">
        <w:rPr>
          <w:rFonts w:eastAsiaTheme="minorEastAsia"/>
          <w:rtl/>
        </w:rPr>
        <w:t xml:space="preserve">اً </w:t>
      </w:r>
      <w:r w:rsidRPr="00BB3044">
        <w:rPr>
          <w:rFonts w:eastAsiaTheme="minorEastAsia"/>
          <w:rtl/>
        </w:rPr>
        <w:t xml:space="preserve">بمشروع قانون الهجرة، الذي يهدف إلى إنشاء نظام للهجرة يتسق مع الصكوك الدولية لحقوق الإنسان. بيد أنها تشعر بالقلق لأن مشروع القانون لا يزال قيد النظر بعد مرور أكثر من خمس سنوات على تقديمه. ومن بالغ الأهميّة تنفيذ سياسة للهجرة تشمل الجوانب الرّئيسيّة لحماية حقوق الانسان في غياب قانون ينظّم هذه المسألة. </w:t>
      </w:r>
    </w:p>
    <w:p w14:paraId="2E537E85" w14:textId="77777777" w:rsidR="00BB3044" w:rsidRPr="00A13CDF" w:rsidRDefault="00BB3044" w:rsidP="00BB3044">
      <w:pPr>
        <w:pStyle w:val="SingleTxtGA"/>
        <w:rPr>
          <w:rFonts w:eastAsiaTheme="minorEastAsia"/>
          <w:bCs/>
          <w:lang w:val="ar-SA" w:eastAsia="zh-TW" w:bidi="en-GB"/>
        </w:rPr>
      </w:pPr>
      <w:bookmarkStart w:id="6" w:name="_Hlk100230174"/>
      <w:r w:rsidRPr="00A13CDF">
        <w:rPr>
          <w:rFonts w:eastAsiaTheme="minorEastAsia"/>
          <w:rtl/>
        </w:rPr>
        <w:lastRenderedPageBreak/>
        <w:t>14</w:t>
      </w:r>
      <w:r w:rsidRPr="00BB3044">
        <w:rPr>
          <w:rFonts w:eastAsiaTheme="minorEastAsia"/>
          <w:rtl/>
        </w:rPr>
        <w:t>-</w:t>
      </w:r>
      <w:r w:rsidRPr="00BB3044">
        <w:rPr>
          <w:rFonts w:eastAsiaTheme="minorEastAsia"/>
          <w:rtl/>
        </w:rPr>
        <w:tab/>
      </w:r>
      <w:r w:rsidRPr="00A13CDF">
        <w:rPr>
          <w:rFonts w:eastAsiaTheme="minorEastAsia"/>
          <w:bCs/>
          <w:rtl/>
        </w:rPr>
        <w:t>وتحث اللجنة الدولة الطرف على اعتماد قانون الهجرة ونشره في أقرب وقت ممكن وضمان التوافق التّام لمحتواه مع الاتفاقية.</w:t>
      </w:r>
    </w:p>
    <w:bookmarkEnd w:id="6"/>
    <w:p w14:paraId="5429865D" w14:textId="5215CAB0" w:rsidR="00BB3044" w:rsidRPr="00A13CDF" w:rsidRDefault="00BB3044" w:rsidP="00BB3044">
      <w:pPr>
        <w:pStyle w:val="SingleTxtGA"/>
        <w:rPr>
          <w:rFonts w:eastAsiaTheme="minorEastAsia"/>
          <w:b/>
          <w:lang w:val="ar-SA" w:eastAsia="zh-TW" w:bidi="en-GB"/>
        </w:rPr>
      </w:pPr>
      <w:r w:rsidRPr="00A13CDF">
        <w:rPr>
          <w:rFonts w:eastAsiaTheme="minorEastAsia"/>
          <w:rtl/>
        </w:rPr>
        <w:t>15</w:t>
      </w:r>
      <w:r w:rsidRPr="00BB3044">
        <w:rPr>
          <w:rFonts w:eastAsiaTheme="minorEastAsia"/>
          <w:rtl/>
        </w:rPr>
        <w:t>-</w:t>
      </w:r>
      <w:r w:rsidRPr="00BB3044">
        <w:rPr>
          <w:rFonts w:eastAsiaTheme="minorEastAsia"/>
          <w:rtl/>
        </w:rPr>
        <w:tab/>
      </w:r>
      <w:r w:rsidRPr="00A13CDF">
        <w:rPr>
          <w:rFonts w:eastAsiaTheme="minorEastAsia"/>
          <w:b/>
          <w:bCs/>
          <w:rtl/>
        </w:rPr>
        <w:t>وتوصي اللجنة الدولة الطرف باتخاذ تدابير واضحة وفعالة لتنفيذ سياسة الهجرة لعام 2015، مع تحديد آجال ومؤشرات ومعايير للرصد والتقييم؛ وتوفير موارد بشريّة وتقنيّة وماليّة كافية لتنفيذها؛ وإدراج</w:t>
      </w:r>
      <w:r w:rsidR="000E775F" w:rsidRPr="00A13CDF">
        <w:rPr>
          <w:rFonts w:eastAsiaTheme="minorEastAsia" w:hint="cs"/>
          <w:b/>
          <w:bCs/>
          <w:rtl/>
        </w:rPr>
        <w:t> </w:t>
      </w:r>
      <w:r w:rsidRPr="00A13CDF">
        <w:rPr>
          <w:rFonts w:eastAsiaTheme="minorEastAsia"/>
          <w:b/>
          <w:bCs/>
          <w:rtl/>
        </w:rPr>
        <w:t>معلومات، مدعومة بإحصاءات، عن النتائج التي حققتها والصعوبات التي واجهتها في تقريرها الدوري المقبل.</w:t>
      </w:r>
    </w:p>
    <w:p w14:paraId="581473A7" w14:textId="519C54E9" w:rsidR="00BB3044" w:rsidRPr="00A13CDF" w:rsidRDefault="00BB3044" w:rsidP="00BB3044">
      <w:pPr>
        <w:pStyle w:val="SingleTxtGA"/>
        <w:rPr>
          <w:rFonts w:eastAsiaTheme="minorEastAsia"/>
          <w:bCs/>
          <w:lang w:val="ar-SA" w:eastAsia="zh-TW" w:bidi="en-GB"/>
        </w:rPr>
      </w:pPr>
      <w:r w:rsidRPr="00A13CDF">
        <w:rPr>
          <w:rFonts w:eastAsiaTheme="minorEastAsia"/>
          <w:rtl/>
        </w:rPr>
        <w:t>16</w:t>
      </w:r>
      <w:r w:rsidRPr="00BB3044">
        <w:rPr>
          <w:rFonts w:eastAsiaTheme="minorEastAsia"/>
          <w:rtl/>
        </w:rPr>
        <w:t>-</w:t>
      </w:r>
      <w:r w:rsidRPr="00BB3044">
        <w:rPr>
          <w:rFonts w:eastAsiaTheme="minorEastAsia"/>
          <w:rtl/>
        </w:rPr>
        <w:tab/>
      </w:r>
      <w:r w:rsidRPr="00A13CDF">
        <w:rPr>
          <w:rFonts w:eastAsiaTheme="minorEastAsia"/>
          <w:bCs/>
          <w:rtl/>
        </w:rPr>
        <w:t>كما توصي اللجنة الدولة الطرف بوضع آليات عادية لتسوية أوضاع المهاجرين ينظمها القانون داخل الدولة الطرف، وفق</w:t>
      </w:r>
      <w:r w:rsidR="000E775F" w:rsidRPr="00A13CDF">
        <w:rPr>
          <w:rFonts w:eastAsiaTheme="minorEastAsia"/>
          <w:bCs/>
          <w:rtl/>
        </w:rPr>
        <w:t xml:space="preserve">اً </w:t>
      </w:r>
      <w:r w:rsidRPr="00A13CDF">
        <w:rPr>
          <w:rFonts w:eastAsiaTheme="minorEastAsia"/>
          <w:bCs/>
          <w:rtl/>
        </w:rPr>
        <w:t>للمادة 69 من الاتفاقية، وتنطبق على جميع المهاجرين، بصرف النظر عما</w:t>
      </w:r>
      <w:r w:rsidR="000E775F" w:rsidRPr="00A13CDF">
        <w:rPr>
          <w:rFonts w:eastAsiaTheme="minorEastAsia" w:hint="cs"/>
          <w:bCs/>
          <w:rtl/>
        </w:rPr>
        <w:t> </w:t>
      </w:r>
      <w:r w:rsidRPr="00A13CDF">
        <w:rPr>
          <w:rFonts w:eastAsiaTheme="minorEastAsia"/>
          <w:bCs/>
          <w:rtl/>
        </w:rPr>
        <w:t>إذا</w:t>
      </w:r>
      <w:r w:rsidR="000E775F" w:rsidRPr="00A13CDF">
        <w:rPr>
          <w:rFonts w:eastAsiaTheme="minorEastAsia" w:hint="cs"/>
          <w:bCs/>
          <w:rtl/>
        </w:rPr>
        <w:t> </w:t>
      </w:r>
      <w:r w:rsidRPr="00A13CDF">
        <w:rPr>
          <w:rFonts w:eastAsiaTheme="minorEastAsia"/>
          <w:bCs/>
          <w:rtl/>
        </w:rPr>
        <w:t>كان وضعهم كمهاجرين نظاميا أو غير نظاميّ، وفقاً، على وجه الخصوص، للتعليق العام للجنة</w:t>
      </w:r>
      <w:r w:rsidR="000E775F" w:rsidRPr="00A13CDF">
        <w:rPr>
          <w:rFonts w:eastAsiaTheme="minorEastAsia" w:hint="cs"/>
          <w:bCs/>
          <w:rtl/>
        </w:rPr>
        <w:t> </w:t>
      </w:r>
      <w:r w:rsidRPr="00A13CDF">
        <w:rPr>
          <w:rFonts w:eastAsiaTheme="minorEastAsia"/>
          <w:bCs/>
          <w:rtl/>
        </w:rPr>
        <w:t>رقم 2(2013) بشأن حقوق العمّال المهاجرين الذين هم في وضع غير نظامي وأفراد أسرهم.</w:t>
      </w:r>
    </w:p>
    <w:p w14:paraId="23A5ADA7" w14:textId="1DD75E5E" w:rsidR="00BB3044" w:rsidRPr="00A13CDF" w:rsidRDefault="00BB3044" w:rsidP="00BB3044">
      <w:pPr>
        <w:pStyle w:val="H23GA"/>
        <w:rPr>
          <w:lang w:val="en-US" w:eastAsia="zh-TW" w:bidi="en-GB"/>
        </w:rPr>
      </w:pPr>
      <w:r w:rsidRPr="00A13CDF">
        <w:rPr>
          <w:rtl/>
        </w:rPr>
        <w:tab/>
      </w:r>
      <w:r w:rsidRPr="00A13CDF">
        <w:rPr>
          <w:rtl/>
        </w:rPr>
        <w:tab/>
        <w:t>المادتان 76 و77</w:t>
      </w:r>
    </w:p>
    <w:p w14:paraId="2603AD4C" w14:textId="65AE6D8E" w:rsidR="00BB3044" w:rsidRPr="00A13CDF" w:rsidRDefault="00BB3044" w:rsidP="00BB3044">
      <w:pPr>
        <w:pStyle w:val="SingleTxtGA"/>
        <w:rPr>
          <w:rFonts w:eastAsiaTheme="minorEastAsia"/>
          <w:b/>
          <w:lang w:val="ar-SA" w:eastAsia="zh-TW" w:bidi="en-GB"/>
        </w:rPr>
      </w:pPr>
      <w:r w:rsidRPr="00A13CDF">
        <w:rPr>
          <w:rFonts w:eastAsiaTheme="minorEastAsia"/>
          <w:rtl/>
        </w:rPr>
        <w:t>17</w:t>
      </w:r>
      <w:r w:rsidRPr="00BB3044">
        <w:rPr>
          <w:rFonts w:eastAsiaTheme="minorEastAsia"/>
          <w:rtl/>
        </w:rPr>
        <w:t>-</w:t>
      </w:r>
      <w:r w:rsidRPr="00BB3044">
        <w:rPr>
          <w:rFonts w:eastAsiaTheme="minorEastAsia"/>
          <w:rtl/>
        </w:rPr>
        <w:tab/>
      </w:r>
      <w:r w:rsidRPr="00A13CDF">
        <w:rPr>
          <w:rFonts w:eastAsiaTheme="minorEastAsia"/>
          <w:bCs/>
          <w:rtl/>
        </w:rPr>
        <w:t>تجدد اللّجنة تأكيد توصيتها السابقة</w:t>
      </w:r>
      <w:r w:rsidR="00C44303" w:rsidRPr="00A13CDF">
        <w:rPr>
          <w:rStyle w:val="FootnoteReference"/>
          <w:rFonts w:eastAsiaTheme="minorEastAsia"/>
          <w:b/>
          <w:szCs w:val="22"/>
          <w:rtl/>
        </w:rPr>
        <w:t>(</w:t>
      </w:r>
      <w:r w:rsidR="00C44303" w:rsidRPr="00A13CDF">
        <w:rPr>
          <w:rStyle w:val="FootnoteReference"/>
          <w:rFonts w:eastAsiaTheme="minorEastAsia"/>
          <w:b/>
          <w:szCs w:val="22"/>
          <w:lang w:val="en-US"/>
        </w:rPr>
        <w:footnoteReference w:id="6"/>
      </w:r>
      <w:r w:rsidR="00C44303" w:rsidRPr="00A13CDF">
        <w:rPr>
          <w:rFonts w:eastAsiaTheme="minorEastAsia" w:hint="cs"/>
          <w:b/>
          <w:vertAlign w:val="superscript"/>
          <w:rtl/>
        </w:rPr>
        <w:t>)</w:t>
      </w:r>
      <w:r w:rsidR="00C44303" w:rsidRPr="00A13CDF">
        <w:rPr>
          <w:rFonts w:eastAsiaTheme="minorEastAsia" w:hint="cs"/>
          <w:bCs/>
          <w:rtl/>
        </w:rPr>
        <w:t xml:space="preserve">. </w:t>
      </w:r>
      <w:r w:rsidRPr="00A13CDF">
        <w:rPr>
          <w:rFonts w:eastAsiaTheme="minorEastAsia"/>
          <w:bCs/>
          <w:rtl/>
        </w:rPr>
        <w:t>وتحث الدولة الطرف على إصدار الإعلانين المنصوص عليهما في المادتين 76 و77 من الاتفاقيّة،</w:t>
      </w:r>
      <w:r w:rsidR="000E775F" w:rsidRPr="00A13CDF">
        <w:rPr>
          <w:rFonts w:eastAsiaTheme="minorEastAsia" w:hint="cs"/>
          <w:bCs/>
          <w:rtl/>
        </w:rPr>
        <w:t xml:space="preserve"> </w:t>
      </w:r>
      <w:r w:rsidRPr="00A13CDF">
        <w:rPr>
          <w:rFonts w:eastAsiaTheme="minorEastAsia"/>
          <w:bCs/>
          <w:rtl/>
        </w:rPr>
        <w:t>كما تدعوها إلى الاعتراف باختصاص اللجنة في تلقي بلاغات من الدول الأطراف والأفراد في أقرب وقت ممكن</w:t>
      </w:r>
      <w:r w:rsidRPr="00A13CDF">
        <w:rPr>
          <w:rFonts w:eastAsiaTheme="minorEastAsia"/>
          <w:b/>
          <w:rtl/>
        </w:rPr>
        <w:t>.</w:t>
      </w:r>
    </w:p>
    <w:p w14:paraId="761BF6FA" w14:textId="77777777" w:rsidR="00BB3044" w:rsidRPr="00A13CDF" w:rsidRDefault="00BB3044" w:rsidP="00BB3044">
      <w:pPr>
        <w:pStyle w:val="H23GA"/>
        <w:rPr>
          <w:lang w:val="en-US" w:eastAsia="zh-TW" w:bidi="en-GB"/>
        </w:rPr>
      </w:pPr>
      <w:r w:rsidRPr="00A13CDF">
        <w:rPr>
          <w:rtl/>
        </w:rPr>
        <w:tab/>
      </w:r>
      <w:r w:rsidRPr="00A13CDF">
        <w:rPr>
          <w:rtl/>
        </w:rPr>
        <w:tab/>
        <w:t>التصديق على الصكوك ذات الصلة</w:t>
      </w:r>
    </w:p>
    <w:p w14:paraId="29DEC1C5" w14:textId="34660530" w:rsidR="00BB3044" w:rsidRPr="00A13CDF" w:rsidRDefault="00BB3044" w:rsidP="00BB3044">
      <w:pPr>
        <w:pStyle w:val="SingleTxtGA"/>
        <w:rPr>
          <w:rFonts w:eastAsiaTheme="minorEastAsia"/>
          <w:bCs/>
          <w:lang w:val="ar-SA" w:eastAsia="zh-TW" w:bidi="en-GB"/>
        </w:rPr>
      </w:pPr>
      <w:r w:rsidRPr="00A13CDF">
        <w:rPr>
          <w:rFonts w:eastAsiaTheme="minorEastAsia"/>
          <w:rtl/>
        </w:rPr>
        <w:t>18</w:t>
      </w:r>
      <w:r w:rsidRPr="00BB3044">
        <w:rPr>
          <w:rFonts w:eastAsiaTheme="minorEastAsia"/>
          <w:rtl/>
        </w:rPr>
        <w:t>-</w:t>
      </w:r>
      <w:r w:rsidRPr="00BB3044">
        <w:rPr>
          <w:rFonts w:eastAsiaTheme="minorEastAsia"/>
          <w:rtl/>
        </w:rPr>
        <w:tab/>
      </w:r>
      <w:r w:rsidRPr="00A13CDF">
        <w:rPr>
          <w:rFonts w:eastAsiaTheme="minorEastAsia"/>
          <w:bCs/>
          <w:rtl/>
        </w:rPr>
        <w:t>تكرر اللجنة تأكيد توصيتها السابقة</w:t>
      </w:r>
      <w:r w:rsidR="00C44303" w:rsidRPr="00A13CDF">
        <w:rPr>
          <w:rStyle w:val="FootnoteReference"/>
          <w:rFonts w:eastAsiaTheme="minorEastAsia"/>
          <w:b/>
          <w:szCs w:val="22"/>
          <w:rtl/>
        </w:rPr>
        <w:t>(</w:t>
      </w:r>
      <w:r w:rsidR="00C44303" w:rsidRPr="00A13CDF">
        <w:rPr>
          <w:rStyle w:val="FootnoteReference"/>
          <w:rFonts w:eastAsiaTheme="minorEastAsia"/>
          <w:b/>
          <w:szCs w:val="22"/>
          <w:lang w:val="en-US"/>
        </w:rPr>
        <w:footnoteReference w:id="7"/>
      </w:r>
      <w:r w:rsidR="00C44303" w:rsidRPr="00A13CDF">
        <w:rPr>
          <w:rFonts w:eastAsiaTheme="minorEastAsia" w:hint="cs"/>
          <w:b/>
          <w:vertAlign w:val="superscript"/>
          <w:rtl/>
        </w:rPr>
        <w:t>)</w:t>
      </w:r>
      <w:r w:rsidR="00C44303" w:rsidRPr="00A13CDF">
        <w:rPr>
          <w:rFonts w:eastAsiaTheme="minorEastAsia" w:hint="cs"/>
          <w:bCs/>
          <w:rtl/>
        </w:rPr>
        <w:t xml:space="preserve">. </w:t>
      </w:r>
      <w:r w:rsidRPr="00A13CDF">
        <w:rPr>
          <w:rFonts w:eastAsiaTheme="minorEastAsia"/>
          <w:bCs/>
          <w:rtl/>
        </w:rPr>
        <w:t>وتشجع الدولة الطرف على التصديق على اتفاقية منظمة العمل الدولية بشأن العمال المهاجرين (مراجعة)،</w:t>
      </w:r>
      <w:r w:rsidR="000E775F" w:rsidRPr="00A13CDF">
        <w:rPr>
          <w:rFonts w:eastAsiaTheme="minorEastAsia" w:hint="cs"/>
          <w:bCs/>
          <w:rtl/>
        </w:rPr>
        <w:t xml:space="preserve"> </w:t>
      </w:r>
      <w:r w:rsidRPr="00A13CDF">
        <w:rPr>
          <w:rFonts w:eastAsiaTheme="minorEastAsia"/>
          <w:bCs/>
          <w:rtl/>
        </w:rPr>
        <w:t>1949 (رقم 97)، واتفاقية منظمة العمل الدولية بشأن العمال المهاجرين (الأحكام التكميلية)، 1975 (رقم 143)، واتفاقية منظمة العمل الدولية بشأن وكالات الاستخدام الخاصة، 1997 (رقم 181)، واتفاقية منظمة العمل الدولية بشأن القضاء على العنف والتحرش في عالم العمل، 2019 (رقم 190) في أقرب وقت ممكن.</w:t>
      </w:r>
      <w:bookmarkStart w:id="7" w:name="_Hlk100582597"/>
    </w:p>
    <w:bookmarkEnd w:id="7"/>
    <w:p w14:paraId="61BC5A3D" w14:textId="77777777" w:rsidR="00BB3044" w:rsidRPr="00A13CDF" w:rsidRDefault="00BB3044" w:rsidP="00BB3044">
      <w:pPr>
        <w:pStyle w:val="H23GA"/>
        <w:rPr>
          <w:lang w:val="ar-SA" w:eastAsia="zh-TW" w:bidi="en-GB"/>
        </w:rPr>
      </w:pPr>
      <w:r w:rsidRPr="00A13CDF">
        <w:rPr>
          <w:rtl/>
        </w:rPr>
        <w:tab/>
      </w:r>
      <w:r w:rsidRPr="00A13CDF">
        <w:rPr>
          <w:rtl/>
        </w:rPr>
        <w:tab/>
        <w:t>السياسة والاستراتيجية</w:t>
      </w:r>
    </w:p>
    <w:p w14:paraId="11DEAE6E" w14:textId="77777777" w:rsidR="00BB3044" w:rsidRPr="00BB3044" w:rsidRDefault="00BB3044" w:rsidP="00BB3044">
      <w:pPr>
        <w:pStyle w:val="SingleTxtGA"/>
        <w:rPr>
          <w:rFonts w:eastAsiaTheme="minorEastAsia"/>
          <w:lang w:val="ar-SA" w:eastAsia="zh-TW" w:bidi="en-GB"/>
        </w:rPr>
      </w:pPr>
      <w:r w:rsidRPr="00A13CDF">
        <w:rPr>
          <w:rFonts w:eastAsiaTheme="minorEastAsia"/>
          <w:rtl/>
        </w:rPr>
        <w:t>19</w:t>
      </w:r>
      <w:r w:rsidRPr="00BB3044">
        <w:rPr>
          <w:rFonts w:eastAsiaTheme="minorEastAsia"/>
          <w:rtl/>
        </w:rPr>
        <w:t>-</w:t>
      </w:r>
      <w:r w:rsidRPr="00BB3044">
        <w:rPr>
          <w:rFonts w:eastAsiaTheme="minorEastAsia"/>
          <w:rtl/>
        </w:rPr>
        <w:tab/>
        <w:t>تلاحظ اللجنة بقلق الافتقار لأيّ استراتيجيّة ترتبط مباشرة بتنفيذ الاتفاقية، رغم أنّ وجود وتنفيذ مثل هذه الاستراتيجيّة يمكّن المهاجرين من التمتّع بحقوقهم.</w:t>
      </w:r>
    </w:p>
    <w:p w14:paraId="26D66464" w14:textId="7D670058" w:rsidR="00BB3044" w:rsidRPr="00A13CDF" w:rsidRDefault="00BB3044" w:rsidP="00BB3044">
      <w:pPr>
        <w:pStyle w:val="SingleTxtGA"/>
        <w:rPr>
          <w:rFonts w:eastAsiaTheme="minorEastAsia"/>
          <w:bCs/>
          <w:lang w:val="ar-SA" w:eastAsia="zh-TW" w:bidi="en-GB"/>
        </w:rPr>
      </w:pPr>
      <w:r w:rsidRPr="00A13CDF">
        <w:rPr>
          <w:rFonts w:eastAsiaTheme="minorEastAsia"/>
          <w:rtl/>
        </w:rPr>
        <w:t>20</w:t>
      </w:r>
      <w:r w:rsidRPr="00BB3044">
        <w:rPr>
          <w:rFonts w:eastAsiaTheme="minorEastAsia"/>
          <w:rtl/>
        </w:rPr>
        <w:t>-</w:t>
      </w:r>
      <w:r w:rsidRPr="00BB3044">
        <w:rPr>
          <w:rFonts w:eastAsiaTheme="minorEastAsia"/>
          <w:rtl/>
        </w:rPr>
        <w:tab/>
      </w:r>
      <w:r w:rsidRPr="00A13CDF">
        <w:rPr>
          <w:rFonts w:eastAsiaTheme="minorEastAsia"/>
          <w:bCs/>
          <w:rtl/>
        </w:rPr>
        <w:t>وتوصي اللجنة الدولة الطرف بتوفير الموارد البشرية والتقنية والمالية اللازمة للوفاء بفعالية بالالتزامات المتعهد بها في الخطة الوطنية لحقوق الإنسان فيما يتعلق بحقوق العمال المهاجرين وأفراد أسرهم، تمشي</w:t>
      </w:r>
      <w:r w:rsidR="000E775F" w:rsidRPr="00A13CDF">
        <w:rPr>
          <w:rFonts w:eastAsiaTheme="minorEastAsia"/>
          <w:bCs/>
          <w:rtl/>
        </w:rPr>
        <w:t xml:space="preserve">اً </w:t>
      </w:r>
      <w:r w:rsidRPr="00A13CDF">
        <w:rPr>
          <w:rFonts w:eastAsiaTheme="minorEastAsia"/>
          <w:bCs/>
          <w:rtl/>
        </w:rPr>
        <w:t>مع التزاماتها بموجب الاتفاقية. كما توصي اللجنة بأن تضع الدولة الطرف استراتيجية تتصل اتصال</w:t>
      </w:r>
      <w:r w:rsidR="000E775F" w:rsidRPr="00A13CDF">
        <w:rPr>
          <w:rFonts w:eastAsiaTheme="minorEastAsia"/>
          <w:bCs/>
          <w:rtl/>
        </w:rPr>
        <w:t xml:space="preserve">اً </w:t>
      </w:r>
      <w:r w:rsidRPr="00A13CDF">
        <w:rPr>
          <w:rFonts w:eastAsiaTheme="minorEastAsia"/>
          <w:bCs/>
          <w:rtl/>
        </w:rPr>
        <w:t>مباشر</w:t>
      </w:r>
      <w:r w:rsidR="000E775F" w:rsidRPr="00A13CDF">
        <w:rPr>
          <w:rFonts w:eastAsiaTheme="minorEastAsia"/>
          <w:bCs/>
          <w:rtl/>
        </w:rPr>
        <w:t xml:space="preserve">اً </w:t>
      </w:r>
      <w:r w:rsidRPr="00A13CDF">
        <w:rPr>
          <w:rFonts w:eastAsiaTheme="minorEastAsia"/>
          <w:bCs/>
          <w:rtl/>
        </w:rPr>
        <w:t>بتنفيذ الاتفاقية وأن تكفل رصدها وأن تتاح المعلومات في هذا الصدد بطريقة منهجية ومركزة وواضحة.</w:t>
      </w:r>
    </w:p>
    <w:p w14:paraId="09D60D2C" w14:textId="5128D127" w:rsidR="00BB3044" w:rsidRPr="00A13CDF" w:rsidRDefault="00BB3044" w:rsidP="00BB3044">
      <w:pPr>
        <w:pStyle w:val="H23GA"/>
        <w:rPr>
          <w:lang w:val="ar-SA" w:eastAsia="zh-TW" w:bidi="en-GB"/>
        </w:rPr>
      </w:pPr>
      <w:r w:rsidRPr="00A13CDF">
        <w:rPr>
          <w:rtl/>
        </w:rPr>
        <w:tab/>
      </w:r>
      <w:r w:rsidRPr="00A13CDF">
        <w:rPr>
          <w:rtl/>
        </w:rPr>
        <w:tab/>
        <w:t>التنسيق</w:t>
      </w:r>
    </w:p>
    <w:p w14:paraId="73C41757" w14:textId="38F4B4AD" w:rsidR="00BB3044" w:rsidRPr="00BB3044" w:rsidRDefault="00BB3044" w:rsidP="00BB3044">
      <w:pPr>
        <w:pStyle w:val="SingleTxtGA"/>
        <w:rPr>
          <w:rFonts w:eastAsiaTheme="minorEastAsia"/>
          <w:lang w:val="ar-SA" w:eastAsia="zh-TW" w:bidi="en-GB"/>
        </w:rPr>
      </w:pPr>
      <w:r w:rsidRPr="00A13CDF">
        <w:rPr>
          <w:rFonts w:eastAsiaTheme="minorEastAsia"/>
          <w:rtl/>
        </w:rPr>
        <w:t>21</w:t>
      </w:r>
      <w:r w:rsidRPr="00BB3044">
        <w:rPr>
          <w:rFonts w:eastAsiaTheme="minorEastAsia"/>
          <w:rtl/>
        </w:rPr>
        <w:t>-</w:t>
      </w:r>
      <w:r w:rsidRPr="00BB3044">
        <w:rPr>
          <w:rFonts w:eastAsiaTheme="minorEastAsia"/>
          <w:rtl/>
        </w:rPr>
        <w:tab/>
        <w:t>تحيط اللجنة علم</w:t>
      </w:r>
      <w:r w:rsidR="000E775F">
        <w:rPr>
          <w:rFonts w:eastAsiaTheme="minorEastAsia"/>
          <w:rtl/>
        </w:rPr>
        <w:t xml:space="preserve">اً </w:t>
      </w:r>
      <w:r w:rsidRPr="00BB3044">
        <w:rPr>
          <w:rFonts w:eastAsiaTheme="minorEastAsia"/>
          <w:rtl/>
        </w:rPr>
        <w:t>بالاتفاق ال</w:t>
      </w:r>
      <w:r w:rsidR="00CB00E7">
        <w:rPr>
          <w:rFonts w:eastAsiaTheme="minorEastAsia" w:hint="cs"/>
          <w:rtl/>
        </w:rPr>
        <w:t>إ</w:t>
      </w:r>
      <w:r w:rsidRPr="00BB3044">
        <w:rPr>
          <w:rFonts w:eastAsiaTheme="minorEastAsia"/>
          <w:rtl/>
        </w:rPr>
        <w:t>طاري المشترك بين المؤسسات لزيادة التنسيق بين المديرية العامة</w:t>
      </w:r>
      <w:r w:rsidR="00E1540A">
        <w:rPr>
          <w:rFonts w:eastAsiaTheme="minorEastAsia" w:hint="cs"/>
          <w:rtl/>
        </w:rPr>
        <w:t> </w:t>
      </w:r>
      <w:r w:rsidRPr="00BB3044">
        <w:rPr>
          <w:rFonts w:eastAsiaTheme="minorEastAsia"/>
          <w:rtl/>
        </w:rPr>
        <w:t xml:space="preserve">للهجرة ووزارة العمل والعمالة والضمان الاجتماعي ومعهد الضمان الاجتماعي والاتحاد الصناعي </w:t>
      </w:r>
      <w:r w:rsidRPr="00BB3044">
        <w:rPr>
          <w:rFonts w:eastAsiaTheme="minorEastAsia"/>
          <w:rtl/>
        </w:rPr>
        <w:lastRenderedPageBreak/>
        <w:t>في باراغواي، فيما يتعلق بالمهاجرين العاملين في الدولة الطرف. ومع ذلك، تعرب اللجنة عن قلقها إزاء نقص الموارد المالية والبشريّة، الذي تفاقم بسبب الجائحة، ممّا يعرقل مساعي التنسيق، والافتقار إلى كيان يضطلع بولاية أو سلطة</w:t>
      </w:r>
      <w:r>
        <w:rPr>
          <w:rFonts w:eastAsiaTheme="minorEastAsia"/>
          <w:rtl/>
        </w:rPr>
        <w:t xml:space="preserve"> </w:t>
      </w:r>
      <w:r w:rsidRPr="00BB3044">
        <w:rPr>
          <w:rFonts w:eastAsiaTheme="minorEastAsia"/>
          <w:rtl/>
        </w:rPr>
        <w:t>تنسيق عمليّة إنفاذ الحقوق المشمولة بحماية الاتّفاقيّة على جميع مستويات الحكم.</w:t>
      </w:r>
      <w:r>
        <w:rPr>
          <w:rFonts w:eastAsiaTheme="minorEastAsia"/>
          <w:rtl/>
        </w:rPr>
        <w:t xml:space="preserve"> </w:t>
      </w:r>
    </w:p>
    <w:p w14:paraId="44C053F3" w14:textId="6A23BC69" w:rsidR="00BB3044" w:rsidRPr="00A13CDF" w:rsidRDefault="00BB3044" w:rsidP="00BB3044">
      <w:pPr>
        <w:pStyle w:val="SingleTxtGA"/>
        <w:rPr>
          <w:rFonts w:eastAsiaTheme="minorEastAsia"/>
          <w:b/>
          <w:bCs/>
          <w:lang w:val="ar-SA" w:eastAsia="zh-TW" w:bidi="en-GB"/>
        </w:rPr>
      </w:pPr>
      <w:r w:rsidRPr="00A13CDF">
        <w:rPr>
          <w:rFonts w:eastAsiaTheme="minorEastAsia"/>
          <w:rtl/>
        </w:rPr>
        <w:t>22</w:t>
      </w:r>
      <w:r w:rsidRPr="00BB3044">
        <w:rPr>
          <w:rFonts w:eastAsiaTheme="minorEastAsia"/>
          <w:rtl/>
        </w:rPr>
        <w:t>-</w:t>
      </w:r>
      <w:r w:rsidRPr="00BB3044">
        <w:rPr>
          <w:rFonts w:eastAsiaTheme="minorEastAsia"/>
          <w:rtl/>
        </w:rPr>
        <w:tab/>
      </w:r>
      <w:r w:rsidRPr="00A13CDF">
        <w:rPr>
          <w:rFonts w:eastAsiaTheme="minorEastAsia"/>
          <w:b/>
          <w:bCs/>
          <w:rtl/>
        </w:rPr>
        <w:t>وتجدد اللجنة تأكيد توصيتها</w:t>
      </w:r>
      <w:r w:rsidR="00C44303" w:rsidRPr="00CB00E7">
        <w:rPr>
          <w:rStyle w:val="FootnoteReference"/>
          <w:rFonts w:eastAsiaTheme="minorEastAsia"/>
          <w:szCs w:val="22"/>
          <w:rtl/>
        </w:rPr>
        <w:t>(</w:t>
      </w:r>
      <w:r w:rsidR="00C44303" w:rsidRPr="00A13CDF">
        <w:rPr>
          <w:rStyle w:val="FootnoteReference"/>
          <w:rFonts w:eastAsiaTheme="minorEastAsia"/>
          <w:szCs w:val="22"/>
          <w:lang w:val="en-US"/>
        </w:rPr>
        <w:footnoteReference w:id="8"/>
      </w:r>
      <w:r w:rsidR="00C44303" w:rsidRPr="00E1540A">
        <w:rPr>
          <w:rFonts w:eastAsiaTheme="minorEastAsia" w:hint="cs"/>
          <w:vertAlign w:val="superscript"/>
          <w:rtl/>
        </w:rPr>
        <w:t>)</w:t>
      </w:r>
      <w:r w:rsidR="00C44303" w:rsidRPr="00A13CDF">
        <w:rPr>
          <w:rFonts w:eastAsiaTheme="minorEastAsia" w:hint="cs"/>
          <w:b/>
          <w:bCs/>
          <w:rtl/>
        </w:rPr>
        <w:t xml:space="preserve"> </w:t>
      </w:r>
      <w:r w:rsidRPr="00A13CDF">
        <w:rPr>
          <w:rFonts w:eastAsiaTheme="minorEastAsia"/>
          <w:b/>
          <w:bCs/>
          <w:rtl/>
        </w:rPr>
        <w:t>الداعية إلى أن تعزز الدولة الطرف هيكلها المؤسسي لمعالجة المسائل المتصلة بالهجرة، عن طريق إنشاء آليات والمشاركة في بناء القدرات في مختلف الكيانات التي تنسق العمل بشأن هذه المسائل، وتوصي بأن تُنشئ الدولة الطرف هيئة مناسبة رفيعة المستوى مشتركة بين الوزارات تتمتع بولاية واضحة وسلطة كافية لتنسيق جميع السياسات المتعلقة بحقوق العمال المهاجرين والأنشطة المتصلة بتنفيذ الاتفاقية.</w:t>
      </w:r>
    </w:p>
    <w:p w14:paraId="2161681F" w14:textId="77777777" w:rsidR="00BB3044" w:rsidRPr="00A13CDF" w:rsidRDefault="00BB3044" w:rsidP="00BB3044">
      <w:pPr>
        <w:pStyle w:val="H23GA"/>
        <w:rPr>
          <w:lang w:val="ar-SA" w:eastAsia="zh-TW" w:bidi="en-GB"/>
        </w:rPr>
      </w:pPr>
      <w:bookmarkStart w:id="8" w:name="_Hlk5180366"/>
      <w:r w:rsidRPr="00A13CDF">
        <w:rPr>
          <w:rtl/>
        </w:rPr>
        <w:tab/>
      </w:r>
      <w:r w:rsidRPr="00A13CDF">
        <w:rPr>
          <w:rtl/>
        </w:rPr>
        <w:tab/>
        <w:t>جمع البيانات</w:t>
      </w:r>
    </w:p>
    <w:p w14:paraId="30E434BF" w14:textId="3F15BD09" w:rsidR="00BB3044" w:rsidRPr="00BB3044" w:rsidRDefault="00BB3044" w:rsidP="000E775F">
      <w:pPr>
        <w:pStyle w:val="SingleTxtGA"/>
        <w:tabs>
          <w:tab w:val="right" w:pos="3827"/>
        </w:tabs>
        <w:rPr>
          <w:rFonts w:eastAsiaTheme="minorEastAsia"/>
          <w:lang w:val="ar-SA" w:eastAsia="zh-TW" w:bidi="en-GB"/>
        </w:rPr>
      </w:pPr>
      <w:r w:rsidRPr="00A13CDF">
        <w:rPr>
          <w:rFonts w:eastAsiaTheme="minorEastAsia"/>
          <w:rtl/>
        </w:rPr>
        <w:t>23</w:t>
      </w:r>
      <w:r w:rsidRPr="00BB3044">
        <w:rPr>
          <w:rFonts w:eastAsiaTheme="minorEastAsia"/>
          <w:rtl/>
        </w:rPr>
        <w:t>-</w:t>
      </w:r>
      <w:r w:rsidRPr="00BB3044">
        <w:rPr>
          <w:rFonts w:eastAsiaTheme="minorEastAsia"/>
          <w:rtl/>
        </w:rPr>
        <w:tab/>
        <w:t>تقر اللجنة بمبادرات الدولة الطرف الرامية إلى تنظيم قرارات هيئات معاهدات حقوق الإنسان ومتابعتها، مثل نظام متابعة التوصيات (</w:t>
      </w:r>
      <w:r w:rsidRPr="00BB3044">
        <w:rPr>
          <w:rFonts w:eastAsiaTheme="minorEastAsia"/>
        </w:rPr>
        <w:t>SIMORE Plus</w:t>
      </w:r>
      <w:r w:rsidRPr="00BB3044">
        <w:rPr>
          <w:rFonts w:eastAsiaTheme="minorEastAsia"/>
          <w:rtl/>
        </w:rPr>
        <w:t xml:space="preserve"> ومنصة </w:t>
      </w:r>
      <w:r w:rsidRPr="00BB3044">
        <w:rPr>
          <w:rFonts w:eastAsiaTheme="minorEastAsia"/>
        </w:rPr>
        <w:t>OSC-Plus</w:t>
      </w:r>
      <w:r w:rsidRPr="00BB3044">
        <w:rPr>
          <w:rFonts w:eastAsiaTheme="minorEastAsia"/>
          <w:rtl/>
        </w:rPr>
        <w:t>). إلاّ أنها تشعر بالقلق إزاء العدد المنخفض لمنظمات المجتمع المدني التي تشارك في النظام والحواجز التكنولوجية التي تحول دون استخدامه.</w:t>
      </w:r>
      <w:bookmarkStart w:id="9" w:name="_Hlk100230861"/>
      <w:bookmarkEnd w:id="9"/>
    </w:p>
    <w:p w14:paraId="3DC841CD" w14:textId="13CDFEA7" w:rsidR="00BB3044" w:rsidRPr="00BB3044" w:rsidRDefault="00BB3044" w:rsidP="00BB3044">
      <w:pPr>
        <w:pStyle w:val="SingleTxtGA"/>
        <w:rPr>
          <w:rFonts w:eastAsiaTheme="minorEastAsia"/>
          <w:lang w:val="en-US" w:eastAsia="zh-TW" w:bidi="en-GB"/>
        </w:rPr>
      </w:pPr>
      <w:r w:rsidRPr="00A13CDF">
        <w:rPr>
          <w:rFonts w:eastAsiaTheme="minorEastAsia"/>
          <w:rtl/>
        </w:rPr>
        <w:t>24</w:t>
      </w:r>
      <w:r w:rsidRPr="00BB3044">
        <w:rPr>
          <w:rFonts w:eastAsiaTheme="minorEastAsia"/>
          <w:rtl/>
        </w:rPr>
        <w:t>-</w:t>
      </w:r>
      <w:r w:rsidRPr="00BB3044">
        <w:rPr>
          <w:rFonts w:eastAsiaTheme="minorEastAsia"/>
          <w:rtl/>
        </w:rPr>
        <w:tab/>
        <w:t>وتأسف اللجنة بخاصّة لعدم وجود معلومات وإحصاءات مفصلة تمكّن من إجراء تحليل تاريخي ومقارن لإنفاذ الدولة الطرف للحقوق المكرسة في الاتفاقية. وتحيط اللجنة علم</w:t>
      </w:r>
      <w:r w:rsidR="000E775F">
        <w:rPr>
          <w:rFonts w:eastAsiaTheme="minorEastAsia"/>
          <w:rtl/>
        </w:rPr>
        <w:t xml:space="preserve">اً </w:t>
      </w:r>
      <w:r w:rsidRPr="00BB3044">
        <w:rPr>
          <w:rFonts w:eastAsiaTheme="minorEastAsia"/>
          <w:rtl/>
        </w:rPr>
        <w:t xml:space="preserve">بنقص المعلومات الخاصّة ببعض المسائل المتصلة بالهجرة، مثل حالة </w:t>
      </w:r>
      <w:r w:rsidRPr="00A13CDF">
        <w:rPr>
          <w:rFonts w:eastAsiaTheme="minorEastAsia"/>
          <w:rtl/>
        </w:rPr>
        <w:t>الباراغويين</w:t>
      </w:r>
      <w:r w:rsidRPr="00BB3044">
        <w:rPr>
          <w:rFonts w:eastAsiaTheme="minorEastAsia"/>
          <w:rtl/>
        </w:rPr>
        <w:t xml:space="preserve"> في الخارج، نظر</w:t>
      </w:r>
      <w:r w:rsidR="000E775F">
        <w:rPr>
          <w:rFonts w:eastAsiaTheme="minorEastAsia"/>
          <w:rtl/>
        </w:rPr>
        <w:t xml:space="preserve">اً </w:t>
      </w:r>
      <w:r w:rsidRPr="00BB3044">
        <w:rPr>
          <w:rFonts w:eastAsiaTheme="minorEastAsia"/>
          <w:rtl/>
        </w:rPr>
        <w:t>لعدم توافر معلومات محددة عن وضعهم الوظيفي وظروف عملهم، ووضعيّة المهاجرين في بلدان المرور العابر؛ وعمليّة رصد العائدين وتقديم الدعم لهم بعد وصولهم. وتأسف اللجنة لأن الأسئلة ذات الصلة بالأسباب التي تدفع الناس إلى الهجرة، وبالجنسية، لن تُدرج في التعداد الوطني المقبل.</w:t>
      </w:r>
    </w:p>
    <w:p w14:paraId="46913B13" w14:textId="6BDABC80" w:rsidR="00BB3044" w:rsidRPr="00A13CDF" w:rsidRDefault="00BB3044" w:rsidP="00BB3044">
      <w:pPr>
        <w:pStyle w:val="SingleTxtGA"/>
        <w:rPr>
          <w:rFonts w:eastAsiaTheme="minorEastAsia"/>
          <w:b/>
        </w:rPr>
      </w:pPr>
      <w:r w:rsidRPr="00A13CDF">
        <w:rPr>
          <w:rFonts w:eastAsiaTheme="minorEastAsia"/>
          <w:rtl/>
        </w:rPr>
        <w:t>25</w:t>
      </w:r>
      <w:r w:rsidRPr="00BB3044">
        <w:rPr>
          <w:rFonts w:eastAsiaTheme="minorEastAsia"/>
          <w:rtl/>
        </w:rPr>
        <w:t>-</w:t>
      </w:r>
      <w:r w:rsidRPr="00BB3044">
        <w:rPr>
          <w:rFonts w:eastAsiaTheme="minorEastAsia"/>
          <w:rtl/>
        </w:rPr>
        <w:tab/>
      </w:r>
      <w:r w:rsidRPr="00A13CDF">
        <w:rPr>
          <w:rFonts w:eastAsiaTheme="minorEastAsia"/>
          <w:bCs/>
          <w:rtl/>
        </w:rPr>
        <w:t>وتجدد اللّجنة التأكيد على توصيتها السابقة</w:t>
      </w:r>
      <w:r w:rsidR="00C44303" w:rsidRPr="00A13CDF">
        <w:rPr>
          <w:rStyle w:val="FootnoteReference"/>
          <w:rFonts w:eastAsiaTheme="minorEastAsia"/>
          <w:b/>
          <w:szCs w:val="22"/>
          <w:rtl/>
        </w:rPr>
        <w:t>(</w:t>
      </w:r>
      <w:r w:rsidR="00C44303" w:rsidRPr="00A13CDF">
        <w:rPr>
          <w:rStyle w:val="FootnoteReference"/>
          <w:rFonts w:eastAsiaTheme="minorEastAsia"/>
          <w:b/>
          <w:szCs w:val="22"/>
          <w:lang w:val="en-US"/>
        </w:rPr>
        <w:footnoteReference w:id="9"/>
      </w:r>
      <w:r w:rsidR="00C44303" w:rsidRPr="00A13CDF">
        <w:rPr>
          <w:rFonts w:eastAsiaTheme="minorEastAsia" w:hint="cs"/>
          <w:b/>
          <w:vertAlign w:val="superscript"/>
          <w:rtl/>
        </w:rPr>
        <w:t>)</w:t>
      </w:r>
      <w:r w:rsidR="00C44303" w:rsidRPr="00A13CDF">
        <w:rPr>
          <w:rFonts w:eastAsiaTheme="minorEastAsia" w:hint="cs"/>
          <w:bCs/>
          <w:rtl/>
        </w:rPr>
        <w:t xml:space="preserve"> </w:t>
      </w:r>
      <w:r w:rsidRPr="00A13CDF">
        <w:rPr>
          <w:rFonts w:eastAsiaTheme="minorEastAsia"/>
          <w:bCs/>
          <w:rtl/>
        </w:rPr>
        <w:t>وتوصي الدولة الطرف، وفقاً للغاية 17-18 من أهداف التنمية المستدامة واتّباع</w:t>
      </w:r>
      <w:r w:rsidR="000E775F" w:rsidRPr="00A13CDF">
        <w:rPr>
          <w:rFonts w:eastAsiaTheme="minorEastAsia"/>
          <w:bCs/>
          <w:rtl/>
        </w:rPr>
        <w:t xml:space="preserve">اً </w:t>
      </w:r>
      <w:r w:rsidRPr="00A13CDF">
        <w:rPr>
          <w:rFonts w:eastAsiaTheme="minorEastAsia"/>
          <w:bCs/>
          <w:rtl/>
        </w:rPr>
        <w:t>لنهج قائم على حقوق الانسان والمساواة بين الجنسين وعدم التمييز، بإنشاء نظام لجمع البيانات ذات الصلة بأوضاع العمّال المهاجرين في الدولة الطرف بطريقة منهجية وتوفير إحصاءات متاحة للعامّة عن المهاجرين من حاملي الوثائق اللازمة أو من غير الحاملين لها، وعن العمال المهاجرين في بلدان المرور العابر، والمواطنين العاملين في الخارج؛ ووضع وصف عام يتعلق بالعائدين وتوفير إحصاءات مصنَّفة عن العمال المهاجرين من ضحايا العنف أو</w:t>
      </w:r>
      <w:r w:rsidR="006F642D" w:rsidRPr="00A13CDF">
        <w:rPr>
          <w:rFonts w:eastAsiaTheme="minorEastAsia" w:hint="cs"/>
          <w:bCs/>
          <w:rtl/>
        </w:rPr>
        <w:t> </w:t>
      </w:r>
      <w:r w:rsidRPr="00A13CDF">
        <w:rPr>
          <w:rFonts w:eastAsiaTheme="minorEastAsia"/>
          <w:bCs/>
          <w:rtl/>
        </w:rPr>
        <w:t>الاتجار أو الاستغلال؛ وإعداد سجل للعمال المهاجرين في الدولة الطرف والقطاعات التي يعملون فيها. وتوصي اللّجنة الدولة الطرف بضمان حماية المعلومات الشخصية للعمال المهاجرين وأسرهم، بحيث لا يتم استخدام البيانات الشخصية لغرض الحد من الهجرة أو كأساس للتمييز في تقديم الخدمات العامة والخاصة. وتوصي اللجنة أيض</w:t>
      </w:r>
      <w:r w:rsidR="000E775F" w:rsidRPr="00A13CDF">
        <w:rPr>
          <w:rFonts w:eastAsiaTheme="minorEastAsia"/>
          <w:bCs/>
          <w:rtl/>
        </w:rPr>
        <w:t xml:space="preserve">اً </w:t>
      </w:r>
      <w:r w:rsidRPr="00A13CDF">
        <w:rPr>
          <w:rFonts w:eastAsiaTheme="minorEastAsia"/>
          <w:bCs/>
          <w:rtl/>
        </w:rPr>
        <w:t>بأن تقدم الدولة الطرف معلومات عن وضع المهاجرين فيها مصنفة حسب الجنسية والبلد الأصلي.</w:t>
      </w:r>
    </w:p>
    <w:p w14:paraId="4C942D6E" w14:textId="417E7741" w:rsidR="00BB3044" w:rsidRPr="00A13CDF" w:rsidRDefault="00BB3044" w:rsidP="00BB3044">
      <w:pPr>
        <w:pStyle w:val="H23GA"/>
        <w:rPr>
          <w:lang w:val="ar-SA" w:eastAsia="zh-TW" w:bidi="en-GB"/>
        </w:rPr>
      </w:pPr>
      <w:r w:rsidRPr="00A13CDF">
        <w:rPr>
          <w:rtl/>
        </w:rPr>
        <w:tab/>
      </w:r>
      <w:r w:rsidRPr="00A13CDF">
        <w:rPr>
          <w:rtl/>
        </w:rPr>
        <w:tab/>
        <w:t>الرصد المستقل</w:t>
      </w:r>
    </w:p>
    <w:p w14:paraId="6B9FB385" w14:textId="7AD7C316" w:rsidR="00BB3044" w:rsidRPr="00BB3044" w:rsidRDefault="00BB3044" w:rsidP="00BB3044">
      <w:pPr>
        <w:pStyle w:val="SingleTxtGA"/>
        <w:rPr>
          <w:rFonts w:eastAsiaTheme="minorEastAsia"/>
          <w:lang w:val="ar-SA" w:eastAsia="zh-TW" w:bidi="en-GB"/>
        </w:rPr>
      </w:pPr>
      <w:r w:rsidRPr="00A13CDF">
        <w:rPr>
          <w:rFonts w:eastAsiaTheme="minorEastAsia"/>
          <w:rtl/>
        </w:rPr>
        <w:t>26</w:t>
      </w:r>
      <w:r w:rsidRPr="00BB3044">
        <w:rPr>
          <w:rFonts w:eastAsiaTheme="minorEastAsia"/>
          <w:rtl/>
        </w:rPr>
        <w:t>-</w:t>
      </w:r>
      <w:r w:rsidRPr="00BB3044">
        <w:rPr>
          <w:rFonts w:eastAsiaTheme="minorEastAsia"/>
          <w:rtl/>
        </w:rPr>
        <w:tab/>
        <w:t>يتسم عمل المؤسسات الوطنية لحقوق الإنسان بأهمية بالغة في حماية حقوق الإنسان على الصعيد الوطني. ويساور اللجنة القلق لأن مكتب أمين المظالم لا يمتثل إلا جزئي</w:t>
      </w:r>
      <w:r w:rsidR="000E775F">
        <w:rPr>
          <w:rFonts w:eastAsiaTheme="minorEastAsia"/>
          <w:rtl/>
        </w:rPr>
        <w:t xml:space="preserve">اً </w:t>
      </w:r>
      <w:r w:rsidRPr="00BB3044">
        <w:rPr>
          <w:rFonts w:eastAsiaTheme="minorEastAsia"/>
          <w:rtl/>
        </w:rPr>
        <w:t xml:space="preserve">للمبادئ المتعلقة بمركز </w:t>
      </w:r>
      <w:r w:rsidRPr="00BB3044">
        <w:rPr>
          <w:rFonts w:eastAsiaTheme="minorEastAsia"/>
          <w:rtl/>
        </w:rPr>
        <w:lastRenderedPageBreak/>
        <w:t>المؤسسات الوطنية لتعزيز وحماية حقوق الإنسان (مبادئ باريس) ولم ينفذ بعد توصيات اللجنة الفرعية المعنية بالاعتماد.</w:t>
      </w:r>
    </w:p>
    <w:p w14:paraId="68B6D7FF" w14:textId="1842147F" w:rsidR="00BB3044" w:rsidRPr="00A13CDF" w:rsidRDefault="00BB3044" w:rsidP="00BB3044">
      <w:pPr>
        <w:pStyle w:val="SingleTxtGA"/>
        <w:rPr>
          <w:rFonts w:eastAsiaTheme="minorEastAsia"/>
          <w:bCs/>
          <w:lang w:val="ar-SA" w:eastAsia="zh-TW" w:bidi="en-GB"/>
        </w:rPr>
      </w:pPr>
      <w:r w:rsidRPr="00A13CDF">
        <w:rPr>
          <w:rFonts w:eastAsiaTheme="minorEastAsia"/>
          <w:rtl/>
        </w:rPr>
        <w:t>27</w:t>
      </w:r>
      <w:r w:rsidRPr="00BB3044">
        <w:rPr>
          <w:rFonts w:eastAsiaTheme="minorEastAsia"/>
          <w:rtl/>
        </w:rPr>
        <w:t>-</w:t>
      </w:r>
      <w:r w:rsidRPr="00BB3044">
        <w:rPr>
          <w:rFonts w:eastAsiaTheme="minorEastAsia"/>
          <w:rtl/>
        </w:rPr>
        <w:tab/>
      </w:r>
      <w:r w:rsidRPr="00A13CDF">
        <w:rPr>
          <w:rFonts w:eastAsiaTheme="minorEastAsia"/>
          <w:bCs/>
          <w:rtl/>
        </w:rPr>
        <w:t>وتوصي اللجنة بتعزيز استقلال مكتب أمين المظالم وعملياته وميزانيته، وفق</w:t>
      </w:r>
      <w:r w:rsidR="000E775F" w:rsidRPr="00A13CDF">
        <w:rPr>
          <w:rFonts w:eastAsiaTheme="minorEastAsia"/>
          <w:bCs/>
          <w:rtl/>
        </w:rPr>
        <w:t xml:space="preserve">اً </w:t>
      </w:r>
      <w:r w:rsidRPr="00A13CDF">
        <w:rPr>
          <w:rFonts w:eastAsiaTheme="minorEastAsia"/>
          <w:bCs/>
          <w:rtl/>
        </w:rPr>
        <w:t>لمبادئ باريس، حتّى يكون في موقع أفضل لرصد الحماية الفعالة لحقوق جميع العمال المهاجرين وأفراد أسرهم بموجب</w:t>
      </w:r>
      <w:r w:rsidR="00E86934" w:rsidRPr="00A13CDF">
        <w:rPr>
          <w:rFonts w:eastAsiaTheme="minorEastAsia" w:hint="cs"/>
          <w:bCs/>
          <w:rtl/>
        </w:rPr>
        <w:t> </w:t>
      </w:r>
      <w:r w:rsidRPr="00A13CDF">
        <w:rPr>
          <w:rFonts w:eastAsiaTheme="minorEastAsia"/>
          <w:bCs/>
          <w:rtl/>
        </w:rPr>
        <w:t>الاتفاقية.</w:t>
      </w:r>
    </w:p>
    <w:p w14:paraId="49893404" w14:textId="77777777" w:rsidR="00BB3044" w:rsidRPr="00A13CDF" w:rsidRDefault="00BB3044" w:rsidP="00BB3044">
      <w:pPr>
        <w:pStyle w:val="H23GA"/>
        <w:rPr>
          <w:lang w:val="en-US" w:eastAsia="zh-TW" w:bidi="en-GB"/>
        </w:rPr>
      </w:pPr>
      <w:r w:rsidRPr="00A13CDF">
        <w:rPr>
          <w:rtl/>
        </w:rPr>
        <w:tab/>
      </w:r>
      <w:r w:rsidRPr="00A13CDF">
        <w:rPr>
          <w:rtl/>
        </w:rPr>
        <w:tab/>
        <w:t>التدريب في مجال الاتفاقية ونشر المعلومات المتعلقة بها</w:t>
      </w:r>
    </w:p>
    <w:p w14:paraId="2F9D6A40" w14:textId="6C049C5A" w:rsidR="00BB3044" w:rsidRPr="00BB3044" w:rsidRDefault="00BB3044" w:rsidP="00BB3044">
      <w:pPr>
        <w:pStyle w:val="SingleTxtGA"/>
        <w:rPr>
          <w:rFonts w:eastAsiaTheme="minorEastAsia"/>
          <w:lang w:val="ar-SA" w:eastAsia="zh-TW" w:bidi="en-GB"/>
        </w:rPr>
      </w:pPr>
      <w:r w:rsidRPr="00A13CDF">
        <w:rPr>
          <w:rFonts w:eastAsiaTheme="minorEastAsia"/>
          <w:rtl/>
        </w:rPr>
        <w:t>28</w:t>
      </w:r>
      <w:r w:rsidRPr="00BB3044">
        <w:rPr>
          <w:rFonts w:eastAsiaTheme="minorEastAsia"/>
          <w:rtl/>
        </w:rPr>
        <w:t>-</w:t>
      </w:r>
      <w:r w:rsidRPr="00BB3044">
        <w:rPr>
          <w:rFonts w:eastAsiaTheme="minorEastAsia"/>
          <w:rtl/>
        </w:rPr>
        <w:tab/>
        <w:t>تحيط اللجنة علم</w:t>
      </w:r>
      <w:r w:rsidR="000E775F">
        <w:rPr>
          <w:rFonts w:eastAsiaTheme="minorEastAsia"/>
          <w:rtl/>
        </w:rPr>
        <w:t xml:space="preserve">اً </w:t>
      </w:r>
      <w:r w:rsidRPr="00BB3044">
        <w:rPr>
          <w:rFonts w:eastAsiaTheme="minorEastAsia"/>
          <w:rtl/>
        </w:rPr>
        <w:t>بالصيغتين الثانية والثالثة للدورة التدريبيّة الرفيعة المستوى بشأن حقوق الإنسان التي ساعدت على تعزيز قدرات موظفي الخدمة المدنية، الذين يشكلون شبكة مراكز التنسيق لنظام متابعة التوصيات، بحيث يتسنى متابعة التوصيات التي تلقتها الدولة الطرف وتنفيذها على النحو الأمثل، وتلاحظ اللجنة بارتياح أن</w:t>
      </w:r>
      <w:r>
        <w:rPr>
          <w:rFonts w:eastAsiaTheme="minorEastAsia"/>
          <w:rtl/>
        </w:rPr>
        <w:t xml:space="preserve"> </w:t>
      </w:r>
      <w:r w:rsidRPr="00BB3044">
        <w:rPr>
          <w:rFonts w:eastAsiaTheme="minorEastAsia"/>
          <w:rtl/>
        </w:rPr>
        <w:t>التدريب يتناول الاتفاقية وعمل اللجنة. بيد أن اللجنة تشعر بالقلق إزاء النقص في التدريب المتعلق بهذه الاتّفاقيّة والتواصل بشأنها والتوعية بها داخل الفرعين التنفيذي والقضائي، وفيما بين سلطات المقاطعات والسلطات المحلية، وبين أفراد الشرطة والخدمات الاجتماعية. كما يُساور اللجنة القلق إزاء عدم نشر الاتفاقية بين العمال المهاجرين المقيمين في الدولة الطرف وإزاء عدم إتاحة المعلومات المتعلقة بالإجراءات الإدارية المتصلة بالهجرة على الإنترنت إلا باللغة الإسبانية. وتلاحظ اللجنة بارتياح استعداد الدولة الطرف لزيادة البحث العلمي والتدريب الأكاديمي في ميدان الهجرة الدولية.</w:t>
      </w:r>
    </w:p>
    <w:p w14:paraId="4501E933" w14:textId="3C66E19C" w:rsidR="00BB3044" w:rsidRPr="00A13CDF" w:rsidRDefault="00BB3044" w:rsidP="00BB3044">
      <w:pPr>
        <w:pStyle w:val="SingleTxtGA"/>
        <w:rPr>
          <w:rFonts w:eastAsiaTheme="minorEastAsia"/>
          <w:bCs/>
          <w:lang w:val="ar-SA" w:eastAsia="zh-TW" w:bidi="en-GB"/>
        </w:rPr>
      </w:pPr>
      <w:r w:rsidRPr="00A13CDF">
        <w:rPr>
          <w:rFonts w:eastAsiaTheme="minorEastAsia"/>
          <w:rtl/>
        </w:rPr>
        <w:t>29</w:t>
      </w:r>
      <w:r w:rsidRPr="00BB3044">
        <w:rPr>
          <w:rFonts w:eastAsiaTheme="minorEastAsia"/>
          <w:rtl/>
        </w:rPr>
        <w:t>-</w:t>
      </w:r>
      <w:r w:rsidRPr="00BB3044">
        <w:rPr>
          <w:rFonts w:eastAsiaTheme="minorEastAsia"/>
          <w:rtl/>
        </w:rPr>
        <w:tab/>
      </w:r>
      <w:r w:rsidRPr="00A13CDF">
        <w:rPr>
          <w:rFonts w:eastAsiaTheme="minorEastAsia"/>
          <w:bCs/>
          <w:rtl/>
        </w:rPr>
        <w:t>تجدد اللجنةُ تأكيد توصيتها السابقة</w:t>
      </w:r>
      <w:r w:rsidR="00C44303" w:rsidRPr="00A13CDF">
        <w:rPr>
          <w:rStyle w:val="FootnoteReference"/>
          <w:rFonts w:eastAsiaTheme="minorEastAsia"/>
          <w:b/>
          <w:szCs w:val="22"/>
          <w:rtl/>
        </w:rPr>
        <w:t>(</w:t>
      </w:r>
      <w:r w:rsidR="00C44303" w:rsidRPr="00A13CDF">
        <w:rPr>
          <w:rStyle w:val="FootnoteReference"/>
          <w:rFonts w:eastAsiaTheme="minorEastAsia"/>
          <w:b/>
          <w:szCs w:val="22"/>
          <w:lang w:val="en-US"/>
        </w:rPr>
        <w:footnoteReference w:id="10"/>
      </w:r>
      <w:r w:rsidR="00C44303" w:rsidRPr="00A13CDF">
        <w:rPr>
          <w:rFonts w:eastAsiaTheme="minorEastAsia" w:hint="cs"/>
          <w:b/>
          <w:vertAlign w:val="superscript"/>
          <w:rtl/>
        </w:rPr>
        <w:t>)</w:t>
      </w:r>
      <w:r w:rsidR="00C44303" w:rsidRPr="00A13CDF">
        <w:rPr>
          <w:rFonts w:eastAsiaTheme="minorEastAsia" w:hint="cs"/>
          <w:bCs/>
          <w:rtl/>
        </w:rPr>
        <w:t xml:space="preserve"> </w:t>
      </w:r>
      <w:r w:rsidRPr="00A13CDF">
        <w:rPr>
          <w:rFonts w:eastAsiaTheme="minorEastAsia"/>
          <w:bCs/>
          <w:rtl/>
        </w:rPr>
        <w:t>وتحث الدولةَ الطرف على القيام بما يلي:</w:t>
      </w:r>
    </w:p>
    <w:p w14:paraId="755C1C18" w14:textId="6A4BF3D1" w:rsidR="00BB3044" w:rsidRPr="00A13CDF" w:rsidRDefault="00BB3044" w:rsidP="00BB3044">
      <w:pPr>
        <w:pStyle w:val="SingleTxtGA"/>
        <w:rPr>
          <w:rFonts w:eastAsiaTheme="minorEastAsia"/>
          <w:bCs/>
          <w:lang w:val="ar-SA" w:eastAsia="zh-TW" w:bidi="en-GB"/>
        </w:rPr>
      </w:pPr>
      <w:r>
        <w:rPr>
          <w:rFonts w:eastAsiaTheme="minorEastAsia"/>
          <w:rtl/>
        </w:rPr>
        <w:tab/>
      </w:r>
      <w:r w:rsidRPr="00BB3044">
        <w:rPr>
          <w:rFonts w:eastAsiaTheme="minorEastAsia"/>
          <w:rtl/>
        </w:rPr>
        <w:t>(أ)</w:t>
      </w:r>
      <w:r w:rsidRPr="00BB3044">
        <w:rPr>
          <w:rFonts w:eastAsiaTheme="minorEastAsia"/>
          <w:rtl/>
        </w:rPr>
        <w:tab/>
      </w:r>
      <w:r w:rsidRPr="00A13CDF">
        <w:rPr>
          <w:rFonts w:eastAsiaTheme="minorEastAsia"/>
          <w:bCs/>
          <w:rtl/>
        </w:rPr>
        <w:t>تعزيز وتوسيع نطاق برامج التعليم والتدريب بشأن الحقوق المنصوص عليها في الاتفاقية لفائدة موظفي المؤسسات المسؤولين عن شؤون الهجرة، بما يشمل موظفي إنفاذ القانون، والسلطات الحدودية، والقضاة، والمدّعين العامين، وسلطات المقاطعات، والسلطات المحلية؛</w:t>
      </w:r>
      <w:bookmarkStart w:id="10" w:name="_Hlk100230199"/>
      <w:bookmarkEnd w:id="10"/>
    </w:p>
    <w:p w14:paraId="69AECB5D" w14:textId="7ED5978D" w:rsidR="00BB3044" w:rsidRPr="00A13CDF" w:rsidRDefault="00BB3044" w:rsidP="00BB3044">
      <w:pPr>
        <w:pStyle w:val="SingleTxtGA"/>
        <w:rPr>
          <w:rFonts w:eastAsiaTheme="minorEastAsia"/>
          <w:bCs/>
          <w:lang w:eastAsia="zh-CN"/>
        </w:rPr>
      </w:pPr>
      <w:r>
        <w:rPr>
          <w:rFonts w:eastAsiaTheme="minorEastAsia"/>
          <w:rtl/>
        </w:rPr>
        <w:tab/>
      </w:r>
      <w:r w:rsidRPr="00BB3044">
        <w:rPr>
          <w:rFonts w:eastAsiaTheme="minorEastAsia"/>
          <w:rtl/>
        </w:rPr>
        <w:t>(ب)</w:t>
      </w:r>
      <w:r w:rsidRPr="00BB3044">
        <w:rPr>
          <w:rFonts w:eastAsiaTheme="minorEastAsia"/>
          <w:rtl/>
        </w:rPr>
        <w:tab/>
      </w:r>
      <w:r w:rsidRPr="00A13CDF">
        <w:rPr>
          <w:rFonts w:eastAsiaTheme="minorEastAsia"/>
          <w:bCs/>
          <w:rtl/>
        </w:rPr>
        <w:t>ضمان حصول العمال المهاجرين على المعلومات عن حقوقهم بموجب الاتفاقية؛</w:t>
      </w:r>
    </w:p>
    <w:p w14:paraId="71BC985B" w14:textId="2DE5C7B9" w:rsidR="00BB3044" w:rsidRPr="00A13CDF" w:rsidRDefault="00BB3044" w:rsidP="00BB3044">
      <w:pPr>
        <w:pStyle w:val="SingleTxtGA"/>
        <w:rPr>
          <w:rFonts w:eastAsiaTheme="minorEastAsia"/>
          <w:bCs/>
          <w:lang w:val="en-US" w:eastAsia="zh-TW" w:bidi="en-GB"/>
        </w:rPr>
      </w:pPr>
      <w:r>
        <w:rPr>
          <w:rFonts w:eastAsiaTheme="minorEastAsia"/>
          <w:rtl/>
        </w:rPr>
        <w:tab/>
      </w:r>
      <w:r w:rsidRPr="00BB3044">
        <w:rPr>
          <w:rFonts w:eastAsiaTheme="minorEastAsia"/>
          <w:rtl/>
        </w:rPr>
        <w:t>(ج)</w:t>
      </w:r>
      <w:r w:rsidRPr="00A13CDF">
        <w:rPr>
          <w:rFonts w:eastAsiaTheme="minorEastAsia"/>
          <w:b/>
          <w:rtl/>
        </w:rPr>
        <w:tab/>
      </w:r>
      <w:r w:rsidRPr="00A13CDF">
        <w:rPr>
          <w:rFonts w:eastAsiaTheme="minorEastAsia"/>
          <w:bCs/>
          <w:rtl/>
        </w:rPr>
        <w:t xml:space="preserve">التعاون مع الجامعات ومنظمات المجتمع المدني ووسائط الإعلام من أجل نشر المعلومات المتعلقة بالاتفاقية والتشجيع على تنفيذها، بخاصّة في المناطق الحدوديّة. </w:t>
      </w:r>
    </w:p>
    <w:p w14:paraId="6B2DD8A3" w14:textId="2CEE4CDC" w:rsidR="00BB3044" w:rsidRPr="00A13CDF" w:rsidRDefault="00BB3044" w:rsidP="00BB3044">
      <w:pPr>
        <w:pStyle w:val="H23GA"/>
        <w:rPr>
          <w:lang w:val="ar-SA" w:eastAsia="zh-TW" w:bidi="en-GB"/>
        </w:rPr>
      </w:pPr>
      <w:r w:rsidRPr="00A13CDF">
        <w:rPr>
          <w:rtl/>
        </w:rPr>
        <w:tab/>
      </w:r>
      <w:r w:rsidRPr="00A13CDF">
        <w:rPr>
          <w:rtl/>
        </w:rPr>
        <w:tab/>
        <w:t>مشاركة المجتمع المدني</w:t>
      </w:r>
    </w:p>
    <w:p w14:paraId="58DCCF89" w14:textId="2D9FEB53" w:rsidR="00BB3044" w:rsidRPr="00BB3044" w:rsidRDefault="00BB3044" w:rsidP="00BB3044">
      <w:pPr>
        <w:pStyle w:val="SingleTxtGA"/>
        <w:rPr>
          <w:rFonts w:eastAsiaTheme="minorEastAsia"/>
          <w:lang w:val="en-US" w:eastAsia="zh-TW" w:bidi="en-GB"/>
        </w:rPr>
      </w:pPr>
      <w:r w:rsidRPr="00A13CDF">
        <w:rPr>
          <w:rFonts w:eastAsiaTheme="minorEastAsia"/>
          <w:rtl/>
        </w:rPr>
        <w:t>30</w:t>
      </w:r>
      <w:r w:rsidRPr="00BB3044">
        <w:rPr>
          <w:rFonts w:eastAsiaTheme="minorEastAsia"/>
          <w:rtl/>
        </w:rPr>
        <w:t>-</w:t>
      </w:r>
      <w:r w:rsidRPr="000E775F">
        <w:rPr>
          <w:rFonts w:eastAsiaTheme="minorEastAsia"/>
          <w:spacing w:val="-4"/>
          <w:rtl/>
        </w:rPr>
        <w:tab/>
      </w:r>
      <w:r w:rsidRPr="000E775F">
        <w:rPr>
          <w:rFonts w:eastAsiaTheme="minorEastAsia"/>
          <w:spacing w:val="-6"/>
          <w:rtl/>
        </w:rPr>
        <w:t>تحيط اللجنة علم</w:t>
      </w:r>
      <w:r w:rsidR="000E775F" w:rsidRPr="000E775F">
        <w:rPr>
          <w:rFonts w:eastAsiaTheme="minorEastAsia"/>
          <w:spacing w:val="-6"/>
          <w:rtl/>
        </w:rPr>
        <w:t xml:space="preserve">اً </w:t>
      </w:r>
      <w:r w:rsidRPr="000E775F">
        <w:rPr>
          <w:rFonts w:eastAsiaTheme="minorEastAsia"/>
          <w:spacing w:val="-6"/>
          <w:rtl/>
        </w:rPr>
        <w:t xml:space="preserve">بالمنتديات الجديدة للتنسيق مع المجتمع المدني التي وفرها نظام </w:t>
      </w:r>
      <w:r w:rsidRPr="000E775F">
        <w:rPr>
          <w:rFonts w:eastAsiaTheme="minorEastAsia"/>
          <w:spacing w:val="-6"/>
        </w:rPr>
        <w:t>SIMORE Plus</w:t>
      </w:r>
      <w:r w:rsidRPr="000E775F">
        <w:rPr>
          <w:rFonts w:eastAsiaTheme="minorEastAsia"/>
          <w:spacing w:val="-6"/>
          <w:rtl/>
        </w:rPr>
        <w:t>. بيد</w:t>
      </w:r>
      <w:r w:rsidRPr="00BB3044">
        <w:rPr>
          <w:rFonts w:eastAsiaTheme="minorEastAsia"/>
          <w:rtl/>
        </w:rPr>
        <w:t xml:space="preserve"> أن اللجنة تشعر بالقلق لأن عدد</w:t>
      </w:r>
      <w:r w:rsidR="000E775F">
        <w:rPr>
          <w:rFonts w:eastAsiaTheme="minorEastAsia"/>
          <w:rtl/>
        </w:rPr>
        <w:t xml:space="preserve">اً </w:t>
      </w:r>
      <w:r w:rsidRPr="00BB3044">
        <w:rPr>
          <w:rFonts w:eastAsiaTheme="minorEastAsia"/>
          <w:rtl/>
        </w:rPr>
        <w:t>قليل</w:t>
      </w:r>
      <w:r w:rsidR="000E775F">
        <w:rPr>
          <w:rFonts w:eastAsiaTheme="minorEastAsia"/>
          <w:rtl/>
        </w:rPr>
        <w:t xml:space="preserve">اً </w:t>
      </w:r>
      <w:r w:rsidRPr="00BB3044">
        <w:rPr>
          <w:rFonts w:eastAsiaTheme="minorEastAsia"/>
          <w:rtl/>
        </w:rPr>
        <w:t>من أعضاء المجتمع المدني يستخدمون المنصة، التي لا يمكن الوصول إليها إلا من قبل الأشخاص الذين لديهم الأدوات التكنولوجية المناسبة. كما يساورها القلق بشأن استمرار ضعف مشاركة المجتمع المدني في تنفيذ الاتفاقية ومحدودية الحوار والتنسيق بشأن القرارات والقوانين</w:t>
      </w:r>
      <w:r>
        <w:rPr>
          <w:rFonts w:eastAsiaTheme="minorEastAsia"/>
          <w:rtl/>
        </w:rPr>
        <w:t xml:space="preserve"> </w:t>
      </w:r>
      <w:r w:rsidRPr="00BB3044">
        <w:rPr>
          <w:rFonts w:eastAsiaTheme="minorEastAsia"/>
          <w:rtl/>
        </w:rPr>
        <w:t xml:space="preserve">التي تؤثر على العمال المهاجرين </w:t>
      </w:r>
      <w:bookmarkStart w:id="11" w:name="_Hlk100230930"/>
      <w:bookmarkEnd w:id="8"/>
      <w:bookmarkEnd w:id="11"/>
      <w:r w:rsidRPr="00BB3044">
        <w:rPr>
          <w:rFonts w:eastAsiaTheme="minorEastAsia"/>
          <w:rtl/>
        </w:rPr>
        <w:t>وأسرهم.</w:t>
      </w:r>
    </w:p>
    <w:p w14:paraId="2A12B162" w14:textId="6261A11A" w:rsidR="00BB3044" w:rsidRPr="00A13CDF" w:rsidRDefault="00BB3044" w:rsidP="00BB3044">
      <w:pPr>
        <w:pStyle w:val="SingleTxtGA"/>
        <w:rPr>
          <w:rFonts w:eastAsiaTheme="minorEastAsia"/>
          <w:bCs/>
          <w:lang w:val="en-US" w:eastAsia="zh-TW" w:bidi="en-GB"/>
        </w:rPr>
      </w:pPr>
      <w:r w:rsidRPr="00A13CDF">
        <w:rPr>
          <w:rFonts w:eastAsiaTheme="minorEastAsia"/>
          <w:rtl/>
        </w:rPr>
        <w:t>31</w:t>
      </w:r>
      <w:r w:rsidRPr="00BB3044">
        <w:rPr>
          <w:rFonts w:eastAsiaTheme="minorEastAsia"/>
          <w:rtl/>
        </w:rPr>
        <w:t>-</w:t>
      </w:r>
      <w:r w:rsidRPr="00BB3044">
        <w:rPr>
          <w:rFonts w:eastAsiaTheme="minorEastAsia"/>
          <w:rtl/>
        </w:rPr>
        <w:tab/>
      </w:r>
      <w:r w:rsidRPr="00A13CDF">
        <w:rPr>
          <w:rFonts w:eastAsiaTheme="minorEastAsia"/>
          <w:bCs/>
          <w:rtl/>
        </w:rPr>
        <w:t>وتجدّد اللجنة توصيتها</w:t>
      </w:r>
      <w:r w:rsidR="00C44303" w:rsidRPr="00A13CDF">
        <w:rPr>
          <w:rStyle w:val="FootnoteReference"/>
          <w:rFonts w:eastAsiaTheme="minorEastAsia"/>
          <w:b/>
          <w:szCs w:val="22"/>
          <w:rtl/>
        </w:rPr>
        <w:t>(</w:t>
      </w:r>
      <w:r w:rsidR="00C44303" w:rsidRPr="00A13CDF">
        <w:rPr>
          <w:rStyle w:val="FootnoteReference"/>
          <w:rFonts w:eastAsiaTheme="minorEastAsia"/>
          <w:b/>
          <w:szCs w:val="22"/>
          <w:lang w:val="en-US"/>
        </w:rPr>
        <w:footnoteReference w:id="11"/>
      </w:r>
      <w:r w:rsidR="00C44303" w:rsidRPr="00A13CDF">
        <w:rPr>
          <w:rFonts w:eastAsiaTheme="minorEastAsia" w:hint="cs"/>
          <w:b/>
          <w:vertAlign w:val="superscript"/>
          <w:rtl/>
        </w:rPr>
        <w:t>)</w:t>
      </w:r>
      <w:r w:rsidR="00C44303" w:rsidRPr="00A13CDF">
        <w:rPr>
          <w:rFonts w:eastAsiaTheme="minorEastAsia" w:hint="cs"/>
          <w:bCs/>
          <w:rtl/>
        </w:rPr>
        <w:t xml:space="preserve"> </w:t>
      </w:r>
      <w:r w:rsidRPr="00A13CDF">
        <w:rPr>
          <w:rFonts w:eastAsiaTheme="minorEastAsia"/>
          <w:bCs/>
          <w:rtl/>
        </w:rPr>
        <w:t>أن تدخل الدولة الطرف في حوار أوثق مع منظمات المجتمع المدني عند إعداد تقاريرها الدورية، وتوصي بأن يكون الحوار شامل</w:t>
      </w:r>
      <w:r w:rsidR="000E775F" w:rsidRPr="00A13CDF">
        <w:rPr>
          <w:rFonts w:eastAsiaTheme="minorEastAsia"/>
          <w:bCs/>
          <w:rtl/>
        </w:rPr>
        <w:t xml:space="preserve">اً </w:t>
      </w:r>
      <w:r w:rsidRPr="00A13CDF">
        <w:rPr>
          <w:rFonts w:eastAsiaTheme="minorEastAsia"/>
          <w:bCs/>
          <w:rtl/>
        </w:rPr>
        <w:t>للجميع ومستمر</w:t>
      </w:r>
      <w:r w:rsidR="000E775F" w:rsidRPr="00A13CDF">
        <w:rPr>
          <w:rFonts w:eastAsiaTheme="minorEastAsia"/>
          <w:bCs/>
          <w:rtl/>
        </w:rPr>
        <w:t xml:space="preserve">اً </w:t>
      </w:r>
      <w:r w:rsidRPr="00A13CDF">
        <w:rPr>
          <w:rFonts w:eastAsiaTheme="minorEastAsia"/>
          <w:bCs/>
          <w:rtl/>
        </w:rPr>
        <w:t>وألا يجري بالكامل على الإنترنت أو أن يقتصر على تعميم التقارير. وتوصي اللجنة كذلك بأن تضع الدولة الطرف تدابير</w:t>
      </w:r>
      <w:r w:rsidR="006F642D" w:rsidRPr="00A13CDF">
        <w:rPr>
          <w:rFonts w:eastAsiaTheme="minorEastAsia" w:hint="cs"/>
          <w:bCs/>
          <w:rtl/>
        </w:rPr>
        <w:t> </w:t>
      </w:r>
      <w:r w:rsidRPr="00A13CDF">
        <w:rPr>
          <w:rFonts w:eastAsiaTheme="minorEastAsia"/>
          <w:bCs/>
          <w:rtl/>
        </w:rPr>
        <w:t xml:space="preserve">محددة موضع التنفيذ للسماح للمجتمع المدني بالمشاركة بطريقة مستمرة ومجدية في تنفيذ </w:t>
      </w:r>
      <w:r w:rsidRPr="00A13CDF">
        <w:rPr>
          <w:rFonts w:eastAsiaTheme="minorEastAsia"/>
          <w:bCs/>
          <w:rtl/>
        </w:rPr>
        <w:lastRenderedPageBreak/>
        <w:t>الاتفاقية وقانون الهجرة. وتحث الدولةَ الطرف على استخدام آليات دائمة لإعداد تقاريرها ولمتابعة توصيات اللجنة</w:t>
      </w:r>
      <w:bookmarkStart w:id="12" w:name="_Hlk100230965"/>
      <w:bookmarkEnd w:id="12"/>
      <w:r w:rsidRPr="00A13CDF">
        <w:rPr>
          <w:rFonts w:eastAsiaTheme="minorEastAsia"/>
          <w:bCs/>
          <w:rtl/>
          <w:lang w:val="en-US" w:eastAsia="zh-TW"/>
        </w:rPr>
        <w:t>.</w:t>
      </w:r>
    </w:p>
    <w:p w14:paraId="5E8B6BDE" w14:textId="632BE097" w:rsidR="00BB3044" w:rsidRPr="00A13CDF" w:rsidRDefault="00BB3044" w:rsidP="00BB3044">
      <w:pPr>
        <w:pStyle w:val="H23GA"/>
        <w:rPr>
          <w:lang w:val="en-US" w:eastAsia="zh-TW" w:bidi="en-GB"/>
        </w:rPr>
      </w:pPr>
      <w:r w:rsidRPr="00A13CDF">
        <w:rPr>
          <w:rtl/>
        </w:rPr>
        <w:tab/>
        <w:t>2-</w:t>
      </w:r>
      <w:r w:rsidRPr="00A13CDF">
        <w:rPr>
          <w:rtl/>
        </w:rPr>
        <w:tab/>
        <w:t>المبادئ العامة (المادتان 7 و83)</w:t>
      </w:r>
    </w:p>
    <w:p w14:paraId="6C253D5F" w14:textId="25B60774" w:rsidR="00BB3044" w:rsidRPr="00A13CDF" w:rsidRDefault="00BB3044" w:rsidP="00BB3044">
      <w:pPr>
        <w:pStyle w:val="H23GA"/>
        <w:rPr>
          <w:lang w:val="ar-SA" w:eastAsia="zh-TW" w:bidi="en-GB"/>
        </w:rPr>
      </w:pPr>
      <w:r w:rsidRPr="00A13CDF">
        <w:rPr>
          <w:rtl/>
        </w:rPr>
        <w:tab/>
      </w:r>
      <w:r w:rsidRPr="00A13CDF">
        <w:rPr>
          <w:rtl/>
        </w:rPr>
        <w:tab/>
        <w:t>عدم التمييز</w:t>
      </w:r>
    </w:p>
    <w:p w14:paraId="6BB05082" w14:textId="022FF564" w:rsidR="00BB3044" w:rsidRPr="00BB3044" w:rsidRDefault="00BB3044" w:rsidP="00BB3044">
      <w:pPr>
        <w:pStyle w:val="SingleTxtGA"/>
        <w:rPr>
          <w:rFonts w:eastAsiaTheme="minorEastAsia"/>
          <w:lang w:val="ar-SA" w:eastAsia="zh-TW" w:bidi="en-GB"/>
        </w:rPr>
      </w:pPr>
      <w:r w:rsidRPr="00A13CDF">
        <w:rPr>
          <w:rFonts w:eastAsiaTheme="minorEastAsia"/>
          <w:rtl/>
        </w:rPr>
        <w:t>32</w:t>
      </w:r>
      <w:r w:rsidRPr="00BB3044">
        <w:rPr>
          <w:rFonts w:eastAsiaTheme="minorEastAsia"/>
          <w:rtl/>
        </w:rPr>
        <w:t>-</w:t>
      </w:r>
      <w:r w:rsidRPr="00BB3044">
        <w:rPr>
          <w:rFonts w:eastAsiaTheme="minorEastAsia"/>
          <w:rtl/>
        </w:rPr>
        <w:tab/>
        <w:t xml:space="preserve">تلاحظ اللجنة أن الدولة الطرف قبلت بالكامل </w:t>
      </w:r>
      <w:r w:rsidRPr="00CB00E7">
        <w:rPr>
          <w:rFonts w:eastAsiaTheme="minorEastAsia"/>
          <w:rtl/>
        </w:rPr>
        <w:t>التوصيات الست عشرة المتعلقة</w:t>
      </w:r>
      <w:r w:rsidRPr="00BB3044">
        <w:rPr>
          <w:rFonts w:eastAsiaTheme="minorEastAsia"/>
          <w:rtl/>
        </w:rPr>
        <w:t xml:space="preserve"> بعدم التمييز التي صدرت خلال الدورة الثالثة للاستعراض الدوري الشامل. بيد أن اللجنة تشعر بالقلق لأن الدولة الطرف لم</w:t>
      </w:r>
      <w:r w:rsidR="000E775F">
        <w:rPr>
          <w:rFonts w:eastAsiaTheme="minorEastAsia" w:hint="cs"/>
          <w:rtl/>
        </w:rPr>
        <w:t> </w:t>
      </w:r>
      <w:r w:rsidRPr="00BB3044">
        <w:rPr>
          <w:rFonts w:eastAsiaTheme="minorEastAsia"/>
          <w:rtl/>
        </w:rPr>
        <w:t>تعتمد بعد قانون</w:t>
      </w:r>
      <w:r w:rsidR="000E775F">
        <w:rPr>
          <w:rFonts w:eastAsiaTheme="minorEastAsia"/>
          <w:rtl/>
        </w:rPr>
        <w:t xml:space="preserve">اً </w:t>
      </w:r>
      <w:r w:rsidRPr="00BB3044">
        <w:rPr>
          <w:rFonts w:eastAsiaTheme="minorEastAsia"/>
          <w:rtl/>
        </w:rPr>
        <w:t>لمكافحة جميع أشكال التمييز، على الرغم من التوصيات الدولية العديدة التي تدعوها إلى القيام بذلك. ويساور اللجنة القلق أيض</w:t>
      </w:r>
      <w:r w:rsidR="000E775F">
        <w:rPr>
          <w:rFonts w:eastAsiaTheme="minorEastAsia"/>
          <w:rtl/>
        </w:rPr>
        <w:t xml:space="preserve">اً </w:t>
      </w:r>
      <w:r w:rsidRPr="00BB3044">
        <w:rPr>
          <w:rFonts w:eastAsiaTheme="minorEastAsia"/>
          <w:rtl/>
        </w:rPr>
        <w:t xml:space="preserve">إزاء إمكانية منع الأشخاص المصابين بأمراض سارية من دخول الدولة الطرف. وتلاحظ اللجنة بارتياح أن الأمانة الوطنية للثقافة التابعة للدولة الطرف والخطة الوطنية للتحول التربوي لعام </w:t>
      </w:r>
      <w:r w:rsidRPr="00A13CDF">
        <w:rPr>
          <w:rFonts w:eastAsiaTheme="minorEastAsia"/>
          <w:rtl/>
        </w:rPr>
        <w:t>2030</w:t>
      </w:r>
      <w:r w:rsidRPr="00BB3044">
        <w:rPr>
          <w:rFonts w:eastAsiaTheme="minorEastAsia"/>
          <w:rtl/>
        </w:rPr>
        <w:t xml:space="preserve"> تُشركان المجتمع المدني في تعزيز الوئام المجتمعي. إلاّ أن القلق يساور اللجنة بشأن المكانة التي يحتلها المهاجرون الجدد في هذه البرامج، ولذلك فهي تدعو الدولة الطرف إلى إشراكهم في تحقيق هذا الوئام المجتمعي وتقديم معلومات في هذا الصدد.</w:t>
      </w:r>
      <w:bookmarkStart w:id="13" w:name="_Hlk99540206"/>
      <w:bookmarkEnd w:id="13"/>
    </w:p>
    <w:p w14:paraId="660D73C0" w14:textId="7BE7930F" w:rsidR="00BB3044" w:rsidRPr="00BB3044" w:rsidRDefault="00BB3044" w:rsidP="00BB3044">
      <w:pPr>
        <w:pStyle w:val="SingleTxtGA"/>
        <w:rPr>
          <w:rFonts w:eastAsiaTheme="minorEastAsia"/>
          <w:lang w:val="ar-SA" w:eastAsia="zh-TW" w:bidi="en-GB"/>
        </w:rPr>
      </w:pPr>
      <w:r w:rsidRPr="00A13CDF">
        <w:rPr>
          <w:rFonts w:eastAsiaTheme="minorEastAsia"/>
          <w:rtl/>
        </w:rPr>
        <w:t>33</w:t>
      </w:r>
      <w:r w:rsidRPr="00BB3044">
        <w:rPr>
          <w:rFonts w:eastAsiaTheme="minorEastAsia"/>
          <w:rtl/>
        </w:rPr>
        <w:t>-</w:t>
      </w:r>
      <w:r w:rsidRPr="00BB3044">
        <w:rPr>
          <w:rFonts w:eastAsiaTheme="minorEastAsia"/>
          <w:rtl/>
        </w:rPr>
        <w:tab/>
        <w:t>ويساور اللجنة القلق إزاء منع الرعايا الأجانب من التمتّع بجميع حقوق العمل والحصول على خدمات الرعاية الاجتماعية الأساسية للعمال المهاجرين وأفراد أسرهم، في حال عدم استيفائهم الشروط الإدارية المتعلقة بتأشيرات العمل ولم يلبوا،</w:t>
      </w:r>
      <w:r>
        <w:rPr>
          <w:rFonts w:eastAsiaTheme="minorEastAsia"/>
          <w:rtl/>
        </w:rPr>
        <w:t xml:space="preserve"> </w:t>
      </w:r>
      <w:r w:rsidRPr="00BB3044">
        <w:rPr>
          <w:rFonts w:eastAsiaTheme="minorEastAsia"/>
          <w:rtl/>
        </w:rPr>
        <w:t>عند الاقتضاء، المتطلبات المحددة المنصوص عليها في الاتفاقات الثنائية (مثل تلك المتعلقة بالضمان الاجتماعي) أو الاتفاقات المتعددة الأطراف (السوق الجنوبية المشتركة). وتلاحظ اللجنة بقلق الصعوبات التي يمكن أن</w:t>
      </w:r>
      <w:r>
        <w:rPr>
          <w:rFonts w:eastAsiaTheme="minorEastAsia"/>
          <w:rtl/>
        </w:rPr>
        <w:t xml:space="preserve"> </w:t>
      </w:r>
      <w:r w:rsidRPr="00BB3044">
        <w:rPr>
          <w:rFonts w:eastAsiaTheme="minorEastAsia"/>
          <w:rtl/>
        </w:rPr>
        <w:t>تنشأ في الممارسة العملية في سبيل الوصول إلى سوق العمل دون وثائق إقامة دائمة أو دليل يثبت عدم البتّ في طلب اللّجوء بعد، نظر</w:t>
      </w:r>
      <w:r w:rsidR="000E775F">
        <w:rPr>
          <w:rFonts w:eastAsiaTheme="minorEastAsia"/>
          <w:rtl/>
        </w:rPr>
        <w:t xml:space="preserve">اً </w:t>
      </w:r>
      <w:r w:rsidRPr="00BB3044">
        <w:rPr>
          <w:rFonts w:eastAsiaTheme="minorEastAsia"/>
          <w:rtl/>
        </w:rPr>
        <w:t>إلى تكلفة العملية وطولها.</w:t>
      </w:r>
    </w:p>
    <w:p w14:paraId="2D1E7593" w14:textId="1D075126" w:rsidR="00BB3044" w:rsidRPr="00BB3044" w:rsidRDefault="00BB3044" w:rsidP="00BB3044">
      <w:pPr>
        <w:pStyle w:val="SingleTxtGA"/>
        <w:rPr>
          <w:rFonts w:eastAsiaTheme="minorEastAsia"/>
          <w:lang w:val="ar-SA" w:eastAsia="zh-TW" w:bidi="en-GB"/>
        </w:rPr>
      </w:pPr>
      <w:r w:rsidRPr="00A13CDF">
        <w:rPr>
          <w:rFonts w:eastAsiaTheme="minorEastAsia"/>
          <w:rtl/>
        </w:rPr>
        <w:t>34</w:t>
      </w:r>
      <w:r w:rsidRPr="00BB3044">
        <w:rPr>
          <w:rFonts w:eastAsiaTheme="minorEastAsia"/>
          <w:rtl/>
        </w:rPr>
        <w:t>-</w:t>
      </w:r>
      <w:r w:rsidRPr="00BB3044">
        <w:rPr>
          <w:rFonts w:eastAsiaTheme="minorEastAsia"/>
          <w:rtl/>
        </w:rPr>
        <w:tab/>
        <w:t>وتحيط اللجنة علم</w:t>
      </w:r>
      <w:r w:rsidR="000E775F">
        <w:rPr>
          <w:rFonts w:eastAsiaTheme="minorEastAsia"/>
          <w:rtl/>
        </w:rPr>
        <w:t xml:space="preserve">اً </w:t>
      </w:r>
      <w:r w:rsidRPr="00BB3044">
        <w:rPr>
          <w:rFonts w:eastAsiaTheme="minorEastAsia"/>
          <w:rtl/>
        </w:rPr>
        <w:t>بالقوانين والقرارات الجديدة التي أصدرتها السلطات الوطنية والتي تمكّن طالبي اللجوء واللاجئين من فتح حسابات ادخار والحصول على رخص قيادة وتعتبرها خطوة هامة إلى الأمام لأنّها تعزّز إدماج طالبي اللّجوء وتمكنهم من التمتع بحقوقهم واستخدام الخدمات العامة دون تمييز.</w:t>
      </w:r>
    </w:p>
    <w:p w14:paraId="049166AB" w14:textId="28844566" w:rsidR="00BB3044" w:rsidRPr="00BB3044" w:rsidRDefault="00BB3044" w:rsidP="00BB3044">
      <w:pPr>
        <w:pStyle w:val="SingleTxtGA"/>
        <w:rPr>
          <w:rFonts w:eastAsiaTheme="minorEastAsia"/>
          <w:lang w:val="ar-SA" w:eastAsia="zh-TW" w:bidi="en-GB"/>
        </w:rPr>
      </w:pPr>
      <w:r w:rsidRPr="00A13CDF">
        <w:rPr>
          <w:rFonts w:eastAsiaTheme="minorEastAsia"/>
          <w:rtl/>
        </w:rPr>
        <w:t>35</w:t>
      </w:r>
      <w:r w:rsidRPr="00BB3044">
        <w:rPr>
          <w:rFonts w:eastAsiaTheme="minorEastAsia"/>
          <w:rtl/>
        </w:rPr>
        <w:t>-</w:t>
      </w:r>
      <w:r w:rsidR="00FC201A">
        <w:rPr>
          <w:rFonts w:eastAsiaTheme="minorEastAsia"/>
          <w:rtl/>
        </w:rPr>
        <w:tab/>
      </w:r>
      <w:r w:rsidRPr="00BB3044">
        <w:rPr>
          <w:rFonts w:eastAsiaTheme="minorEastAsia"/>
          <w:rtl/>
        </w:rPr>
        <w:t xml:space="preserve">وتحيط اللجنة علماً بقلق بالغ بقانون حالات الطوارئ رقم </w:t>
      </w:r>
      <w:r w:rsidRPr="00A13CDF">
        <w:rPr>
          <w:rFonts w:eastAsiaTheme="minorEastAsia"/>
          <w:rtl/>
        </w:rPr>
        <w:t>6524</w:t>
      </w:r>
      <w:r w:rsidRPr="00BB3044">
        <w:rPr>
          <w:rFonts w:eastAsiaTheme="minorEastAsia"/>
          <w:rtl/>
        </w:rPr>
        <w:t>/</w:t>
      </w:r>
      <w:r w:rsidRPr="00A13CDF">
        <w:rPr>
          <w:rFonts w:eastAsiaTheme="minorEastAsia"/>
          <w:rtl/>
        </w:rPr>
        <w:t>2020</w:t>
      </w:r>
      <w:r w:rsidRPr="00BB3044">
        <w:rPr>
          <w:rFonts w:eastAsiaTheme="minorEastAsia"/>
          <w:rtl/>
        </w:rPr>
        <w:t xml:space="preserve"> (المرسوم رقم </w:t>
      </w:r>
      <w:r w:rsidRPr="00A13CDF">
        <w:rPr>
          <w:rFonts w:eastAsiaTheme="minorEastAsia"/>
          <w:rtl/>
        </w:rPr>
        <w:t>3506</w:t>
      </w:r>
      <w:r w:rsidRPr="00BB3044">
        <w:rPr>
          <w:rFonts w:eastAsiaTheme="minorEastAsia"/>
          <w:rtl/>
        </w:rPr>
        <w:t>)، الذي يعتبر المهاجرين واللاجئين غير مؤهلين للحصول على المعونة المقدمة للعاملين في القطاع غير الرسمي، إذ ينص على أن الأشخاص الذين يحملون الجنسية ا</w:t>
      </w:r>
      <w:r w:rsidRPr="00A13CDF">
        <w:rPr>
          <w:rFonts w:eastAsiaTheme="minorEastAsia"/>
          <w:rtl/>
        </w:rPr>
        <w:t>لباراغوية</w:t>
      </w:r>
      <w:r w:rsidRPr="00BB3044">
        <w:rPr>
          <w:rFonts w:eastAsiaTheme="minorEastAsia"/>
          <w:rtl/>
        </w:rPr>
        <w:t xml:space="preserve"> بالولادة أو بالتجنس هم وحدهم الذين يمكنهم الحصول على المعونة.</w:t>
      </w:r>
    </w:p>
    <w:p w14:paraId="591C4E90" w14:textId="4EB70A27" w:rsidR="00BB3044" w:rsidRPr="00A13CDF" w:rsidRDefault="00BB3044" w:rsidP="00BB3044">
      <w:pPr>
        <w:pStyle w:val="SingleTxtGA"/>
        <w:rPr>
          <w:rFonts w:eastAsiaTheme="minorEastAsia"/>
          <w:bCs/>
          <w:lang w:val="ar-SA" w:eastAsia="zh-TW" w:bidi="en-GB"/>
        </w:rPr>
      </w:pPr>
      <w:bookmarkStart w:id="14" w:name="_Hlk100230234"/>
      <w:r w:rsidRPr="00A13CDF">
        <w:rPr>
          <w:rFonts w:eastAsiaTheme="minorEastAsia"/>
          <w:rtl/>
        </w:rPr>
        <w:t>36</w:t>
      </w:r>
      <w:r w:rsidRPr="00BB3044">
        <w:rPr>
          <w:rFonts w:eastAsiaTheme="minorEastAsia"/>
          <w:rtl/>
        </w:rPr>
        <w:t>-</w:t>
      </w:r>
      <w:r w:rsidRPr="00BB3044">
        <w:rPr>
          <w:rFonts w:eastAsiaTheme="minorEastAsia"/>
          <w:rtl/>
        </w:rPr>
        <w:tab/>
      </w:r>
      <w:r w:rsidRPr="00A13CDF">
        <w:rPr>
          <w:rFonts w:eastAsiaTheme="minorEastAsia"/>
          <w:bCs/>
          <w:rtl/>
        </w:rPr>
        <w:t>وتوصي اللجنة الدولة الطرف باعتماد ونشر قانون لمكافحة جميع أشكال التمييز في أقرب وقت</w:t>
      </w:r>
      <w:r w:rsidR="000E775F" w:rsidRPr="00A13CDF">
        <w:rPr>
          <w:rFonts w:eastAsiaTheme="minorEastAsia" w:hint="cs"/>
          <w:bCs/>
          <w:rtl/>
        </w:rPr>
        <w:t> </w:t>
      </w:r>
      <w:r w:rsidRPr="00A13CDF">
        <w:rPr>
          <w:rFonts w:eastAsiaTheme="minorEastAsia"/>
          <w:bCs/>
          <w:rtl/>
        </w:rPr>
        <w:t>ممكن.</w:t>
      </w:r>
    </w:p>
    <w:p w14:paraId="2DFEDD1B" w14:textId="1D5CA267" w:rsidR="00BB3044" w:rsidRPr="00A13CDF" w:rsidRDefault="00BB3044" w:rsidP="00BB3044">
      <w:pPr>
        <w:pStyle w:val="SingleTxtGA"/>
        <w:rPr>
          <w:rFonts w:eastAsiaTheme="minorEastAsia"/>
          <w:b/>
          <w:bCs/>
          <w:lang w:val="ar-SA" w:eastAsia="zh-TW" w:bidi="en-GB"/>
        </w:rPr>
      </w:pPr>
      <w:r w:rsidRPr="00A13CDF">
        <w:rPr>
          <w:rFonts w:eastAsiaTheme="minorEastAsia"/>
          <w:rtl/>
        </w:rPr>
        <w:t>37</w:t>
      </w:r>
      <w:r w:rsidRPr="00BB3044">
        <w:rPr>
          <w:rFonts w:eastAsiaTheme="minorEastAsia"/>
          <w:rtl/>
        </w:rPr>
        <w:t>-</w:t>
      </w:r>
      <w:r w:rsidRPr="00BB3044">
        <w:rPr>
          <w:rFonts w:eastAsiaTheme="minorEastAsia"/>
          <w:rtl/>
        </w:rPr>
        <w:tab/>
      </w:r>
      <w:r w:rsidRPr="00A13CDF">
        <w:rPr>
          <w:rFonts w:eastAsiaTheme="minorEastAsia"/>
          <w:b/>
          <w:bCs/>
          <w:rtl/>
        </w:rPr>
        <w:t>وتوصي اللجنة الدولة الطرف باتخاذ الخطوات اللازمة لكفالة ألا تشكل الأمراض المعدية عائق</w:t>
      </w:r>
      <w:r w:rsidR="000E775F" w:rsidRPr="00A13CDF">
        <w:rPr>
          <w:rFonts w:eastAsiaTheme="minorEastAsia"/>
          <w:b/>
          <w:bCs/>
          <w:rtl/>
        </w:rPr>
        <w:t xml:space="preserve">اً </w:t>
      </w:r>
      <w:r w:rsidRPr="00A13CDF">
        <w:rPr>
          <w:rFonts w:eastAsiaTheme="minorEastAsia"/>
          <w:b/>
          <w:bCs/>
          <w:rtl/>
        </w:rPr>
        <w:t>أمام قبول العمال المهاجرين وأفراد أسرهم في الدولة الطرف.</w:t>
      </w:r>
    </w:p>
    <w:bookmarkEnd w:id="14"/>
    <w:p w14:paraId="257512C7" w14:textId="77777777" w:rsidR="00BB3044" w:rsidRPr="00A13CDF" w:rsidRDefault="00BB3044" w:rsidP="00BB3044">
      <w:pPr>
        <w:pStyle w:val="SingleTxtGA"/>
        <w:rPr>
          <w:rFonts w:eastAsiaTheme="minorEastAsia"/>
          <w:b/>
          <w:bCs/>
          <w:lang w:val="ar-SA" w:eastAsia="zh-TW" w:bidi="en-GB"/>
        </w:rPr>
      </w:pPr>
      <w:r w:rsidRPr="00A13CDF">
        <w:rPr>
          <w:rFonts w:eastAsiaTheme="minorEastAsia"/>
          <w:rtl/>
        </w:rPr>
        <w:t>38</w:t>
      </w:r>
      <w:r w:rsidRPr="00BB3044">
        <w:rPr>
          <w:rFonts w:eastAsiaTheme="minorEastAsia"/>
          <w:rtl/>
        </w:rPr>
        <w:t>-</w:t>
      </w:r>
      <w:r w:rsidRPr="00BB3044">
        <w:rPr>
          <w:rFonts w:eastAsiaTheme="minorEastAsia"/>
          <w:rtl/>
        </w:rPr>
        <w:tab/>
      </w:r>
      <w:r w:rsidRPr="00A13CDF">
        <w:rPr>
          <w:rFonts w:eastAsiaTheme="minorEastAsia"/>
          <w:b/>
          <w:bCs/>
          <w:rtl/>
        </w:rPr>
        <w:t>وتوصي اللجنة الدولة الطرف بتوفير الموارد اللازمة ووضع إجراءات لكسر الحلقة المفرغة التي يحتاج فيها المهاجرون، من أجل العمل، إلى وثائق إقامة دائمة، ولكنهم يحتاجون في الوقت نفسه إلى دخل من وظيفة معينة من أجل الحصول على تلك الوثائق.</w:t>
      </w:r>
    </w:p>
    <w:p w14:paraId="175E1817" w14:textId="77777777" w:rsidR="00BB3044" w:rsidRPr="00A13CDF" w:rsidRDefault="00BB3044" w:rsidP="00BB3044">
      <w:pPr>
        <w:pStyle w:val="SingleTxtGA"/>
        <w:rPr>
          <w:rFonts w:eastAsiaTheme="minorEastAsia"/>
          <w:b/>
          <w:bCs/>
          <w:lang w:val="ar-SA" w:eastAsia="zh-TW" w:bidi="en-GB"/>
        </w:rPr>
      </w:pPr>
      <w:r w:rsidRPr="00A13CDF">
        <w:rPr>
          <w:rFonts w:eastAsiaTheme="minorEastAsia"/>
          <w:rtl/>
        </w:rPr>
        <w:t>39</w:t>
      </w:r>
      <w:r w:rsidRPr="00BB3044">
        <w:rPr>
          <w:rFonts w:eastAsiaTheme="minorEastAsia"/>
          <w:rtl/>
        </w:rPr>
        <w:t>-</w:t>
      </w:r>
      <w:r w:rsidRPr="00BB3044">
        <w:rPr>
          <w:rFonts w:eastAsiaTheme="minorEastAsia"/>
          <w:rtl/>
        </w:rPr>
        <w:tab/>
      </w:r>
      <w:r w:rsidRPr="00A13CDF">
        <w:rPr>
          <w:rFonts w:eastAsiaTheme="minorEastAsia"/>
          <w:b/>
          <w:bCs/>
          <w:rtl/>
        </w:rPr>
        <w:t xml:space="preserve">وتوصي اللجنة الدولة الطرف بتحليل أسباب عدم تسجيل حالات التمييز وتنفيذ تدابير وبرامج لتعزيز الحصول على المعلومات، وتيسير الوصول إلى آليات تقديم الشكاوى واللجوء إلى القضاء، </w:t>
      </w:r>
      <w:r w:rsidRPr="00A13CDF">
        <w:rPr>
          <w:rFonts w:eastAsiaTheme="minorEastAsia"/>
          <w:b/>
          <w:bCs/>
          <w:rtl/>
        </w:rPr>
        <w:lastRenderedPageBreak/>
        <w:t>وزيادة شفافية المؤسسات وتعزيز الثقة فيها حتى يتمكن المهاجرون من عرض المسائل المتعلقة بوضعهم كمهاجرين على المحاكم.</w:t>
      </w:r>
    </w:p>
    <w:p w14:paraId="0FCEDBE3" w14:textId="77777777" w:rsidR="00BB3044" w:rsidRPr="00A13CDF" w:rsidRDefault="00BB3044" w:rsidP="00BB3044">
      <w:pPr>
        <w:pStyle w:val="SingleTxtGA"/>
        <w:rPr>
          <w:rFonts w:eastAsiaTheme="minorEastAsia"/>
          <w:b/>
          <w:bCs/>
          <w:lang w:val="ar-SA" w:eastAsia="zh-TW" w:bidi="en-GB"/>
        </w:rPr>
      </w:pPr>
      <w:r w:rsidRPr="00A13CDF">
        <w:rPr>
          <w:rFonts w:eastAsiaTheme="minorEastAsia"/>
          <w:rtl/>
        </w:rPr>
        <w:t>40</w:t>
      </w:r>
      <w:r w:rsidRPr="00BB3044">
        <w:rPr>
          <w:rFonts w:eastAsiaTheme="minorEastAsia"/>
          <w:rtl/>
        </w:rPr>
        <w:t>-</w:t>
      </w:r>
      <w:r w:rsidRPr="00BB3044">
        <w:rPr>
          <w:rFonts w:eastAsiaTheme="minorEastAsia"/>
          <w:rtl/>
        </w:rPr>
        <w:tab/>
      </w:r>
      <w:r w:rsidRPr="00A13CDF">
        <w:rPr>
          <w:rFonts w:eastAsiaTheme="minorEastAsia"/>
          <w:b/>
          <w:bCs/>
          <w:rtl/>
        </w:rPr>
        <w:t>وتوصي اللجنة بأن تنظم البعثات الدبلوماسية والقنصلية للدولة الطرف برامج وحملات توعية لتحول دون وقوع حالات تمييز وكراهية للأجانب تستهدف الباراغويين في بلدان أخرى.</w:t>
      </w:r>
    </w:p>
    <w:p w14:paraId="0DD6496B" w14:textId="77777777" w:rsidR="00BB3044" w:rsidRPr="00A13CDF" w:rsidRDefault="00BB3044" w:rsidP="00165B22">
      <w:pPr>
        <w:pStyle w:val="H23GA"/>
        <w:rPr>
          <w:lang w:val="en-US" w:eastAsia="zh-TW" w:bidi="en-GB"/>
        </w:rPr>
      </w:pPr>
      <w:r w:rsidRPr="00A13CDF">
        <w:rPr>
          <w:rtl/>
        </w:rPr>
        <w:tab/>
      </w:r>
      <w:r w:rsidRPr="00A13CDF">
        <w:rPr>
          <w:rtl/>
        </w:rPr>
        <w:tab/>
        <w:t>الحق في الحصول على سبيل انتصاف فعال</w:t>
      </w:r>
    </w:p>
    <w:p w14:paraId="70CB38F4" w14:textId="60AB13E1" w:rsidR="00BB3044" w:rsidRPr="00BB3044" w:rsidRDefault="00BB3044" w:rsidP="00BB3044">
      <w:pPr>
        <w:pStyle w:val="SingleTxtGA"/>
        <w:rPr>
          <w:rFonts w:eastAsiaTheme="minorEastAsia"/>
          <w:lang w:val="en-US" w:eastAsia="zh-TW" w:bidi="en-GB"/>
        </w:rPr>
      </w:pPr>
      <w:r w:rsidRPr="00A13CDF">
        <w:rPr>
          <w:rFonts w:eastAsiaTheme="minorEastAsia"/>
          <w:rtl/>
        </w:rPr>
        <w:t>41</w:t>
      </w:r>
      <w:r w:rsidRPr="00BB3044">
        <w:rPr>
          <w:rFonts w:eastAsiaTheme="minorEastAsia"/>
          <w:rtl/>
        </w:rPr>
        <w:t>-</w:t>
      </w:r>
      <w:r w:rsidRPr="00BB3044">
        <w:rPr>
          <w:rFonts w:eastAsiaTheme="minorEastAsia"/>
          <w:rtl/>
        </w:rPr>
        <w:tab/>
        <w:t>تلاحظ اللجنة أن دستور باراغواي وقوانينها يمنحان جميع الأشخاص، سواء أ كانوا من مواطني باراغواي أو من المواطنين الأجانب، الحق في اللجوء إلى المحاكم للحصول على تعويض إذا ما تعرضوا</w:t>
      </w:r>
      <w:r>
        <w:rPr>
          <w:rFonts w:eastAsiaTheme="minorEastAsia"/>
          <w:rtl/>
        </w:rPr>
        <w:t xml:space="preserve"> </w:t>
      </w:r>
      <w:r w:rsidRPr="00BB3044">
        <w:rPr>
          <w:rFonts w:eastAsiaTheme="minorEastAsia"/>
          <w:rtl/>
        </w:rPr>
        <w:t>لضرر نتيجةً لانتهاك حقوقهم. وتظل اللجنة قلقة إزاء محدودية إمكانية اللجوء إلى القضاء وجبر الضرر المتاحة لضحايا تجاوزات وانتهاكات الحقوق المعترف بها بموجب الاتفاقية وإزاء إمكانيّة إطلاع سلطات أخرى على معلومات تخصّ وضعهم كمهاجرين</w:t>
      </w:r>
      <w:r w:rsidRPr="00BB3044">
        <w:rPr>
          <w:rFonts w:eastAsiaTheme="minorEastAsia"/>
          <w:lang w:val="en-US" w:eastAsia="zh-TW" w:bidi="en-GB"/>
        </w:rPr>
        <w:t>.</w:t>
      </w:r>
    </w:p>
    <w:p w14:paraId="3F54D37D" w14:textId="043B1977" w:rsidR="00BB3044" w:rsidRPr="00BB3044" w:rsidRDefault="00BB3044" w:rsidP="00BB3044">
      <w:pPr>
        <w:pStyle w:val="SingleTxtGA"/>
        <w:rPr>
          <w:rFonts w:eastAsiaTheme="minorEastAsia"/>
          <w:lang w:val="ar-SA" w:eastAsia="zh-TW" w:bidi="en-GB"/>
        </w:rPr>
      </w:pPr>
      <w:r w:rsidRPr="00A13CDF">
        <w:rPr>
          <w:rFonts w:eastAsiaTheme="minorEastAsia"/>
          <w:rtl/>
        </w:rPr>
        <w:t>42</w:t>
      </w:r>
      <w:r w:rsidRPr="00BB3044">
        <w:rPr>
          <w:rFonts w:eastAsiaTheme="minorEastAsia"/>
          <w:rtl/>
        </w:rPr>
        <w:t>-</w:t>
      </w:r>
      <w:r w:rsidRPr="00BB3044">
        <w:rPr>
          <w:rFonts w:eastAsiaTheme="minorEastAsia"/>
          <w:rtl/>
        </w:rPr>
        <w:tab/>
        <w:t>وتحيط اللجنة علم</w:t>
      </w:r>
      <w:r w:rsidR="000E775F">
        <w:rPr>
          <w:rFonts w:eastAsiaTheme="minorEastAsia"/>
          <w:rtl/>
        </w:rPr>
        <w:t xml:space="preserve">اً </w:t>
      </w:r>
      <w:r w:rsidRPr="00BB3044">
        <w:rPr>
          <w:rFonts w:eastAsiaTheme="minorEastAsia"/>
          <w:rtl/>
        </w:rPr>
        <w:t>بحلقات العمل التي تُعنى بتسوية وضع المهاجرين وترمي إلى الحدّ من عدد الحالات التي لا يجري فيها إعمال حقوقهم كاملةً بسبب افتقارهم إلى الوثائق اللازمة، وكذلك إلى توفير منتدى لإعلام الرعايا الأجانب بحقوقهم بوجه عام. بيد أن اللجنة تشعر بالقلق إزاء الأشخاص الذين تُرفض طلبات التحاقهم بحلقات العمل ولا تُتاح لهم فرصة لاحقة لإعادة تقديم طلب جديد. ويساور اللجنة القلق أيض</w:t>
      </w:r>
      <w:r w:rsidR="000E775F">
        <w:rPr>
          <w:rFonts w:eastAsiaTheme="minorEastAsia"/>
          <w:rtl/>
        </w:rPr>
        <w:t xml:space="preserve">اً </w:t>
      </w:r>
      <w:r w:rsidRPr="00BB3044">
        <w:rPr>
          <w:rFonts w:eastAsiaTheme="minorEastAsia"/>
          <w:rtl/>
        </w:rPr>
        <w:t>إزاء حالة المهاجرين غير الشرعيين الذين هم عملي</w:t>
      </w:r>
      <w:r w:rsidR="000E775F">
        <w:rPr>
          <w:rFonts w:eastAsiaTheme="minorEastAsia"/>
          <w:rtl/>
        </w:rPr>
        <w:t xml:space="preserve">اً </w:t>
      </w:r>
      <w:r w:rsidRPr="00BB3044">
        <w:rPr>
          <w:rFonts w:eastAsiaTheme="minorEastAsia"/>
          <w:rtl/>
        </w:rPr>
        <w:t>غير مؤهلين لإجراء التسوية لأن الإجراء يقتصر على المهاجرين الذين ظلوا في باراغواي لمدة سنة على الأقل، وإزاء عدم نشر الاتفاقية وبرامج التدريب</w:t>
      </w:r>
      <w:r>
        <w:rPr>
          <w:rFonts w:eastAsiaTheme="minorEastAsia"/>
          <w:rtl/>
        </w:rPr>
        <w:t xml:space="preserve"> </w:t>
      </w:r>
      <w:r w:rsidRPr="00BB3044">
        <w:rPr>
          <w:rFonts w:eastAsiaTheme="minorEastAsia"/>
          <w:rtl/>
        </w:rPr>
        <w:t>المتعلقة بها، مما يمنع المهاجرين ذوي الوضع غير القانوني من معرفة أن بإمكانهم التماس العدالة حتى لو كانوا يفتقرون إلى وثائق معينة. وعلاوة على ذلك، لا تزال اللجنة تشعر بالقلق لأن العمال المهاجرين، بصرف النظر عن وضعهم القانوني، لا يدركون أنه يمكنهم اللجوء إلى نظام العدالة لممارسة حقهم في الانتصاف.</w:t>
      </w:r>
    </w:p>
    <w:p w14:paraId="34423D26" w14:textId="0F63F9C0" w:rsidR="00BB3044" w:rsidRPr="00A13CDF" w:rsidRDefault="00BB3044" w:rsidP="00BB3044">
      <w:pPr>
        <w:pStyle w:val="SingleTxtGA"/>
        <w:rPr>
          <w:rFonts w:eastAsiaTheme="minorEastAsia"/>
          <w:bCs/>
          <w:lang w:val="ar-SA" w:eastAsia="zh-TW" w:bidi="en-GB"/>
        </w:rPr>
      </w:pPr>
      <w:r w:rsidRPr="00A13CDF">
        <w:rPr>
          <w:rFonts w:eastAsiaTheme="minorEastAsia"/>
          <w:rtl/>
        </w:rPr>
        <w:t>43</w:t>
      </w:r>
      <w:r w:rsidRPr="00BB3044">
        <w:rPr>
          <w:rFonts w:eastAsiaTheme="minorEastAsia"/>
          <w:rtl/>
        </w:rPr>
        <w:t>-</w:t>
      </w:r>
      <w:r w:rsidRPr="00BB3044">
        <w:rPr>
          <w:rFonts w:eastAsiaTheme="minorEastAsia"/>
          <w:rtl/>
        </w:rPr>
        <w:tab/>
      </w:r>
      <w:r w:rsidRPr="00A13CDF">
        <w:rPr>
          <w:rFonts w:eastAsiaTheme="minorEastAsia"/>
          <w:bCs/>
          <w:rtl/>
        </w:rPr>
        <w:t>وتجدّد اللجنة تأكيد توصيتها السابقة</w:t>
      </w:r>
      <w:r w:rsidR="00C44303" w:rsidRPr="00CB00E7">
        <w:rPr>
          <w:rStyle w:val="FootnoteReference"/>
          <w:rFonts w:eastAsiaTheme="minorEastAsia"/>
          <w:szCs w:val="22"/>
          <w:rtl/>
        </w:rPr>
        <w:t>(</w:t>
      </w:r>
      <w:r w:rsidR="00C44303" w:rsidRPr="00A13CDF">
        <w:rPr>
          <w:rStyle w:val="FootnoteReference"/>
          <w:rFonts w:eastAsiaTheme="minorEastAsia"/>
          <w:szCs w:val="22"/>
          <w:lang w:val="en-US"/>
        </w:rPr>
        <w:footnoteReference w:id="12"/>
      </w:r>
      <w:r w:rsidR="00C44303" w:rsidRPr="00165B22">
        <w:rPr>
          <w:rFonts w:eastAsiaTheme="minorEastAsia" w:hint="cs"/>
          <w:vertAlign w:val="superscript"/>
          <w:rtl/>
        </w:rPr>
        <w:t>)</w:t>
      </w:r>
      <w:r w:rsidR="00165B22" w:rsidRPr="00A13CDF">
        <w:rPr>
          <w:rFonts w:eastAsiaTheme="minorEastAsia" w:hint="cs"/>
          <w:bCs/>
          <w:rtl/>
        </w:rPr>
        <w:t>.</w:t>
      </w:r>
      <w:r w:rsidRPr="00A13CDF">
        <w:rPr>
          <w:rFonts w:eastAsiaTheme="minorEastAsia"/>
          <w:bCs/>
          <w:rtl/>
        </w:rPr>
        <w:t xml:space="preserve"> وتوصي الدولة الطرف بمضاعفة جهودها لكي تكفل، في الممارسة العملية، إطلاع العمال المهاجرين وأفراد أسرهم، بمن فيهم من هم في وضع غير قانوني، على إجراءات الهجرة والوثائق اللازمة، وعلى إمكانية تقديم طلبات لتسوية أوضاعهم حتى في حالة الرفض، وعلى حقوقهم عند وصولهم وأثناء مرورهم العابر، وعلى إمكانية حصولهم على سبل انتصاف واستعانتهم بآليات تقديم الشكاوى وغيرها من أشكال الجبر. وتوصي اللجنة بالاحتفاظ بجدار واقٍ للإبقاء على خصوصية المعلومات المتعلقة بوضع هجرة الأشخاص الذين يلتمسون سبيل انتصاف</w:t>
      </w:r>
      <w:r w:rsidR="00165B22" w:rsidRPr="00A13CDF">
        <w:rPr>
          <w:rFonts w:eastAsiaTheme="minorEastAsia" w:hint="cs"/>
          <w:bCs/>
          <w:rtl/>
        </w:rPr>
        <w:t> </w:t>
      </w:r>
      <w:r w:rsidRPr="00A13CDF">
        <w:rPr>
          <w:rFonts w:eastAsiaTheme="minorEastAsia"/>
          <w:bCs/>
          <w:rtl/>
        </w:rPr>
        <w:t>قانونياً.</w:t>
      </w:r>
    </w:p>
    <w:p w14:paraId="0416298D" w14:textId="77E558F5" w:rsidR="00BB3044" w:rsidRPr="00A13CDF" w:rsidRDefault="00165B22" w:rsidP="00165B22">
      <w:pPr>
        <w:pStyle w:val="H23GA"/>
        <w:rPr>
          <w:lang w:val="ar-SA" w:eastAsia="zh-TW" w:bidi="en-GB"/>
        </w:rPr>
      </w:pPr>
      <w:r w:rsidRPr="00A13CDF">
        <w:rPr>
          <w:rtl/>
        </w:rPr>
        <w:tab/>
      </w:r>
      <w:r w:rsidR="00BB3044" w:rsidRPr="00A13CDF">
        <w:rPr>
          <w:rtl/>
        </w:rPr>
        <w:t>3-</w:t>
      </w:r>
      <w:r w:rsidR="00BB3044" w:rsidRPr="00A13CDF">
        <w:rPr>
          <w:rtl/>
        </w:rPr>
        <w:tab/>
        <w:t>حقوق الإنسان لجميع العمّال المهاجرين وأفراد أسرهم (المواد 8-35)</w:t>
      </w:r>
    </w:p>
    <w:p w14:paraId="235E11D0" w14:textId="6144BBCB" w:rsidR="00BB3044" w:rsidRPr="00A13CDF" w:rsidRDefault="00BB3044" w:rsidP="00165B22">
      <w:pPr>
        <w:pStyle w:val="H23GA"/>
        <w:rPr>
          <w:lang w:val="ar-SA" w:eastAsia="zh-TW" w:bidi="en-GB"/>
        </w:rPr>
      </w:pPr>
      <w:r w:rsidRPr="00A13CDF">
        <w:rPr>
          <w:rtl/>
        </w:rPr>
        <w:tab/>
      </w:r>
      <w:r w:rsidRPr="00A13CDF">
        <w:rPr>
          <w:rtl/>
        </w:rPr>
        <w:tab/>
        <w:t>الاحتجاز</w:t>
      </w:r>
    </w:p>
    <w:p w14:paraId="6ADE2B5B" w14:textId="17B86106" w:rsidR="00BB3044" w:rsidRPr="00BB3044" w:rsidRDefault="00BB3044" w:rsidP="00BB3044">
      <w:pPr>
        <w:pStyle w:val="SingleTxtGA"/>
        <w:rPr>
          <w:rFonts w:eastAsiaTheme="minorEastAsia"/>
          <w:lang w:val="ar-SA" w:eastAsia="zh-TW" w:bidi="en-GB"/>
        </w:rPr>
      </w:pPr>
      <w:r w:rsidRPr="00A13CDF">
        <w:rPr>
          <w:rFonts w:eastAsiaTheme="minorEastAsia"/>
          <w:rtl/>
        </w:rPr>
        <w:t>44</w:t>
      </w:r>
      <w:r w:rsidRPr="00BB3044">
        <w:rPr>
          <w:rFonts w:eastAsiaTheme="minorEastAsia"/>
          <w:rtl/>
        </w:rPr>
        <w:t>-</w:t>
      </w:r>
      <w:r w:rsidRPr="00BB3044">
        <w:rPr>
          <w:rFonts w:eastAsiaTheme="minorEastAsia"/>
          <w:rtl/>
        </w:rPr>
        <w:tab/>
        <w:t>تحيط اللجنة علم</w:t>
      </w:r>
      <w:r w:rsidR="000E775F">
        <w:rPr>
          <w:rFonts w:eastAsiaTheme="minorEastAsia"/>
          <w:rtl/>
        </w:rPr>
        <w:t xml:space="preserve">اً </w:t>
      </w:r>
      <w:r w:rsidRPr="00BB3044">
        <w:rPr>
          <w:rFonts w:eastAsiaTheme="minorEastAsia"/>
          <w:rtl/>
        </w:rPr>
        <w:t>بالمعلومات التي قدمتها الدولة الطرف بشأن عدم فرض تدابير احتجازية لأسباب تتعلق بالهجرة. ويساور اللجنة القلق إزاء عدم وجود معلومات دقيقة عن عدد المهاجرين المحتجزين، والظروف التي تفرض في ظلها فترة "التأخير الإداري" أثناء إجراءات الدخول، وطول هذه الفترة الزمنية.</w:t>
      </w:r>
    </w:p>
    <w:p w14:paraId="6832373F" w14:textId="735570B6" w:rsidR="00BB3044" w:rsidRPr="00A13CDF" w:rsidRDefault="00BB3044" w:rsidP="00BB3044">
      <w:pPr>
        <w:pStyle w:val="SingleTxtGA"/>
        <w:rPr>
          <w:rFonts w:eastAsiaTheme="minorEastAsia"/>
          <w:bCs/>
          <w:lang w:val="ar-SA" w:eastAsia="zh-TW" w:bidi="en-GB"/>
        </w:rPr>
      </w:pPr>
      <w:r w:rsidRPr="00A13CDF">
        <w:rPr>
          <w:rFonts w:eastAsiaTheme="minorEastAsia"/>
          <w:rtl/>
        </w:rPr>
        <w:lastRenderedPageBreak/>
        <w:t>45</w:t>
      </w:r>
      <w:r w:rsidRPr="00BB3044">
        <w:rPr>
          <w:rFonts w:eastAsiaTheme="minorEastAsia"/>
          <w:rtl/>
        </w:rPr>
        <w:t>-</w:t>
      </w:r>
      <w:r w:rsidRPr="00BB3044">
        <w:rPr>
          <w:rFonts w:eastAsiaTheme="minorEastAsia"/>
          <w:rtl/>
        </w:rPr>
        <w:tab/>
      </w:r>
      <w:r w:rsidRPr="00A13CDF">
        <w:rPr>
          <w:rFonts w:eastAsiaTheme="minorEastAsia"/>
          <w:bCs/>
          <w:rtl/>
        </w:rPr>
        <w:t>وعلى ضوء تعليقها العام رقم 5(2021) بشأن حقوق المهاجرين في الحرية وعدم التعرض للاحتجاز التعسفي، تحث اللجنة الدولة الطرف على القيام بما يلي:</w:t>
      </w:r>
      <w:bookmarkStart w:id="15" w:name="_Hlk100230273"/>
    </w:p>
    <w:p w14:paraId="697E4905" w14:textId="0C583926" w:rsidR="00BB3044" w:rsidRPr="00A13CDF" w:rsidRDefault="00165B22" w:rsidP="00BB3044">
      <w:pPr>
        <w:pStyle w:val="SingleTxtGA"/>
        <w:rPr>
          <w:rFonts w:eastAsiaTheme="minorEastAsia"/>
          <w:bCs/>
          <w:lang w:val="ar-SA" w:eastAsia="zh-TW" w:bidi="en-GB"/>
        </w:rPr>
      </w:pPr>
      <w:r>
        <w:rPr>
          <w:rFonts w:eastAsiaTheme="minorEastAsia"/>
          <w:rtl/>
        </w:rPr>
        <w:tab/>
      </w:r>
      <w:r w:rsidR="00BB3044" w:rsidRPr="00BB3044">
        <w:rPr>
          <w:rFonts w:eastAsiaTheme="minorEastAsia"/>
          <w:rtl/>
        </w:rPr>
        <w:t>(أ)</w:t>
      </w:r>
      <w:r w:rsidR="00BB3044" w:rsidRPr="00BB3044">
        <w:rPr>
          <w:rFonts w:eastAsiaTheme="minorEastAsia"/>
          <w:rtl/>
        </w:rPr>
        <w:tab/>
      </w:r>
      <w:r w:rsidR="00BB3044" w:rsidRPr="00A13CDF">
        <w:rPr>
          <w:rFonts w:eastAsiaTheme="minorEastAsia"/>
          <w:bCs/>
          <w:rtl/>
        </w:rPr>
        <w:t>ضمان أن يكون احتجاز المهاجرين تدبيراً استثنائياً يُلجأ إليه كحل أخير، وأن تحدَّد دوافعه في كل حالة على حدة، مع ذكر أسباب تعذُّر تنفيذ تدابير بديلة، وأن تقوم سلطة قضائية مستقلة ونزيهة بمراجعة هذا التدبير في غضون 24 ساعة؛</w:t>
      </w:r>
    </w:p>
    <w:p w14:paraId="2CC43C8E" w14:textId="2F950C1F" w:rsidR="00BB3044" w:rsidRPr="00A13CDF" w:rsidRDefault="00165B22" w:rsidP="00BB3044">
      <w:pPr>
        <w:pStyle w:val="SingleTxtGA"/>
        <w:rPr>
          <w:rFonts w:eastAsiaTheme="minorEastAsia"/>
          <w:bCs/>
          <w:lang w:val="en-US" w:eastAsia="zh-TW"/>
        </w:rPr>
      </w:pPr>
      <w:r>
        <w:rPr>
          <w:rFonts w:eastAsiaTheme="minorEastAsia"/>
          <w:rtl/>
        </w:rPr>
        <w:tab/>
      </w:r>
      <w:r w:rsidR="00BB3044" w:rsidRPr="00BB3044">
        <w:rPr>
          <w:rFonts w:eastAsiaTheme="minorEastAsia"/>
          <w:rtl/>
        </w:rPr>
        <w:t>(ب)</w:t>
      </w:r>
      <w:r w:rsidR="00BB3044" w:rsidRPr="00BB3044">
        <w:rPr>
          <w:rFonts w:eastAsiaTheme="minorEastAsia"/>
          <w:rtl/>
        </w:rPr>
        <w:tab/>
      </w:r>
      <w:r w:rsidR="00BB3044" w:rsidRPr="00A13CDF">
        <w:rPr>
          <w:rFonts w:eastAsiaTheme="minorEastAsia"/>
          <w:bCs/>
          <w:rtl/>
        </w:rPr>
        <w:t>اعتماد تدابير بديلة للاحتجاز الإداري للعمال المهاجرين وأفراد أسرهم أثناء الإجراءات ذات الصلة بدخولهم للبلد أو طردهم منه</w:t>
      </w:r>
      <w:r w:rsidR="00BB3044" w:rsidRPr="00A13CDF">
        <w:rPr>
          <w:rFonts w:eastAsiaTheme="minorEastAsia"/>
          <w:bCs/>
          <w:rtl/>
          <w:lang w:val="en-US" w:eastAsia="zh-TW"/>
        </w:rPr>
        <w:t>؛</w:t>
      </w:r>
    </w:p>
    <w:p w14:paraId="7F53D119" w14:textId="03FEC646" w:rsidR="00BB3044" w:rsidRPr="00A13CDF" w:rsidRDefault="00165B22" w:rsidP="00BB3044">
      <w:pPr>
        <w:pStyle w:val="SingleTxtGA"/>
        <w:rPr>
          <w:rFonts w:eastAsiaTheme="minorEastAsia"/>
          <w:bCs/>
          <w:lang w:val="en-US" w:eastAsia="zh-TW"/>
        </w:rPr>
      </w:pPr>
      <w:r>
        <w:rPr>
          <w:rFonts w:eastAsiaTheme="minorEastAsia"/>
          <w:rtl/>
        </w:rPr>
        <w:tab/>
      </w:r>
      <w:r w:rsidR="00BB3044" w:rsidRPr="00BB3044">
        <w:rPr>
          <w:rFonts w:eastAsiaTheme="minorEastAsia"/>
          <w:rtl/>
        </w:rPr>
        <w:t>(ج)</w:t>
      </w:r>
      <w:r w:rsidR="00BB3044" w:rsidRPr="00BB3044">
        <w:rPr>
          <w:rFonts w:eastAsiaTheme="minorEastAsia"/>
          <w:rtl/>
        </w:rPr>
        <w:tab/>
      </w:r>
      <w:r w:rsidR="00BB3044" w:rsidRPr="00A13CDF">
        <w:rPr>
          <w:rFonts w:eastAsiaTheme="minorEastAsia"/>
          <w:bCs/>
          <w:rtl/>
        </w:rPr>
        <w:t>ضمان الظروف الملائمة واللائقة في أماكن تقييد الحرية، وعند الاقتضاء، لدى الفصل الفعلي بين العمال المهاجرين وأفراد أسرهم والأشخاص الخاضعين للتحقيق الجنائي</w:t>
      </w:r>
      <w:r w:rsidR="00BB3044" w:rsidRPr="00A13CDF">
        <w:rPr>
          <w:rFonts w:eastAsiaTheme="minorEastAsia"/>
          <w:bCs/>
          <w:rtl/>
          <w:lang w:val="en-US" w:eastAsia="zh-TW"/>
        </w:rPr>
        <w:t>؛</w:t>
      </w:r>
    </w:p>
    <w:p w14:paraId="4D89B127" w14:textId="60092A11" w:rsidR="00BB3044" w:rsidRPr="00A13CDF" w:rsidRDefault="00165B22" w:rsidP="00BB3044">
      <w:pPr>
        <w:pStyle w:val="SingleTxtGA"/>
        <w:rPr>
          <w:rFonts w:eastAsiaTheme="minorEastAsia"/>
          <w:bCs/>
          <w:lang w:val="en-US" w:eastAsia="zh-TW"/>
        </w:rPr>
      </w:pPr>
      <w:r>
        <w:rPr>
          <w:rFonts w:eastAsiaTheme="minorEastAsia"/>
          <w:rtl/>
        </w:rPr>
        <w:tab/>
      </w:r>
      <w:r w:rsidR="00BB3044" w:rsidRPr="00BB3044">
        <w:rPr>
          <w:rFonts w:eastAsiaTheme="minorEastAsia"/>
          <w:rtl/>
        </w:rPr>
        <w:t>(د)</w:t>
      </w:r>
      <w:r w:rsidR="00BB3044" w:rsidRPr="00BB3044">
        <w:rPr>
          <w:rFonts w:eastAsiaTheme="minorEastAsia"/>
          <w:rtl/>
        </w:rPr>
        <w:tab/>
      </w:r>
      <w:r w:rsidR="00BB3044" w:rsidRPr="00A13CDF">
        <w:rPr>
          <w:rFonts w:eastAsiaTheme="minorEastAsia"/>
          <w:bCs/>
          <w:rtl/>
        </w:rPr>
        <w:t>جمع وتقديم بيانات محدثة عن المهاجرين وأفراد أسرهم في أماكن الاحتجاز، مصنفة بحسب العمر، ونوع الجنس، والجنسية، ومكان الاحتجاز، وسبب الاحتجاز</w:t>
      </w:r>
      <w:r w:rsidR="00BB3044" w:rsidRPr="00A13CDF">
        <w:rPr>
          <w:rFonts w:eastAsiaTheme="minorEastAsia"/>
          <w:bCs/>
          <w:rtl/>
          <w:lang w:val="en-US" w:eastAsia="zh-TW"/>
        </w:rPr>
        <w:t>.</w:t>
      </w:r>
    </w:p>
    <w:bookmarkEnd w:id="15"/>
    <w:p w14:paraId="365E15C9" w14:textId="77777777" w:rsidR="00BB3044" w:rsidRPr="00A13CDF" w:rsidRDefault="00BB3044" w:rsidP="00165B22">
      <w:pPr>
        <w:pStyle w:val="H23GA"/>
        <w:rPr>
          <w:lang w:val="en-US" w:eastAsia="zh-TW" w:bidi="en-GB"/>
        </w:rPr>
      </w:pPr>
      <w:r w:rsidRPr="00A13CDF">
        <w:rPr>
          <w:rtl/>
        </w:rPr>
        <w:tab/>
      </w:r>
      <w:r w:rsidRPr="00A13CDF">
        <w:rPr>
          <w:rtl/>
        </w:rPr>
        <w:tab/>
        <w:t>المساعدة القنصلية</w:t>
      </w:r>
    </w:p>
    <w:p w14:paraId="52769A15" w14:textId="3EA1FD2D" w:rsidR="00BB3044" w:rsidRPr="00BB3044" w:rsidRDefault="00BB3044" w:rsidP="00BB3044">
      <w:pPr>
        <w:pStyle w:val="SingleTxtGA"/>
        <w:rPr>
          <w:rFonts w:eastAsiaTheme="minorEastAsia"/>
          <w:lang w:val="ar-SA" w:eastAsia="zh-TW" w:bidi="en-GB"/>
        </w:rPr>
      </w:pPr>
      <w:r w:rsidRPr="00A13CDF">
        <w:rPr>
          <w:rFonts w:eastAsiaTheme="minorEastAsia"/>
          <w:rtl/>
        </w:rPr>
        <w:t>46</w:t>
      </w:r>
      <w:r w:rsidRPr="00BB3044">
        <w:rPr>
          <w:rFonts w:eastAsiaTheme="minorEastAsia"/>
          <w:rtl/>
        </w:rPr>
        <w:t>-</w:t>
      </w:r>
      <w:r w:rsidRPr="00BB3044">
        <w:rPr>
          <w:rFonts w:eastAsiaTheme="minorEastAsia"/>
          <w:rtl/>
        </w:rPr>
        <w:tab/>
        <w:t>تلاحظ اللجنة التقدم الذي أحرزته الدولة الطرف في تحسين وتوسيع نطاق الخدمات القنصلية المقدمة إلى العمال</w:t>
      </w:r>
      <w:bookmarkStart w:id="16" w:name="_Hlk113181506"/>
      <w:r w:rsidRPr="00BB3044">
        <w:rPr>
          <w:rFonts w:eastAsiaTheme="minorEastAsia"/>
          <w:rtl/>
        </w:rPr>
        <w:t xml:space="preserve"> الباراغويين </w:t>
      </w:r>
      <w:bookmarkEnd w:id="16"/>
      <w:r w:rsidRPr="00BB3044">
        <w:rPr>
          <w:rFonts w:eastAsiaTheme="minorEastAsia"/>
          <w:rtl/>
        </w:rPr>
        <w:t>المهاجرين وأفراد أسرهم، لا سيما من خلال حلقات العمل المتعلقة بتقديم المساعدة الشاملة للمهاجرين. وتستحسن اللجنة إعطاء المكاتب القنصلية الأولوية لتلبية احتياجات أكثر الفئات ضعفاً خلال الجائحة. ويساور اللجنة القلق لأن الخدمات والدعم المقدمين إلى المهاجرين الباراغويين</w:t>
      </w:r>
      <w:r>
        <w:rPr>
          <w:rFonts w:eastAsiaTheme="minorEastAsia"/>
          <w:rtl/>
        </w:rPr>
        <w:t xml:space="preserve"> </w:t>
      </w:r>
      <w:r w:rsidRPr="00BB3044">
        <w:rPr>
          <w:rFonts w:eastAsiaTheme="minorEastAsia"/>
          <w:rtl/>
        </w:rPr>
        <w:t>في الخارج لم يترجَما إلى حماية أكبر للمهاجرين المقيمين في الدولة الطرف.</w:t>
      </w:r>
    </w:p>
    <w:p w14:paraId="2B01FE35" w14:textId="77777777" w:rsidR="00BB3044" w:rsidRPr="00A13CDF" w:rsidRDefault="00BB3044" w:rsidP="00BB3044">
      <w:pPr>
        <w:pStyle w:val="SingleTxtGA"/>
        <w:rPr>
          <w:rStyle w:val="H23GChar"/>
          <w:rFonts w:eastAsiaTheme="minorEastAsia"/>
          <w:bCs/>
          <w:sz w:val="22"/>
          <w:szCs w:val="22"/>
          <w:lang w:val="ar-SA" w:eastAsia="zh-TW" w:bidi="en-GB"/>
        </w:rPr>
      </w:pPr>
      <w:r w:rsidRPr="00A13CDF">
        <w:rPr>
          <w:rFonts w:eastAsiaTheme="minorEastAsia"/>
          <w:rtl/>
        </w:rPr>
        <w:t>47</w:t>
      </w:r>
      <w:r w:rsidRPr="00BB3044">
        <w:rPr>
          <w:rFonts w:eastAsiaTheme="minorEastAsia"/>
          <w:rtl/>
        </w:rPr>
        <w:t>-</w:t>
      </w:r>
      <w:r w:rsidRPr="00BB3044">
        <w:rPr>
          <w:rFonts w:eastAsiaTheme="minorEastAsia"/>
          <w:rtl/>
        </w:rPr>
        <w:tab/>
      </w:r>
      <w:r w:rsidRPr="00A13CDF">
        <w:rPr>
          <w:rFonts w:eastAsiaTheme="minorEastAsia"/>
          <w:bCs/>
          <w:rtl/>
        </w:rPr>
        <w:t>وتوصي اللجنة الدولة الطرف بما يلي:</w:t>
      </w:r>
    </w:p>
    <w:p w14:paraId="06820449" w14:textId="14DCBDCC" w:rsidR="00BB3044" w:rsidRPr="00A13CDF" w:rsidRDefault="00165B22" w:rsidP="00BB3044">
      <w:pPr>
        <w:pStyle w:val="SingleTxtGA"/>
        <w:rPr>
          <w:rStyle w:val="H23GChar"/>
          <w:rFonts w:eastAsiaTheme="minorEastAsia"/>
          <w:bCs/>
          <w:sz w:val="22"/>
          <w:szCs w:val="22"/>
          <w:lang w:val="ar-SA" w:eastAsia="zh-TW" w:bidi="en-GB"/>
        </w:rPr>
      </w:pPr>
      <w:r>
        <w:rPr>
          <w:rFonts w:eastAsiaTheme="minorEastAsia"/>
          <w:rtl/>
        </w:rPr>
        <w:tab/>
      </w:r>
      <w:r w:rsidR="00BB3044" w:rsidRPr="00BB3044">
        <w:rPr>
          <w:rFonts w:eastAsiaTheme="minorEastAsia"/>
          <w:rtl/>
        </w:rPr>
        <w:t>(أ)</w:t>
      </w:r>
      <w:r w:rsidR="00BB3044" w:rsidRPr="00BB3044">
        <w:rPr>
          <w:rFonts w:eastAsiaTheme="minorEastAsia"/>
          <w:rtl/>
        </w:rPr>
        <w:tab/>
      </w:r>
      <w:r w:rsidR="00BB3044" w:rsidRPr="00A13CDF">
        <w:rPr>
          <w:rFonts w:eastAsiaTheme="minorEastAsia"/>
          <w:bCs/>
          <w:rtl/>
        </w:rPr>
        <w:t>مواصلة بناء قدرات قنصلياتها وسفاراتها من أجل تقديم المشورة والمساعدة والحماية للعمال المهاجرين الباراغويين وأفراد أسرهم المقيمين في الخارج، بسبل منها الزيادات في الميزانيّة وإعداد</w:t>
      </w:r>
      <w:r w:rsidR="000E775F" w:rsidRPr="00A13CDF">
        <w:rPr>
          <w:rFonts w:eastAsiaTheme="minorEastAsia" w:hint="cs"/>
          <w:bCs/>
          <w:rtl/>
        </w:rPr>
        <w:t> </w:t>
      </w:r>
      <w:r w:rsidR="00BB3044" w:rsidRPr="00A13CDF">
        <w:rPr>
          <w:rFonts w:eastAsiaTheme="minorEastAsia"/>
          <w:bCs/>
          <w:rtl/>
        </w:rPr>
        <w:t>الإحصاءات؛</w:t>
      </w:r>
    </w:p>
    <w:p w14:paraId="44EB0D81" w14:textId="3EE2BABD" w:rsidR="00BB3044" w:rsidRPr="00A13CDF" w:rsidRDefault="00165B22" w:rsidP="00BB3044">
      <w:pPr>
        <w:pStyle w:val="SingleTxtGA"/>
        <w:rPr>
          <w:rFonts w:eastAsiaTheme="minorEastAsia"/>
          <w:bCs/>
          <w:lang w:val="en-US" w:eastAsia="zh-TW"/>
        </w:rPr>
      </w:pPr>
      <w:r>
        <w:rPr>
          <w:rFonts w:eastAsiaTheme="minorEastAsia"/>
          <w:rtl/>
        </w:rPr>
        <w:tab/>
      </w:r>
      <w:r w:rsidR="00BB3044" w:rsidRPr="00BB3044">
        <w:rPr>
          <w:rFonts w:eastAsiaTheme="minorEastAsia"/>
          <w:rtl/>
        </w:rPr>
        <w:t>(ب)</w:t>
      </w:r>
      <w:r w:rsidR="00BB3044" w:rsidRPr="00BB3044">
        <w:rPr>
          <w:rFonts w:eastAsiaTheme="minorEastAsia"/>
          <w:rtl/>
        </w:rPr>
        <w:tab/>
      </w:r>
      <w:r w:rsidR="00BB3044" w:rsidRPr="00A13CDF">
        <w:rPr>
          <w:rFonts w:eastAsiaTheme="minorEastAsia"/>
          <w:bCs/>
          <w:rtl/>
        </w:rPr>
        <w:t>اتخاذ خطوات لتوفير المشورة القانونية المجانية لجميع المواطنين الباراغويين المحرومين من حريتهم في الخارج أو المعرضين للطرد</w:t>
      </w:r>
      <w:r w:rsidR="00BB3044" w:rsidRPr="00A13CDF">
        <w:rPr>
          <w:rFonts w:eastAsiaTheme="minorEastAsia"/>
          <w:bCs/>
          <w:rtl/>
          <w:lang w:val="en-US" w:eastAsia="zh-TW"/>
        </w:rPr>
        <w:t>؛</w:t>
      </w:r>
    </w:p>
    <w:p w14:paraId="0871F56B" w14:textId="1B22C459" w:rsidR="00BB3044" w:rsidRPr="00A13CDF" w:rsidRDefault="00165B22" w:rsidP="00BB3044">
      <w:pPr>
        <w:pStyle w:val="SingleTxtGA"/>
        <w:rPr>
          <w:rFonts w:eastAsiaTheme="minorEastAsia"/>
          <w:bCs/>
          <w:lang w:val="en-US" w:eastAsia="zh-TW"/>
        </w:rPr>
      </w:pPr>
      <w:r>
        <w:rPr>
          <w:rFonts w:eastAsiaTheme="minorEastAsia"/>
          <w:rtl/>
        </w:rPr>
        <w:tab/>
      </w:r>
      <w:r w:rsidR="00BB3044" w:rsidRPr="00BB3044">
        <w:rPr>
          <w:rFonts w:eastAsiaTheme="minorEastAsia"/>
          <w:rtl/>
        </w:rPr>
        <w:t>(ج)</w:t>
      </w:r>
      <w:r w:rsidR="00BB3044" w:rsidRPr="00BB3044">
        <w:rPr>
          <w:rFonts w:eastAsiaTheme="minorEastAsia"/>
          <w:rtl/>
        </w:rPr>
        <w:tab/>
      </w:r>
      <w:r w:rsidR="00BB3044" w:rsidRPr="00A13CDF">
        <w:rPr>
          <w:rFonts w:eastAsiaTheme="minorEastAsia"/>
          <w:bCs/>
          <w:rtl/>
        </w:rPr>
        <w:t>إشراك منظمات المجتمع المدني والرابطات والمنظمات التطوعية في إدارة شؤون المهاجرين ومساعدتهم في البلدان الأصلية وبلدان المقصد، بحيث يتمتعون بدعم وتضامن مواطنيهم</w:t>
      </w:r>
      <w:r w:rsidR="00BB3044" w:rsidRPr="00A13CDF">
        <w:rPr>
          <w:rFonts w:eastAsiaTheme="minorEastAsia"/>
          <w:bCs/>
          <w:rtl/>
          <w:lang w:val="en-US" w:eastAsia="zh-TW"/>
        </w:rPr>
        <w:t>؛</w:t>
      </w:r>
    </w:p>
    <w:p w14:paraId="16E0BE66" w14:textId="1FD33C16" w:rsidR="00BB3044" w:rsidRPr="00A13CDF" w:rsidRDefault="00165B22" w:rsidP="00BB3044">
      <w:pPr>
        <w:pStyle w:val="SingleTxtGA"/>
        <w:rPr>
          <w:rFonts w:eastAsiaTheme="minorEastAsia"/>
          <w:bCs/>
          <w:lang w:val="ar-SA" w:eastAsia="zh-TW" w:bidi="en-GB"/>
        </w:rPr>
      </w:pPr>
      <w:r>
        <w:rPr>
          <w:rFonts w:eastAsiaTheme="minorEastAsia"/>
          <w:rtl/>
        </w:rPr>
        <w:tab/>
      </w:r>
      <w:r w:rsidR="00BB3044" w:rsidRPr="00BB3044">
        <w:rPr>
          <w:rFonts w:eastAsiaTheme="minorEastAsia"/>
          <w:rtl/>
        </w:rPr>
        <w:t>(د)</w:t>
      </w:r>
      <w:r w:rsidR="00BB3044" w:rsidRPr="00BB3044">
        <w:rPr>
          <w:rFonts w:eastAsiaTheme="minorEastAsia"/>
          <w:rtl/>
        </w:rPr>
        <w:tab/>
      </w:r>
      <w:r w:rsidR="00BB3044" w:rsidRPr="00A13CDF">
        <w:rPr>
          <w:rFonts w:eastAsiaTheme="minorEastAsia"/>
          <w:bCs/>
          <w:rtl/>
        </w:rPr>
        <w:t>تسهيل تصويت ا</w:t>
      </w:r>
      <w:bookmarkStart w:id="17" w:name="_Hlk113181890"/>
      <w:r w:rsidR="00BB3044" w:rsidRPr="00A13CDF">
        <w:rPr>
          <w:rFonts w:eastAsiaTheme="minorEastAsia"/>
          <w:bCs/>
          <w:rtl/>
        </w:rPr>
        <w:t>لباراغويين</w:t>
      </w:r>
      <w:bookmarkEnd w:id="17"/>
      <w:r w:rsidR="00BB3044" w:rsidRPr="00A13CDF">
        <w:rPr>
          <w:rFonts w:eastAsiaTheme="minorEastAsia"/>
          <w:bCs/>
          <w:rtl/>
        </w:rPr>
        <w:t xml:space="preserve"> في أي بعثة في الخارج؛</w:t>
      </w:r>
    </w:p>
    <w:p w14:paraId="46F50F31" w14:textId="05B4E2D9" w:rsidR="00BB3044" w:rsidRPr="00A13CDF" w:rsidRDefault="00165B22" w:rsidP="00BB3044">
      <w:pPr>
        <w:pStyle w:val="SingleTxtGA"/>
        <w:rPr>
          <w:rFonts w:eastAsiaTheme="minorEastAsia"/>
          <w:bCs/>
          <w:lang w:val="ar-SA" w:eastAsia="zh-TW" w:bidi="en-GB"/>
        </w:rPr>
      </w:pPr>
      <w:r>
        <w:rPr>
          <w:rFonts w:eastAsiaTheme="minorEastAsia"/>
          <w:rtl/>
        </w:rPr>
        <w:tab/>
      </w:r>
      <w:r w:rsidR="00BB3044" w:rsidRPr="00BB3044">
        <w:rPr>
          <w:rFonts w:eastAsiaTheme="minorEastAsia"/>
          <w:rtl/>
        </w:rPr>
        <w:t>(هـ)</w:t>
      </w:r>
      <w:r w:rsidR="00BB3044" w:rsidRPr="00BB3044">
        <w:rPr>
          <w:rFonts w:eastAsiaTheme="minorEastAsia"/>
          <w:rtl/>
        </w:rPr>
        <w:tab/>
      </w:r>
      <w:r w:rsidR="00BB3044" w:rsidRPr="00A13CDF">
        <w:rPr>
          <w:rFonts w:eastAsiaTheme="minorEastAsia"/>
          <w:bCs/>
          <w:rtl/>
        </w:rPr>
        <w:t>تمكين مواطني باراغواي من طلب الجنسية الباراغوية لأطفالهم والحصول على أي وثائق مطلوبة للتسجيل المدني، بما في ذلك الوثائق المتعلقة بالإقامة، في قنصلية أو سفارة في أي بلد يتواجدون فيه، وضمان معالجة هذه الطلبات بسرعة وكفاءة، وتفويض القنصل بإصدار الوثائق اللازمة.</w:t>
      </w:r>
    </w:p>
    <w:p w14:paraId="4254B739" w14:textId="59A7AE51" w:rsidR="00BB3044" w:rsidRPr="00A13CDF" w:rsidRDefault="00BB3044" w:rsidP="00165B22">
      <w:pPr>
        <w:pStyle w:val="H23GA"/>
        <w:rPr>
          <w:lang w:val="ar-SA" w:eastAsia="zh-TW" w:bidi="en-GB"/>
        </w:rPr>
      </w:pPr>
      <w:r w:rsidRPr="00A13CDF">
        <w:rPr>
          <w:rtl/>
        </w:rPr>
        <w:tab/>
      </w:r>
      <w:r w:rsidRPr="00A13CDF">
        <w:rPr>
          <w:rtl/>
        </w:rPr>
        <w:tab/>
        <w:t xml:space="preserve">الأجر وظروف العمل </w:t>
      </w:r>
    </w:p>
    <w:p w14:paraId="4705D92D" w14:textId="1A47650C" w:rsidR="00BB3044" w:rsidRPr="00BB3044" w:rsidRDefault="00BB3044" w:rsidP="00BB3044">
      <w:pPr>
        <w:pStyle w:val="SingleTxtGA"/>
        <w:rPr>
          <w:rFonts w:eastAsiaTheme="minorEastAsia"/>
          <w:lang w:val="ar-SA" w:eastAsia="zh-TW" w:bidi="en-GB"/>
        </w:rPr>
      </w:pPr>
      <w:r w:rsidRPr="00A13CDF">
        <w:rPr>
          <w:rFonts w:eastAsiaTheme="minorEastAsia"/>
          <w:rtl/>
        </w:rPr>
        <w:t>48</w:t>
      </w:r>
      <w:r w:rsidRPr="00BB3044">
        <w:rPr>
          <w:rFonts w:eastAsiaTheme="minorEastAsia"/>
          <w:rtl/>
        </w:rPr>
        <w:t>-</w:t>
      </w:r>
      <w:r w:rsidRPr="00BB3044">
        <w:rPr>
          <w:rFonts w:eastAsiaTheme="minorEastAsia"/>
          <w:rtl/>
        </w:rPr>
        <w:tab/>
        <w:t>تحيط اللجنة علم</w:t>
      </w:r>
      <w:r w:rsidR="000E775F">
        <w:rPr>
          <w:rFonts w:eastAsiaTheme="minorEastAsia"/>
          <w:rtl/>
        </w:rPr>
        <w:t xml:space="preserve">اً </w:t>
      </w:r>
      <w:r w:rsidRPr="00BB3044">
        <w:rPr>
          <w:rFonts w:eastAsiaTheme="minorEastAsia"/>
          <w:rtl/>
        </w:rPr>
        <w:t xml:space="preserve">باعتماد القانون رقم </w:t>
      </w:r>
      <w:r w:rsidRPr="00A13CDF">
        <w:rPr>
          <w:rFonts w:eastAsiaTheme="minorEastAsia"/>
          <w:rtl/>
        </w:rPr>
        <w:t>6338</w:t>
      </w:r>
      <w:r w:rsidRPr="00BB3044">
        <w:rPr>
          <w:rFonts w:eastAsiaTheme="minorEastAsia"/>
          <w:rtl/>
        </w:rPr>
        <w:t>/</w:t>
      </w:r>
      <w:r w:rsidRPr="00A13CDF">
        <w:rPr>
          <w:rFonts w:eastAsiaTheme="minorEastAsia"/>
          <w:rtl/>
        </w:rPr>
        <w:t>19</w:t>
      </w:r>
      <w:r w:rsidRPr="00BB3044">
        <w:rPr>
          <w:rFonts w:eastAsiaTheme="minorEastAsia"/>
          <w:rtl/>
        </w:rPr>
        <w:t xml:space="preserve"> الذي يُعترف فيه بحق العمّال المنزليين، سواء أكانوا من مواطني باراغواي أو من المواطنين الأجانب، في الحصول على الحد الأدنى القانوني الموحد للأجور. بيد أن اللجنة تشعر بالقلق بشأن تسجيل </w:t>
      </w:r>
      <w:r w:rsidRPr="00A13CDF">
        <w:rPr>
          <w:rFonts w:eastAsiaTheme="minorEastAsia"/>
          <w:rtl/>
        </w:rPr>
        <w:t>5</w:t>
      </w:r>
      <w:r w:rsidRPr="00BB3044">
        <w:rPr>
          <w:rFonts w:eastAsiaTheme="minorEastAsia"/>
          <w:rtl/>
        </w:rPr>
        <w:t>,</w:t>
      </w:r>
      <w:r w:rsidRPr="00A13CDF">
        <w:rPr>
          <w:rFonts w:eastAsiaTheme="minorEastAsia"/>
          <w:rtl/>
        </w:rPr>
        <w:t>3</w:t>
      </w:r>
      <w:r w:rsidRPr="00BB3044">
        <w:rPr>
          <w:rFonts w:eastAsiaTheme="minorEastAsia"/>
          <w:rtl/>
        </w:rPr>
        <w:t xml:space="preserve"> في المائة فقط من العمال المنزليين لدى معهد الضمان الاجتماعي، واستمرار العمالة غير الرسمية على نطاق واسع في قطاع العمل المنزلي الخاص، </w:t>
      </w:r>
      <w:r w:rsidRPr="00BB3044">
        <w:rPr>
          <w:rFonts w:eastAsiaTheme="minorEastAsia"/>
          <w:rtl/>
        </w:rPr>
        <w:lastRenderedPageBreak/>
        <w:t>وعدم</w:t>
      </w:r>
      <w:r>
        <w:rPr>
          <w:rFonts w:eastAsiaTheme="minorEastAsia"/>
          <w:rtl/>
        </w:rPr>
        <w:t xml:space="preserve"> </w:t>
      </w:r>
      <w:r w:rsidRPr="00BB3044">
        <w:rPr>
          <w:rFonts w:eastAsiaTheme="minorEastAsia"/>
          <w:rtl/>
        </w:rPr>
        <w:t>إدراك العمال المهاجرين في هذا القطاع لحقوقهم وواجباتهم. ويساور اللجنة القلق أيض</w:t>
      </w:r>
      <w:r w:rsidR="000E775F">
        <w:rPr>
          <w:rFonts w:eastAsiaTheme="minorEastAsia"/>
          <w:rtl/>
        </w:rPr>
        <w:t xml:space="preserve">اً </w:t>
      </w:r>
      <w:r w:rsidRPr="00BB3044">
        <w:rPr>
          <w:rFonts w:eastAsiaTheme="minorEastAsia"/>
          <w:rtl/>
        </w:rPr>
        <w:t>لعدم وجود سياسات أو إجراءات تمنع العمل القسري للعمّال المنزليين.</w:t>
      </w:r>
    </w:p>
    <w:p w14:paraId="46697A86" w14:textId="4D3A21C1" w:rsidR="00BB3044" w:rsidRPr="00A13CDF" w:rsidRDefault="00BB3044" w:rsidP="00BB3044">
      <w:pPr>
        <w:pStyle w:val="SingleTxtGA"/>
        <w:rPr>
          <w:rFonts w:eastAsiaTheme="minorEastAsia"/>
          <w:bCs/>
          <w:lang w:val="ar-SA" w:eastAsia="zh-TW" w:bidi="en-GB"/>
        </w:rPr>
      </w:pPr>
      <w:r w:rsidRPr="00A13CDF">
        <w:rPr>
          <w:rFonts w:eastAsiaTheme="minorEastAsia"/>
          <w:rtl/>
        </w:rPr>
        <w:t>49</w:t>
      </w:r>
      <w:r w:rsidRPr="00BB3044">
        <w:rPr>
          <w:rFonts w:eastAsiaTheme="minorEastAsia"/>
          <w:rtl/>
        </w:rPr>
        <w:t>-</w:t>
      </w:r>
      <w:r w:rsidRPr="00BB3044">
        <w:rPr>
          <w:rFonts w:eastAsiaTheme="minorEastAsia"/>
          <w:rtl/>
        </w:rPr>
        <w:tab/>
      </w:r>
      <w:r w:rsidRPr="00A13CDF">
        <w:rPr>
          <w:rFonts w:eastAsiaTheme="minorEastAsia"/>
          <w:bCs/>
          <w:rtl/>
        </w:rPr>
        <w:t>توصي اللجنة، في ضوء تعليقها العام رقم 1(2011) بشأن العمال المنزليين المهاجرين، وتمشي</w:t>
      </w:r>
      <w:r w:rsidR="000E775F" w:rsidRPr="00A13CDF">
        <w:rPr>
          <w:rFonts w:eastAsiaTheme="minorEastAsia"/>
          <w:bCs/>
          <w:rtl/>
        </w:rPr>
        <w:t xml:space="preserve">اً </w:t>
      </w:r>
      <w:r w:rsidRPr="00A13CDF">
        <w:rPr>
          <w:rFonts w:eastAsiaTheme="minorEastAsia"/>
          <w:bCs/>
          <w:rtl/>
        </w:rPr>
        <w:t>مع الغاية 8-8 من أهداف التنمية المستدامة، بأن تضاعف الدولة الطرف جهودها لنشر القانون رقم</w:t>
      </w:r>
      <w:r w:rsidR="00165B22" w:rsidRPr="00A13CDF">
        <w:rPr>
          <w:rFonts w:eastAsiaTheme="minorEastAsia" w:hint="cs"/>
          <w:bCs/>
          <w:rtl/>
        </w:rPr>
        <w:t> </w:t>
      </w:r>
      <w:r w:rsidRPr="00A13CDF">
        <w:rPr>
          <w:rFonts w:eastAsiaTheme="minorEastAsia"/>
          <w:bCs/>
          <w:rtl/>
        </w:rPr>
        <w:t>6338/19 وضمان أن يكون لدى العمال المنزليين المهاجرين شروط عمل مكتوبة، بلغة يفهمونها، تحدّد واجباتهم وساعات عملهم وأجورهم وأيام راحتهم وغيرها من ظروف العمل، في إطار عقود حرة وعادلة وتحظى بموافقتهم الكاملة.</w:t>
      </w:r>
    </w:p>
    <w:p w14:paraId="578E4517" w14:textId="77777777" w:rsidR="00BB3044" w:rsidRPr="00A13CDF" w:rsidRDefault="00BB3044" w:rsidP="00165B22">
      <w:pPr>
        <w:pStyle w:val="H23GA"/>
        <w:rPr>
          <w:lang w:val="ar-SA" w:eastAsia="zh-TW" w:bidi="en-GB"/>
        </w:rPr>
      </w:pPr>
      <w:r w:rsidRPr="00A13CDF">
        <w:rPr>
          <w:rtl/>
        </w:rPr>
        <w:tab/>
      </w:r>
      <w:r w:rsidRPr="00A13CDF">
        <w:rPr>
          <w:rtl/>
        </w:rPr>
        <w:tab/>
        <w:t>الرعاية الطبّية</w:t>
      </w:r>
    </w:p>
    <w:p w14:paraId="07FD581A" w14:textId="571BADA4" w:rsidR="00BB3044" w:rsidRPr="00BB3044" w:rsidRDefault="00BB3044" w:rsidP="00BB3044">
      <w:pPr>
        <w:pStyle w:val="SingleTxtGA"/>
        <w:rPr>
          <w:rFonts w:eastAsiaTheme="minorEastAsia"/>
          <w:lang w:val="ar-SA" w:eastAsia="zh-TW" w:bidi="en-GB"/>
        </w:rPr>
      </w:pPr>
      <w:r w:rsidRPr="00A13CDF">
        <w:rPr>
          <w:rFonts w:eastAsiaTheme="minorEastAsia"/>
          <w:rtl/>
        </w:rPr>
        <w:t>50</w:t>
      </w:r>
      <w:r w:rsidRPr="00BB3044">
        <w:rPr>
          <w:rFonts w:eastAsiaTheme="minorEastAsia"/>
          <w:rtl/>
        </w:rPr>
        <w:t>-</w:t>
      </w:r>
      <w:r w:rsidRPr="00BB3044">
        <w:rPr>
          <w:rFonts w:eastAsiaTheme="minorEastAsia"/>
          <w:rtl/>
        </w:rPr>
        <w:tab/>
        <w:t>تحيط اللجنة علم</w:t>
      </w:r>
      <w:r w:rsidR="000E775F">
        <w:rPr>
          <w:rFonts w:eastAsiaTheme="minorEastAsia"/>
          <w:rtl/>
        </w:rPr>
        <w:t xml:space="preserve">اً </w:t>
      </w:r>
      <w:r w:rsidRPr="00BB3044">
        <w:rPr>
          <w:rFonts w:eastAsiaTheme="minorEastAsia"/>
          <w:rtl/>
        </w:rPr>
        <w:t xml:space="preserve">بالسياسة الصحية الوطنية للفترة </w:t>
      </w:r>
      <w:r w:rsidRPr="00A13CDF">
        <w:rPr>
          <w:rFonts w:eastAsiaTheme="minorEastAsia"/>
          <w:rtl/>
        </w:rPr>
        <w:t>2015</w:t>
      </w:r>
      <w:r w:rsidRPr="00BB3044">
        <w:rPr>
          <w:rFonts w:eastAsiaTheme="minorEastAsia"/>
          <w:rtl/>
        </w:rPr>
        <w:t>-</w:t>
      </w:r>
      <w:r w:rsidRPr="00A13CDF">
        <w:rPr>
          <w:rFonts w:eastAsiaTheme="minorEastAsia"/>
          <w:rtl/>
        </w:rPr>
        <w:t>2030</w:t>
      </w:r>
      <w:r w:rsidRPr="00BB3044">
        <w:rPr>
          <w:rFonts w:eastAsiaTheme="minorEastAsia"/>
          <w:rtl/>
        </w:rPr>
        <w:t xml:space="preserve"> (المرسوم رقم </w:t>
      </w:r>
      <w:r w:rsidRPr="00A13CDF">
        <w:rPr>
          <w:rFonts w:eastAsiaTheme="minorEastAsia"/>
          <w:rtl/>
        </w:rPr>
        <w:t>4541</w:t>
      </w:r>
      <w:r w:rsidRPr="00BB3044">
        <w:rPr>
          <w:rFonts w:eastAsiaTheme="minorEastAsia"/>
          <w:rtl/>
        </w:rPr>
        <w:t>/</w:t>
      </w:r>
      <w:r w:rsidRPr="00A13CDF">
        <w:rPr>
          <w:rFonts w:eastAsiaTheme="minorEastAsia"/>
          <w:rtl/>
        </w:rPr>
        <w:t>2015</w:t>
      </w:r>
      <w:r w:rsidRPr="00BB3044">
        <w:rPr>
          <w:rFonts w:eastAsiaTheme="minorEastAsia"/>
          <w:rtl/>
        </w:rPr>
        <w:t>) وبوضع برامج تهدف إلى ضمان حصول الجميع على الرعاية الصحية. وتلاحظ اللجنة أنه يمكن للعمال الأجانب في القطاع الخاص الالتحاق بنظام الضمان الاجتماعي الوطني والمساهمة فيه، كما يحق لهم الحصول على استحقاقات اجتماعية ومعاشات تقاعدية. بيد أن اللجنة تشعر بالقلق لأن العمال الأجانب الذين هم في وضع غير قانوني لا يستطيعون الاستفادة من نظام الضمان الاجتماعي، لأنهم يحتاجون إلى تسوية أوضاعهم عن طريق وثائق تثبت أنهم يقيمون في الدولة الطرف بصورة قانونية لكي تتاح لهم إمكانية الاستفادة من النظام.</w:t>
      </w:r>
    </w:p>
    <w:p w14:paraId="1D29A1A2" w14:textId="6D6E3779" w:rsidR="00BB3044" w:rsidRPr="00A13CDF" w:rsidRDefault="00BB3044" w:rsidP="00BB3044">
      <w:pPr>
        <w:pStyle w:val="SingleTxtGA"/>
        <w:rPr>
          <w:rFonts w:eastAsiaTheme="minorEastAsia"/>
          <w:bCs/>
          <w:lang w:val="ar-SA" w:eastAsia="zh-TW" w:bidi="en-GB"/>
        </w:rPr>
      </w:pPr>
      <w:r w:rsidRPr="00A13CDF">
        <w:rPr>
          <w:rFonts w:eastAsiaTheme="minorEastAsia"/>
          <w:rtl/>
        </w:rPr>
        <w:t>51</w:t>
      </w:r>
      <w:r w:rsidRPr="00BB3044">
        <w:rPr>
          <w:rFonts w:eastAsiaTheme="minorEastAsia"/>
          <w:rtl/>
        </w:rPr>
        <w:t>-</w:t>
      </w:r>
      <w:r w:rsidRPr="00BB3044">
        <w:rPr>
          <w:rFonts w:eastAsiaTheme="minorEastAsia"/>
          <w:rtl/>
        </w:rPr>
        <w:tab/>
      </w:r>
      <w:r w:rsidRPr="00A13CDF">
        <w:rPr>
          <w:rFonts w:eastAsiaTheme="minorEastAsia"/>
          <w:bCs/>
          <w:rtl/>
        </w:rPr>
        <w:t>وتجدّد اللجنة تأكيد توصيتها السابقة</w:t>
      </w:r>
      <w:r w:rsidR="00C44303" w:rsidRPr="00A13CDF">
        <w:rPr>
          <w:rStyle w:val="FootnoteReference"/>
          <w:rFonts w:eastAsiaTheme="minorEastAsia"/>
          <w:b/>
          <w:szCs w:val="22"/>
          <w:rtl/>
        </w:rPr>
        <w:t>(</w:t>
      </w:r>
      <w:r w:rsidR="00C44303" w:rsidRPr="00A13CDF">
        <w:rPr>
          <w:rStyle w:val="FootnoteReference"/>
          <w:rFonts w:eastAsiaTheme="minorEastAsia"/>
          <w:b/>
          <w:szCs w:val="22"/>
          <w:lang w:val="en-US"/>
        </w:rPr>
        <w:footnoteReference w:id="13"/>
      </w:r>
      <w:r w:rsidR="00C44303" w:rsidRPr="00A13CDF">
        <w:rPr>
          <w:rFonts w:eastAsiaTheme="minorEastAsia" w:hint="cs"/>
          <w:b/>
          <w:vertAlign w:val="superscript"/>
          <w:rtl/>
        </w:rPr>
        <w:t>)</w:t>
      </w:r>
      <w:r w:rsidR="00C44303" w:rsidRPr="00A13CDF">
        <w:rPr>
          <w:rFonts w:eastAsiaTheme="minorEastAsia" w:hint="cs"/>
          <w:bCs/>
          <w:rtl/>
        </w:rPr>
        <w:t xml:space="preserve"> </w:t>
      </w:r>
      <w:r w:rsidRPr="00A13CDF">
        <w:rPr>
          <w:rFonts w:eastAsiaTheme="minorEastAsia"/>
          <w:bCs/>
          <w:rtl/>
        </w:rPr>
        <w:t>وتوصي الدولة الطرف، وفق</w:t>
      </w:r>
      <w:r w:rsidR="000E775F" w:rsidRPr="00A13CDF">
        <w:rPr>
          <w:rFonts w:eastAsiaTheme="minorEastAsia"/>
          <w:bCs/>
          <w:rtl/>
        </w:rPr>
        <w:t xml:space="preserve">اً </w:t>
      </w:r>
      <w:r w:rsidRPr="00A13CDF">
        <w:rPr>
          <w:rFonts w:eastAsiaTheme="minorEastAsia"/>
          <w:bCs/>
          <w:rtl/>
        </w:rPr>
        <w:t>للمادة 28 من الاتفاقية، باتّخاذ خطوات محددة لإتاحة الفرصة لجميع العمال المهاجرين وأفراد أسرهم للاستفادة من نظام الرعاية الصحية الخاص بها، الذي لا يجوز حرمانهم منه بسبب أي مخالفة، حتّى تكون العدالة الاجتماعيّة أساس الحصول على الخدمات على قدم المساواة ودون تمييز، في ظل حفظ الكرامة. وتوصي اللجنة بعدم السماح باستخدام قانون الهجرة كمبرر للتدخل، في الممارسة العملية، في الحق في الصحة.</w:t>
      </w:r>
    </w:p>
    <w:p w14:paraId="612A8291" w14:textId="77777777" w:rsidR="00BB3044" w:rsidRPr="00A13CDF" w:rsidRDefault="00BB3044" w:rsidP="00165B22">
      <w:pPr>
        <w:pStyle w:val="H23GA"/>
        <w:rPr>
          <w:lang w:val="en-US" w:eastAsia="zh-TW" w:bidi="en-GB"/>
        </w:rPr>
      </w:pPr>
      <w:r w:rsidRPr="00A13CDF">
        <w:rPr>
          <w:rtl/>
        </w:rPr>
        <w:tab/>
      </w:r>
      <w:r w:rsidRPr="00A13CDF">
        <w:rPr>
          <w:rtl/>
        </w:rPr>
        <w:tab/>
        <w:t>تسجيل المواليد والجنسيّة</w:t>
      </w:r>
    </w:p>
    <w:p w14:paraId="36DFCFCA" w14:textId="46D0472C" w:rsidR="00BB3044" w:rsidRPr="00BB3044" w:rsidRDefault="00BB3044" w:rsidP="00BB3044">
      <w:pPr>
        <w:pStyle w:val="SingleTxtGA"/>
        <w:rPr>
          <w:rFonts w:eastAsiaTheme="minorEastAsia"/>
          <w:lang w:val="en-US" w:eastAsia="zh-TW" w:bidi="en-GB"/>
        </w:rPr>
      </w:pPr>
      <w:r w:rsidRPr="00A13CDF">
        <w:rPr>
          <w:rFonts w:eastAsiaTheme="minorEastAsia"/>
          <w:rtl/>
        </w:rPr>
        <w:t>52</w:t>
      </w:r>
      <w:r w:rsidRPr="00BB3044">
        <w:rPr>
          <w:rFonts w:eastAsiaTheme="minorEastAsia"/>
          <w:rtl/>
        </w:rPr>
        <w:t>-</w:t>
      </w:r>
      <w:r w:rsidRPr="00BB3044">
        <w:rPr>
          <w:rFonts w:eastAsiaTheme="minorEastAsia"/>
          <w:rtl/>
        </w:rPr>
        <w:tab/>
        <w:t>تلاحظ اللجنة أنه يمكن لأطفال مواطني الدولة الطرف المولودين في بلدان ثالثة الحصول على الجنسية الباراغوية بموجب حق الدم، على أن يستوفوا شروط</w:t>
      </w:r>
      <w:r w:rsidR="000E775F">
        <w:rPr>
          <w:rFonts w:eastAsiaTheme="minorEastAsia"/>
          <w:rtl/>
        </w:rPr>
        <w:t xml:space="preserve">اً </w:t>
      </w:r>
      <w:r w:rsidRPr="00BB3044">
        <w:rPr>
          <w:rFonts w:eastAsiaTheme="minorEastAsia"/>
          <w:rtl/>
        </w:rPr>
        <w:t>معينة، كما تحيط علم</w:t>
      </w:r>
      <w:r w:rsidR="000E775F">
        <w:rPr>
          <w:rFonts w:eastAsiaTheme="minorEastAsia"/>
          <w:rtl/>
        </w:rPr>
        <w:t xml:space="preserve">اً </w:t>
      </w:r>
      <w:r w:rsidRPr="00BB3044">
        <w:rPr>
          <w:rFonts w:eastAsiaTheme="minorEastAsia"/>
          <w:rtl/>
        </w:rPr>
        <w:t>بمنح أطفال الرعايا الأجانب المولودين في الدولة الطرف الجنسية الباراغوية</w:t>
      </w:r>
      <w:r>
        <w:rPr>
          <w:rFonts w:eastAsiaTheme="minorEastAsia"/>
          <w:rtl/>
        </w:rPr>
        <w:t xml:space="preserve"> </w:t>
      </w:r>
      <w:r w:rsidRPr="00BB3044">
        <w:rPr>
          <w:rFonts w:eastAsiaTheme="minorEastAsia"/>
          <w:rtl/>
        </w:rPr>
        <w:t>بموجب حق الأرض. بيد أن اللجنة تشعر بالقلق إزاء وجود شروط تحكم حمل الجنسية الباراغوية، مثل الإقامة الدائمة في الدولة الطرف، وتأكيد الرغبة في</w:t>
      </w:r>
      <w:r w:rsidR="00165B22">
        <w:rPr>
          <w:rFonts w:eastAsiaTheme="minorEastAsia" w:hint="cs"/>
          <w:rtl/>
        </w:rPr>
        <w:t> </w:t>
      </w:r>
      <w:r w:rsidRPr="00BB3044">
        <w:rPr>
          <w:rFonts w:eastAsiaTheme="minorEastAsia"/>
          <w:rtl/>
        </w:rPr>
        <w:t xml:space="preserve">الاحتفاظ بالجنسية الباراغوية عند بلوغ سن </w:t>
      </w:r>
      <w:r w:rsidRPr="00A13CDF">
        <w:rPr>
          <w:rFonts w:eastAsiaTheme="minorEastAsia"/>
          <w:rtl/>
        </w:rPr>
        <w:t>18</w:t>
      </w:r>
      <w:r w:rsidRPr="00BB3044">
        <w:rPr>
          <w:rFonts w:eastAsiaTheme="minorEastAsia"/>
          <w:rtl/>
        </w:rPr>
        <w:t xml:space="preserve"> سنة وعدم حيازة عدد من الجنسيات يفوق العدد المسموح به. ويترتب على عدم الوفاء بهذه المتطلبات فقدان حقوق هامة، مثل الحق في المواطنة وحتى الحق في التصويت.</w:t>
      </w:r>
    </w:p>
    <w:p w14:paraId="43334D6D" w14:textId="5EDA84E1" w:rsidR="00BB3044" w:rsidRPr="00BB3044" w:rsidRDefault="00BB3044" w:rsidP="00BB3044">
      <w:pPr>
        <w:pStyle w:val="SingleTxtGA"/>
        <w:rPr>
          <w:rFonts w:eastAsiaTheme="minorEastAsia"/>
          <w:lang w:val="en-US" w:eastAsia="zh-TW"/>
        </w:rPr>
      </w:pPr>
      <w:bookmarkStart w:id="18" w:name="_Hlk105059047"/>
      <w:r w:rsidRPr="00A13CDF">
        <w:rPr>
          <w:rFonts w:eastAsiaTheme="minorEastAsia"/>
          <w:rtl/>
        </w:rPr>
        <w:t>53</w:t>
      </w:r>
      <w:r w:rsidRPr="00BB3044">
        <w:rPr>
          <w:rFonts w:eastAsiaTheme="minorEastAsia"/>
          <w:rtl/>
        </w:rPr>
        <w:t>-</w:t>
      </w:r>
      <w:r w:rsidRPr="00BB3044">
        <w:rPr>
          <w:rFonts w:eastAsiaTheme="minorEastAsia"/>
          <w:rtl/>
        </w:rPr>
        <w:tab/>
        <w:t xml:space="preserve">وتستحسن اللجنة اعتماد الدولة الطرف، في عام </w:t>
      </w:r>
      <w:r w:rsidRPr="00A13CDF">
        <w:rPr>
          <w:rFonts w:eastAsiaTheme="minorEastAsia"/>
          <w:rtl/>
        </w:rPr>
        <w:t>2018</w:t>
      </w:r>
      <w:r w:rsidRPr="00BB3044">
        <w:rPr>
          <w:rFonts w:eastAsiaTheme="minorEastAsia"/>
          <w:rtl/>
        </w:rPr>
        <w:t>، قانون</w:t>
      </w:r>
      <w:r w:rsidR="000E775F">
        <w:rPr>
          <w:rFonts w:eastAsiaTheme="minorEastAsia"/>
          <w:rtl/>
        </w:rPr>
        <w:t xml:space="preserve">اً </w:t>
      </w:r>
      <w:r w:rsidRPr="00BB3044">
        <w:rPr>
          <w:rFonts w:eastAsiaTheme="minorEastAsia"/>
          <w:rtl/>
        </w:rPr>
        <w:t>محدد</w:t>
      </w:r>
      <w:r w:rsidR="000E775F">
        <w:rPr>
          <w:rFonts w:eastAsiaTheme="minorEastAsia"/>
          <w:rtl/>
        </w:rPr>
        <w:t xml:space="preserve">اً </w:t>
      </w:r>
      <w:r w:rsidRPr="00BB3044">
        <w:rPr>
          <w:rFonts w:eastAsiaTheme="minorEastAsia"/>
          <w:rtl/>
        </w:rPr>
        <w:t xml:space="preserve">لحماية الأشخاص عديمي الجنسية وتيسير تجنسهم (القانون رقم </w:t>
      </w:r>
      <w:r w:rsidRPr="00A13CDF">
        <w:rPr>
          <w:rFonts w:eastAsiaTheme="minorEastAsia"/>
          <w:rtl/>
        </w:rPr>
        <w:t>6149</w:t>
      </w:r>
      <w:r w:rsidRPr="00BB3044">
        <w:rPr>
          <w:rFonts w:eastAsiaTheme="minorEastAsia"/>
          <w:rtl/>
        </w:rPr>
        <w:t>)، وفق</w:t>
      </w:r>
      <w:r w:rsidR="000E775F">
        <w:rPr>
          <w:rFonts w:eastAsiaTheme="minorEastAsia"/>
          <w:rtl/>
        </w:rPr>
        <w:t xml:space="preserve">اً </w:t>
      </w:r>
      <w:r w:rsidRPr="00BB3044">
        <w:rPr>
          <w:rFonts w:eastAsiaTheme="minorEastAsia"/>
          <w:rtl/>
        </w:rPr>
        <w:t>للمعايير الدولية. بيد أن اللجنة تشعر بالقلق بشأن عدم اتخاذ التدابير اللازمة لتطبيقه وإنفاذه عن طريق المراسيم والإجراءات الإدارية</w:t>
      </w:r>
      <w:r>
        <w:rPr>
          <w:rFonts w:eastAsiaTheme="minorEastAsia"/>
          <w:rtl/>
        </w:rPr>
        <w:t xml:space="preserve"> </w:t>
      </w:r>
      <w:r w:rsidRPr="00BB3044">
        <w:rPr>
          <w:rFonts w:eastAsiaTheme="minorEastAsia"/>
          <w:rtl/>
        </w:rPr>
        <w:t>وبشأن التأثير السلبي المستمر لهذا التأخير على الأطفال المولودين لآباء</w:t>
      </w:r>
      <w:r>
        <w:rPr>
          <w:rFonts w:eastAsiaTheme="minorEastAsia"/>
          <w:rtl/>
        </w:rPr>
        <w:t xml:space="preserve"> و</w:t>
      </w:r>
      <w:r w:rsidRPr="00BB3044">
        <w:rPr>
          <w:rFonts w:eastAsiaTheme="minorEastAsia"/>
          <w:rtl/>
        </w:rPr>
        <w:t>أمهات باراغويين.</w:t>
      </w:r>
      <w:bookmarkEnd w:id="18"/>
      <w:r>
        <w:rPr>
          <w:rFonts w:eastAsiaTheme="minorEastAsia"/>
          <w:rtl/>
          <w:lang w:val="en-US" w:eastAsia="zh-TW"/>
        </w:rPr>
        <w:t xml:space="preserve"> </w:t>
      </w:r>
    </w:p>
    <w:p w14:paraId="222E2EA8" w14:textId="284C99A5" w:rsidR="00BB3044" w:rsidRPr="00A13CDF" w:rsidRDefault="00BB3044" w:rsidP="00BB3044">
      <w:pPr>
        <w:pStyle w:val="SingleTxtGA"/>
        <w:rPr>
          <w:rFonts w:eastAsiaTheme="minorEastAsia"/>
          <w:bCs/>
          <w:lang w:val="ar-SA" w:eastAsia="zh-TW" w:bidi="en-GB"/>
        </w:rPr>
      </w:pPr>
      <w:r w:rsidRPr="00A13CDF">
        <w:rPr>
          <w:rFonts w:eastAsiaTheme="minorEastAsia"/>
          <w:rtl/>
        </w:rPr>
        <w:lastRenderedPageBreak/>
        <w:t>54</w:t>
      </w:r>
      <w:r w:rsidRPr="00BB3044">
        <w:rPr>
          <w:rFonts w:eastAsiaTheme="minorEastAsia"/>
          <w:rtl/>
        </w:rPr>
        <w:t>-</w:t>
      </w:r>
      <w:r w:rsidRPr="00BB3044">
        <w:rPr>
          <w:rFonts w:eastAsiaTheme="minorEastAsia"/>
          <w:rtl/>
        </w:rPr>
        <w:tab/>
      </w:r>
      <w:r w:rsidRPr="00A13CDF">
        <w:rPr>
          <w:rFonts w:eastAsiaTheme="minorEastAsia"/>
          <w:bCs/>
          <w:rtl/>
        </w:rPr>
        <w:t>وتجدّد اللجنة تأكيد توصيتها السابقة</w:t>
      </w:r>
      <w:r w:rsidR="00C44303" w:rsidRPr="00A13CDF">
        <w:rPr>
          <w:rStyle w:val="FootnoteReference"/>
          <w:rFonts w:eastAsiaTheme="minorEastAsia"/>
          <w:b/>
          <w:szCs w:val="22"/>
          <w:rtl/>
        </w:rPr>
        <w:t>(</w:t>
      </w:r>
      <w:r w:rsidR="00C44303" w:rsidRPr="00A13CDF">
        <w:rPr>
          <w:rStyle w:val="FootnoteReference"/>
          <w:rFonts w:eastAsiaTheme="minorEastAsia"/>
          <w:bCs/>
          <w:szCs w:val="22"/>
          <w:lang w:val="en-US"/>
        </w:rPr>
        <w:footnoteReference w:id="14"/>
      </w:r>
      <w:r w:rsidR="00C44303" w:rsidRPr="00A13CDF">
        <w:rPr>
          <w:rFonts w:eastAsiaTheme="minorEastAsia" w:hint="cs"/>
          <w:b/>
          <w:vertAlign w:val="superscript"/>
          <w:rtl/>
        </w:rPr>
        <w:t>)</w:t>
      </w:r>
      <w:r w:rsidR="00165B22" w:rsidRPr="00A13CDF">
        <w:rPr>
          <w:rFonts w:eastAsiaTheme="minorEastAsia" w:hint="cs"/>
          <w:bCs/>
          <w:rtl/>
        </w:rPr>
        <w:t>.</w:t>
      </w:r>
      <w:r w:rsidRPr="00A13CDF">
        <w:rPr>
          <w:rFonts w:eastAsiaTheme="minorEastAsia"/>
          <w:bCs/>
          <w:rtl/>
        </w:rPr>
        <w:t xml:space="preserve"> وتشجع الدولة الطرف أيض</w:t>
      </w:r>
      <w:r w:rsidR="000E775F" w:rsidRPr="00A13CDF">
        <w:rPr>
          <w:rFonts w:eastAsiaTheme="minorEastAsia"/>
          <w:bCs/>
          <w:rtl/>
        </w:rPr>
        <w:t xml:space="preserve">اً </w:t>
      </w:r>
      <w:r w:rsidRPr="00A13CDF">
        <w:rPr>
          <w:rFonts w:eastAsiaTheme="minorEastAsia"/>
          <w:bCs/>
          <w:rtl/>
        </w:rPr>
        <w:t>على إنشاء آلية تنفيذية للتنسيق بين القنصليات واللجنة الوطنية للاجئين والمحاكم المدنية والتجارية المحليّة وإدارة</w:t>
      </w:r>
      <w:r w:rsidR="007C1C53" w:rsidRPr="00A13CDF">
        <w:rPr>
          <w:rFonts w:eastAsiaTheme="minorEastAsia" w:hint="cs"/>
          <w:bCs/>
          <w:rtl/>
        </w:rPr>
        <w:t> </w:t>
      </w:r>
      <w:r w:rsidRPr="00A13CDF">
        <w:rPr>
          <w:rFonts w:eastAsiaTheme="minorEastAsia"/>
          <w:bCs/>
          <w:rtl/>
        </w:rPr>
        <w:t>الهوية المدنية بهدف الامتثال لأحكام القانون رقم 6149 والتزامات الدولة الطرف بموجب المادة</w:t>
      </w:r>
      <w:r w:rsidR="007C1C53" w:rsidRPr="00A13CDF">
        <w:rPr>
          <w:rFonts w:eastAsiaTheme="minorEastAsia" w:hint="cs"/>
          <w:bCs/>
          <w:rtl/>
        </w:rPr>
        <w:t> </w:t>
      </w:r>
      <w:r w:rsidRPr="00A13CDF">
        <w:rPr>
          <w:rFonts w:eastAsiaTheme="minorEastAsia"/>
          <w:bCs/>
          <w:rtl/>
        </w:rPr>
        <w:t>29 من</w:t>
      </w:r>
      <w:r w:rsidR="00CB00E7" w:rsidRPr="00A13CDF">
        <w:rPr>
          <w:rFonts w:eastAsiaTheme="minorEastAsia" w:hint="cs"/>
          <w:bCs/>
          <w:rtl/>
        </w:rPr>
        <w:t> </w:t>
      </w:r>
      <w:r w:rsidRPr="00A13CDF">
        <w:rPr>
          <w:rFonts w:eastAsiaTheme="minorEastAsia"/>
          <w:bCs/>
          <w:rtl/>
        </w:rPr>
        <w:t>الاتفاقية.</w:t>
      </w:r>
    </w:p>
    <w:p w14:paraId="60C0B7A0" w14:textId="4A64C5E8" w:rsidR="00BB3044" w:rsidRPr="00A13CDF" w:rsidRDefault="00BB3044" w:rsidP="00BB3044">
      <w:pPr>
        <w:pStyle w:val="SingleTxtGA"/>
        <w:rPr>
          <w:rFonts w:eastAsiaTheme="minorEastAsia"/>
          <w:b/>
          <w:bCs/>
          <w:lang w:val="en-US" w:eastAsia="zh-TW"/>
        </w:rPr>
      </w:pPr>
      <w:r w:rsidRPr="00A13CDF">
        <w:rPr>
          <w:rFonts w:eastAsiaTheme="minorEastAsia"/>
          <w:rtl/>
        </w:rPr>
        <w:t>55</w:t>
      </w:r>
      <w:r w:rsidRPr="00BB3044">
        <w:rPr>
          <w:rFonts w:eastAsiaTheme="minorEastAsia"/>
          <w:rtl/>
        </w:rPr>
        <w:t>-</w:t>
      </w:r>
      <w:r w:rsidRPr="00BB3044">
        <w:rPr>
          <w:rFonts w:eastAsiaTheme="minorEastAsia"/>
          <w:rtl/>
        </w:rPr>
        <w:tab/>
      </w:r>
      <w:r w:rsidRPr="00A13CDF">
        <w:rPr>
          <w:rFonts w:eastAsiaTheme="minorEastAsia"/>
          <w:b/>
          <w:bCs/>
          <w:rtl/>
        </w:rPr>
        <w:t>وتوصي اللجنة الدولة الطرف باعتماد أنظمة تنفيذية للقانون رقم 6149 والإبلاغ عن تنفيذه، بما</w:t>
      </w:r>
      <w:r w:rsidR="000E775F" w:rsidRPr="00A13CDF">
        <w:rPr>
          <w:rFonts w:eastAsiaTheme="minorEastAsia" w:hint="cs"/>
          <w:b/>
          <w:bCs/>
          <w:rtl/>
        </w:rPr>
        <w:t> </w:t>
      </w:r>
      <w:r w:rsidRPr="00A13CDF">
        <w:rPr>
          <w:rFonts w:eastAsiaTheme="minorEastAsia"/>
          <w:b/>
          <w:bCs/>
          <w:rtl/>
        </w:rPr>
        <w:t>في ذلك ما يتعلق بالخطوات المتخذة لضمان أن يكون المهاجرون المقيمون في الخارج على علم بوجوده والعمل به وأن يتمكنوا من التقدم بطلب للحصول على الجنسية الباراغوية من الخارج. كما</w:t>
      </w:r>
      <w:r w:rsidR="007C1C53" w:rsidRPr="00A13CDF">
        <w:rPr>
          <w:rFonts w:eastAsiaTheme="minorEastAsia" w:hint="cs"/>
          <w:b/>
          <w:bCs/>
          <w:rtl/>
        </w:rPr>
        <w:t> </w:t>
      </w:r>
      <w:r w:rsidRPr="00A13CDF">
        <w:rPr>
          <w:rFonts w:eastAsiaTheme="minorEastAsia"/>
          <w:b/>
          <w:bCs/>
          <w:rtl/>
        </w:rPr>
        <w:t>توصي اللجنة الدولة الطرف بجمع ونشر بيانات تحدّد عدد الأشخاص العديمي الجنسية وتصف وضعهم وتؤكد تجنّسهم من عدمه</w:t>
      </w:r>
      <w:r w:rsidRPr="00A13CDF">
        <w:rPr>
          <w:rFonts w:eastAsiaTheme="minorEastAsia"/>
          <w:b/>
          <w:bCs/>
          <w:rtl/>
          <w:lang w:val="en-US" w:eastAsia="zh-TW"/>
        </w:rPr>
        <w:t>.</w:t>
      </w:r>
    </w:p>
    <w:p w14:paraId="5C5151BC" w14:textId="77777777" w:rsidR="00BB3044" w:rsidRPr="00A13CDF" w:rsidRDefault="00BB3044" w:rsidP="00BB3044">
      <w:pPr>
        <w:pStyle w:val="SingleTxtGA"/>
        <w:rPr>
          <w:rFonts w:eastAsiaTheme="minorEastAsia"/>
          <w:b/>
          <w:bCs/>
          <w:lang w:val="ar-SA" w:eastAsia="zh-TW" w:bidi="en-GB"/>
        </w:rPr>
      </w:pPr>
      <w:r w:rsidRPr="00A13CDF">
        <w:rPr>
          <w:rFonts w:eastAsiaTheme="minorEastAsia"/>
          <w:rtl/>
        </w:rPr>
        <w:t>56</w:t>
      </w:r>
      <w:r w:rsidRPr="00BB3044">
        <w:rPr>
          <w:rFonts w:eastAsiaTheme="minorEastAsia"/>
          <w:rtl/>
        </w:rPr>
        <w:t>-</w:t>
      </w:r>
      <w:r w:rsidRPr="00BB3044">
        <w:rPr>
          <w:rFonts w:eastAsiaTheme="minorEastAsia"/>
          <w:rtl/>
        </w:rPr>
        <w:tab/>
      </w:r>
      <w:r w:rsidRPr="00A13CDF">
        <w:rPr>
          <w:rFonts w:eastAsiaTheme="minorEastAsia"/>
          <w:b/>
          <w:bCs/>
          <w:rtl/>
        </w:rPr>
        <w:t>وتوصي اللجنة الدولة الطرف بالنظر في إمكانية الاعتراف بالجنسيّة المزدوجة والسماح بتقديم طلبات للحصول عليها في القنصليات. وتوصي اللجنة كذلك بمنح الجنسية الباراغوية، بأسرع وقت ممكن، في الحالات التي يوجد فيها خطر انعدام الجنسية، وينبغي أن يكون من الممكن تقديم طلب في هذا الصدد في القنصلية.</w:t>
      </w:r>
    </w:p>
    <w:p w14:paraId="36B9869E" w14:textId="77777777" w:rsidR="00BB3044" w:rsidRPr="00A13CDF" w:rsidRDefault="00BB3044" w:rsidP="00165B22">
      <w:pPr>
        <w:pStyle w:val="H23GA"/>
        <w:rPr>
          <w:lang w:val="ar-SA" w:eastAsia="zh-TW" w:bidi="en-GB"/>
        </w:rPr>
      </w:pPr>
      <w:r w:rsidRPr="00A13CDF">
        <w:rPr>
          <w:rtl/>
        </w:rPr>
        <w:tab/>
      </w:r>
      <w:r w:rsidRPr="00A13CDF">
        <w:rPr>
          <w:rtl/>
        </w:rPr>
        <w:tab/>
        <w:t>التعليم</w:t>
      </w:r>
    </w:p>
    <w:p w14:paraId="066E35C4" w14:textId="77777777" w:rsidR="00BB3044" w:rsidRPr="00BB3044" w:rsidRDefault="00BB3044" w:rsidP="00BB3044">
      <w:pPr>
        <w:pStyle w:val="SingleTxtGA"/>
        <w:rPr>
          <w:rFonts w:eastAsiaTheme="minorEastAsia"/>
          <w:lang w:val="ar-SA" w:eastAsia="zh-TW" w:bidi="en-GB"/>
        </w:rPr>
      </w:pPr>
      <w:r w:rsidRPr="00A13CDF">
        <w:rPr>
          <w:rFonts w:eastAsiaTheme="minorEastAsia"/>
          <w:rtl/>
        </w:rPr>
        <w:t>57</w:t>
      </w:r>
      <w:r w:rsidRPr="00BB3044">
        <w:rPr>
          <w:rFonts w:eastAsiaTheme="minorEastAsia"/>
          <w:rtl/>
        </w:rPr>
        <w:t>-</w:t>
      </w:r>
      <w:r w:rsidRPr="00BB3044">
        <w:rPr>
          <w:rFonts w:eastAsiaTheme="minorEastAsia"/>
          <w:rtl/>
        </w:rPr>
        <w:tab/>
        <w:t xml:space="preserve">تحيط اللجنة علماً بأنّ التعليم حق مكفول لجميع المهاجرين، بصرف النظر عن وضعهم كمهاجرين. بيد أن اللجنة تشعر بالقلق لأن وضع المهاجرين كمقيمين في البلد، وتقديمهم لوثائق الهوية، هما من الناحية العملية شرطان للحصول على التعليم. </w:t>
      </w:r>
    </w:p>
    <w:p w14:paraId="4D1155ED" w14:textId="77777777" w:rsidR="00BB3044" w:rsidRPr="00BB3044" w:rsidRDefault="00BB3044" w:rsidP="00BB3044">
      <w:pPr>
        <w:pStyle w:val="SingleTxtGA"/>
        <w:rPr>
          <w:rFonts w:eastAsiaTheme="minorEastAsia"/>
          <w:lang w:val="ar-SA" w:eastAsia="zh-TW" w:bidi="en-GB"/>
        </w:rPr>
      </w:pPr>
      <w:r w:rsidRPr="00A13CDF">
        <w:rPr>
          <w:rFonts w:eastAsiaTheme="minorEastAsia"/>
          <w:rtl/>
        </w:rPr>
        <w:t>58</w:t>
      </w:r>
      <w:r w:rsidRPr="00BB3044">
        <w:rPr>
          <w:rFonts w:eastAsiaTheme="minorEastAsia"/>
          <w:rtl/>
        </w:rPr>
        <w:t>-</w:t>
      </w:r>
      <w:r w:rsidRPr="00BB3044">
        <w:rPr>
          <w:rFonts w:eastAsiaTheme="minorEastAsia"/>
          <w:rtl/>
        </w:rPr>
        <w:tab/>
        <w:t xml:space="preserve">ولا تزال اللجنة تشعر بالقلق إزاء افتقار الدولة الطرف إلى معلومات عن معدلات التحاق الأطفال المهاجرين بالمدارس، بما في ذلك الأطفال الذين هم في وضع غير قانوني. </w:t>
      </w:r>
    </w:p>
    <w:p w14:paraId="2D1A4801" w14:textId="5D763555" w:rsidR="00BB3044" w:rsidRPr="00A13CDF" w:rsidRDefault="00BB3044" w:rsidP="00BB3044">
      <w:pPr>
        <w:pStyle w:val="SingleTxtGA"/>
        <w:rPr>
          <w:rFonts w:eastAsiaTheme="minorEastAsia"/>
          <w:bCs/>
          <w:lang w:val="en-US" w:eastAsia="zh-TW" w:bidi="en-GB"/>
        </w:rPr>
      </w:pPr>
      <w:r w:rsidRPr="00A13CDF">
        <w:rPr>
          <w:rFonts w:eastAsiaTheme="minorEastAsia"/>
          <w:rtl/>
        </w:rPr>
        <w:t>59</w:t>
      </w:r>
      <w:r w:rsidRPr="00BB3044">
        <w:rPr>
          <w:rFonts w:eastAsiaTheme="minorEastAsia"/>
          <w:rtl/>
        </w:rPr>
        <w:t>-</w:t>
      </w:r>
      <w:r w:rsidRPr="00BB3044">
        <w:rPr>
          <w:rFonts w:eastAsiaTheme="minorEastAsia"/>
          <w:rtl/>
        </w:rPr>
        <w:tab/>
      </w:r>
      <w:r w:rsidRPr="00A13CDF">
        <w:rPr>
          <w:rFonts w:eastAsiaTheme="minorEastAsia"/>
          <w:bCs/>
          <w:rtl/>
        </w:rPr>
        <w:t>وتجدد اللجنة تأكيد توصيتها</w:t>
      </w:r>
      <w:r w:rsidR="00C44303" w:rsidRPr="00A13CDF">
        <w:rPr>
          <w:rStyle w:val="FootnoteReference"/>
          <w:rFonts w:eastAsiaTheme="minorEastAsia"/>
          <w:b/>
          <w:szCs w:val="22"/>
          <w:rtl/>
        </w:rPr>
        <w:t>(</w:t>
      </w:r>
      <w:r w:rsidR="00C44303" w:rsidRPr="00A13CDF">
        <w:rPr>
          <w:rStyle w:val="FootnoteReference"/>
          <w:rFonts w:eastAsiaTheme="minorEastAsia"/>
          <w:b/>
          <w:szCs w:val="22"/>
          <w:lang w:val="en-US"/>
        </w:rPr>
        <w:footnoteReference w:id="15"/>
      </w:r>
      <w:r w:rsidR="00C44303" w:rsidRPr="00A13CDF">
        <w:rPr>
          <w:rFonts w:eastAsiaTheme="minorEastAsia" w:hint="cs"/>
          <w:b/>
          <w:vertAlign w:val="superscript"/>
          <w:rtl/>
        </w:rPr>
        <w:t>)</w:t>
      </w:r>
      <w:r w:rsidR="00C44303" w:rsidRPr="00A13CDF">
        <w:rPr>
          <w:rFonts w:eastAsiaTheme="minorEastAsia" w:hint="cs"/>
          <w:bCs/>
          <w:rtl/>
        </w:rPr>
        <w:t xml:space="preserve"> </w:t>
      </w:r>
      <w:r w:rsidRPr="00A13CDF">
        <w:rPr>
          <w:rFonts w:eastAsiaTheme="minorEastAsia"/>
          <w:bCs/>
          <w:rtl/>
        </w:rPr>
        <w:t>بشأن أهمية جمع المعلومات عن معدلات التحاق الأطفال المهاجرين بالتعليم، بما في ذلك الأطفال الذين هم في وضع غير قانوني. وتوصي اللجنة بعدم السماح بإنفاذ قانون الهجرة للتدخل في التعليم.</w:t>
      </w:r>
    </w:p>
    <w:p w14:paraId="64491F36" w14:textId="470EBB34" w:rsidR="00BB3044" w:rsidRPr="00A13CDF" w:rsidRDefault="00BB3044" w:rsidP="00BB3044">
      <w:pPr>
        <w:pStyle w:val="SingleTxtGA"/>
        <w:rPr>
          <w:rFonts w:eastAsiaTheme="minorEastAsia"/>
          <w:b/>
          <w:bCs/>
          <w:lang w:val="ar-SA" w:eastAsia="zh-TW" w:bidi="en-GB"/>
        </w:rPr>
      </w:pPr>
      <w:r w:rsidRPr="00A13CDF">
        <w:rPr>
          <w:rFonts w:eastAsiaTheme="minorEastAsia"/>
          <w:rtl/>
        </w:rPr>
        <w:t>60</w:t>
      </w:r>
      <w:r w:rsidRPr="00BB3044">
        <w:rPr>
          <w:rFonts w:eastAsiaTheme="minorEastAsia"/>
          <w:rtl/>
        </w:rPr>
        <w:t>-</w:t>
      </w:r>
      <w:r w:rsidRPr="00BB3044">
        <w:rPr>
          <w:rFonts w:eastAsiaTheme="minorEastAsia"/>
          <w:rtl/>
        </w:rPr>
        <w:tab/>
      </w:r>
      <w:r w:rsidRPr="00A13CDF">
        <w:rPr>
          <w:rFonts w:eastAsiaTheme="minorEastAsia"/>
          <w:b/>
          <w:bCs/>
          <w:rtl/>
        </w:rPr>
        <w:t>ووفقاً للتعليقين العامين المشتركين رقم 3 ورقم 4 للجنة/رقم 22 ورقم 23 للجنة حقوق الطفل</w:t>
      </w:r>
      <w:r w:rsidR="00165B22" w:rsidRPr="00A13CDF">
        <w:rPr>
          <w:rFonts w:eastAsiaTheme="minorEastAsia" w:hint="cs"/>
          <w:b/>
          <w:bCs/>
          <w:rtl/>
        </w:rPr>
        <w:t> </w:t>
      </w:r>
      <w:r w:rsidRPr="00A13CDF">
        <w:rPr>
          <w:rFonts w:eastAsiaTheme="minorEastAsia"/>
          <w:b/>
          <w:bCs/>
          <w:rtl/>
        </w:rPr>
        <w:t>(2017)، وللمادة 30 من الاتفاقية، توصي اللجنة بأن تقوم الدولة الطرف بما يلي:</w:t>
      </w:r>
    </w:p>
    <w:p w14:paraId="643F3414" w14:textId="02876C5D" w:rsidR="00BB3044" w:rsidRPr="00A13CDF" w:rsidRDefault="00165B22" w:rsidP="00BB3044">
      <w:pPr>
        <w:pStyle w:val="SingleTxtGA"/>
        <w:rPr>
          <w:rFonts w:eastAsiaTheme="minorEastAsia"/>
          <w:bCs/>
          <w:lang w:val="ar-SA" w:eastAsia="zh-TW" w:bidi="en-GB"/>
        </w:rPr>
      </w:pPr>
      <w:r>
        <w:rPr>
          <w:rFonts w:eastAsiaTheme="minorEastAsia"/>
          <w:rtl/>
        </w:rPr>
        <w:tab/>
      </w:r>
      <w:r w:rsidR="00BB3044" w:rsidRPr="00BB3044">
        <w:rPr>
          <w:rFonts w:eastAsiaTheme="minorEastAsia"/>
          <w:rtl/>
        </w:rPr>
        <w:t>(أ)</w:t>
      </w:r>
      <w:r w:rsidR="00BB3044" w:rsidRPr="00BB3044">
        <w:rPr>
          <w:rFonts w:eastAsiaTheme="minorEastAsia"/>
          <w:rtl/>
        </w:rPr>
        <w:tab/>
      </w:r>
      <w:r w:rsidR="00BB3044" w:rsidRPr="00A13CDF">
        <w:rPr>
          <w:rFonts w:eastAsiaTheme="minorEastAsia"/>
          <w:bCs/>
          <w:rtl/>
        </w:rPr>
        <w:t>اتخاذ خطوات محددة وفعالة لضمان حصول أطفال العمال المهاجرين الفعلي على التعليم، بصرف النظر عن وضع ذويهم من حيث قوانين الهجرة؛</w:t>
      </w:r>
    </w:p>
    <w:p w14:paraId="67BDDED2" w14:textId="2054DB11" w:rsidR="00BB3044" w:rsidRPr="00A13CDF" w:rsidRDefault="00165B22" w:rsidP="00BB3044">
      <w:pPr>
        <w:pStyle w:val="SingleTxtGA"/>
        <w:rPr>
          <w:rFonts w:eastAsiaTheme="minorEastAsia"/>
          <w:bCs/>
          <w:lang w:val="ar-SA" w:eastAsia="zh-TW" w:bidi="en-GB"/>
        </w:rPr>
      </w:pPr>
      <w:r>
        <w:rPr>
          <w:rFonts w:eastAsiaTheme="minorEastAsia"/>
          <w:rtl/>
        </w:rPr>
        <w:tab/>
      </w:r>
      <w:r w:rsidR="00BB3044" w:rsidRPr="00BB3044">
        <w:rPr>
          <w:rFonts w:eastAsiaTheme="minorEastAsia"/>
          <w:rtl/>
        </w:rPr>
        <w:t>(ب)</w:t>
      </w:r>
      <w:r w:rsidR="00BB3044" w:rsidRPr="00BB3044">
        <w:rPr>
          <w:rFonts w:eastAsiaTheme="minorEastAsia"/>
          <w:rtl/>
        </w:rPr>
        <w:tab/>
      </w:r>
      <w:r w:rsidR="00BB3044" w:rsidRPr="00A13CDF">
        <w:rPr>
          <w:rFonts w:eastAsiaTheme="minorEastAsia"/>
          <w:bCs/>
          <w:rtl/>
        </w:rPr>
        <w:t>تعزيز بناء القدرات في مجال خدمات حماية الطفل على الصعيد الوطني، وعلى صعيدي المقاطعات والبلديات، من أجل ضمان تنسيق سياسات وبرامج الرعاية والحماية.</w:t>
      </w:r>
    </w:p>
    <w:p w14:paraId="7A1A0C48" w14:textId="77777777" w:rsidR="00BB3044" w:rsidRPr="00A13CDF" w:rsidRDefault="00BB3044" w:rsidP="00165B22">
      <w:pPr>
        <w:pStyle w:val="H23GA"/>
        <w:rPr>
          <w:lang w:val="ar-SA" w:eastAsia="zh-TW" w:bidi="en-GB"/>
        </w:rPr>
      </w:pPr>
      <w:r w:rsidRPr="00A13CDF">
        <w:rPr>
          <w:rtl/>
        </w:rPr>
        <w:tab/>
      </w:r>
      <w:r w:rsidRPr="00A13CDF">
        <w:rPr>
          <w:rtl/>
        </w:rPr>
        <w:tab/>
        <w:t>تحويل المهاجرين للدخل والمدخرات في نهاية فترة إقامتهم</w:t>
      </w:r>
    </w:p>
    <w:p w14:paraId="545618DF" w14:textId="77777777" w:rsidR="00BB3044" w:rsidRPr="00BB3044" w:rsidRDefault="00BB3044" w:rsidP="00BB3044">
      <w:pPr>
        <w:pStyle w:val="SingleTxtGA"/>
        <w:rPr>
          <w:rFonts w:eastAsiaTheme="minorEastAsia"/>
          <w:lang w:val="en-US" w:eastAsia="zh-TW" w:bidi="en-GB"/>
        </w:rPr>
      </w:pPr>
      <w:r w:rsidRPr="00A13CDF">
        <w:rPr>
          <w:rFonts w:eastAsiaTheme="minorEastAsia"/>
          <w:rtl/>
        </w:rPr>
        <w:t>61</w:t>
      </w:r>
      <w:r w:rsidRPr="00BB3044">
        <w:rPr>
          <w:rFonts w:eastAsiaTheme="minorEastAsia"/>
          <w:rtl/>
        </w:rPr>
        <w:t>-</w:t>
      </w:r>
      <w:r w:rsidRPr="00BB3044">
        <w:rPr>
          <w:rFonts w:eastAsiaTheme="minorEastAsia"/>
          <w:rtl/>
        </w:rPr>
        <w:tab/>
        <w:t>تلاحظ اللجنة بقلق أنليس لدى الدولة الطرف تدابير محددة لتيسير إرسال التحويلات من الباراغويين الموجودين في الخارج.</w:t>
      </w:r>
    </w:p>
    <w:p w14:paraId="06050073" w14:textId="74BDB143" w:rsidR="00BB3044" w:rsidRPr="00A13CDF" w:rsidRDefault="00BB3044" w:rsidP="00BB3044">
      <w:pPr>
        <w:pStyle w:val="SingleTxtGA"/>
        <w:rPr>
          <w:rFonts w:eastAsiaTheme="minorEastAsia"/>
          <w:b/>
          <w:bCs/>
          <w:lang w:val="ar-SA" w:eastAsia="zh-TW" w:bidi="en-GB"/>
        </w:rPr>
      </w:pPr>
      <w:r w:rsidRPr="00A13CDF">
        <w:rPr>
          <w:rFonts w:eastAsiaTheme="minorEastAsia"/>
          <w:rtl/>
        </w:rPr>
        <w:lastRenderedPageBreak/>
        <w:t>62</w:t>
      </w:r>
      <w:r w:rsidRPr="00BB3044">
        <w:rPr>
          <w:rFonts w:eastAsiaTheme="minorEastAsia"/>
          <w:rtl/>
        </w:rPr>
        <w:t>-</w:t>
      </w:r>
      <w:r w:rsidRPr="00BB3044">
        <w:rPr>
          <w:rFonts w:eastAsiaTheme="minorEastAsia"/>
          <w:rtl/>
        </w:rPr>
        <w:tab/>
      </w:r>
      <w:r w:rsidRPr="00A13CDF">
        <w:rPr>
          <w:rFonts w:eastAsiaTheme="minorEastAsia"/>
          <w:b/>
          <w:bCs/>
          <w:rtl/>
        </w:rPr>
        <w:t>وتجدّد اللجنة تأكيد توصيتها السابقة</w:t>
      </w:r>
      <w:r w:rsidR="00C44303" w:rsidRPr="00CB00E7">
        <w:rPr>
          <w:rStyle w:val="FootnoteReference"/>
          <w:rFonts w:eastAsiaTheme="minorEastAsia"/>
          <w:szCs w:val="22"/>
          <w:rtl/>
        </w:rPr>
        <w:t>(</w:t>
      </w:r>
      <w:r w:rsidR="00C44303" w:rsidRPr="00A13CDF">
        <w:rPr>
          <w:rStyle w:val="FootnoteReference"/>
          <w:rFonts w:eastAsiaTheme="minorEastAsia"/>
          <w:szCs w:val="22"/>
          <w:lang w:val="en-US"/>
        </w:rPr>
        <w:footnoteReference w:id="16"/>
      </w:r>
      <w:r w:rsidR="00C44303" w:rsidRPr="007C1C53">
        <w:rPr>
          <w:rFonts w:eastAsiaTheme="minorEastAsia" w:hint="cs"/>
          <w:vertAlign w:val="superscript"/>
          <w:rtl/>
        </w:rPr>
        <w:t>)</w:t>
      </w:r>
      <w:r w:rsidR="00C44303" w:rsidRPr="00A13CDF">
        <w:rPr>
          <w:rFonts w:eastAsiaTheme="minorEastAsia" w:hint="cs"/>
          <w:b/>
          <w:bCs/>
          <w:rtl/>
        </w:rPr>
        <w:t xml:space="preserve"> </w:t>
      </w:r>
      <w:r w:rsidRPr="00A13CDF">
        <w:rPr>
          <w:rFonts w:eastAsiaTheme="minorEastAsia"/>
          <w:b/>
          <w:bCs/>
          <w:rtl/>
        </w:rPr>
        <w:t>وتوصي الدولة الطرف باتّخاذ الخطوات اللازمة لتيسير إرسال التحويلات من الباراغويين في الخارج والسماح للمواطنين الأجانب في باراغواي بإرسال تحويلات إلى بلدانهم الأصلية.</w:t>
      </w:r>
    </w:p>
    <w:p w14:paraId="3DF1C74B" w14:textId="17092E4D" w:rsidR="00BB3044" w:rsidRPr="00A13CDF" w:rsidRDefault="007C1C53" w:rsidP="007C1C53">
      <w:pPr>
        <w:pStyle w:val="H23GA"/>
        <w:rPr>
          <w:lang w:val="ar-SA" w:eastAsia="zh-TW" w:bidi="en-GB"/>
        </w:rPr>
      </w:pPr>
      <w:r w:rsidRPr="00A13CDF">
        <w:rPr>
          <w:rtl/>
        </w:rPr>
        <w:tab/>
      </w:r>
      <w:r w:rsidR="00BB3044" w:rsidRPr="00A13CDF">
        <w:rPr>
          <w:rtl/>
        </w:rPr>
        <w:t>4-</w:t>
      </w:r>
      <w:r w:rsidR="00BB3044" w:rsidRPr="00A13CDF">
        <w:rPr>
          <w:rtl/>
        </w:rPr>
        <w:tab/>
        <w:t>حقوق أخرى للعمّال المهاجرين وأفراد أسرهم الحائزين للوثائق اللازمة أو الذين هم في وضع نظامي (المواد 36-56)</w:t>
      </w:r>
    </w:p>
    <w:p w14:paraId="5445E0CA" w14:textId="7F775AE3" w:rsidR="00BB3044" w:rsidRPr="00A13CDF" w:rsidRDefault="00BB3044" w:rsidP="00165B22">
      <w:pPr>
        <w:pStyle w:val="H23GA"/>
        <w:rPr>
          <w:lang w:val="en-US" w:eastAsia="zh-TW" w:bidi="en-GB"/>
        </w:rPr>
      </w:pPr>
      <w:r w:rsidRPr="00A13CDF">
        <w:rPr>
          <w:rtl/>
        </w:rPr>
        <w:tab/>
      </w:r>
      <w:r w:rsidRPr="00A13CDF">
        <w:rPr>
          <w:rtl/>
        </w:rPr>
        <w:tab/>
        <w:t>تصاريح العمل والإقامة</w:t>
      </w:r>
    </w:p>
    <w:p w14:paraId="17CD8598" w14:textId="1C70ECFA" w:rsidR="00BB3044" w:rsidRPr="00BB3044" w:rsidRDefault="00BB3044" w:rsidP="00BB3044">
      <w:pPr>
        <w:pStyle w:val="SingleTxtGA"/>
        <w:rPr>
          <w:rFonts w:eastAsiaTheme="minorEastAsia"/>
          <w:lang w:val="ar-SA" w:eastAsia="zh-TW" w:bidi="en-GB"/>
        </w:rPr>
      </w:pPr>
      <w:r w:rsidRPr="00A13CDF">
        <w:rPr>
          <w:rFonts w:eastAsiaTheme="minorEastAsia"/>
          <w:rtl/>
        </w:rPr>
        <w:t>63</w:t>
      </w:r>
      <w:r w:rsidRPr="00BB3044">
        <w:rPr>
          <w:rFonts w:eastAsiaTheme="minorEastAsia"/>
          <w:rtl/>
        </w:rPr>
        <w:t>-</w:t>
      </w:r>
      <w:r w:rsidR="007C1C53">
        <w:rPr>
          <w:rFonts w:eastAsiaTheme="minorEastAsia"/>
          <w:rtl/>
        </w:rPr>
        <w:tab/>
      </w:r>
      <w:r w:rsidRPr="00BB3044">
        <w:rPr>
          <w:rFonts w:eastAsiaTheme="minorEastAsia"/>
          <w:rtl/>
        </w:rPr>
        <w:t>تلاحظ اللجنة أن الإذن بالعمل في الدولة الطرف مرتبط بنوع إقامة المواطن الأجنبي وأنّه لا</w:t>
      </w:r>
      <w:r w:rsidR="007C1C53">
        <w:rPr>
          <w:rFonts w:eastAsiaTheme="minorEastAsia" w:hint="cs"/>
          <w:rtl/>
        </w:rPr>
        <w:t> </w:t>
      </w:r>
      <w:r w:rsidRPr="00BB3044">
        <w:rPr>
          <w:rFonts w:eastAsiaTheme="minorEastAsia"/>
          <w:rtl/>
        </w:rPr>
        <w:t>يوجد إجراء محدد ومنفصل للحصول على إذن بالعمل. ويساور اللجنة القلق إزاء التقارير التي تفيد بأن أرباب العمل، بمن فيهم المسؤولون الحكوميون، ليسوا على علم بالوثيقة المؤقتة الصادرة عن اللجنة الوطنية للاجئين التي تتيح لطالبي اللّجوء واللاجئين الحصول على العمل والخدمات العامة.</w:t>
      </w:r>
    </w:p>
    <w:p w14:paraId="428AD463" w14:textId="3CB6843F" w:rsidR="00BB3044" w:rsidRPr="00A13CDF" w:rsidRDefault="00BB3044" w:rsidP="00BB3044">
      <w:pPr>
        <w:pStyle w:val="SingleTxtGA"/>
        <w:rPr>
          <w:rFonts w:eastAsiaTheme="minorEastAsia"/>
          <w:b/>
          <w:bCs/>
          <w:lang w:val="ar-SA" w:eastAsia="zh-TW" w:bidi="en-GB"/>
        </w:rPr>
      </w:pPr>
      <w:r w:rsidRPr="00A13CDF">
        <w:rPr>
          <w:rFonts w:eastAsiaTheme="minorEastAsia"/>
          <w:rtl/>
        </w:rPr>
        <w:t>64</w:t>
      </w:r>
      <w:r w:rsidRPr="00BB3044">
        <w:rPr>
          <w:rFonts w:eastAsiaTheme="minorEastAsia"/>
          <w:rtl/>
        </w:rPr>
        <w:t>-</w:t>
      </w:r>
      <w:r w:rsidRPr="00BB3044">
        <w:rPr>
          <w:rFonts w:eastAsiaTheme="minorEastAsia"/>
          <w:rtl/>
        </w:rPr>
        <w:tab/>
      </w:r>
      <w:r w:rsidRPr="00A13CDF">
        <w:rPr>
          <w:rFonts w:eastAsiaTheme="minorEastAsia"/>
          <w:b/>
          <w:bCs/>
          <w:rtl/>
        </w:rPr>
        <w:t>وتوصي اللجنة باعتماد جميع التدابير والأنظمة اللازمة لتيسير التنفيذ الكامل والفعال لقانون اللاجئين (القانون رقم 1938)، وبخاصّة فيما يتعلق بالوثيقة المؤقتة المقدمة إلى طالبي اللجوء.</w:t>
      </w:r>
    </w:p>
    <w:p w14:paraId="6302AE55" w14:textId="7580937C" w:rsidR="00BB3044" w:rsidRPr="00A13CDF" w:rsidRDefault="00165B22" w:rsidP="00165B22">
      <w:pPr>
        <w:pStyle w:val="H23GA"/>
        <w:rPr>
          <w:lang w:val="en-US" w:eastAsia="zh-TW" w:bidi="en-GB"/>
        </w:rPr>
      </w:pPr>
      <w:r w:rsidRPr="00A13CDF">
        <w:rPr>
          <w:rtl/>
        </w:rPr>
        <w:tab/>
      </w:r>
      <w:r w:rsidR="00BB3044" w:rsidRPr="00A13CDF">
        <w:rPr>
          <w:rtl/>
        </w:rPr>
        <w:t>5-</w:t>
      </w:r>
      <w:r w:rsidR="00BB3044" w:rsidRPr="00A13CDF">
        <w:rPr>
          <w:rtl/>
        </w:rPr>
        <w:tab/>
        <w:t>تعزيز الظروف السليمة والعادلة والإنسانية والمشروعة فيما يتعلق بالهجرة الدولية للعمال وأفراد أسرهم (المواد 64-71</w:t>
      </w:r>
      <w:r w:rsidR="00BB3044" w:rsidRPr="00A13CDF">
        <w:rPr>
          <w:rtl/>
          <w:lang w:val="en-US" w:eastAsia="zh-TW"/>
        </w:rPr>
        <w:t>(</w:t>
      </w:r>
    </w:p>
    <w:p w14:paraId="78E6E0F2" w14:textId="72F17695" w:rsidR="00BB3044" w:rsidRPr="00A13CDF" w:rsidRDefault="00BB3044" w:rsidP="00165B22">
      <w:pPr>
        <w:pStyle w:val="H23GA"/>
        <w:rPr>
          <w:lang w:val="en-US" w:eastAsia="zh-TW" w:bidi="en-GB"/>
        </w:rPr>
      </w:pPr>
      <w:r w:rsidRPr="00A13CDF">
        <w:rPr>
          <w:rtl/>
        </w:rPr>
        <w:tab/>
      </w:r>
      <w:r w:rsidRPr="00A13CDF">
        <w:rPr>
          <w:rtl/>
        </w:rPr>
        <w:tab/>
        <w:t xml:space="preserve">الأطفال والمراهقون </w:t>
      </w:r>
      <w:r w:rsidRPr="00A13CDF">
        <w:rPr>
          <w:rtl/>
          <w:lang w:val="en-US" w:eastAsia="zh-TW"/>
        </w:rPr>
        <w:t xml:space="preserve">المهاجرون </w:t>
      </w:r>
    </w:p>
    <w:p w14:paraId="4C509D99" w14:textId="7EB10158" w:rsidR="00BB3044" w:rsidRPr="00C44303" w:rsidRDefault="00BB3044" w:rsidP="00BB3044">
      <w:pPr>
        <w:pStyle w:val="SingleTxtGA"/>
        <w:rPr>
          <w:rFonts w:eastAsiaTheme="minorEastAsia"/>
          <w:lang w:val="en-US" w:eastAsia="zh-TW" w:bidi="en-GB"/>
        </w:rPr>
      </w:pPr>
      <w:r w:rsidRPr="00A13CDF">
        <w:rPr>
          <w:rFonts w:eastAsiaTheme="minorEastAsia"/>
          <w:rtl/>
        </w:rPr>
        <w:t>65</w:t>
      </w:r>
      <w:r w:rsidRPr="00BB3044">
        <w:rPr>
          <w:rFonts w:eastAsiaTheme="minorEastAsia"/>
          <w:rtl/>
        </w:rPr>
        <w:t>-</w:t>
      </w:r>
      <w:r w:rsidRPr="00BB3044">
        <w:rPr>
          <w:rFonts w:eastAsiaTheme="minorEastAsia"/>
          <w:rtl/>
        </w:rPr>
        <w:tab/>
        <w:t>تحيط اللجنة علما بالآلية التي تنسقها مديرية الجاليات الباراغوية في الخارج لإعادة الأطفال في حالات الهجرة الدولية إلى أسرهم، وببرنامج إعادة إدماج ودعم العائدين من أصحاب المشاريع، مما يمكّن العائدين من كسب المال عن طريق الأنشطة المدرة للدخل ليتسنّى لهم تلبية احتياجات أسرهم، بما في ذلك</w:t>
      </w:r>
      <w:r w:rsidR="00165B22">
        <w:rPr>
          <w:rFonts w:eastAsiaTheme="minorEastAsia" w:hint="cs"/>
          <w:rtl/>
        </w:rPr>
        <w:t> </w:t>
      </w:r>
      <w:r w:rsidRPr="00BB3044">
        <w:rPr>
          <w:rFonts w:eastAsiaTheme="minorEastAsia"/>
          <w:rtl/>
        </w:rPr>
        <w:t>الأطفال.</w:t>
      </w:r>
    </w:p>
    <w:p w14:paraId="4BBACFD2" w14:textId="2F95F322" w:rsidR="00BB3044" w:rsidRPr="00A13CDF" w:rsidRDefault="00BB3044" w:rsidP="00BB3044">
      <w:pPr>
        <w:pStyle w:val="SingleTxtGA"/>
        <w:rPr>
          <w:rFonts w:eastAsiaTheme="minorEastAsia"/>
          <w:b/>
          <w:bCs/>
          <w:lang w:val="ar-SA" w:eastAsia="zh-TW" w:bidi="en-GB"/>
        </w:rPr>
      </w:pPr>
      <w:r w:rsidRPr="00A13CDF">
        <w:rPr>
          <w:rFonts w:eastAsiaTheme="minorEastAsia"/>
          <w:rtl/>
        </w:rPr>
        <w:t>66</w:t>
      </w:r>
      <w:r w:rsidRPr="00BB3044">
        <w:rPr>
          <w:rFonts w:eastAsiaTheme="minorEastAsia"/>
          <w:rtl/>
        </w:rPr>
        <w:t>-</w:t>
      </w:r>
      <w:r w:rsidRPr="00BB3044">
        <w:rPr>
          <w:rFonts w:eastAsiaTheme="minorEastAsia"/>
          <w:rtl/>
        </w:rPr>
        <w:tab/>
      </w:r>
      <w:r w:rsidRPr="00A13CDF">
        <w:rPr>
          <w:rFonts w:eastAsiaTheme="minorEastAsia"/>
          <w:b/>
          <w:bCs/>
          <w:rtl/>
        </w:rPr>
        <w:t>وتجدّد اللجنة تأكيد توصيتها السابقة</w:t>
      </w:r>
      <w:r w:rsidR="00C44303" w:rsidRPr="00CB00E7">
        <w:rPr>
          <w:rStyle w:val="FootnoteReference"/>
          <w:rFonts w:eastAsiaTheme="minorEastAsia"/>
          <w:szCs w:val="22"/>
          <w:rtl/>
        </w:rPr>
        <w:t>(</w:t>
      </w:r>
      <w:r w:rsidR="00C44303" w:rsidRPr="00A13CDF">
        <w:rPr>
          <w:rStyle w:val="FootnoteReference"/>
          <w:rFonts w:eastAsiaTheme="minorEastAsia"/>
          <w:szCs w:val="22"/>
          <w:lang w:val="en-US"/>
        </w:rPr>
        <w:footnoteReference w:id="17"/>
      </w:r>
      <w:r w:rsidR="00C44303" w:rsidRPr="007C1C53">
        <w:rPr>
          <w:rFonts w:eastAsiaTheme="minorEastAsia" w:hint="cs"/>
          <w:vertAlign w:val="superscript"/>
          <w:rtl/>
        </w:rPr>
        <w:t>)</w:t>
      </w:r>
      <w:r w:rsidRPr="00A13CDF">
        <w:rPr>
          <w:rFonts w:eastAsiaTheme="minorEastAsia"/>
          <w:b/>
          <w:bCs/>
          <w:rtl/>
        </w:rPr>
        <w:t>، كما توصي الدولةَ الطرف بأن تمضي قدم</w:t>
      </w:r>
      <w:r w:rsidR="000E775F" w:rsidRPr="00A13CDF">
        <w:rPr>
          <w:rFonts w:eastAsiaTheme="minorEastAsia"/>
          <w:b/>
          <w:bCs/>
          <w:rtl/>
        </w:rPr>
        <w:t xml:space="preserve">اً </w:t>
      </w:r>
      <w:r w:rsidRPr="00A13CDF">
        <w:rPr>
          <w:rFonts w:eastAsiaTheme="minorEastAsia"/>
          <w:b/>
          <w:bCs/>
          <w:rtl/>
        </w:rPr>
        <w:t>في وضع آليات مشتركة بين المؤسسات لرصد حالة الباراغويين العائدين.</w:t>
      </w:r>
    </w:p>
    <w:p w14:paraId="58C391F1" w14:textId="77777777" w:rsidR="00BB3044" w:rsidRPr="00A13CDF" w:rsidRDefault="00BB3044" w:rsidP="00165B22">
      <w:pPr>
        <w:pStyle w:val="H23GA"/>
        <w:rPr>
          <w:lang w:val="ar-SA" w:eastAsia="zh-TW" w:bidi="en-GB"/>
        </w:rPr>
      </w:pPr>
      <w:r w:rsidRPr="00A13CDF">
        <w:rPr>
          <w:rtl/>
        </w:rPr>
        <w:tab/>
      </w:r>
      <w:r w:rsidRPr="00A13CDF">
        <w:rPr>
          <w:rtl/>
        </w:rPr>
        <w:tab/>
        <w:t>الاتجار بالأشخاص</w:t>
      </w:r>
    </w:p>
    <w:p w14:paraId="61C29E8B" w14:textId="72E37D8D" w:rsidR="00BB3044" w:rsidRPr="00BB3044" w:rsidRDefault="00BB3044" w:rsidP="00BB3044">
      <w:pPr>
        <w:pStyle w:val="SingleTxtGA"/>
        <w:rPr>
          <w:rFonts w:eastAsiaTheme="minorEastAsia"/>
          <w:lang w:val="ar-SA" w:eastAsia="zh-TW" w:bidi="en-GB"/>
        </w:rPr>
      </w:pPr>
      <w:r w:rsidRPr="00A13CDF">
        <w:rPr>
          <w:rFonts w:eastAsiaTheme="minorEastAsia"/>
          <w:rtl/>
        </w:rPr>
        <w:t>67</w:t>
      </w:r>
      <w:r w:rsidRPr="00BB3044">
        <w:rPr>
          <w:rFonts w:eastAsiaTheme="minorEastAsia"/>
          <w:rtl/>
        </w:rPr>
        <w:t>-</w:t>
      </w:r>
      <w:r w:rsidR="00165B22">
        <w:rPr>
          <w:rFonts w:eastAsiaTheme="minorEastAsia"/>
          <w:rtl/>
        </w:rPr>
        <w:tab/>
      </w:r>
      <w:r w:rsidRPr="00BB3044">
        <w:rPr>
          <w:rFonts w:eastAsiaTheme="minorEastAsia"/>
          <w:rtl/>
        </w:rPr>
        <w:t>تلاحظ اللجنة أن الدولة الطرف قد وضعت استراتيجيات وسياسات بشأن الاتجار بالأشخاص، وهي ذات صلة بالعمال المهاجرين، ولكن اللجنة ليست على علم بأي تقارير عن تنفيذ تلك الاستراتيجيات. وتعرب اللجنة عن قلقها لأن الدولة الطرف لم تحقق بعد معايير مرضية في مكافحتها للاتجار بالأشخاص، ولأن الأطفال، لا سيما أولئك الذين يعيشون في الشوارع في منطقة الحدود الثلاثية، ما زالوا يتعرضون للاستغلال داخل البلد.</w:t>
      </w:r>
      <w:r>
        <w:rPr>
          <w:rFonts w:eastAsiaTheme="minorEastAsia"/>
          <w:rtl/>
        </w:rPr>
        <w:t xml:space="preserve"> و</w:t>
      </w:r>
      <w:r w:rsidRPr="00BB3044">
        <w:rPr>
          <w:rFonts w:eastAsiaTheme="minorEastAsia"/>
          <w:rtl/>
        </w:rPr>
        <w:t>لا تزال اللّجنة تشعر بالقلق إزاء العدد المحدود للأحكام التي تُدين الاتجار بالأشخاص، ولا سيما الاتجار لأغراض الاستغلال الجنسي.</w:t>
      </w:r>
    </w:p>
    <w:p w14:paraId="02492C17" w14:textId="1040DD8B" w:rsidR="00BB3044" w:rsidRPr="00A13CDF" w:rsidRDefault="00BB3044" w:rsidP="00BB3044">
      <w:pPr>
        <w:pStyle w:val="SingleTxtGA"/>
        <w:rPr>
          <w:rFonts w:eastAsiaTheme="minorEastAsia"/>
          <w:bCs/>
          <w:lang w:val="ar-SA" w:eastAsia="zh-TW" w:bidi="en-GB"/>
        </w:rPr>
      </w:pPr>
      <w:r w:rsidRPr="00A13CDF">
        <w:rPr>
          <w:rFonts w:eastAsiaTheme="minorEastAsia"/>
          <w:rtl/>
        </w:rPr>
        <w:t>68</w:t>
      </w:r>
      <w:r w:rsidRPr="00BB3044">
        <w:rPr>
          <w:rFonts w:eastAsiaTheme="minorEastAsia"/>
          <w:rtl/>
        </w:rPr>
        <w:t>-</w:t>
      </w:r>
      <w:r w:rsidRPr="00BB3044">
        <w:rPr>
          <w:rFonts w:eastAsiaTheme="minorEastAsia"/>
          <w:rtl/>
        </w:rPr>
        <w:tab/>
      </w:r>
      <w:r w:rsidRPr="00A13CDF">
        <w:rPr>
          <w:rFonts w:eastAsiaTheme="minorEastAsia"/>
          <w:bCs/>
          <w:rtl/>
        </w:rPr>
        <w:t>وتجدد اللجنة تأكيد توصيتها السابقة</w:t>
      </w:r>
      <w:r w:rsidR="00C44303" w:rsidRPr="00A13CDF">
        <w:rPr>
          <w:rStyle w:val="FootnoteReference"/>
          <w:rFonts w:eastAsiaTheme="minorEastAsia"/>
          <w:b/>
          <w:szCs w:val="22"/>
          <w:rtl/>
        </w:rPr>
        <w:t>(</w:t>
      </w:r>
      <w:r w:rsidR="00C44303" w:rsidRPr="00A13CDF">
        <w:rPr>
          <w:rStyle w:val="FootnoteReference"/>
          <w:rFonts w:eastAsiaTheme="minorEastAsia"/>
          <w:b/>
          <w:szCs w:val="22"/>
          <w:lang w:val="en-US"/>
        </w:rPr>
        <w:footnoteReference w:id="18"/>
      </w:r>
      <w:r w:rsidR="00C44303" w:rsidRPr="00A13CDF">
        <w:rPr>
          <w:rFonts w:eastAsiaTheme="minorEastAsia" w:hint="cs"/>
          <w:b/>
          <w:vertAlign w:val="superscript"/>
          <w:rtl/>
        </w:rPr>
        <w:t>)</w:t>
      </w:r>
      <w:r w:rsidRPr="00A13CDF">
        <w:rPr>
          <w:rFonts w:eastAsiaTheme="minorEastAsia"/>
          <w:bCs/>
          <w:rtl/>
        </w:rPr>
        <w:t>، كما تدعو الدولةَ الطرف إلى إدراج أحكام محددة في القانون الجنائي تعاقب الاتجار بالأشخاص وتهريب المهاجرين، وفق</w:t>
      </w:r>
      <w:r w:rsidR="000E775F" w:rsidRPr="00A13CDF">
        <w:rPr>
          <w:rFonts w:eastAsiaTheme="minorEastAsia"/>
          <w:bCs/>
          <w:rtl/>
        </w:rPr>
        <w:t xml:space="preserve">اً </w:t>
      </w:r>
      <w:r w:rsidRPr="00A13CDF">
        <w:rPr>
          <w:rFonts w:eastAsiaTheme="minorEastAsia"/>
          <w:bCs/>
          <w:rtl/>
        </w:rPr>
        <w:t xml:space="preserve">لبروتوكول منع وقمع ومعاقبة </w:t>
      </w:r>
      <w:r w:rsidRPr="00A13CDF">
        <w:rPr>
          <w:rFonts w:eastAsiaTheme="minorEastAsia"/>
          <w:bCs/>
          <w:rtl/>
        </w:rPr>
        <w:lastRenderedPageBreak/>
        <w:t>الاتجار بالأشخاص، وبخاصة النساء والأطفال، وبروتوكول مكافحة تهريب المهاجرين عن طريق البر والبحر والجو، المكملين لاتفاقية الأمم المتحدة لمكافحة الجريمة المنظمة عبر الوطنية، واعتماد خطة عمل لمكافحة الاتجار بالأشخاص وجمع معلومات كافية عن حماية الناجين. وتشجع اللجنة أيض</w:t>
      </w:r>
      <w:r w:rsidR="000E775F" w:rsidRPr="00A13CDF">
        <w:rPr>
          <w:rFonts w:eastAsiaTheme="minorEastAsia"/>
          <w:bCs/>
          <w:rtl/>
        </w:rPr>
        <w:t xml:space="preserve">اً </w:t>
      </w:r>
      <w:r w:rsidRPr="00A13CDF">
        <w:rPr>
          <w:rFonts w:eastAsiaTheme="minorEastAsia"/>
          <w:bCs/>
          <w:rtl/>
        </w:rPr>
        <w:t>على التحقيق في حالات الاتجار بالأشخاص في البلد وتدريب المدعين العامين والقضاة المعنيين بمنع هذه الجريمة والمعاقبة عليها والقضاء عليها. وتوصي اللجنة بوضع إجراءات مناسبة لضمان عدم وقوع الأطفال غير المصحوبين في الدولة الطرف ضحايا للاتجار إذا أُعيدوا أو طُردوا.</w:t>
      </w:r>
    </w:p>
    <w:p w14:paraId="4C2D2FEB" w14:textId="77777777" w:rsidR="00BB3044" w:rsidRPr="00A13CDF" w:rsidRDefault="00BB3044" w:rsidP="00BB3044">
      <w:pPr>
        <w:pStyle w:val="SingleTxtGA"/>
        <w:rPr>
          <w:rFonts w:eastAsiaTheme="minorEastAsia"/>
          <w:b/>
          <w:bCs/>
          <w:lang w:val="ar-SA" w:eastAsia="zh-TW" w:bidi="en-GB"/>
        </w:rPr>
      </w:pPr>
      <w:r w:rsidRPr="00A13CDF">
        <w:rPr>
          <w:rFonts w:eastAsiaTheme="minorEastAsia"/>
          <w:rtl/>
        </w:rPr>
        <w:t>69</w:t>
      </w:r>
      <w:r w:rsidRPr="00BB3044">
        <w:rPr>
          <w:rFonts w:eastAsiaTheme="minorEastAsia"/>
          <w:rtl/>
        </w:rPr>
        <w:t>-</w:t>
      </w:r>
      <w:r w:rsidRPr="00BB3044">
        <w:rPr>
          <w:rFonts w:eastAsiaTheme="minorEastAsia"/>
          <w:rtl/>
        </w:rPr>
        <w:tab/>
      </w:r>
      <w:r w:rsidRPr="00A13CDF">
        <w:rPr>
          <w:rFonts w:eastAsiaTheme="minorEastAsia"/>
          <w:b/>
          <w:bCs/>
          <w:rtl/>
        </w:rPr>
        <w:t>ووفقاً للاتفاقية وللمبادئ والمبادئ التوجيهية الموصى بها فيما يتعلق بحقوق الإنسان والاتجار بالأشخاص، توصي اللجنة بأن تقوم الدولة الطرف بما يلي:</w:t>
      </w:r>
    </w:p>
    <w:p w14:paraId="7C9421BD" w14:textId="1C5489FA" w:rsidR="00BB3044" w:rsidRPr="00A13CDF" w:rsidRDefault="00165B22" w:rsidP="00BB3044">
      <w:pPr>
        <w:pStyle w:val="SingleTxtGA"/>
        <w:rPr>
          <w:rFonts w:eastAsiaTheme="minorEastAsia"/>
          <w:bCs/>
          <w:lang w:val="ar-SA" w:eastAsia="zh-TW" w:bidi="en-GB"/>
        </w:rPr>
      </w:pPr>
      <w:r>
        <w:rPr>
          <w:rFonts w:eastAsiaTheme="minorEastAsia"/>
          <w:rtl/>
        </w:rPr>
        <w:tab/>
      </w:r>
      <w:r w:rsidR="00BB3044" w:rsidRPr="00BB3044">
        <w:rPr>
          <w:rFonts w:eastAsiaTheme="minorEastAsia"/>
          <w:rtl/>
        </w:rPr>
        <w:t>(أ)</w:t>
      </w:r>
      <w:r w:rsidR="00BB3044" w:rsidRPr="00BB3044">
        <w:rPr>
          <w:rFonts w:eastAsiaTheme="minorEastAsia"/>
          <w:rtl/>
        </w:rPr>
        <w:tab/>
      </w:r>
      <w:r w:rsidR="00BB3044" w:rsidRPr="00A13CDF">
        <w:rPr>
          <w:rFonts w:eastAsiaTheme="minorEastAsia"/>
          <w:bCs/>
          <w:rtl/>
        </w:rPr>
        <w:t>ضمان التحقيق في جميع جرائم الاتجار بالأشخاص، لا سيما الجرائم المتصلة بالاستغلال الجنسي والجرائم التي تواطأ فيها موظفون عموميون، ومحاكمة مرتكبيها ومعاقبتهم على وجه السرعة وعلى نحو فعال ومحايد؛</w:t>
      </w:r>
    </w:p>
    <w:p w14:paraId="59DF388F" w14:textId="723E0A1E" w:rsidR="00BB3044" w:rsidRPr="00A13CDF" w:rsidRDefault="00165B22" w:rsidP="00BB3044">
      <w:pPr>
        <w:pStyle w:val="SingleTxtGA"/>
        <w:rPr>
          <w:rFonts w:eastAsiaTheme="minorEastAsia"/>
          <w:bCs/>
          <w:lang w:val="ar-SA" w:eastAsia="zh-TW" w:bidi="en-GB"/>
        </w:rPr>
      </w:pPr>
      <w:r>
        <w:rPr>
          <w:rFonts w:eastAsiaTheme="minorEastAsia"/>
          <w:rtl/>
        </w:rPr>
        <w:tab/>
      </w:r>
      <w:r w:rsidR="00BB3044" w:rsidRPr="00BB3044">
        <w:rPr>
          <w:rFonts w:eastAsiaTheme="minorEastAsia"/>
          <w:rtl/>
        </w:rPr>
        <w:t>(ب)</w:t>
      </w:r>
      <w:r w:rsidR="00BB3044" w:rsidRPr="00BB3044">
        <w:rPr>
          <w:rFonts w:eastAsiaTheme="minorEastAsia"/>
          <w:rtl/>
        </w:rPr>
        <w:tab/>
      </w:r>
      <w:r w:rsidR="00BB3044" w:rsidRPr="00A13CDF">
        <w:rPr>
          <w:rFonts w:eastAsiaTheme="minorEastAsia"/>
          <w:bCs/>
          <w:rtl/>
        </w:rPr>
        <w:t xml:space="preserve">التكثيف من الأنشطة التدريبيّة الموجهة للموظفين المكلفين بإنفاذ القوانين والقضاة والمدعين العامين ومفتشي العمل والمدرسين والعاملين في المجال الصحي وموظفي سفارات الدولة الطرف وقنصلياتها، بشأن التعامل مع قضايا الاتجار بطريقة تراعي الاعتبارات الجنسانية واحتياجات الطفل، ونشر معلومات عن الاتجار بالأشخاص وتقديم المساعدة إلى الضحايا على نطاق أوسع؛ </w:t>
      </w:r>
    </w:p>
    <w:p w14:paraId="6389AB2D" w14:textId="511719FB" w:rsidR="00BB3044" w:rsidRPr="00A13CDF" w:rsidRDefault="00165B22" w:rsidP="00BB3044">
      <w:pPr>
        <w:pStyle w:val="SingleTxtGA"/>
        <w:rPr>
          <w:rFonts w:eastAsiaTheme="minorEastAsia"/>
          <w:bCs/>
          <w:lang w:val="en-US" w:eastAsia="zh-TW" w:bidi="en-GB"/>
        </w:rPr>
      </w:pPr>
      <w:r>
        <w:rPr>
          <w:rFonts w:eastAsiaTheme="minorEastAsia"/>
          <w:rtl/>
        </w:rPr>
        <w:tab/>
      </w:r>
      <w:r w:rsidR="00BB3044" w:rsidRPr="00BB3044">
        <w:rPr>
          <w:rFonts w:eastAsiaTheme="minorEastAsia"/>
          <w:rtl/>
        </w:rPr>
        <w:t>(ج)</w:t>
      </w:r>
      <w:r w:rsidR="00BB3044" w:rsidRPr="00BB3044">
        <w:rPr>
          <w:rFonts w:eastAsiaTheme="minorEastAsia"/>
          <w:rtl/>
        </w:rPr>
        <w:tab/>
      </w:r>
      <w:r w:rsidR="00BB3044" w:rsidRPr="00A13CDF">
        <w:rPr>
          <w:rFonts w:eastAsiaTheme="minorEastAsia"/>
          <w:bCs/>
          <w:rtl/>
        </w:rPr>
        <w:t>تخصيص موارد كافية لتقديم المساعدة النفسية والقانونية والطبية للضحايا، فضلاً عن المآوي أو مراكز الرعاية المتخصصة للأطفال والمراهقين والنساء ضحايا الاتجار بالأشخاص</w:t>
      </w:r>
      <w:r w:rsidR="00BB3044" w:rsidRPr="00A13CDF">
        <w:rPr>
          <w:rFonts w:eastAsiaTheme="minorEastAsia"/>
          <w:bCs/>
          <w:rtl/>
          <w:lang w:val="en-US" w:eastAsia="zh-TW"/>
        </w:rPr>
        <w:t>؛</w:t>
      </w:r>
    </w:p>
    <w:p w14:paraId="3378C666" w14:textId="7E4CA066" w:rsidR="00BB3044" w:rsidRPr="00A13CDF" w:rsidRDefault="00165B22" w:rsidP="00BB3044">
      <w:pPr>
        <w:pStyle w:val="SingleTxtGA"/>
        <w:rPr>
          <w:rFonts w:eastAsiaTheme="minorEastAsia"/>
          <w:bCs/>
          <w:lang w:val="ar-SA" w:eastAsia="zh-TW" w:bidi="en-GB"/>
        </w:rPr>
      </w:pPr>
      <w:r>
        <w:rPr>
          <w:rFonts w:eastAsiaTheme="minorEastAsia"/>
          <w:rtl/>
        </w:rPr>
        <w:tab/>
      </w:r>
      <w:r w:rsidR="00BB3044" w:rsidRPr="00BB3044">
        <w:rPr>
          <w:rFonts w:eastAsiaTheme="minorEastAsia"/>
          <w:rtl/>
        </w:rPr>
        <w:t>(د)</w:t>
      </w:r>
      <w:r w:rsidR="00BB3044" w:rsidRPr="00BB3044">
        <w:rPr>
          <w:rFonts w:eastAsiaTheme="minorEastAsia"/>
          <w:rtl/>
        </w:rPr>
        <w:tab/>
      </w:r>
      <w:r w:rsidR="00BB3044" w:rsidRPr="00A13CDF">
        <w:rPr>
          <w:rFonts w:eastAsiaTheme="minorEastAsia"/>
          <w:bCs/>
          <w:rtl/>
        </w:rPr>
        <w:t>تعزيز التعاون الدولي والإقليمي والثنائي عن طريق إعداد خطط عمل مشتركة مع البلدان الأصلية وبلدان العبور والمقصد بشأن منع الاتجار بالأشخاص وكشف شبكات الجريمة المنظمة، والعمل مع مكاتب المدعين العامين من أجل القبض على المجرمين ومقاضاتهم ومعاقبتهم؛</w:t>
      </w:r>
    </w:p>
    <w:p w14:paraId="3B6003DB" w14:textId="5CB270AC" w:rsidR="00BB3044" w:rsidRPr="00A13CDF" w:rsidRDefault="00165B22" w:rsidP="00BB3044">
      <w:pPr>
        <w:pStyle w:val="SingleTxtGA"/>
        <w:rPr>
          <w:rFonts w:eastAsiaTheme="minorEastAsia"/>
          <w:bCs/>
          <w:lang w:val="ar-SA" w:eastAsia="zh-TW" w:bidi="en-GB"/>
        </w:rPr>
      </w:pPr>
      <w:r>
        <w:rPr>
          <w:rFonts w:eastAsiaTheme="minorEastAsia"/>
          <w:rtl/>
        </w:rPr>
        <w:tab/>
      </w:r>
      <w:r w:rsidR="00BB3044" w:rsidRPr="00BB3044">
        <w:rPr>
          <w:rFonts w:eastAsiaTheme="minorEastAsia"/>
          <w:rtl/>
        </w:rPr>
        <w:t>(هـ)</w:t>
      </w:r>
      <w:r w:rsidR="00BB3044" w:rsidRPr="00BB3044">
        <w:rPr>
          <w:rFonts w:eastAsiaTheme="minorEastAsia"/>
          <w:rtl/>
        </w:rPr>
        <w:tab/>
      </w:r>
      <w:r w:rsidR="00BB3044" w:rsidRPr="00A13CDF">
        <w:rPr>
          <w:rFonts w:eastAsiaTheme="minorEastAsia"/>
          <w:bCs/>
          <w:rtl/>
        </w:rPr>
        <w:t>إرساء آليات جمع شمل الأسر وتحديد هوية المهاجرين الذين لا يحملون وثائق هوية كوسيلة لمنع الاتجار بالبشر ومنع فصل المهاجرين عن أسرهم لمدة غير محددة.</w:t>
      </w:r>
    </w:p>
    <w:p w14:paraId="6D80C95D" w14:textId="77777777" w:rsidR="00BB3044" w:rsidRPr="00A13CDF" w:rsidRDefault="00BB3044" w:rsidP="00165B22">
      <w:pPr>
        <w:pStyle w:val="H23GA"/>
        <w:rPr>
          <w:lang w:val="en-US" w:eastAsia="zh-TW" w:bidi="en-GB"/>
        </w:rPr>
      </w:pPr>
      <w:r w:rsidRPr="00A13CDF">
        <w:rPr>
          <w:rtl/>
        </w:rPr>
        <w:tab/>
      </w:r>
      <w:r w:rsidRPr="00A13CDF">
        <w:rPr>
          <w:rtl/>
        </w:rPr>
        <w:tab/>
        <w:t>تهريب المهاجرين والهجرة غير النظامية</w:t>
      </w:r>
    </w:p>
    <w:p w14:paraId="00B9E8B4" w14:textId="6C5984B5" w:rsidR="00BB3044" w:rsidRPr="00BB3044" w:rsidRDefault="00BB3044" w:rsidP="00BB3044">
      <w:pPr>
        <w:pStyle w:val="SingleTxtGA"/>
        <w:rPr>
          <w:rFonts w:eastAsiaTheme="minorEastAsia"/>
          <w:lang w:val="ar-SA" w:eastAsia="zh-TW" w:bidi="en-GB"/>
        </w:rPr>
      </w:pPr>
      <w:r w:rsidRPr="00A13CDF">
        <w:rPr>
          <w:rFonts w:eastAsiaTheme="minorEastAsia"/>
          <w:rtl/>
        </w:rPr>
        <w:t>70</w:t>
      </w:r>
      <w:r w:rsidRPr="00BB3044">
        <w:rPr>
          <w:rFonts w:eastAsiaTheme="minorEastAsia"/>
          <w:rtl/>
        </w:rPr>
        <w:t>-</w:t>
      </w:r>
      <w:r w:rsidRPr="00BB3044">
        <w:rPr>
          <w:rFonts w:eastAsiaTheme="minorEastAsia"/>
          <w:rtl/>
        </w:rPr>
        <w:tab/>
        <w:t>يساور اللجنة القلق لأن الاتجار بالأشخاص ليس فعل</w:t>
      </w:r>
      <w:r w:rsidR="000E775F">
        <w:rPr>
          <w:rFonts w:eastAsiaTheme="minorEastAsia"/>
          <w:rtl/>
        </w:rPr>
        <w:t xml:space="preserve">اً </w:t>
      </w:r>
      <w:r w:rsidRPr="00BB3044">
        <w:rPr>
          <w:rFonts w:eastAsiaTheme="minorEastAsia"/>
          <w:rtl/>
        </w:rPr>
        <w:t>إجرامي</w:t>
      </w:r>
      <w:r w:rsidR="000E775F">
        <w:rPr>
          <w:rFonts w:eastAsiaTheme="minorEastAsia"/>
          <w:rtl/>
        </w:rPr>
        <w:t xml:space="preserve">اً </w:t>
      </w:r>
      <w:r w:rsidRPr="00BB3044">
        <w:rPr>
          <w:rFonts w:eastAsiaTheme="minorEastAsia"/>
          <w:rtl/>
        </w:rPr>
        <w:t xml:space="preserve">بموجب قوانين الدولة الطرف. وبناء على ذلك، فإنّه من غير الممكن التصدي بفعالية للسلوك غير المشروع الذي له أثر سلبي على الأشخاص في حالات الهجرة. </w:t>
      </w:r>
    </w:p>
    <w:p w14:paraId="7720F4DD" w14:textId="4D1D9E9C" w:rsidR="00BB3044" w:rsidRPr="00A13CDF" w:rsidRDefault="00BB3044" w:rsidP="00BB3044">
      <w:pPr>
        <w:pStyle w:val="SingleTxtGA"/>
        <w:rPr>
          <w:rFonts w:eastAsiaTheme="minorEastAsia"/>
          <w:b/>
          <w:bCs/>
          <w:lang w:val="en-US" w:eastAsia="zh-TW"/>
        </w:rPr>
      </w:pPr>
      <w:r w:rsidRPr="00A13CDF">
        <w:rPr>
          <w:rFonts w:eastAsiaTheme="minorEastAsia"/>
          <w:rtl/>
        </w:rPr>
        <w:t>71</w:t>
      </w:r>
      <w:r w:rsidRPr="00BB3044">
        <w:rPr>
          <w:rFonts w:eastAsiaTheme="minorEastAsia"/>
          <w:rtl/>
        </w:rPr>
        <w:t>-</w:t>
      </w:r>
      <w:r w:rsidRPr="00BB3044">
        <w:rPr>
          <w:rFonts w:eastAsiaTheme="minorEastAsia"/>
          <w:rtl/>
        </w:rPr>
        <w:tab/>
      </w:r>
      <w:r w:rsidRPr="00A13CDF">
        <w:rPr>
          <w:rFonts w:eastAsiaTheme="minorEastAsia"/>
          <w:b/>
          <w:bCs/>
          <w:rtl/>
        </w:rPr>
        <w:t xml:space="preserve">وتوصي اللجنة الدولة الطرف بتعديل قوانينها الجنائية بحيث يعرَّف الاتجار بالأشخاص </w:t>
      </w:r>
      <w:r w:rsidRPr="00A13CDF">
        <w:rPr>
          <w:rFonts w:eastAsiaTheme="minorEastAsia"/>
          <w:b/>
          <w:bCs/>
          <w:rtl/>
          <w:lang w:val="en-US" w:eastAsia="zh-TW"/>
        </w:rPr>
        <w:t>باعتباره</w:t>
      </w:r>
      <w:r w:rsidR="00165B22" w:rsidRPr="00A13CDF">
        <w:rPr>
          <w:rFonts w:eastAsiaTheme="minorEastAsia" w:hint="cs"/>
          <w:b/>
          <w:bCs/>
          <w:rtl/>
          <w:lang w:val="en-US" w:eastAsia="zh-TW"/>
        </w:rPr>
        <w:t> </w:t>
      </w:r>
      <w:r w:rsidRPr="00A13CDF">
        <w:rPr>
          <w:rFonts w:eastAsiaTheme="minorEastAsia"/>
          <w:b/>
          <w:bCs/>
          <w:rtl/>
          <w:lang w:val="en-US" w:eastAsia="zh-TW"/>
        </w:rPr>
        <w:t>جريمة.</w:t>
      </w:r>
    </w:p>
    <w:p w14:paraId="465EBA52" w14:textId="045AB1C0" w:rsidR="00BB3044" w:rsidRPr="00A13CDF" w:rsidRDefault="00165B22" w:rsidP="00165B22">
      <w:pPr>
        <w:pStyle w:val="H23GA"/>
        <w:rPr>
          <w:lang w:val="ar-SA" w:eastAsia="zh-TW" w:bidi="en-GB"/>
        </w:rPr>
      </w:pPr>
      <w:r w:rsidRPr="00A13CDF">
        <w:rPr>
          <w:rtl/>
        </w:rPr>
        <w:tab/>
      </w:r>
      <w:r w:rsidR="00BB3044" w:rsidRPr="00A13CDF">
        <w:rPr>
          <w:rtl/>
        </w:rPr>
        <w:t>6-</w:t>
      </w:r>
      <w:r w:rsidR="00BB3044" w:rsidRPr="00A13CDF">
        <w:rPr>
          <w:rtl/>
        </w:rPr>
        <w:tab/>
        <w:t>النشر والمتابعة</w:t>
      </w:r>
    </w:p>
    <w:p w14:paraId="3B1EC0B8" w14:textId="77777777" w:rsidR="00BB3044" w:rsidRPr="00A13CDF" w:rsidRDefault="00BB3044" w:rsidP="00BB3044">
      <w:pPr>
        <w:pStyle w:val="SingleTxtGA"/>
        <w:rPr>
          <w:rFonts w:eastAsiaTheme="minorEastAsia"/>
          <w:bCs/>
          <w:lang w:val="en-US" w:eastAsia="zh-TW" w:bidi="en-GB"/>
        </w:rPr>
      </w:pPr>
      <w:r w:rsidRPr="00A13CDF">
        <w:rPr>
          <w:rFonts w:eastAsiaTheme="minorEastAsia"/>
          <w:rtl/>
        </w:rPr>
        <w:t>72</w:t>
      </w:r>
      <w:r w:rsidRPr="00BB3044">
        <w:rPr>
          <w:rFonts w:eastAsiaTheme="minorEastAsia"/>
          <w:rtl/>
        </w:rPr>
        <w:t>-</w:t>
      </w:r>
      <w:r w:rsidRPr="00BB3044">
        <w:rPr>
          <w:rFonts w:eastAsiaTheme="minorEastAsia"/>
          <w:rtl/>
        </w:rPr>
        <w:tab/>
      </w:r>
      <w:r w:rsidRPr="00A13CDF">
        <w:rPr>
          <w:rFonts w:eastAsiaTheme="minorEastAsia"/>
          <w:bCs/>
          <w:rtl/>
        </w:rPr>
        <w:t>تطلب اللجنة من الدولة الطرف أن تضمن نشر هذه الملاحظات الختامية على نطاق واسع، بلغاتها الرّسميّة، في أوساط المؤسسات الحكومية المعنية، بما في ذلك الوزارات الحكومية والسلطة التشريعية والسلطة القضائية والسلطات المحلية ذات الصلة، فضلاً عن المنظّمات غير الحكومية وسائر أعضاء المجتمع المدني.</w:t>
      </w:r>
    </w:p>
    <w:p w14:paraId="25D42006" w14:textId="77777777" w:rsidR="00BB3044" w:rsidRPr="00A13CDF" w:rsidRDefault="00BB3044" w:rsidP="00BB3044">
      <w:pPr>
        <w:pStyle w:val="SingleTxtGA"/>
        <w:rPr>
          <w:rFonts w:eastAsiaTheme="minorEastAsia"/>
          <w:bCs/>
          <w:lang w:val="ar-SA" w:eastAsia="zh-TW" w:bidi="en-GB"/>
        </w:rPr>
      </w:pPr>
      <w:r w:rsidRPr="00A13CDF">
        <w:rPr>
          <w:rFonts w:eastAsiaTheme="minorEastAsia"/>
          <w:rtl/>
        </w:rPr>
        <w:lastRenderedPageBreak/>
        <w:t>73</w:t>
      </w:r>
      <w:r w:rsidRPr="00BB3044">
        <w:rPr>
          <w:rFonts w:eastAsiaTheme="minorEastAsia"/>
          <w:rtl/>
        </w:rPr>
        <w:t>-</w:t>
      </w:r>
      <w:r w:rsidRPr="00BB3044">
        <w:rPr>
          <w:rFonts w:eastAsiaTheme="minorEastAsia"/>
          <w:rtl/>
        </w:rPr>
        <w:tab/>
      </w:r>
      <w:r w:rsidRPr="00A13CDF">
        <w:rPr>
          <w:rFonts w:eastAsiaTheme="minorEastAsia"/>
          <w:bCs/>
          <w:rtl/>
        </w:rPr>
        <w:t>تطلب اللجنة من الدولة الطرف، وفقاً للمادة 84 من الاتّفاقيّة، أن تدرج في تقريرها الدوري الثالث معلومات مفصلة عن التدابير المتخذة لتنفيذ التوصيات الواردة في هذه الملاحظات الختامية، بما في ذلك إحالتها إلى المسؤولين الحكوميين وأعضاء الكونغرس والسلطة القضائية والسلطات المحلية وغيرها.</w:t>
      </w:r>
    </w:p>
    <w:p w14:paraId="55DD3D1A" w14:textId="3F40664D" w:rsidR="00BB3044" w:rsidRPr="00A13CDF" w:rsidRDefault="00BB3044" w:rsidP="00BB3044">
      <w:pPr>
        <w:pStyle w:val="SingleTxtGA"/>
        <w:rPr>
          <w:rFonts w:eastAsiaTheme="minorEastAsia"/>
          <w:bCs/>
          <w:lang w:val="ar-SA" w:eastAsia="zh-TW" w:bidi="en-GB"/>
        </w:rPr>
      </w:pPr>
      <w:r w:rsidRPr="00A13CDF">
        <w:rPr>
          <w:rFonts w:eastAsiaTheme="minorEastAsia"/>
          <w:rtl/>
        </w:rPr>
        <w:t>74</w:t>
      </w:r>
      <w:r w:rsidRPr="00BB3044">
        <w:rPr>
          <w:rFonts w:eastAsiaTheme="minorEastAsia"/>
          <w:rtl/>
        </w:rPr>
        <w:t>-</w:t>
      </w:r>
      <w:r w:rsidRPr="00BB3044">
        <w:rPr>
          <w:rFonts w:eastAsiaTheme="minorEastAsia"/>
          <w:rtl/>
        </w:rPr>
        <w:tab/>
      </w:r>
      <w:r w:rsidRPr="00A13CDF">
        <w:rPr>
          <w:rFonts w:eastAsiaTheme="minorEastAsia"/>
          <w:bCs/>
          <w:rtl/>
        </w:rPr>
        <w:t>تطلب اللجنة من الدولة الطرف أن تقدّم، في غضون سنتين، معلومات كتابية عن تنفيذ التوصيات الواردة في الفقرات 14 و29 و37 و45 و60 أعلاه.</w:t>
      </w:r>
    </w:p>
    <w:p w14:paraId="237DEDC2" w14:textId="34D76EBB" w:rsidR="00BB3044" w:rsidRPr="00A13CDF" w:rsidRDefault="00BB3044" w:rsidP="00165B22">
      <w:pPr>
        <w:pStyle w:val="H23GA"/>
        <w:rPr>
          <w:lang w:val="ar-SA" w:eastAsia="zh-TW" w:bidi="en-GB"/>
        </w:rPr>
      </w:pPr>
      <w:r w:rsidRPr="00A13CDF">
        <w:rPr>
          <w:rtl/>
        </w:rPr>
        <w:tab/>
      </w:r>
      <w:r w:rsidRPr="00A13CDF">
        <w:rPr>
          <w:rtl/>
        </w:rPr>
        <w:tab/>
        <w:t>التقرير الدوري المقبل</w:t>
      </w:r>
    </w:p>
    <w:p w14:paraId="3116E0C0" w14:textId="60F922BD" w:rsidR="00BB3044" w:rsidRPr="00A13CDF" w:rsidRDefault="00BB3044" w:rsidP="00BB3044">
      <w:pPr>
        <w:pStyle w:val="SingleTxtGA"/>
        <w:rPr>
          <w:rFonts w:eastAsiaTheme="minorEastAsia"/>
          <w:bCs/>
          <w:lang w:val="ar-SA" w:eastAsia="zh-TW" w:bidi="en-GB"/>
        </w:rPr>
      </w:pPr>
      <w:bookmarkStart w:id="19" w:name="_Hlk98754877"/>
      <w:r w:rsidRPr="00A13CDF">
        <w:rPr>
          <w:rFonts w:eastAsiaTheme="minorEastAsia"/>
          <w:rtl/>
        </w:rPr>
        <w:t>75</w:t>
      </w:r>
      <w:r w:rsidRPr="00BB3044">
        <w:rPr>
          <w:rFonts w:eastAsiaTheme="minorEastAsia"/>
          <w:rtl/>
        </w:rPr>
        <w:t>-</w:t>
      </w:r>
      <w:r w:rsidRPr="00BB3044">
        <w:rPr>
          <w:rFonts w:eastAsiaTheme="minorEastAsia"/>
          <w:rtl/>
        </w:rPr>
        <w:tab/>
      </w:r>
      <w:r w:rsidRPr="00A13CDF">
        <w:rPr>
          <w:rFonts w:eastAsiaTheme="minorEastAsia"/>
          <w:bCs/>
          <w:rtl/>
        </w:rPr>
        <w:t>تطلب اللجنة من الدولة الطرف أن تقدم تقريرها الدوري المقبل بحلول 1 أيار/مايو 2027 وأن تدرج فيه معلومات عن متابعة هذه الملاحظات الختامية والنتائج المحققة. وتشجع اللجنة الدولة الطرف على مواصلة اتباع الإجراء المبسط لتقديم التقارير في هذا الصدد. كما توجه اللجنة انتباه الدولة الطرف إلى مبادئها التوجيهية المنسقة الخاصّة بمعاهدة بعينها</w:t>
      </w:r>
      <w:r w:rsidR="00C44303" w:rsidRPr="00A13CDF">
        <w:rPr>
          <w:rFonts w:eastAsiaTheme="minorEastAsia" w:hint="cs"/>
          <w:b/>
          <w:vertAlign w:val="superscript"/>
          <w:rtl/>
        </w:rPr>
        <w:t>(</w:t>
      </w:r>
      <w:r w:rsidRPr="00A13CDF">
        <w:rPr>
          <w:rStyle w:val="FootnoteReference"/>
          <w:rFonts w:eastAsiaTheme="minorEastAsia"/>
          <w:bCs/>
          <w:szCs w:val="22"/>
          <w:lang w:val="en-US"/>
        </w:rPr>
        <w:footnoteReference w:id="19"/>
      </w:r>
      <w:r w:rsidR="00165B22" w:rsidRPr="00A13CDF">
        <w:rPr>
          <w:rFonts w:eastAsiaTheme="minorEastAsia" w:hint="cs"/>
          <w:b/>
          <w:vertAlign w:val="superscript"/>
          <w:rtl/>
        </w:rPr>
        <w:t>)</w:t>
      </w:r>
      <w:r w:rsidRPr="00A13CDF">
        <w:rPr>
          <w:rFonts w:eastAsiaTheme="minorEastAsia"/>
          <w:bCs/>
          <w:rtl/>
        </w:rPr>
        <w:t>.</w:t>
      </w:r>
    </w:p>
    <w:bookmarkEnd w:id="19"/>
    <w:p w14:paraId="33478D84" w14:textId="5B0CDEC3" w:rsidR="00165B22" w:rsidRPr="00165B22" w:rsidRDefault="00165B22" w:rsidP="00165B22">
      <w:pPr>
        <w:pStyle w:val="SingleTxtGA"/>
        <w:jc w:val="center"/>
        <w:rPr>
          <w:u w:val="single"/>
          <w:rtl/>
        </w:rPr>
      </w:pPr>
      <w:r>
        <w:rPr>
          <w:u w:val="single"/>
          <w:rtl/>
        </w:rPr>
        <w:tab/>
      </w:r>
      <w:r>
        <w:rPr>
          <w:u w:val="single"/>
          <w:rtl/>
        </w:rPr>
        <w:tab/>
      </w:r>
      <w:r>
        <w:rPr>
          <w:u w:val="single"/>
          <w:rtl/>
        </w:rPr>
        <w:tab/>
      </w:r>
    </w:p>
    <w:sectPr w:rsidR="00165B22" w:rsidRPr="00165B22" w:rsidSect="009119CD">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E11581" w14:textId="77777777" w:rsidR="00530B68" w:rsidRPr="002901D9" w:rsidRDefault="00530B68" w:rsidP="008809C0">
      <w:pPr>
        <w:spacing w:after="120" w:line="240" w:lineRule="auto"/>
        <w:ind w:left="57"/>
        <w:rPr>
          <w:i/>
          <w:iCs/>
        </w:rPr>
      </w:pPr>
      <w:r>
        <w:rPr>
          <w:rFonts w:hint="cs"/>
          <w:i/>
          <w:iCs/>
          <w:rtl/>
        </w:rPr>
        <w:t>الحواشي</w:t>
      </w:r>
    </w:p>
  </w:endnote>
  <w:endnote w:type="continuationSeparator" w:id="0">
    <w:p w14:paraId="037B725B" w14:textId="77777777" w:rsidR="00530B68" w:rsidRDefault="00530B6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AA239" w14:textId="76ACD056" w:rsidR="00283E17" w:rsidRPr="00283E17" w:rsidRDefault="00283E17" w:rsidP="00283E17">
    <w:pPr>
      <w:pStyle w:val="Footer"/>
      <w:tabs>
        <w:tab w:val="right" w:pos="9638"/>
      </w:tabs>
      <w:rPr>
        <w:b/>
        <w:sz w:val="18"/>
        <w:lang w:val="en-US"/>
      </w:rPr>
    </w:pPr>
    <w:r>
      <w:rPr>
        <w:lang w:val="en-US"/>
      </w:rPr>
      <w:t>GE.22-0851</w:t>
    </w:r>
    <w:r w:rsidR="001B6609">
      <w:rPr>
        <w:lang w:val="en-US"/>
      </w:rPr>
      <w:t>6</w:t>
    </w:r>
    <w:r>
      <w:rPr>
        <w:lang w:val="en-US"/>
      </w:rPr>
      <w:tab/>
    </w:r>
    <w:r w:rsidRPr="00283E17">
      <w:rPr>
        <w:b/>
        <w:sz w:val="18"/>
        <w:lang w:val="en-US"/>
      </w:rPr>
      <w:fldChar w:fldCharType="begin"/>
    </w:r>
    <w:r w:rsidRPr="00283E17">
      <w:rPr>
        <w:b/>
        <w:sz w:val="18"/>
        <w:lang w:val="en-US"/>
      </w:rPr>
      <w:instrText xml:space="preserve"> PAGE  \* MERGEFORMAT </w:instrText>
    </w:r>
    <w:r w:rsidRPr="00283E17">
      <w:rPr>
        <w:b/>
        <w:sz w:val="18"/>
        <w:lang w:val="en-US"/>
      </w:rPr>
      <w:fldChar w:fldCharType="separate"/>
    </w:r>
    <w:r w:rsidRPr="00283E17">
      <w:rPr>
        <w:b/>
        <w:noProof/>
        <w:sz w:val="18"/>
        <w:lang w:val="en-US"/>
      </w:rPr>
      <w:t>2</w:t>
    </w:r>
    <w:r w:rsidRPr="00283E1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4CAB3" w14:textId="3BF5AAED" w:rsidR="006959B0" w:rsidRPr="00283E17" w:rsidRDefault="00283E17" w:rsidP="00283E1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GE.22-0851</w:t>
    </w:r>
    <w:r w:rsidR="001B6609">
      <w:rPr>
        <w:lang w:val="en-US"/>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8BD64" w14:textId="450E03D7" w:rsidR="007D04A0" w:rsidRPr="00283E17" w:rsidRDefault="00283E17" w:rsidP="00283E17">
    <w:pPr>
      <w:pStyle w:val="Footer"/>
      <w:spacing w:before="600"/>
      <w:ind w:left="567"/>
      <w:jc w:val="right"/>
      <w:rPr>
        <w:sz w:val="20"/>
        <w:lang w:val="en-US"/>
      </w:rPr>
    </w:pPr>
    <w:r>
      <w:rPr>
        <w:sz w:val="20"/>
        <w:lang w:val="en-US"/>
      </w:rPr>
      <w:t>GE.</w:t>
    </w:r>
    <w:r w:rsidR="00DC4EE6">
      <w:rPr>
        <w:noProof/>
      </w:rPr>
      <w:drawing>
        <wp:anchor distT="0" distB="0" distL="114300" distR="114300" simplePos="0" relativeHeight="251659264" behindDoc="1" locked="1" layoutInCell="0" allowOverlap="1" wp14:anchorId="0970971B" wp14:editId="5006274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4" name="Picture 4"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22-0851</w:t>
    </w:r>
    <w:r w:rsidR="001B6609">
      <w:rPr>
        <w:sz w:val="20"/>
        <w:lang w:val="en-US"/>
      </w:rPr>
      <w:t>6</w:t>
    </w:r>
    <w:r>
      <w:rPr>
        <w:sz w:val="20"/>
        <w:lang w:val="en-US"/>
      </w:rPr>
      <w:t xml:space="preserve"> (A)</w:t>
    </w:r>
    <w:r>
      <w:rPr>
        <w:noProof/>
        <w:sz w:val="20"/>
        <w:lang w:val="en-US"/>
      </w:rPr>
      <w:drawing>
        <wp:anchor distT="0" distB="0" distL="114300" distR="114300" simplePos="0" relativeHeight="251660288" behindDoc="0" locked="0" layoutInCell="1" allowOverlap="1" wp14:anchorId="14E0696C" wp14:editId="24042859">
          <wp:simplePos x="0" y="0"/>
          <wp:positionH relativeFrom="margin">
            <wp:posOffset>0</wp:posOffset>
          </wp:positionH>
          <wp:positionV relativeFrom="margin">
            <wp:posOffset>8891905</wp:posOffset>
          </wp:positionV>
          <wp:extent cx="561975" cy="561975"/>
          <wp:effectExtent l="0" t="0" r="9525" b="9525"/>
          <wp:wrapNone/>
          <wp:docPr id="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9BA31" w14:textId="77777777" w:rsidR="00530B68" w:rsidRPr="00E849B7" w:rsidRDefault="00530B68" w:rsidP="00E849B7">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E637756" w14:textId="77777777" w:rsidR="00530B68" w:rsidRDefault="00530B68" w:rsidP="00656392">
      <w:pPr>
        <w:spacing w:line="240" w:lineRule="auto"/>
      </w:pPr>
      <w:r>
        <w:continuationSeparator/>
      </w:r>
    </w:p>
  </w:footnote>
  <w:footnote w:id="1">
    <w:p w14:paraId="5EE74D9E" w14:textId="2CA3364D" w:rsidR="00BB3044" w:rsidRPr="00A374A1" w:rsidRDefault="00BB3044" w:rsidP="00165B22">
      <w:pPr>
        <w:pStyle w:val="FootnoteText1"/>
        <w:rPr>
          <w:rtl/>
        </w:rPr>
      </w:pPr>
      <w:r w:rsidRPr="00FC201A">
        <w:rPr>
          <w:sz w:val="22"/>
          <w:szCs w:val="22"/>
          <w:rtl/>
        </w:rPr>
        <w:t>*</w:t>
      </w:r>
      <w:r w:rsidRPr="00A374A1">
        <w:rPr>
          <w:rtl/>
        </w:rPr>
        <w:tab/>
      </w:r>
      <w:r w:rsidRPr="00A374A1">
        <w:rPr>
          <w:rtl/>
          <w:lang w:eastAsia="zh-TW"/>
        </w:rPr>
        <w:t>اعتمدتها اللجنة في دورتها الرابعة والثلاثين (</w:t>
      </w:r>
      <w:r w:rsidRPr="00A13CDF">
        <w:rPr>
          <w:rtl/>
          <w:lang w:eastAsia="zh-TW"/>
        </w:rPr>
        <w:t>28</w:t>
      </w:r>
      <w:r w:rsidRPr="00A374A1">
        <w:rPr>
          <w:rtl/>
          <w:lang w:eastAsia="zh-TW"/>
        </w:rPr>
        <w:t xml:space="preserve"> آذار/مارس – </w:t>
      </w:r>
      <w:r w:rsidRPr="00A13CDF">
        <w:rPr>
          <w:rtl/>
          <w:lang w:eastAsia="zh-TW"/>
        </w:rPr>
        <w:t>8</w:t>
      </w:r>
      <w:r w:rsidRPr="00A374A1">
        <w:rPr>
          <w:rtl/>
          <w:lang w:eastAsia="zh-TW"/>
        </w:rPr>
        <w:t xml:space="preserve"> نيسان/أبريل </w:t>
      </w:r>
      <w:r w:rsidRPr="00A13CDF">
        <w:rPr>
          <w:rtl/>
          <w:lang w:eastAsia="zh-TW"/>
        </w:rPr>
        <w:t>2022</w:t>
      </w:r>
      <w:r w:rsidRPr="00A374A1">
        <w:rPr>
          <w:rtl/>
          <w:lang w:eastAsia="zh-TW"/>
        </w:rPr>
        <w:t xml:space="preserve">). </w:t>
      </w:r>
    </w:p>
  </w:footnote>
  <w:footnote w:id="2">
    <w:p w14:paraId="207A1913" w14:textId="42EE8DE9" w:rsidR="00BB3044" w:rsidRPr="00A374A1" w:rsidRDefault="00165B22" w:rsidP="00165B22">
      <w:pPr>
        <w:pStyle w:val="FootnoteText1"/>
        <w:textDirection w:val="tbRlV"/>
        <w:rPr>
          <w:lang w:eastAsia="zh-TW"/>
        </w:rPr>
      </w:pPr>
      <w:r w:rsidRPr="00A374A1">
        <w:rPr>
          <w:rFonts w:hint="cs"/>
          <w:rtl/>
        </w:rPr>
        <w:t>(</w:t>
      </w:r>
      <w:r w:rsidR="00BB3044" w:rsidRPr="00A13CDF">
        <w:rPr>
          <w:rStyle w:val="FootnoteReference"/>
          <w:vertAlign w:val="baseline"/>
        </w:rPr>
        <w:footnoteRef/>
      </w:r>
      <w:r w:rsidRPr="00A374A1">
        <w:rPr>
          <w:rFonts w:hint="cs"/>
          <w:rtl/>
        </w:rPr>
        <w:t>)</w:t>
      </w:r>
      <w:r w:rsidR="00BB3044" w:rsidRPr="00A374A1">
        <w:rPr>
          <w:rtl/>
        </w:rPr>
        <w:tab/>
      </w:r>
      <w:hyperlink r:id="rId1" w:history="1">
        <w:r w:rsidR="00BB3044" w:rsidRPr="00A374A1">
          <w:rPr>
            <w:rStyle w:val="Hyperlink"/>
            <w:lang w:val="en-AU" w:eastAsia="zh-TW" w:bidi="en-GB"/>
          </w:rPr>
          <w:t>CMW/C/PRY/</w:t>
        </w:r>
        <w:r w:rsidR="00BB3044" w:rsidRPr="00A13CDF">
          <w:rPr>
            <w:rStyle w:val="Hyperlink"/>
            <w:lang w:val="en-AU" w:eastAsia="zh-TW" w:bidi="en-GB"/>
          </w:rPr>
          <w:t>2</w:t>
        </w:r>
      </w:hyperlink>
      <w:r w:rsidR="00C54D41" w:rsidRPr="00A374A1">
        <w:rPr>
          <w:rFonts w:hint="cs"/>
          <w:rtl/>
          <w:lang w:eastAsia="zh-TW"/>
        </w:rPr>
        <w:t>.</w:t>
      </w:r>
    </w:p>
  </w:footnote>
  <w:footnote w:id="3">
    <w:p w14:paraId="6448A1EB" w14:textId="4E947785" w:rsidR="00E15DEB" w:rsidRPr="00A374A1" w:rsidRDefault="00E15DEB" w:rsidP="00E15DEB">
      <w:pPr>
        <w:pStyle w:val="FootnoteText1"/>
        <w:textDirection w:val="tbRlV"/>
        <w:rPr>
          <w:lang w:eastAsia="zh-TW"/>
        </w:rPr>
      </w:pPr>
      <w:r w:rsidRPr="00A374A1">
        <w:rPr>
          <w:rFonts w:hint="cs"/>
          <w:rtl/>
        </w:rPr>
        <w:t>(</w:t>
      </w:r>
      <w:r w:rsidRPr="00A13CDF">
        <w:rPr>
          <w:rStyle w:val="FootnoteReference"/>
          <w:vertAlign w:val="baseline"/>
        </w:rPr>
        <w:footnoteRef/>
      </w:r>
      <w:r w:rsidRPr="00A374A1">
        <w:rPr>
          <w:rFonts w:hint="cs"/>
          <w:rtl/>
        </w:rPr>
        <w:t>)</w:t>
      </w:r>
      <w:r w:rsidRPr="00A374A1">
        <w:rPr>
          <w:rtl/>
        </w:rPr>
        <w:tab/>
      </w:r>
      <w:hyperlink r:id="rId2" w:history="1">
        <w:r w:rsidRPr="00A374A1">
          <w:rPr>
            <w:rStyle w:val="Hyperlink"/>
          </w:rPr>
          <w:t>CMW/C/SR.</w:t>
        </w:r>
        <w:r w:rsidRPr="00A13CDF">
          <w:rPr>
            <w:rStyle w:val="Hyperlink"/>
          </w:rPr>
          <w:t>484</w:t>
        </w:r>
      </w:hyperlink>
      <w:r w:rsidRPr="00A374A1">
        <w:rPr>
          <w:rFonts w:hint="cs"/>
          <w:rtl/>
          <w:lang w:eastAsia="zh-TW"/>
        </w:rPr>
        <w:t xml:space="preserve"> و</w:t>
      </w:r>
      <w:bookmarkStart w:id="2" w:name="_Hlk113353326"/>
      <w:r w:rsidRPr="00A374A1">
        <w:fldChar w:fldCharType="begin"/>
      </w:r>
      <w:r w:rsidRPr="00A374A1">
        <w:instrText xml:space="preserve"> HYPERLINK "http://undocs.org/en/CMW/C/SR.485" </w:instrText>
      </w:r>
      <w:r w:rsidRPr="00A374A1">
        <w:fldChar w:fldCharType="separate"/>
      </w:r>
      <w:r w:rsidRPr="00A374A1">
        <w:rPr>
          <w:rStyle w:val="Hyperlink"/>
        </w:rPr>
        <w:t>CMW/C/SR.</w:t>
      </w:r>
      <w:r w:rsidRPr="00A13CDF">
        <w:rPr>
          <w:rStyle w:val="Hyperlink"/>
        </w:rPr>
        <w:t>485</w:t>
      </w:r>
      <w:r w:rsidRPr="00A374A1">
        <w:rPr>
          <w:rStyle w:val="Hyperlink"/>
        </w:rPr>
        <w:fldChar w:fldCharType="end"/>
      </w:r>
      <w:bookmarkEnd w:id="2"/>
      <w:r w:rsidRPr="00A374A1">
        <w:rPr>
          <w:rFonts w:hint="cs"/>
          <w:rtl/>
          <w:lang w:eastAsia="zh-TW"/>
        </w:rPr>
        <w:t>.</w:t>
      </w:r>
    </w:p>
  </w:footnote>
  <w:footnote w:id="4">
    <w:p w14:paraId="1B1259F4" w14:textId="55477223" w:rsidR="00E15DEB" w:rsidRPr="00A374A1" w:rsidRDefault="00E15DEB" w:rsidP="00E15DEB">
      <w:pPr>
        <w:pStyle w:val="FootnoteText1"/>
        <w:textDirection w:val="tbRlV"/>
        <w:rPr>
          <w:rtl/>
          <w:lang w:eastAsia="zh-TW"/>
        </w:rPr>
      </w:pPr>
      <w:r w:rsidRPr="00A374A1">
        <w:rPr>
          <w:rFonts w:hint="cs"/>
          <w:rtl/>
        </w:rPr>
        <w:t>(</w:t>
      </w:r>
      <w:r w:rsidRPr="00A13CDF">
        <w:rPr>
          <w:rStyle w:val="FootnoteReference"/>
          <w:vertAlign w:val="baseline"/>
        </w:rPr>
        <w:footnoteRef/>
      </w:r>
      <w:r w:rsidRPr="00A374A1">
        <w:rPr>
          <w:rFonts w:hint="cs"/>
          <w:rtl/>
        </w:rPr>
        <w:t>)</w:t>
      </w:r>
      <w:r w:rsidRPr="00A374A1">
        <w:rPr>
          <w:rtl/>
        </w:rPr>
        <w:tab/>
      </w:r>
      <w:hyperlink r:id="rId3" w:history="1">
        <w:r w:rsidRPr="00CB00E7">
          <w:rPr>
            <w:rStyle w:val="Hyperlink"/>
            <w:lang w:val="en-AU"/>
          </w:rPr>
          <w:t>CMW/C/PRY/QPR/</w:t>
        </w:r>
        <w:r w:rsidRPr="00A13CDF">
          <w:rPr>
            <w:rStyle w:val="Hyperlink"/>
            <w:lang w:val="en-AU"/>
          </w:rPr>
          <w:t>2</w:t>
        </w:r>
      </w:hyperlink>
      <w:r w:rsidRPr="00A374A1">
        <w:rPr>
          <w:rFonts w:hint="cs"/>
          <w:rtl/>
          <w:lang w:eastAsia="zh-TW"/>
        </w:rPr>
        <w:t>.</w:t>
      </w:r>
    </w:p>
  </w:footnote>
  <w:footnote w:id="5">
    <w:p w14:paraId="565B1000" w14:textId="40897464" w:rsidR="00C44303" w:rsidRPr="00A374A1" w:rsidRDefault="00C44303" w:rsidP="004E6A7D">
      <w:pPr>
        <w:pStyle w:val="FootnoteText1"/>
        <w:jc w:val="left"/>
        <w:textDirection w:val="tbRlV"/>
        <w:rPr>
          <w:lang w:eastAsia="zh-TW"/>
        </w:rPr>
      </w:pPr>
      <w:r w:rsidRPr="00A374A1">
        <w:rPr>
          <w:rFonts w:hint="cs"/>
          <w:rtl/>
        </w:rPr>
        <w:t>(</w:t>
      </w:r>
      <w:r w:rsidRPr="00A13CDF">
        <w:rPr>
          <w:rStyle w:val="FootnoteReference"/>
          <w:vertAlign w:val="baseline"/>
        </w:rPr>
        <w:footnoteRef/>
      </w:r>
      <w:r w:rsidRPr="00A374A1">
        <w:rPr>
          <w:rFonts w:hint="cs"/>
          <w:rtl/>
        </w:rPr>
        <w:t>)</w:t>
      </w:r>
      <w:r w:rsidR="004E6A7D" w:rsidRPr="00A374A1">
        <w:rPr>
          <w:rtl/>
        </w:rPr>
        <w:tab/>
      </w:r>
      <w:r w:rsidR="004E6A7D" w:rsidRPr="00A13CDF">
        <w:rPr>
          <w:rFonts w:ascii="Simplified Arabic" w:hAnsi="Simplified Arabic" w:hint="cs"/>
          <w:rtl/>
        </w:rPr>
        <w:t>انظر</w:t>
      </w:r>
      <w:r w:rsidR="004E6A7D" w:rsidRPr="00A13CDF">
        <w:rPr>
          <w:rStyle w:val="Hyperlink"/>
          <w:rFonts w:hint="cs"/>
          <w:rtl/>
          <w:lang w:val="en-AU"/>
        </w:rPr>
        <w:t xml:space="preserve"> </w:t>
      </w:r>
      <w:hyperlink r:id="rId4" w:history="1">
        <w:r w:rsidR="004E6A7D" w:rsidRPr="00A13CDF">
          <w:rPr>
            <w:rStyle w:val="Hyperlink"/>
            <w:lang w:val="en-AU"/>
          </w:rPr>
          <w:t>https://www.ohchr.org/sites/default/files/Documents/Issues/Migration/CMWSPMJointGuidanceNoteCOVID-19Migrants.pdf</w:t>
        </w:r>
      </w:hyperlink>
      <w:r w:rsidR="004E6A7D" w:rsidRPr="00A374A1">
        <w:rPr>
          <w:rStyle w:val="Hyperlink"/>
          <w:rFonts w:hint="cs"/>
          <w:rtl/>
          <w:lang w:val="en-AU"/>
        </w:rPr>
        <w:t>.</w:t>
      </w:r>
    </w:p>
  </w:footnote>
  <w:footnote w:id="6">
    <w:p w14:paraId="3F3EED18" w14:textId="050F6E1A" w:rsidR="00C44303" w:rsidRPr="00A374A1" w:rsidRDefault="00C44303" w:rsidP="00C44303">
      <w:pPr>
        <w:pStyle w:val="FootnoteText1"/>
        <w:textDirection w:val="tbRlV"/>
        <w:rPr>
          <w:rtl/>
          <w:lang w:eastAsia="zh-TW"/>
        </w:rPr>
      </w:pPr>
      <w:r w:rsidRPr="00A374A1">
        <w:rPr>
          <w:rFonts w:hint="cs"/>
          <w:rtl/>
        </w:rPr>
        <w:t>(</w:t>
      </w:r>
      <w:r w:rsidRPr="00A13CDF">
        <w:rPr>
          <w:rStyle w:val="FootnoteReference"/>
          <w:vertAlign w:val="baseline"/>
        </w:rPr>
        <w:footnoteRef/>
      </w:r>
      <w:r w:rsidRPr="00A374A1">
        <w:rPr>
          <w:rFonts w:hint="cs"/>
          <w:rtl/>
        </w:rPr>
        <w:t>)</w:t>
      </w:r>
      <w:r w:rsidRPr="00A374A1">
        <w:rPr>
          <w:rtl/>
        </w:rPr>
        <w:tab/>
      </w:r>
      <w:hyperlink r:id="rId5" w:history="1">
        <w:r w:rsidR="004E6A7D" w:rsidRPr="00A374A1">
          <w:rPr>
            <w:rStyle w:val="Hyperlink"/>
          </w:rPr>
          <w:t>CMW/C/PRY/CO/</w:t>
        </w:r>
        <w:r w:rsidR="004E6A7D" w:rsidRPr="00A13CDF">
          <w:rPr>
            <w:rStyle w:val="Hyperlink"/>
          </w:rPr>
          <w:t>1</w:t>
        </w:r>
      </w:hyperlink>
      <w:r w:rsidR="004E6A7D" w:rsidRPr="00A374A1">
        <w:rPr>
          <w:rFonts w:hint="cs"/>
          <w:rtl/>
          <w:lang w:eastAsia="zh-TW"/>
        </w:rPr>
        <w:t xml:space="preserve">، الفقرة </w:t>
      </w:r>
      <w:r w:rsidR="004E6A7D" w:rsidRPr="00A13CDF">
        <w:rPr>
          <w:rFonts w:hint="cs"/>
          <w:rtl/>
          <w:lang w:eastAsia="zh-TW"/>
        </w:rPr>
        <w:t>13</w:t>
      </w:r>
      <w:r w:rsidR="004E6A7D" w:rsidRPr="00A374A1">
        <w:rPr>
          <w:rFonts w:hint="cs"/>
          <w:rtl/>
          <w:lang w:eastAsia="zh-TW"/>
        </w:rPr>
        <w:t>.</w:t>
      </w:r>
    </w:p>
  </w:footnote>
  <w:footnote w:id="7">
    <w:p w14:paraId="0332EFCE" w14:textId="2C1A61E7" w:rsidR="00C44303" w:rsidRPr="00A374A1" w:rsidRDefault="00C44303" w:rsidP="00C44303">
      <w:pPr>
        <w:pStyle w:val="FootnoteText1"/>
        <w:textDirection w:val="tbRlV"/>
        <w:rPr>
          <w:lang w:eastAsia="zh-TW"/>
        </w:rPr>
      </w:pPr>
      <w:r w:rsidRPr="00A374A1">
        <w:rPr>
          <w:rFonts w:hint="cs"/>
          <w:rtl/>
        </w:rPr>
        <w:t>(</w:t>
      </w:r>
      <w:r w:rsidRPr="00A13CDF">
        <w:rPr>
          <w:rStyle w:val="FootnoteReference"/>
          <w:vertAlign w:val="baseline"/>
        </w:rPr>
        <w:footnoteRef/>
      </w:r>
      <w:r w:rsidRPr="00A374A1">
        <w:rPr>
          <w:rFonts w:hint="cs"/>
          <w:rtl/>
        </w:rPr>
        <w:t>)</w:t>
      </w:r>
      <w:r w:rsidRPr="00A374A1">
        <w:rPr>
          <w:rtl/>
        </w:rPr>
        <w:tab/>
      </w:r>
      <w:r w:rsidR="004E6A7D" w:rsidRPr="00A374A1">
        <w:rPr>
          <w:rFonts w:hint="cs"/>
          <w:rtl/>
          <w:lang w:eastAsia="zh-TW"/>
        </w:rPr>
        <w:t xml:space="preserve">المرجع نفسه، الفقرة </w:t>
      </w:r>
      <w:r w:rsidR="004E6A7D" w:rsidRPr="00A13CDF">
        <w:rPr>
          <w:rFonts w:hint="cs"/>
          <w:rtl/>
          <w:lang w:eastAsia="zh-TW"/>
        </w:rPr>
        <w:t>15</w:t>
      </w:r>
      <w:r w:rsidRPr="00A374A1">
        <w:rPr>
          <w:rFonts w:hint="cs"/>
          <w:rtl/>
          <w:lang w:eastAsia="zh-TW"/>
        </w:rPr>
        <w:t>.</w:t>
      </w:r>
    </w:p>
  </w:footnote>
  <w:footnote w:id="8">
    <w:p w14:paraId="7C3F3AEE" w14:textId="43C5DCC9" w:rsidR="00C44303" w:rsidRPr="00A374A1" w:rsidRDefault="00C44303" w:rsidP="00C44303">
      <w:pPr>
        <w:pStyle w:val="FootnoteText1"/>
        <w:textDirection w:val="tbRlV"/>
        <w:rPr>
          <w:lang w:eastAsia="zh-TW"/>
        </w:rPr>
      </w:pPr>
      <w:r w:rsidRPr="00A374A1">
        <w:rPr>
          <w:rFonts w:hint="cs"/>
          <w:rtl/>
        </w:rPr>
        <w:t>(</w:t>
      </w:r>
      <w:r w:rsidRPr="00A13CDF">
        <w:rPr>
          <w:rStyle w:val="FootnoteReference"/>
          <w:vertAlign w:val="baseline"/>
        </w:rPr>
        <w:footnoteRef/>
      </w:r>
      <w:r w:rsidRPr="00A374A1">
        <w:rPr>
          <w:rFonts w:hint="cs"/>
          <w:rtl/>
        </w:rPr>
        <w:t>)</w:t>
      </w:r>
      <w:r w:rsidRPr="00A374A1">
        <w:rPr>
          <w:rtl/>
        </w:rPr>
        <w:tab/>
      </w:r>
      <w:r w:rsidR="004E6A7D" w:rsidRPr="00A374A1">
        <w:rPr>
          <w:rFonts w:hint="cs"/>
          <w:rtl/>
        </w:rPr>
        <w:t xml:space="preserve">المرجع نفسه، الفقرة </w:t>
      </w:r>
      <w:r w:rsidR="004E6A7D" w:rsidRPr="00A13CDF">
        <w:rPr>
          <w:rFonts w:hint="cs"/>
          <w:rtl/>
        </w:rPr>
        <w:t>17</w:t>
      </w:r>
      <w:r w:rsidR="004E6A7D" w:rsidRPr="00A374A1">
        <w:rPr>
          <w:rFonts w:hint="cs"/>
          <w:rtl/>
        </w:rPr>
        <w:t>.</w:t>
      </w:r>
    </w:p>
  </w:footnote>
  <w:footnote w:id="9">
    <w:p w14:paraId="3241E78B" w14:textId="6906A996" w:rsidR="00C44303" w:rsidRPr="00A374A1" w:rsidRDefault="00C44303" w:rsidP="00C44303">
      <w:pPr>
        <w:pStyle w:val="FootnoteText1"/>
        <w:textDirection w:val="tbRlV"/>
        <w:rPr>
          <w:lang w:eastAsia="zh-TW"/>
        </w:rPr>
      </w:pPr>
      <w:r w:rsidRPr="00A374A1">
        <w:rPr>
          <w:rFonts w:hint="cs"/>
          <w:rtl/>
        </w:rPr>
        <w:t>(</w:t>
      </w:r>
      <w:r w:rsidRPr="00A13CDF">
        <w:rPr>
          <w:rStyle w:val="FootnoteReference"/>
          <w:vertAlign w:val="baseline"/>
        </w:rPr>
        <w:footnoteRef/>
      </w:r>
      <w:r w:rsidRPr="00A374A1">
        <w:rPr>
          <w:rFonts w:hint="cs"/>
          <w:rtl/>
        </w:rPr>
        <w:t>)</w:t>
      </w:r>
      <w:r w:rsidRPr="00A374A1">
        <w:rPr>
          <w:rtl/>
        </w:rPr>
        <w:tab/>
      </w:r>
      <w:r w:rsidR="004E6A7D" w:rsidRPr="00A374A1">
        <w:rPr>
          <w:rFonts w:hint="cs"/>
          <w:rtl/>
        </w:rPr>
        <w:t xml:space="preserve">المرجع نفسه، الفقرة </w:t>
      </w:r>
      <w:r w:rsidR="004E6A7D" w:rsidRPr="00A13CDF">
        <w:rPr>
          <w:rFonts w:hint="cs"/>
          <w:rtl/>
        </w:rPr>
        <w:t>21</w:t>
      </w:r>
      <w:r w:rsidR="004E6A7D" w:rsidRPr="00A374A1">
        <w:rPr>
          <w:rFonts w:hint="cs"/>
          <w:rtl/>
        </w:rPr>
        <w:t xml:space="preserve">. </w:t>
      </w:r>
    </w:p>
  </w:footnote>
  <w:footnote w:id="10">
    <w:p w14:paraId="2C188CD4" w14:textId="230B839B" w:rsidR="00C44303" w:rsidRPr="00A374A1" w:rsidRDefault="00C44303" w:rsidP="00C44303">
      <w:pPr>
        <w:pStyle w:val="FootnoteText1"/>
        <w:textDirection w:val="tbRlV"/>
        <w:rPr>
          <w:lang w:eastAsia="zh-TW"/>
        </w:rPr>
      </w:pPr>
      <w:r w:rsidRPr="00A374A1">
        <w:rPr>
          <w:rFonts w:hint="cs"/>
          <w:rtl/>
        </w:rPr>
        <w:t>(</w:t>
      </w:r>
      <w:r w:rsidRPr="00A13CDF">
        <w:rPr>
          <w:rStyle w:val="FootnoteReference"/>
          <w:vertAlign w:val="baseline"/>
        </w:rPr>
        <w:footnoteRef/>
      </w:r>
      <w:r w:rsidRPr="00A374A1">
        <w:rPr>
          <w:rFonts w:hint="cs"/>
          <w:rtl/>
        </w:rPr>
        <w:t>)</w:t>
      </w:r>
      <w:r w:rsidRPr="00A374A1">
        <w:rPr>
          <w:rtl/>
        </w:rPr>
        <w:tab/>
      </w:r>
      <w:r w:rsidR="004E6A7D" w:rsidRPr="00A374A1">
        <w:rPr>
          <w:rFonts w:hint="cs"/>
          <w:rtl/>
        </w:rPr>
        <w:t xml:space="preserve">المرجع نفسه، الفقرة </w:t>
      </w:r>
      <w:r w:rsidR="004E6A7D" w:rsidRPr="00A13CDF">
        <w:rPr>
          <w:rFonts w:hint="cs"/>
          <w:rtl/>
        </w:rPr>
        <w:t>23</w:t>
      </w:r>
      <w:r w:rsidR="004E6A7D" w:rsidRPr="00A374A1">
        <w:rPr>
          <w:rFonts w:hint="cs"/>
          <w:rtl/>
        </w:rPr>
        <w:t xml:space="preserve">. </w:t>
      </w:r>
    </w:p>
  </w:footnote>
  <w:footnote w:id="11">
    <w:p w14:paraId="15F1C379" w14:textId="156654F4" w:rsidR="00C44303" w:rsidRPr="00A374A1" w:rsidRDefault="00C44303" w:rsidP="00C44303">
      <w:pPr>
        <w:pStyle w:val="FootnoteText1"/>
        <w:textDirection w:val="tbRlV"/>
        <w:rPr>
          <w:lang w:eastAsia="zh-TW"/>
        </w:rPr>
      </w:pPr>
      <w:r w:rsidRPr="00A374A1">
        <w:rPr>
          <w:rFonts w:hint="cs"/>
          <w:rtl/>
        </w:rPr>
        <w:t>(</w:t>
      </w:r>
      <w:r w:rsidRPr="00A13CDF">
        <w:rPr>
          <w:rStyle w:val="FootnoteReference"/>
          <w:vertAlign w:val="baseline"/>
        </w:rPr>
        <w:footnoteRef/>
      </w:r>
      <w:r w:rsidRPr="00A374A1">
        <w:rPr>
          <w:rFonts w:hint="cs"/>
          <w:rtl/>
        </w:rPr>
        <w:t>)</w:t>
      </w:r>
      <w:r w:rsidRPr="00A374A1">
        <w:rPr>
          <w:rtl/>
        </w:rPr>
        <w:tab/>
      </w:r>
      <w:r w:rsidR="004E6A7D" w:rsidRPr="00A374A1">
        <w:rPr>
          <w:rFonts w:hint="cs"/>
          <w:rtl/>
        </w:rPr>
        <w:t xml:space="preserve">المرجع نفسه، الفقرتان </w:t>
      </w:r>
      <w:r w:rsidR="004E6A7D" w:rsidRPr="00A13CDF">
        <w:rPr>
          <w:rFonts w:hint="cs"/>
          <w:rtl/>
        </w:rPr>
        <w:t>23</w:t>
      </w:r>
      <w:r w:rsidR="004E6A7D" w:rsidRPr="00A374A1">
        <w:rPr>
          <w:rFonts w:hint="cs"/>
          <w:rtl/>
        </w:rPr>
        <w:t xml:space="preserve"> و</w:t>
      </w:r>
      <w:r w:rsidR="004E6A7D" w:rsidRPr="00A13CDF">
        <w:rPr>
          <w:rFonts w:hint="cs"/>
          <w:rtl/>
        </w:rPr>
        <w:t>49</w:t>
      </w:r>
      <w:r w:rsidR="004E6A7D" w:rsidRPr="00A374A1">
        <w:rPr>
          <w:rFonts w:hint="cs"/>
          <w:rtl/>
        </w:rPr>
        <w:t xml:space="preserve">. </w:t>
      </w:r>
    </w:p>
  </w:footnote>
  <w:footnote w:id="12">
    <w:p w14:paraId="6BF820C3" w14:textId="2A06703B" w:rsidR="00C44303" w:rsidRPr="00A374A1" w:rsidRDefault="00C44303" w:rsidP="00C44303">
      <w:pPr>
        <w:pStyle w:val="FootnoteText1"/>
        <w:textDirection w:val="tbRlV"/>
        <w:rPr>
          <w:lang w:eastAsia="zh-TW"/>
        </w:rPr>
      </w:pPr>
      <w:r w:rsidRPr="00A374A1">
        <w:rPr>
          <w:rFonts w:hint="cs"/>
          <w:rtl/>
        </w:rPr>
        <w:t>(</w:t>
      </w:r>
      <w:r w:rsidRPr="00A13CDF">
        <w:rPr>
          <w:rStyle w:val="FootnoteReference"/>
          <w:vertAlign w:val="baseline"/>
        </w:rPr>
        <w:footnoteRef/>
      </w:r>
      <w:r w:rsidRPr="00A374A1">
        <w:rPr>
          <w:rFonts w:hint="cs"/>
          <w:rtl/>
        </w:rPr>
        <w:t>)</w:t>
      </w:r>
      <w:r w:rsidRPr="00A374A1">
        <w:rPr>
          <w:rtl/>
        </w:rPr>
        <w:tab/>
      </w:r>
      <w:r w:rsidR="004E6A7D" w:rsidRPr="00A374A1">
        <w:rPr>
          <w:rFonts w:hint="cs"/>
          <w:rtl/>
        </w:rPr>
        <w:t>المرجع نفسه، الفقر</w:t>
      </w:r>
      <w:r w:rsidR="004E6A7D" w:rsidRPr="00CB00E7">
        <w:rPr>
          <w:rFonts w:hint="cs"/>
          <w:rtl/>
        </w:rPr>
        <w:t xml:space="preserve">ة </w:t>
      </w:r>
      <w:r w:rsidR="004E6A7D" w:rsidRPr="00A13CDF">
        <w:rPr>
          <w:rFonts w:hint="cs"/>
          <w:rtl/>
        </w:rPr>
        <w:t>25</w:t>
      </w:r>
      <w:r w:rsidR="004E6A7D" w:rsidRPr="00CB00E7">
        <w:rPr>
          <w:rFonts w:hint="cs"/>
          <w:rtl/>
        </w:rPr>
        <w:t>.</w:t>
      </w:r>
      <w:r w:rsidR="004E6A7D" w:rsidRPr="00A374A1">
        <w:rPr>
          <w:rFonts w:hint="cs"/>
          <w:rtl/>
        </w:rPr>
        <w:t xml:space="preserve"> </w:t>
      </w:r>
    </w:p>
  </w:footnote>
  <w:footnote w:id="13">
    <w:p w14:paraId="4F9D7424" w14:textId="7A29CE77" w:rsidR="00C44303" w:rsidRPr="00A374A1" w:rsidRDefault="00C44303" w:rsidP="00C44303">
      <w:pPr>
        <w:pStyle w:val="FootnoteText1"/>
        <w:textDirection w:val="tbRlV"/>
        <w:rPr>
          <w:lang w:eastAsia="zh-TW"/>
        </w:rPr>
      </w:pPr>
      <w:r w:rsidRPr="00A374A1">
        <w:rPr>
          <w:rFonts w:hint="cs"/>
          <w:rtl/>
        </w:rPr>
        <w:t>(</w:t>
      </w:r>
      <w:r w:rsidRPr="00A13CDF">
        <w:rPr>
          <w:rStyle w:val="FootnoteReference"/>
          <w:vertAlign w:val="baseline"/>
        </w:rPr>
        <w:footnoteRef/>
      </w:r>
      <w:r w:rsidRPr="00A374A1">
        <w:rPr>
          <w:rFonts w:hint="cs"/>
          <w:rtl/>
        </w:rPr>
        <w:t>)</w:t>
      </w:r>
      <w:r w:rsidRPr="00A374A1">
        <w:rPr>
          <w:rtl/>
        </w:rPr>
        <w:tab/>
      </w:r>
      <w:r w:rsidR="004E6A7D" w:rsidRPr="00A374A1">
        <w:rPr>
          <w:rFonts w:hint="cs"/>
          <w:rtl/>
          <w:lang w:eastAsia="zh-TW"/>
        </w:rPr>
        <w:t>المرجع نفسه، الفقر</w:t>
      </w:r>
      <w:r w:rsidR="004E6A7D" w:rsidRPr="00CB00E7">
        <w:rPr>
          <w:rFonts w:hint="cs"/>
          <w:rtl/>
          <w:lang w:eastAsia="zh-TW"/>
        </w:rPr>
        <w:t xml:space="preserve">ة </w:t>
      </w:r>
      <w:r w:rsidR="004E6A7D" w:rsidRPr="00A13CDF">
        <w:rPr>
          <w:rFonts w:hint="cs"/>
          <w:rtl/>
          <w:lang w:eastAsia="zh-TW"/>
        </w:rPr>
        <w:t>33</w:t>
      </w:r>
      <w:r w:rsidRPr="00CB00E7">
        <w:rPr>
          <w:rFonts w:hint="cs"/>
          <w:rtl/>
          <w:lang w:eastAsia="zh-TW"/>
        </w:rPr>
        <w:t>.</w:t>
      </w:r>
    </w:p>
  </w:footnote>
  <w:footnote w:id="14">
    <w:p w14:paraId="6581976F" w14:textId="71D8ACFE" w:rsidR="00C44303" w:rsidRPr="00A374A1" w:rsidRDefault="00C44303" w:rsidP="004E6A7D">
      <w:pPr>
        <w:pStyle w:val="FootnoteText1"/>
        <w:textDirection w:val="tbRlV"/>
        <w:rPr>
          <w:rtl/>
          <w:lang w:eastAsia="zh-TW"/>
        </w:rPr>
      </w:pPr>
      <w:r w:rsidRPr="00A374A1">
        <w:rPr>
          <w:rFonts w:hint="cs"/>
          <w:rtl/>
        </w:rPr>
        <w:t>(</w:t>
      </w:r>
      <w:r w:rsidRPr="00A13CDF">
        <w:rPr>
          <w:rStyle w:val="FootnoteReference"/>
          <w:vertAlign w:val="baseline"/>
        </w:rPr>
        <w:footnoteRef/>
      </w:r>
      <w:r w:rsidRPr="00A374A1">
        <w:rPr>
          <w:rFonts w:hint="cs"/>
          <w:rtl/>
        </w:rPr>
        <w:t>)</w:t>
      </w:r>
      <w:r w:rsidR="004E6A7D" w:rsidRPr="00A374A1">
        <w:rPr>
          <w:rtl/>
          <w:lang w:eastAsia="zh-TW"/>
        </w:rPr>
        <w:tab/>
      </w:r>
      <w:r w:rsidR="004E6A7D" w:rsidRPr="00A374A1">
        <w:rPr>
          <w:rFonts w:hint="cs"/>
          <w:rtl/>
          <w:lang w:eastAsia="zh-TW"/>
        </w:rPr>
        <w:t xml:space="preserve">المرجع نفسه، الفقرة </w:t>
      </w:r>
      <w:r w:rsidR="004E6A7D" w:rsidRPr="00A13CDF">
        <w:rPr>
          <w:rFonts w:hint="cs"/>
          <w:rtl/>
          <w:lang w:eastAsia="zh-TW"/>
        </w:rPr>
        <w:t>41</w:t>
      </w:r>
      <w:r w:rsidR="004E6A7D" w:rsidRPr="00CB00E7">
        <w:rPr>
          <w:rFonts w:hint="cs"/>
          <w:rtl/>
          <w:lang w:eastAsia="zh-TW"/>
        </w:rPr>
        <w:t>.</w:t>
      </w:r>
    </w:p>
  </w:footnote>
  <w:footnote w:id="15">
    <w:p w14:paraId="43B6D08C" w14:textId="481C213E" w:rsidR="00C44303" w:rsidRPr="00A374A1" w:rsidRDefault="00C44303" w:rsidP="00C44303">
      <w:pPr>
        <w:pStyle w:val="FootnoteText1"/>
        <w:textDirection w:val="tbRlV"/>
        <w:rPr>
          <w:lang w:eastAsia="zh-TW"/>
        </w:rPr>
      </w:pPr>
      <w:r w:rsidRPr="00A374A1">
        <w:rPr>
          <w:rFonts w:hint="cs"/>
          <w:rtl/>
        </w:rPr>
        <w:t>(</w:t>
      </w:r>
      <w:r w:rsidRPr="00A13CDF">
        <w:rPr>
          <w:rStyle w:val="FootnoteReference"/>
          <w:vertAlign w:val="baseline"/>
        </w:rPr>
        <w:footnoteRef/>
      </w:r>
      <w:r w:rsidRPr="00A374A1">
        <w:rPr>
          <w:rFonts w:hint="cs"/>
          <w:rtl/>
        </w:rPr>
        <w:t>)</w:t>
      </w:r>
      <w:r w:rsidR="004E6A7D" w:rsidRPr="00A374A1">
        <w:rPr>
          <w:rtl/>
        </w:rPr>
        <w:tab/>
      </w:r>
      <w:r w:rsidR="004E6A7D" w:rsidRPr="00A374A1">
        <w:rPr>
          <w:rFonts w:hint="cs"/>
          <w:rtl/>
        </w:rPr>
        <w:t xml:space="preserve">المرجع نفسه، </w:t>
      </w:r>
      <w:r w:rsidR="004E6A7D" w:rsidRPr="00CB00E7">
        <w:rPr>
          <w:rFonts w:hint="cs"/>
          <w:rtl/>
        </w:rPr>
        <w:t xml:space="preserve">الفقرة </w:t>
      </w:r>
      <w:r w:rsidR="004E6A7D" w:rsidRPr="00A13CDF">
        <w:rPr>
          <w:rFonts w:hint="cs"/>
          <w:rtl/>
        </w:rPr>
        <w:t>35</w:t>
      </w:r>
      <w:r w:rsidR="004E6A7D" w:rsidRPr="00A374A1">
        <w:rPr>
          <w:rFonts w:hint="cs"/>
          <w:rtl/>
        </w:rPr>
        <w:t>.</w:t>
      </w:r>
      <w:hyperlink r:id="rId6" w:history="1"/>
    </w:p>
  </w:footnote>
  <w:footnote w:id="16">
    <w:p w14:paraId="71B3FEFF" w14:textId="316AF312" w:rsidR="00C44303" w:rsidRPr="00A374A1" w:rsidRDefault="00C44303" w:rsidP="00C44303">
      <w:pPr>
        <w:pStyle w:val="FootnoteText1"/>
        <w:textDirection w:val="tbRlV"/>
        <w:rPr>
          <w:lang w:eastAsia="zh-TW"/>
        </w:rPr>
      </w:pPr>
      <w:r w:rsidRPr="00A374A1">
        <w:rPr>
          <w:rFonts w:hint="cs"/>
          <w:rtl/>
        </w:rPr>
        <w:t>(</w:t>
      </w:r>
      <w:r w:rsidRPr="00A13CDF">
        <w:rPr>
          <w:rStyle w:val="FootnoteReference"/>
          <w:vertAlign w:val="baseline"/>
        </w:rPr>
        <w:footnoteRef/>
      </w:r>
      <w:r w:rsidRPr="00A374A1">
        <w:rPr>
          <w:rFonts w:hint="cs"/>
          <w:rtl/>
        </w:rPr>
        <w:t>)</w:t>
      </w:r>
      <w:r w:rsidR="004E6A7D" w:rsidRPr="00A374A1">
        <w:rPr>
          <w:rtl/>
        </w:rPr>
        <w:tab/>
      </w:r>
      <w:r w:rsidR="004E6A7D" w:rsidRPr="00A374A1">
        <w:rPr>
          <w:rFonts w:hint="cs"/>
          <w:rtl/>
          <w:lang w:eastAsia="zh-TW"/>
        </w:rPr>
        <w:t xml:space="preserve">المرجع نفسه، الفقرة </w:t>
      </w:r>
      <w:r w:rsidR="004E6A7D" w:rsidRPr="00A13CDF">
        <w:rPr>
          <w:rFonts w:hint="cs"/>
          <w:rtl/>
          <w:lang w:eastAsia="zh-TW"/>
        </w:rPr>
        <w:t>37</w:t>
      </w:r>
      <w:r w:rsidRPr="00A374A1">
        <w:rPr>
          <w:rFonts w:hint="cs"/>
          <w:rtl/>
          <w:lang w:eastAsia="zh-TW"/>
        </w:rPr>
        <w:t>.</w:t>
      </w:r>
    </w:p>
  </w:footnote>
  <w:footnote w:id="17">
    <w:p w14:paraId="1E0CEA1D" w14:textId="497A61EC" w:rsidR="00C44303" w:rsidRPr="00A374A1" w:rsidRDefault="00C44303" w:rsidP="00C44303">
      <w:pPr>
        <w:pStyle w:val="FootnoteText1"/>
        <w:textDirection w:val="tbRlV"/>
        <w:rPr>
          <w:lang w:eastAsia="zh-TW"/>
        </w:rPr>
      </w:pPr>
      <w:r w:rsidRPr="00A374A1">
        <w:rPr>
          <w:rFonts w:hint="cs"/>
          <w:rtl/>
        </w:rPr>
        <w:t>(</w:t>
      </w:r>
      <w:r w:rsidRPr="00A13CDF">
        <w:rPr>
          <w:rStyle w:val="FootnoteReference"/>
          <w:vertAlign w:val="baseline"/>
        </w:rPr>
        <w:footnoteRef/>
      </w:r>
      <w:r w:rsidRPr="00A374A1">
        <w:rPr>
          <w:rFonts w:hint="cs"/>
          <w:rtl/>
        </w:rPr>
        <w:t>)</w:t>
      </w:r>
      <w:r w:rsidR="004E6A7D" w:rsidRPr="00A374A1">
        <w:rPr>
          <w:rtl/>
        </w:rPr>
        <w:tab/>
      </w:r>
      <w:r w:rsidR="004E6A7D" w:rsidRPr="00A374A1">
        <w:rPr>
          <w:rFonts w:hint="cs"/>
          <w:rtl/>
          <w:lang w:eastAsia="zh-TW"/>
        </w:rPr>
        <w:t xml:space="preserve">المرجع نفسه، الفقرة </w:t>
      </w:r>
      <w:r w:rsidR="004E6A7D" w:rsidRPr="00A13CDF">
        <w:rPr>
          <w:rFonts w:hint="cs"/>
          <w:rtl/>
          <w:lang w:eastAsia="zh-TW"/>
        </w:rPr>
        <w:t>29</w:t>
      </w:r>
      <w:r w:rsidR="004E6A7D" w:rsidRPr="00A374A1">
        <w:rPr>
          <w:rFonts w:hint="cs"/>
          <w:rtl/>
          <w:lang w:eastAsia="zh-TW"/>
        </w:rPr>
        <w:t>.</w:t>
      </w:r>
    </w:p>
  </w:footnote>
  <w:footnote w:id="18">
    <w:p w14:paraId="76A8357D" w14:textId="4AAD2728" w:rsidR="00C44303" w:rsidRPr="00A374A1" w:rsidRDefault="00C44303" w:rsidP="00C44303">
      <w:pPr>
        <w:pStyle w:val="FootnoteText1"/>
        <w:textDirection w:val="tbRlV"/>
        <w:rPr>
          <w:lang w:eastAsia="zh-TW"/>
        </w:rPr>
      </w:pPr>
      <w:r w:rsidRPr="00A374A1">
        <w:rPr>
          <w:rFonts w:hint="cs"/>
          <w:rtl/>
        </w:rPr>
        <w:t>(</w:t>
      </w:r>
      <w:r w:rsidRPr="00A13CDF">
        <w:rPr>
          <w:rStyle w:val="FootnoteReference"/>
          <w:vertAlign w:val="baseline"/>
        </w:rPr>
        <w:footnoteRef/>
      </w:r>
      <w:r w:rsidRPr="00A374A1">
        <w:rPr>
          <w:rFonts w:hint="cs"/>
          <w:rtl/>
        </w:rPr>
        <w:t>)</w:t>
      </w:r>
      <w:r w:rsidR="004E6A7D" w:rsidRPr="00A374A1">
        <w:rPr>
          <w:rtl/>
        </w:rPr>
        <w:tab/>
      </w:r>
      <w:r w:rsidR="004E6A7D" w:rsidRPr="00A374A1">
        <w:rPr>
          <w:rFonts w:hint="cs"/>
          <w:rtl/>
        </w:rPr>
        <w:t xml:space="preserve">المرجع نفسه، الفقرة </w:t>
      </w:r>
      <w:r w:rsidR="004E6A7D" w:rsidRPr="00A13CDF">
        <w:rPr>
          <w:rFonts w:hint="cs"/>
          <w:rtl/>
        </w:rPr>
        <w:t>45</w:t>
      </w:r>
      <w:r w:rsidR="004E6A7D" w:rsidRPr="00A374A1">
        <w:rPr>
          <w:rFonts w:hint="cs"/>
          <w:rtl/>
        </w:rPr>
        <w:t>.</w:t>
      </w:r>
    </w:p>
  </w:footnote>
  <w:footnote w:id="19">
    <w:p w14:paraId="38B596A2" w14:textId="1946F9D4" w:rsidR="00BB3044" w:rsidRPr="00A374A1" w:rsidRDefault="007C26DA" w:rsidP="007C26DA">
      <w:pPr>
        <w:pStyle w:val="FootnoteText1"/>
        <w:textDirection w:val="tbRlV"/>
        <w:rPr>
          <w:u w:val="single"/>
          <w:lang w:eastAsia="zh-TW"/>
        </w:rPr>
      </w:pPr>
      <w:r w:rsidRPr="00A374A1">
        <w:rPr>
          <w:rFonts w:hint="cs"/>
          <w:rtl/>
        </w:rPr>
        <w:t>(</w:t>
      </w:r>
      <w:r w:rsidRPr="00A13CDF">
        <w:rPr>
          <w:rFonts w:hint="cs"/>
          <w:rtl/>
        </w:rPr>
        <w:t>18</w:t>
      </w:r>
      <w:r w:rsidRPr="00A374A1">
        <w:rPr>
          <w:rFonts w:hint="cs"/>
          <w:rtl/>
        </w:rPr>
        <w:t>)</w:t>
      </w:r>
      <w:r w:rsidR="00BB3044" w:rsidRPr="00A374A1">
        <w:rPr>
          <w:rtl/>
        </w:rPr>
        <w:tab/>
      </w:r>
      <w:hyperlink r:id="rId7" w:history="1">
        <w:r w:rsidR="00BB3044" w:rsidRPr="00CB00E7">
          <w:rPr>
            <w:rStyle w:val="Hyperlink"/>
            <w:lang w:val="en-AU"/>
          </w:rPr>
          <w:t>HRI/GEN/</w:t>
        </w:r>
        <w:r w:rsidR="00BB3044" w:rsidRPr="00A13CDF">
          <w:rPr>
            <w:rStyle w:val="Hyperlink"/>
            <w:lang w:val="en-AU"/>
          </w:rPr>
          <w:t>2</w:t>
        </w:r>
        <w:r w:rsidR="00BB3044" w:rsidRPr="00CB00E7">
          <w:rPr>
            <w:rStyle w:val="Hyperlink"/>
            <w:lang w:val="en-AU"/>
          </w:rPr>
          <w:t>/Rev.</w:t>
        </w:r>
        <w:r w:rsidR="00BB3044" w:rsidRPr="00A13CDF">
          <w:rPr>
            <w:rStyle w:val="Hyperlink"/>
            <w:lang w:val="en-AU"/>
          </w:rPr>
          <w:t>6</w:t>
        </w:r>
      </w:hyperlink>
      <w:r w:rsidR="00BB3044" w:rsidRPr="00A374A1">
        <w:rPr>
          <w:rtl/>
          <w:lang w:val="es-ES" w:eastAsia="zh-TW"/>
        </w:rPr>
        <w:t>.</w:t>
      </w:r>
      <w:r w:rsidR="00BB3044" w:rsidRPr="00A374A1">
        <w:rPr>
          <w:u w:val="single"/>
          <w:rtl/>
          <w:lang w:val="es-ES" w:eastAsia="zh-TW"/>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19DA2" w14:textId="5823BD26" w:rsidR="00283E17" w:rsidRPr="00283E17" w:rsidRDefault="00283E17" w:rsidP="00283E1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70AD0">
      <w:t>CMW/C/PRY/CO/2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CA394" w14:textId="4E0D8DBB" w:rsidR="00283E17" w:rsidRPr="00283E17" w:rsidRDefault="00283E17" w:rsidP="00283E1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70AD0">
      <w:t>CMW/C/PRY/CO/2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E6080A8"/>
    <w:multiLevelType w:val="hybridMultilevel"/>
    <w:tmpl w:val="E2548B43"/>
    <w:lvl w:ilvl="0" w:tplc="FFFFFFFF">
      <w:start w:val="1"/>
      <w:numFmt w:val="bullet"/>
      <w:pStyle w:val="Heading1"/>
      <w:lvlText w:val="•"/>
      <w:lvlJc w:val="left"/>
    </w:lvl>
    <w:lvl w:ilvl="1" w:tplc="FFFFFFFF">
      <w:numFmt w:val="decimal"/>
      <w:pStyle w:val="Heading2"/>
      <w:lvlText w:val=""/>
      <w:lvlJc w:val="left"/>
    </w:lvl>
    <w:lvl w:ilvl="2" w:tplc="FFFFFFFF">
      <w:numFmt w:val="decimal"/>
      <w:pStyle w:val="Heading3"/>
      <w:lvlText w:val=""/>
      <w:lvlJc w:val="left"/>
    </w:lvl>
    <w:lvl w:ilvl="3" w:tplc="FFFFFFFF">
      <w:numFmt w:val="decimal"/>
      <w:pStyle w:val="Heading4"/>
      <w:lvlText w:val=""/>
      <w:lvlJc w:val="left"/>
    </w:lvl>
    <w:lvl w:ilvl="4" w:tplc="FFFFFFFF">
      <w:numFmt w:val="decimal"/>
      <w:pStyle w:val="Heading5"/>
      <w:lvlText w:val=""/>
      <w:lvlJc w:val="left"/>
    </w:lvl>
    <w:lvl w:ilvl="5" w:tplc="FFFFFFFF">
      <w:numFmt w:val="decimal"/>
      <w:pStyle w:val="Heading6"/>
      <w:lvlText w:val=""/>
      <w:lvlJc w:val="left"/>
    </w:lvl>
    <w:lvl w:ilvl="6" w:tplc="FFFFFFFF">
      <w:numFmt w:val="decimal"/>
      <w:pStyle w:val="Heading7"/>
      <w:lvlText w:val=""/>
      <w:lvlJc w:val="left"/>
    </w:lvl>
    <w:lvl w:ilvl="7" w:tplc="FFFFFFFF">
      <w:numFmt w:val="decimal"/>
      <w:pStyle w:val="Heading8"/>
      <w:lvlText w:val=""/>
      <w:lvlJc w:val="left"/>
    </w:lvl>
    <w:lvl w:ilvl="8" w:tplc="FFFFFFFF">
      <w:numFmt w:val="decimal"/>
      <w:pStyle w:val="Heading9"/>
      <w:lvlText w:val=""/>
      <w:lvlJc w:val="left"/>
    </w:lvl>
  </w:abstractNum>
  <w:abstractNum w:abstractNumId="1"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D240A184"/>
    <w:lvl w:ilvl="0">
      <w:start w:val="1"/>
      <w:numFmt w:val="decimal"/>
      <w:pStyle w:val="Bullet2G"/>
      <w:lvlText w:val="%1."/>
      <w:lvlJc w:val="left"/>
      <w:pPr>
        <w:tabs>
          <w:tab w:val="num" w:pos="1209"/>
        </w:tabs>
        <w:ind w:left="1209" w:hanging="360"/>
      </w:pPr>
    </w:lvl>
  </w:abstractNum>
  <w:abstractNum w:abstractNumId="3"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51EC3F4"/>
    <w:lvl w:ilvl="0">
      <w:start w:val="1"/>
      <w:numFmt w:val="bullet"/>
      <w:pStyle w:val="Bullet3"/>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1252293A"/>
    <w:lvl w:ilvl="0">
      <w:start w:val="1"/>
      <w:numFmt w:val="bullet"/>
      <w:pStyle w:val="Bullet2"/>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EBE363E"/>
    <w:lvl w:ilvl="0">
      <w:start w:val="1"/>
      <w:numFmt w:val="bullet"/>
      <w:pStyle w:val="Bullet1"/>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2B84AAC"/>
    <w:lvl w:ilvl="0">
      <w:start w:val="1"/>
      <w:numFmt w:val="decimal"/>
      <w:pStyle w:val="Bullet1G"/>
      <w:lvlText w:val="%1."/>
      <w:lvlJc w:val="left"/>
      <w:pPr>
        <w:tabs>
          <w:tab w:val="num" w:pos="360"/>
        </w:tabs>
        <w:ind w:left="360" w:hanging="360"/>
      </w:pPr>
    </w:lvl>
  </w:abstractNum>
  <w:abstractNum w:abstractNumId="10"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10C49F8"/>
    <w:multiLevelType w:val="hybridMultilevel"/>
    <w:tmpl w:val="FFD08D26"/>
    <w:lvl w:ilvl="0" w:tplc="2FB47626">
      <w:start w:val="1"/>
      <w:numFmt w:val="decimal"/>
      <w:pStyle w:val="Bullet1GA"/>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6964A1B"/>
    <w:multiLevelType w:val="hybridMultilevel"/>
    <w:tmpl w:val="1662350A"/>
    <w:lvl w:ilvl="0" w:tplc="0809000F">
      <w:start w:val="1"/>
      <w:numFmt w:val="decimal"/>
      <w:lvlText w:val="%1."/>
      <w:lvlJc w:val="left"/>
      <w:pPr>
        <w:ind w:left="720" w:hanging="360"/>
      </w:pPr>
      <w:rPr>
        <w:rFonts w:ascii="Times New Roman" w:hAnsi="Times New Roman" w:cs="Times New Roman"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0B851AF4"/>
    <w:multiLevelType w:val="hybridMultilevel"/>
    <w:tmpl w:val="462EC7C6"/>
    <w:lvl w:ilvl="0" w:tplc="7A2C7C9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D954887"/>
    <w:multiLevelType w:val="hybridMultilevel"/>
    <w:tmpl w:val="5A48E46A"/>
    <w:lvl w:ilvl="0" w:tplc="AE80E802">
      <w:start w:val="1"/>
      <w:numFmt w:val="decimal"/>
      <w:lvlText w:val="%1."/>
      <w:lvlJc w:val="left"/>
      <w:pPr>
        <w:tabs>
          <w:tab w:val="num" w:pos="1701"/>
        </w:tabs>
        <w:ind w:left="1134" w:firstLine="0"/>
      </w:pPr>
      <w:rPr>
        <w:rFonts w:ascii="Times New Roman" w:hAnsi="Times New Roman" w:hint="default"/>
        <w:b w:val="0"/>
        <w:i w:val="0"/>
        <w:sz w:val="20"/>
      </w:rPr>
    </w:lvl>
    <w:lvl w:ilvl="1" w:tplc="23E0AA70" w:tentative="1">
      <w:start w:val="1"/>
      <w:numFmt w:val="lowerLetter"/>
      <w:lvlText w:val="%2."/>
      <w:lvlJc w:val="left"/>
      <w:pPr>
        <w:tabs>
          <w:tab w:val="num" w:pos="1440"/>
        </w:tabs>
        <w:ind w:left="1440" w:hanging="360"/>
      </w:pPr>
    </w:lvl>
    <w:lvl w:ilvl="2" w:tplc="0BF05264" w:tentative="1">
      <w:start w:val="1"/>
      <w:numFmt w:val="lowerRoman"/>
      <w:lvlText w:val="%3."/>
      <w:lvlJc w:val="right"/>
      <w:pPr>
        <w:tabs>
          <w:tab w:val="num" w:pos="2160"/>
        </w:tabs>
        <w:ind w:left="2160" w:hanging="180"/>
      </w:pPr>
    </w:lvl>
    <w:lvl w:ilvl="3" w:tplc="38662A5C" w:tentative="1">
      <w:start w:val="1"/>
      <w:numFmt w:val="decimal"/>
      <w:lvlText w:val="%4."/>
      <w:lvlJc w:val="left"/>
      <w:pPr>
        <w:tabs>
          <w:tab w:val="num" w:pos="2880"/>
        </w:tabs>
        <w:ind w:left="2880" w:hanging="360"/>
      </w:pPr>
    </w:lvl>
    <w:lvl w:ilvl="4" w:tplc="97E8276E" w:tentative="1">
      <w:start w:val="1"/>
      <w:numFmt w:val="lowerLetter"/>
      <w:lvlText w:val="%5."/>
      <w:lvlJc w:val="left"/>
      <w:pPr>
        <w:tabs>
          <w:tab w:val="num" w:pos="3600"/>
        </w:tabs>
        <w:ind w:left="3600" w:hanging="360"/>
      </w:pPr>
    </w:lvl>
    <w:lvl w:ilvl="5" w:tplc="F4FC1DE8" w:tentative="1">
      <w:start w:val="1"/>
      <w:numFmt w:val="lowerRoman"/>
      <w:lvlText w:val="%6."/>
      <w:lvlJc w:val="right"/>
      <w:pPr>
        <w:tabs>
          <w:tab w:val="num" w:pos="4320"/>
        </w:tabs>
        <w:ind w:left="4320" w:hanging="180"/>
      </w:pPr>
    </w:lvl>
    <w:lvl w:ilvl="6" w:tplc="9E9C500C" w:tentative="1">
      <w:start w:val="1"/>
      <w:numFmt w:val="decimal"/>
      <w:lvlText w:val="%7."/>
      <w:lvlJc w:val="left"/>
      <w:pPr>
        <w:tabs>
          <w:tab w:val="num" w:pos="5040"/>
        </w:tabs>
        <w:ind w:left="5040" w:hanging="360"/>
      </w:pPr>
    </w:lvl>
    <w:lvl w:ilvl="7" w:tplc="57302D52" w:tentative="1">
      <w:start w:val="1"/>
      <w:numFmt w:val="lowerLetter"/>
      <w:lvlText w:val="%8."/>
      <w:lvlJc w:val="left"/>
      <w:pPr>
        <w:tabs>
          <w:tab w:val="num" w:pos="5760"/>
        </w:tabs>
        <w:ind w:left="5760" w:hanging="360"/>
      </w:pPr>
    </w:lvl>
    <w:lvl w:ilvl="8" w:tplc="2AF2FC92" w:tentative="1">
      <w:start w:val="1"/>
      <w:numFmt w:val="lowerRoman"/>
      <w:lvlText w:val="%9."/>
      <w:lvlJc w:val="right"/>
      <w:pPr>
        <w:tabs>
          <w:tab w:val="num" w:pos="6480"/>
        </w:tabs>
        <w:ind w:left="6480" w:hanging="180"/>
      </w:pPr>
    </w:lvl>
  </w:abstractNum>
  <w:abstractNum w:abstractNumId="17" w15:restartNumberingAfterBreak="0">
    <w:nsid w:val="15DD6575"/>
    <w:multiLevelType w:val="multilevel"/>
    <w:tmpl w:val="0409001D"/>
    <w:lvl w:ilvl="0">
      <w:start w:val="1"/>
      <w:numFmt w:val="decimal"/>
      <w:pStyle w:val="Roman2GA"/>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9" w15:restartNumberingAfterBreak="0">
    <w:nsid w:val="1ADF1DA2"/>
    <w:multiLevelType w:val="hybridMultilevel"/>
    <w:tmpl w:val="7E24A9A8"/>
    <w:lvl w:ilvl="0" w:tplc="6468849E">
      <w:start w:val="1"/>
      <w:numFmt w:val="decimal"/>
      <w:lvlText w:val="%1."/>
      <w:lvlJc w:val="left"/>
      <w:pPr>
        <w:ind w:left="502" w:hanging="360"/>
      </w:pPr>
      <w:rPr>
        <w:rFonts w:hint="default"/>
        <w:b w:val="0"/>
        <w:i w:val="0"/>
        <w:color w:val="auto"/>
      </w:rPr>
    </w:lvl>
    <w:lvl w:ilvl="1" w:tplc="08090019">
      <w:start w:val="1"/>
      <w:numFmt w:val="lowerLetter"/>
      <w:lvlText w:val="%2."/>
      <w:lvlJc w:val="left"/>
      <w:pPr>
        <w:ind w:left="3206" w:hanging="360"/>
      </w:pPr>
    </w:lvl>
    <w:lvl w:ilvl="2" w:tplc="0809001B">
      <w:start w:val="1"/>
      <w:numFmt w:val="lowerRoman"/>
      <w:lvlText w:val="%3."/>
      <w:lvlJc w:val="right"/>
      <w:pPr>
        <w:ind w:left="3926" w:hanging="180"/>
      </w:pPr>
    </w:lvl>
    <w:lvl w:ilvl="3" w:tplc="D45A0052">
      <w:start w:val="1"/>
      <w:numFmt w:val="lowerLetter"/>
      <w:lvlText w:val="(%4)"/>
      <w:lvlJc w:val="left"/>
      <w:pPr>
        <w:ind w:left="5126" w:hanging="840"/>
      </w:pPr>
    </w:lvl>
    <w:lvl w:ilvl="4" w:tplc="08090019">
      <w:start w:val="1"/>
      <w:numFmt w:val="lowerLetter"/>
      <w:lvlText w:val="%5."/>
      <w:lvlJc w:val="left"/>
      <w:pPr>
        <w:ind w:left="5366" w:hanging="360"/>
      </w:pPr>
    </w:lvl>
    <w:lvl w:ilvl="5" w:tplc="0809001B">
      <w:start w:val="1"/>
      <w:numFmt w:val="lowerRoman"/>
      <w:lvlText w:val="%6."/>
      <w:lvlJc w:val="right"/>
      <w:pPr>
        <w:ind w:left="6086" w:hanging="180"/>
      </w:pPr>
    </w:lvl>
    <w:lvl w:ilvl="6" w:tplc="0809000F">
      <w:start w:val="1"/>
      <w:numFmt w:val="decimal"/>
      <w:lvlText w:val="%7."/>
      <w:lvlJc w:val="left"/>
      <w:pPr>
        <w:ind w:left="6806" w:hanging="360"/>
      </w:pPr>
    </w:lvl>
    <w:lvl w:ilvl="7" w:tplc="08090019">
      <w:start w:val="1"/>
      <w:numFmt w:val="lowerLetter"/>
      <w:lvlText w:val="%8."/>
      <w:lvlJc w:val="left"/>
      <w:pPr>
        <w:ind w:left="7526" w:hanging="360"/>
      </w:pPr>
    </w:lvl>
    <w:lvl w:ilvl="8" w:tplc="0809001B">
      <w:start w:val="1"/>
      <w:numFmt w:val="lowerRoman"/>
      <w:lvlText w:val="%9."/>
      <w:lvlJc w:val="right"/>
      <w:pPr>
        <w:ind w:left="8246" w:hanging="180"/>
      </w:pPr>
    </w:lvl>
  </w:abstractNum>
  <w:abstractNum w:abstractNumId="20"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0D667B2"/>
    <w:multiLevelType w:val="hybridMultilevel"/>
    <w:tmpl w:val="6C78BEE0"/>
    <w:lvl w:ilvl="0" w:tplc="822AFCA2">
      <w:start w:val="1"/>
      <w:numFmt w:val="lowerLetter"/>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25317C93"/>
    <w:multiLevelType w:val="hybridMultilevel"/>
    <w:tmpl w:val="D55A9864"/>
    <w:lvl w:ilvl="0" w:tplc="0809000F">
      <w:start w:val="3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5F272F0"/>
    <w:multiLevelType w:val="hybridMultilevel"/>
    <w:tmpl w:val="639E4496"/>
    <w:lvl w:ilvl="0" w:tplc="9AA29D80">
      <w:start w:val="1"/>
      <w:numFmt w:val="decimal"/>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4"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1DA35B4"/>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32A75D52"/>
    <w:multiLevelType w:val="hybridMultilevel"/>
    <w:tmpl w:val="B622CBCC"/>
    <w:lvl w:ilvl="0" w:tplc="EF10EA04">
      <w:start w:val="1"/>
      <w:numFmt w:val="decimal"/>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36A7743B"/>
    <w:multiLevelType w:val="hybridMultilevel"/>
    <w:tmpl w:val="165289D8"/>
    <w:lvl w:ilvl="0" w:tplc="1A08FDAC">
      <w:start w:val="1"/>
      <w:numFmt w:val="bullet"/>
      <w:lvlText w:val="•"/>
      <w:lvlJc w:val="left"/>
      <w:pPr>
        <w:tabs>
          <w:tab w:val="num" w:pos="2268"/>
        </w:tabs>
        <w:ind w:left="2268" w:hanging="170"/>
      </w:pPr>
      <w:rPr>
        <w:rFonts w:ascii="Times New Roman" w:hAnsi="Times New Roman" w:cs="Times New Roman" w:hint="default"/>
      </w:rPr>
    </w:lvl>
    <w:lvl w:ilvl="1" w:tplc="5046E7B4" w:tentative="1">
      <w:start w:val="1"/>
      <w:numFmt w:val="bullet"/>
      <w:lvlText w:val="o"/>
      <w:lvlJc w:val="left"/>
      <w:pPr>
        <w:tabs>
          <w:tab w:val="num" w:pos="1440"/>
        </w:tabs>
        <w:ind w:left="1440" w:hanging="360"/>
      </w:pPr>
      <w:rPr>
        <w:rFonts w:ascii="Courier New" w:hAnsi="Courier New" w:hint="default"/>
      </w:rPr>
    </w:lvl>
    <w:lvl w:ilvl="2" w:tplc="9F68EFE2" w:tentative="1">
      <w:start w:val="1"/>
      <w:numFmt w:val="bullet"/>
      <w:lvlText w:val=""/>
      <w:lvlJc w:val="left"/>
      <w:pPr>
        <w:tabs>
          <w:tab w:val="num" w:pos="2160"/>
        </w:tabs>
        <w:ind w:left="2160" w:hanging="360"/>
      </w:pPr>
      <w:rPr>
        <w:rFonts w:ascii="Wingdings" w:hAnsi="Wingdings" w:hint="default"/>
      </w:rPr>
    </w:lvl>
    <w:lvl w:ilvl="3" w:tplc="697667EC" w:tentative="1">
      <w:start w:val="1"/>
      <w:numFmt w:val="bullet"/>
      <w:lvlText w:val=""/>
      <w:lvlJc w:val="left"/>
      <w:pPr>
        <w:tabs>
          <w:tab w:val="num" w:pos="2880"/>
        </w:tabs>
        <w:ind w:left="2880" w:hanging="360"/>
      </w:pPr>
      <w:rPr>
        <w:rFonts w:ascii="Symbol" w:hAnsi="Symbol" w:hint="default"/>
      </w:rPr>
    </w:lvl>
    <w:lvl w:ilvl="4" w:tplc="539AB508" w:tentative="1">
      <w:start w:val="1"/>
      <w:numFmt w:val="bullet"/>
      <w:lvlText w:val="o"/>
      <w:lvlJc w:val="left"/>
      <w:pPr>
        <w:tabs>
          <w:tab w:val="num" w:pos="3600"/>
        </w:tabs>
        <w:ind w:left="3600" w:hanging="360"/>
      </w:pPr>
      <w:rPr>
        <w:rFonts w:ascii="Courier New" w:hAnsi="Courier New" w:hint="default"/>
      </w:rPr>
    </w:lvl>
    <w:lvl w:ilvl="5" w:tplc="A94C42D8" w:tentative="1">
      <w:start w:val="1"/>
      <w:numFmt w:val="bullet"/>
      <w:lvlText w:val=""/>
      <w:lvlJc w:val="left"/>
      <w:pPr>
        <w:tabs>
          <w:tab w:val="num" w:pos="4320"/>
        </w:tabs>
        <w:ind w:left="4320" w:hanging="360"/>
      </w:pPr>
      <w:rPr>
        <w:rFonts w:ascii="Wingdings" w:hAnsi="Wingdings" w:hint="default"/>
      </w:rPr>
    </w:lvl>
    <w:lvl w:ilvl="6" w:tplc="CCF8E03A" w:tentative="1">
      <w:start w:val="1"/>
      <w:numFmt w:val="bullet"/>
      <w:lvlText w:val=""/>
      <w:lvlJc w:val="left"/>
      <w:pPr>
        <w:tabs>
          <w:tab w:val="num" w:pos="5040"/>
        </w:tabs>
        <w:ind w:left="5040" w:hanging="360"/>
      </w:pPr>
      <w:rPr>
        <w:rFonts w:ascii="Symbol" w:hAnsi="Symbol" w:hint="default"/>
      </w:rPr>
    </w:lvl>
    <w:lvl w:ilvl="7" w:tplc="910ADA2E" w:tentative="1">
      <w:start w:val="1"/>
      <w:numFmt w:val="bullet"/>
      <w:lvlText w:val="o"/>
      <w:lvlJc w:val="left"/>
      <w:pPr>
        <w:tabs>
          <w:tab w:val="num" w:pos="5760"/>
        </w:tabs>
        <w:ind w:left="5760" w:hanging="360"/>
      </w:pPr>
      <w:rPr>
        <w:rFonts w:ascii="Courier New" w:hAnsi="Courier New" w:hint="default"/>
      </w:rPr>
    </w:lvl>
    <w:lvl w:ilvl="8" w:tplc="C10A3314"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3DC45AC8"/>
    <w:multiLevelType w:val="hybridMultilevel"/>
    <w:tmpl w:val="7E24A9A8"/>
    <w:lvl w:ilvl="0" w:tplc="6468849E">
      <w:start w:val="1"/>
      <w:numFmt w:val="decimal"/>
      <w:lvlText w:val="%1."/>
      <w:lvlJc w:val="left"/>
      <w:pPr>
        <w:ind w:left="1494" w:hanging="360"/>
      </w:pPr>
      <w:rPr>
        <w:rFonts w:hint="default"/>
        <w:b w:val="0"/>
        <w:i w:val="0"/>
        <w:color w:val="auto"/>
      </w:rPr>
    </w:lvl>
    <w:lvl w:ilvl="1" w:tplc="08090019">
      <w:start w:val="1"/>
      <w:numFmt w:val="lowerLetter"/>
      <w:lvlText w:val="%2."/>
      <w:lvlJc w:val="left"/>
      <w:pPr>
        <w:ind w:left="3206" w:hanging="360"/>
      </w:pPr>
    </w:lvl>
    <w:lvl w:ilvl="2" w:tplc="0809001B">
      <w:start w:val="1"/>
      <w:numFmt w:val="lowerRoman"/>
      <w:lvlText w:val="%3."/>
      <w:lvlJc w:val="right"/>
      <w:pPr>
        <w:ind w:left="3926" w:hanging="180"/>
      </w:pPr>
    </w:lvl>
    <w:lvl w:ilvl="3" w:tplc="D45A0052">
      <w:start w:val="1"/>
      <w:numFmt w:val="lowerLetter"/>
      <w:lvlText w:val="(%4)"/>
      <w:lvlJc w:val="left"/>
      <w:pPr>
        <w:ind w:left="5126" w:hanging="840"/>
      </w:pPr>
    </w:lvl>
    <w:lvl w:ilvl="4" w:tplc="08090019">
      <w:start w:val="1"/>
      <w:numFmt w:val="lowerLetter"/>
      <w:lvlText w:val="%5."/>
      <w:lvlJc w:val="left"/>
      <w:pPr>
        <w:ind w:left="5366" w:hanging="360"/>
      </w:pPr>
    </w:lvl>
    <w:lvl w:ilvl="5" w:tplc="0809001B">
      <w:start w:val="1"/>
      <w:numFmt w:val="lowerRoman"/>
      <w:lvlText w:val="%6."/>
      <w:lvlJc w:val="right"/>
      <w:pPr>
        <w:ind w:left="6086" w:hanging="180"/>
      </w:pPr>
    </w:lvl>
    <w:lvl w:ilvl="6" w:tplc="0809000F">
      <w:start w:val="1"/>
      <w:numFmt w:val="decimal"/>
      <w:lvlText w:val="%7."/>
      <w:lvlJc w:val="left"/>
      <w:pPr>
        <w:ind w:left="6806" w:hanging="360"/>
      </w:pPr>
    </w:lvl>
    <w:lvl w:ilvl="7" w:tplc="08090019">
      <w:start w:val="1"/>
      <w:numFmt w:val="lowerLetter"/>
      <w:lvlText w:val="%8."/>
      <w:lvlJc w:val="left"/>
      <w:pPr>
        <w:ind w:left="7526" w:hanging="360"/>
      </w:pPr>
    </w:lvl>
    <w:lvl w:ilvl="8" w:tplc="0809001B">
      <w:start w:val="1"/>
      <w:numFmt w:val="lowerRoman"/>
      <w:lvlText w:val="%9."/>
      <w:lvlJc w:val="right"/>
      <w:pPr>
        <w:ind w:left="8246" w:hanging="180"/>
      </w:pPr>
    </w:lvl>
  </w:abstractNum>
  <w:abstractNum w:abstractNumId="33" w15:restartNumberingAfterBreak="0">
    <w:nsid w:val="42B01645"/>
    <w:multiLevelType w:val="hybridMultilevel"/>
    <w:tmpl w:val="2E04A2EE"/>
    <w:lvl w:ilvl="0" w:tplc="0C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454B2370"/>
    <w:multiLevelType w:val="hybridMultilevel"/>
    <w:tmpl w:val="7720856A"/>
    <w:lvl w:ilvl="0" w:tplc="D090D7F2">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35" w15:restartNumberingAfterBreak="0">
    <w:nsid w:val="4718316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B2751DA"/>
    <w:multiLevelType w:val="hybridMultilevel"/>
    <w:tmpl w:val="436012B2"/>
    <w:lvl w:ilvl="0" w:tplc="6468849E">
      <w:start w:val="1"/>
      <w:numFmt w:val="decimal"/>
      <w:lvlText w:val="%1."/>
      <w:lvlJc w:val="left"/>
      <w:pPr>
        <w:ind w:left="1494" w:hanging="360"/>
      </w:pPr>
      <w:rPr>
        <w:rFonts w:hint="default"/>
        <w:b w:val="0"/>
        <w:i w:val="0"/>
        <w:color w:val="auto"/>
      </w:rPr>
    </w:lvl>
    <w:lvl w:ilvl="1" w:tplc="08090019">
      <w:start w:val="1"/>
      <w:numFmt w:val="lowerLetter"/>
      <w:lvlText w:val="%2."/>
      <w:lvlJc w:val="left"/>
      <w:pPr>
        <w:ind w:left="3206" w:hanging="360"/>
      </w:pPr>
    </w:lvl>
    <w:lvl w:ilvl="2" w:tplc="0809001B">
      <w:start w:val="1"/>
      <w:numFmt w:val="lowerRoman"/>
      <w:lvlText w:val="%3."/>
      <w:lvlJc w:val="right"/>
      <w:pPr>
        <w:ind w:left="3926" w:hanging="180"/>
      </w:pPr>
    </w:lvl>
    <w:lvl w:ilvl="3" w:tplc="D45A0052">
      <w:start w:val="1"/>
      <w:numFmt w:val="lowerLetter"/>
      <w:lvlText w:val="(%4)"/>
      <w:lvlJc w:val="left"/>
      <w:pPr>
        <w:ind w:left="5126" w:hanging="840"/>
      </w:pPr>
    </w:lvl>
    <w:lvl w:ilvl="4" w:tplc="08090019">
      <w:start w:val="1"/>
      <w:numFmt w:val="lowerLetter"/>
      <w:lvlText w:val="%5."/>
      <w:lvlJc w:val="left"/>
      <w:pPr>
        <w:ind w:left="5366" w:hanging="360"/>
      </w:pPr>
    </w:lvl>
    <w:lvl w:ilvl="5" w:tplc="0809001B">
      <w:start w:val="1"/>
      <w:numFmt w:val="lowerRoman"/>
      <w:lvlText w:val="%6."/>
      <w:lvlJc w:val="right"/>
      <w:pPr>
        <w:ind w:left="6086" w:hanging="180"/>
      </w:pPr>
    </w:lvl>
    <w:lvl w:ilvl="6" w:tplc="0809000F">
      <w:start w:val="1"/>
      <w:numFmt w:val="decimal"/>
      <w:lvlText w:val="%7."/>
      <w:lvlJc w:val="left"/>
      <w:pPr>
        <w:ind w:left="6806" w:hanging="360"/>
      </w:pPr>
    </w:lvl>
    <w:lvl w:ilvl="7" w:tplc="08090019">
      <w:start w:val="1"/>
      <w:numFmt w:val="lowerLetter"/>
      <w:lvlText w:val="%8."/>
      <w:lvlJc w:val="left"/>
      <w:pPr>
        <w:ind w:left="7526" w:hanging="360"/>
      </w:pPr>
    </w:lvl>
    <w:lvl w:ilvl="8" w:tplc="0809001B">
      <w:start w:val="1"/>
      <w:numFmt w:val="lowerRoman"/>
      <w:lvlText w:val="%9."/>
      <w:lvlJc w:val="right"/>
      <w:pPr>
        <w:ind w:left="8246" w:hanging="180"/>
      </w:pPr>
    </w:lvl>
  </w:abstractNum>
  <w:abstractNum w:abstractNumId="39" w15:restartNumberingAfterBreak="0">
    <w:nsid w:val="505D413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4E22599"/>
    <w:multiLevelType w:val="hybridMultilevel"/>
    <w:tmpl w:val="64743C2E"/>
    <w:lvl w:ilvl="0" w:tplc="E22C704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2" w15:restartNumberingAfterBreak="0">
    <w:nsid w:val="5E412300"/>
    <w:multiLevelType w:val="multilevel"/>
    <w:tmpl w:val="0809001F"/>
    <w:lvl w:ilvl="0">
      <w:start w:val="1"/>
      <w:numFmt w:val="decimal"/>
      <w:pStyle w:val="Bullet2GA"/>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5E6B006F"/>
    <w:multiLevelType w:val="multilevel"/>
    <w:tmpl w:val="0C0A0023"/>
    <w:styleLink w:val="ArticleSection"/>
    <w:lvl w:ilvl="0">
      <w:start w:val="1"/>
      <w:numFmt w:val="upperRoman"/>
      <w:pStyle w:val="ParaNoG"/>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4" w15:restartNumberingAfterBreak="0">
    <w:nsid w:val="605C76B0"/>
    <w:multiLevelType w:val="hybridMultilevel"/>
    <w:tmpl w:val="29B673CA"/>
    <w:lvl w:ilvl="0" w:tplc="9DFEB200">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5" w15:restartNumberingAfterBreak="0">
    <w:nsid w:val="606677AE"/>
    <w:multiLevelType w:val="multilevel"/>
    <w:tmpl w:val="0409001F"/>
    <w:styleLink w:val="111111"/>
    <w:lvl w:ilvl="0">
      <w:start w:val="1"/>
      <w:numFmt w:val="decimal"/>
      <w:pStyle w:val="ParaNoG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6"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7" w15:restartNumberingAfterBreak="0">
    <w:nsid w:val="68C6301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8" w15:restartNumberingAfterBreak="0">
    <w:nsid w:val="6AFD3DE4"/>
    <w:multiLevelType w:val="hybridMultilevel"/>
    <w:tmpl w:val="569E52D4"/>
    <w:lvl w:ilvl="0" w:tplc="50343808">
      <w:start w:val="1"/>
      <w:numFmt w:val="bullet"/>
      <w:lvlText w:val="•"/>
      <w:lvlJc w:val="left"/>
      <w:pPr>
        <w:tabs>
          <w:tab w:val="num" w:pos="1701"/>
        </w:tabs>
        <w:ind w:left="1701" w:hanging="170"/>
      </w:pPr>
      <w:rPr>
        <w:rFonts w:ascii="Times New Roman" w:hAnsi="Times New Roman" w:cs="Times New Roman" w:hint="default"/>
      </w:rPr>
    </w:lvl>
    <w:lvl w:ilvl="1" w:tplc="F6084CFC" w:tentative="1">
      <w:start w:val="1"/>
      <w:numFmt w:val="bullet"/>
      <w:lvlText w:val="o"/>
      <w:lvlJc w:val="left"/>
      <w:pPr>
        <w:tabs>
          <w:tab w:val="num" w:pos="1440"/>
        </w:tabs>
        <w:ind w:left="1440" w:hanging="360"/>
      </w:pPr>
      <w:rPr>
        <w:rFonts w:ascii="Courier New" w:hAnsi="Courier New" w:hint="default"/>
      </w:rPr>
    </w:lvl>
    <w:lvl w:ilvl="2" w:tplc="BD701ACA" w:tentative="1">
      <w:start w:val="1"/>
      <w:numFmt w:val="bullet"/>
      <w:lvlText w:val=""/>
      <w:lvlJc w:val="left"/>
      <w:pPr>
        <w:tabs>
          <w:tab w:val="num" w:pos="2160"/>
        </w:tabs>
        <w:ind w:left="2160" w:hanging="360"/>
      </w:pPr>
      <w:rPr>
        <w:rFonts w:ascii="Wingdings" w:hAnsi="Wingdings" w:hint="default"/>
      </w:rPr>
    </w:lvl>
    <w:lvl w:ilvl="3" w:tplc="1646E4DC" w:tentative="1">
      <w:start w:val="1"/>
      <w:numFmt w:val="bullet"/>
      <w:lvlText w:val=""/>
      <w:lvlJc w:val="left"/>
      <w:pPr>
        <w:tabs>
          <w:tab w:val="num" w:pos="2880"/>
        </w:tabs>
        <w:ind w:left="2880" w:hanging="360"/>
      </w:pPr>
      <w:rPr>
        <w:rFonts w:ascii="Symbol" w:hAnsi="Symbol" w:hint="default"/>
      </w:rPr>
    </w:lvl>
    <w:lvl w:ilvl="4" w:tplc="8B1409F2" w:tentative="1">
      <w:start w:val="1"/>
      <w:numFmt w:val="bullet"/>
      <w:lvlText w:val="o"/>
      <w:lvlJc w:val="left"/>
      <w:pPr>
        <w:tabs>
          <w:tab w:val="num" w:pos="3600"/>
        </w:tabs>
        <w:ind w:left="3600" w:hanging="360"/>
      </w:pPr>
      <w:rPr>
        <w:rFonts w:ascii="Courier New" w:hAnsi="Courier New" w:hint="default"/>
      </w:rPr>
    </w:lvl>
    <w:lvl w:ilvl="5" w:tplc="C304F0F8" w:tentative="1">
      <w:start w:val="1"/>
      <w:numFmt w:val="bullet"/>
      <w:lvlText w:val=""/>
      <w:lvlJc w:val="left"/>
      <w:pPr>
        <w:tabs>
          <w:tab w:val="num" w:pos="4320"/>
        </w:tabs>
        <w:ind w:left="4320" w:hanging="360"/>
      </w:pPr>
      <w:rPr>
        <w:rFonts w:ascii="Wingdings" w:hAnsi="Wingdings" w:hint="default"/>
      </w:rPr>
    </w:lvl>
    <w:lvl w:ilvl="6" w:tplc="1E7035EC" w:tentative="1">
      <w:start w:val="1"/>
      <w:numFmt w:val="bullet"/>
      <w:lvlText w:val=""/>
      <w:lvlJc w:val="left"/>
      <w:pPr>
        <w:tabs>
          <w:tab w:val="num" w:pos="5040"/>
        </w:tabs>
        <w:ind w:left="5040" w:hanging="360"/>
      </w:pPr>
      <w:rPr>
        <w:rFonts w:ascii="Symbol" w:hAnsi="Symbol" w:hint="default"/>
      </w:rPr>
    </w:lvl>
    <w:lvl w:ilvl="7" w:tplc="1EF05ED0" w:tentative="1">
      <w:start w:val="1"/>
      <w:numFmt w:val="bullet"/>
      <w:lvlText w:val="o"/>
      <w:lvlJc w:val="left"/>
      <w:pPr>
        <w:tabs>
          <w:tab w:val="num" w:pos="5760"/>
        </w:tabs>
        <w:ind w:left="5760" w:hanging="360"/>
      </w:pPr>
      <w:rPr>
        <w:rFonts w:ascii="Courier New" w:hAnsi="Courier New" w:hint="default"/>
      </w:rPr>
    </w:lvl>
    <w:lvl w:ilvl="8" w:tplc="D254624C"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6D967234"/>
    <w:multiLevelType w:val="hybridMultilevel"/>
    <w:tmpl w:val="C818F958"/>
    <w:lvl w:ilvl="0" w:tplc="E83289A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1"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8703ABA"/>
    <w:multiLevelType w:val="multilevel"/>
    <w:tmpl w:val="0809001D"/>
    <w:styleLink w:val="1ai"/>
    <w:lvl w:ilvl="0">
      <w:start w:val="1"/>
      <w:numFmt w:val="decimal"/>
      <w:pStyle w:val="Roman1GA"/>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7AE32A09"/>
    <w:multiLevelType w:val="hybridMultilevel"/>
    <w:tmpl w:val="B8DC87A6"/>
    <w:lvl w:ilvl="0" w:tplc="72A485D8">
      <w:start w:val="1"/>
      <w:numFmt w:val="decimal"/>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54" w15:restartNumberingAfterBreak="0">
    <w:nsid w:val="7C7205DD"/>
    <w:multiLevelType w:val="hybridMultilevel"/>
    <w:tmpl w:val="4FB075CE"/>
    <w:lvl w:ilvl="0" w:tplc="F3349DF6">
      <w:start w:val="58"/>
      <w:numFmt w:val="bullet"/>
      <w:lvlText w:val="-"/>
      <w:lvlJc w:val="left"/>
      <w:pPr>
        <w:ind w:left="1440" w:hanging="360"/>
      </w:pPr>
      <w:rPr>
        <w:rFonts w:ascii="Times New Roman" w:eastAsia="Calibri" w:hAnsi="Times New Roman" w:cs="Times New Roman" w:hint="default"/>
        <w:sz w:val="22"/>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55" w15:restartNumberingAfterBreak="0">
    <w:nsid w:val="7E45621C"/>
    <w:multiLevelType w:val="hybridMultilevel"/>
    <w:tmpl w:val="80CCB680"/>
    <w:lvl w:ilvl="0" w:tplc="D19E12AA">
      <w:numFmt w:val="bullet"/>
      <w:lvlText w:val="-"/>
      <w:lvlJc w:val="left"/>
      <w:pPr>
        <w:ind w:left="720" w:hanging="360"/>
      </w:pPr>
      <w:rPr>
        <w:rFonts w:ascii="Calibri" w:eastAsiaTheme="minorHAnsi" w:hAnsi="Calibri" w:cs="Calibri"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num w:numId="1">
    <w:abstractNumId w:val="26"/>
  </w:num>
  <w:num w:numId="2">
    <w:abstractNumId w:val="20"/>
  </w:num>
  <w:num w:numId="3">
    <w:abstractNumId w:val="11"/>
  </w:num>
  <w:num w:numId="4">
    <w:abstractNumId w:val="42"/>
  </w:num>
  <w:num w:numId="5">
    <w:abstractNumId w:val="45"/>
  </w:num>
  <w:num w:numId="6">
    <w:abstractNumId w:val="52"/>
  </w:num>
  <w:num w:numId="7">
    <w:abstractNumId w:val="17"/>
  </w:num>
  <w:num w:numId="8">
    <w:abstractNumId w:val="39"/>
  </w:num>
  <w:num w:numId="9">
    <w:abstractNumId w:val="36"/>
  </w:num>
  <w:num w:numId="10">
    <w:abstractNumId w:val="35"/>
  </w:num>
  <w:num w:numId="11">
    <w:abstractNumId w:val="10"/>
  </w:num>
  <w:num w:numId="12">
    <w:abstractNumId w:val="8"/>
  </w:num>
  <w:num w:numId="13">
    <w:abstractNumId w:val="7"/>
  </w:num>
  <w:num w:numId="14">
    <w:abstractNumId w:val="6"/>
  </w:num>
  <w:num w:numId="15">
    <w:abstractNumId w:val="5"/>
  </w:num>
  <w:num w:numId="16">
    <w:abstractNumId w:val="9"/>
  </w:num>
  <w:num w:numId="17">
    <w:abstractNumId w:val="4"/>
  </w:num>
  <w:num w:numId="18">
    <w:abstractNumId w:val="3"/>
  </w:num>
  <w:num w:numId="19">
    <w:abstractNumId w:val="2"/>
  </w:num>
  <w:num w:numId="20">
    <w:abstractNumId w:val="1"/>
  </w:num>
  <w:num w:numId="21">
    <w:abstractNumId w:val="27"/>
  </w:num>
  <w:num w:numId="22">
    <w:abstractNumId w:val="47"/>
  </w:num>
  <w:num w:numId="23">
    <w:abstractNumId w:val="43"/>
  </w:num>
  <w:num w:numId="24">
    <w:abstractNumId w:val="16"/>
  </w:num>
  <w:num w:numId="25">
    <w:abstractNumId w:val="48"/>
  </w:num>
  <w:num w:numId="26">
    <w:abstractNumId w:val="29"/>
  </w:num>
  <w:num w:numId="27">
    <w:abstractNumId w:val="49"/>
  </w:num>
  <w:num w:numId="28">
    <w:abstractNumId w:val="21"/>
  </w:num>
  <w:num w:numId="29">
    <w:abstractNumId w:val="54"/>
  </w:num>
  <w:num w:numId="30">
    <w:abstractNumId w:val="0"/>
  </w:num>
  <w:num w:numId="31">
    <w:abstractNumId w:val="44"/>
  </w:num>
  <w:num w:numId="32">
    <w:abstractNumId w:val="33"/>
  </w:num>
  <w:num w:numId="33">
    <w:abstractNumId w:val="40"/>
  </w:num>
  <w:num w:numId="34">
    <w:abstractNumId w:val="55"/>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num>
  <w:num w:numId="37">
    <w:abstractNumId w:val="19"/>
  </w:num>
  <w:num w:numId="38">
    <w:abstractNumId w:val="13"/>
  </w:num>
  <w:num w:numId="39">
    <w:abstractNumId w:val="38"/>
  </w:num>
  <w:num w:numId="4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8"/>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B68"/>
    <w:rsid w:val="00004B17"/>
    <w:rsid w:val="000076D5"/>
    <w:rsid w:val="00043663"/>
    <w:rsid w:val="00044934"/>
    <w:rsid w:val="000505CF"/>
    <w:rsid w:val="000D701C"/>
    <w:rsid w:val="000E2A71"/>
    <w:rsid w:val="000E7731"/>
    <w:rsid w:val="000E775F"/>
    <w:rsid w:val="00160263"/>
    <w:rsid w:val="00165B22"/>
    <w:rsid w:val="00181F96"/>
    <w:rsid w:val="001A1371"/>
    <w:rsid w:val="001A72EE"/>
    <w:rsid w:val="001B346A"/>
    <w:rsid w:val="001B6609"/>
    <w:rsid w:val="001D181F"/>
    <w:rsid w:val="001E1CAD"/>
    <w:rsid w:val="001E290D"/>
    <w:rsid w:val="001E45CF"/>
    <w:rsid w:val="00200750"/>
    <w:rsid w:val="002144FA"/>
    <w:rsid w:val="00233629"/>
    <w:rsid w:val="0023469A"/>
    <w:rsid w:val="00235D74"/>
    <w:rsid w:val="00243C8A"/>
    <w:rsid w:val="00266906"/>
    <w:rsid w:val="00267A0E"/>
    <w:rsid w:val="00283E17"/>
    <w:rsid w:val="002901D9"/>
    <w:rsid w:val="002976C2"/>
    <w:rsid w:val="002B726E"/>
    <w:rsid w:val="002C05F6"/>
    <w:rsid w:val="002C52C5"/>
    <w:rsid w:val="002D2D42"/>
    <w:rsid w:val="003260FF"/>
    <w:rsid w:val="00336B60"/>
    <w:rsid w:val="00343D95"/>
    <w:rsid w:val="0035017B"/>
    <w:rsid w:val="003622B5"/>
    <w:rsid w:val="00374341"/>
    <w:rsid w:val="00384225"/>
    <w:rsid w:val="003B7FA5"/>
    <w:rsid w:val="003C0D31"/>
    <w:rsid w:val="003D1062"/>
    <w:rsid w:val="00420D7B"/>
    <w:rsid w:val="00450B21"/>
    <w:rsid w:val="00453B63"/>
    <w:rsid w:val="00455780"/>
    <w:rsid w:val="0045649E"/>
    <w:rsid w:val="00465585"/>
    <w:rsid w:val="004A14A6"/>
    <w:rsid w:val="004B0A1C"/>
    <w:rsid w:val="004D298E"/>
    <w:rsid w:val="004E6A7D"/>
    <w:rsid w:val="00523BAE"/>
    <w:rsid w:val="00530B68"/>
    <w:rsid w:val="0054472E"/>
    <w:rsid w:val="005540EB"/>
    <w:rsid w:val="005662A9"/>
    <w:rsid w:val="00573251"/>
    <w:rsid w:val="005827D4"/>
    <w:rsid w:val="00587F77"/>
    <w:rsid w:val="0059622A"/>
    <w:rsid w:val="005C5878"/>
    <w:rsid w:val="005C7CEA"/>
    <w:rsid w:val="005D23D2"/>
    <w:rsid w:val="005D3C0B"/>
    <w:rsid w:val="005D5FAB"/>
    <w:rsid w:val="005E5217"/>
    <w:rsid w:val="005F016A"/>
    <w:rsid w:val="005F0FA4"/>
    <w:rsid w:val="005F30EE"/>
    <w:rsid w:val="0060473A"/>
    <w:rsid w:val="00656392"/>
    <w:rsid w:val="0068781D"/>
    <w:rsid w:val="006959B0"/>
    <w:rsid w:val="006B3E27"/>
    <w:rsid w:val="006B6507"/>
    <w:rsid w:val="006C104C"/>
    <w:rsid w:val="006F642D"/>
    <w:rsid w:val="00710F28"/>
    <w:rsid w:val="00733704"/>
    <w:rsid w:val="0078071A"/>
    <w:rsid w:val="007C1C53"/>
    <w:rsid w:val="007C26DA"/>
    <w:rsid w:val="007D04A0"/>
    <w:rsid w:val="007F3270"/>
    <w:rsid w:val="00805C01"/>
    <w:rsid w:val="00847F21"/>
    <w:rsid w:val="00852A9A"/>
    <w:rsid w:val="0086216C"/>
    <w:rsid w:val="008809C0"/>
    <w:rsid w:val="008E069E"/>
    <w:rsid w:val="008F49E1"/>
    <w:rsid w:val="0090370F"/>
    <w:rsid w:val="009119CD"/>
    <w:rsid w:val="009269D2"/>
    <w:rsid w:val="00926A99"/>
    <w:rsid w:val="00942135"/>
    <w:rsid w:val="009521B0"/>
    <w:rsid w:val="00982D83"/>
    <w:rsid w:val="00994130"/>
    <w:rsid w:val="009951EE"/>
    <w:rsid w:val="009A7E9F"/>
    <w:rsid w:val="009E5018"/>
    <w:rsid w:val="00A12B37"/>
    <w:rsid w:val="00A13CDF"/>
    <w:rsid w:val="00A374A1"/>
    <w:rsid w:val="00A47A52"/>
    <w:rsid w:val="00AB6758"/>
    <w:rsid w:val="00AC56A6"/>
    <w:rsid w:val="00AD39DF"/>
    <w:rsid w:val="00AF68B6"/>
    <w:rsid w:val="00B116DD"/>
    <w:rsid w:val="00B13763"/>
    <w:rsid w:val="00B3422A"/>
    <w:rsid w:val="00B477A4"/>
    <w:rsid w:val="00B54045"/>
    <w:rsid w:val="00B742C7"/>
    <w:rsid w:val="00B910DA"/>
    <w:rsid w:val="00BB3044"/>
    <w:rsid w:val="00BD73B6"/>
    <w:rsid w:val="00C438D7"/>
    <w:rsid w:val="00C44303"/>
    <w:rsid w:val="00C54D41"/>
    <w:rsid w:val="00C6733B"/>
    <w:rsid w:val="00C70AD0"/>
    <w:rsid w:val="00C81B50"/>
    <w:rsid w:val="00C91CE0"/>
    <w:rsid w:val="00CB00E7"/>
    <w:rsid w:val="00CB28F9"/>
    <w:rsid w:val="00CD1801"/>
    <w:rsid w:val="00CE510B"/>
    <w:rsid w:val="00CF43E6"/>
    <w:rsid w:val="00CF7EDE"/>
    <w:rsid w:val="00D10EF1"/>
    <w:rsid w:val="00D13E6D"/>
    <w:rsid w:val="00D330A2"/>
    <w:rsid w:val="00D42810"/>
    <w:rsid w:val="00D42EEC"/>
    <w:rsid w:val="00D914A7"/>
    <w:rsid w:val="00DA7FA2"/>
    <w:rsid w:val="00DC4EE6"/>
    <w:rsid w:val="00DD13C3"/>
    <w:rsid w:val="00DD596E"/>
    <w:rsid w:val="00DD621E"/>
    <w:rsid w:val="00DD7130"/>
    <w:rsid w:val="00DE2E00"/>
    <w:rsid w:val="00DE59CB"/>
    <w:rsid w:val="00DF0575"/>
    <w:rsid w:val="00E1540A"/>
    <w:rsid w:val="00E15DEB"/>
    <w:rsid w:val="00E654FB"/>
    <w:rsid w:val="00E70E04"/>
    <w:rsid w:val="00E76499"/>
    <w:rsid w:val="00E849B7"/>
    <w:rsid w:val="00E86934"/>
    <w:rsid w:val="00EC05A7"/>
    <w:rsid w:val="00EC4B6B"/>
    <w:rsid w:val="00EF1EE5"/>
    <w:rsid w:val="00F63FA3"/>
    <w:rsid w:val="00F763B4"/>
    <w:rsid w:val="00F8786F"/>
    <w:rsid w:val="00F900C3"/>
    <w:rsid w:val="00F93482"/>
    <w:rsid w:val="00FC201A"/>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811D13E"/>
  <w15:docId w15:val="{4DFBFCC3-FD7B-4EF7-B711-1D39DF7D5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1EE"/>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Cuadro_G"/>
    <w:basedOn w:val="SingleTxtGA"/>
    <w:next w:val="Normal"/>
    <w:link w:val="Heading1Char"/>
    <w:qFormat/>
    <w:rsid w:val="009951EE"/>
    <w:pPr>
      <w:numPr>
        <w:numId w:val="30"/>
      </w:numPr>
      <w:bidi w:val="0"/>
      <w:outlineLvl w:val="0"/>
    </w:pPr>
  </w:style>
  <w:style w:type="paragraph" w:styleId="Heading2">
    <w:name w:val="heading 2"/>
    <w:basedOn w:val="Normal"/>
    <w:next w:val="Normal"/>
    <w:link w:val="Heading2Char"/>
    <w:unhideWhenUsed/>
    <w:rsid w:val="009951EE"/>
    <w:pPr>
      <w:keepNext/>
      <w:keepLines/>
      <w:numPr>
        <w:ilvl w:val="1"/>
        <w:numId w:val="30"/>
      </w:numPr>
      <w:spacing w:before="200"/>
      <w:outlineLvl w:val="1"/>
    </w:pPr>
    <w:rPr>
      <w:b/>
      <w:bCs/>
      <w:color w:val="4F81BD"/>
      <w:sz w:val="26"/>
      <w:szCs w:val="26"/>
    </w:rPr>
  </w:style>
  <w:style w:type="paragraph" w:styleId="Heading3">
    <w:name w:val="heading 3"/>
    <w:basedOn w:val="Normal"/>
    <w:next w:val="Normal"/>
    <w:link w:val="Heading3Char"/>
    <w:unhideWhenUsed/>
    <w:rsid w:val="009951EE"/>
    <w:pPr>
      <w:keepNext/>
      <w:keepLines/>
      <w:numPr>
        <w:ilvl w:val="2"/>
        <w:numId w:val="30"/>
      </w:numPr>
      <w:spacing w:before="200"/>
      <w:outlineLvl w:val="2"/>
    </w:pPr>
    <w:rPr>
      <w:b/>
      <w:bCs/>
      <w:color w:val="4F81BD"/>
    </w:rPr>
  </w:style>
  <w:style w:type="paragraph" w:styleId="Heading4">
    <w:name w:val="heading 4"/>
    <w:basedOn w:val="Normal"/>
    <w:next w:val="Normal"/>
    <w:link w:val="Heading4Char"/>
    <w:unhideWhenUsed/>
    <w:rsid w:val="009951EE"/>
    <w:pPr>
      <w:keepNext/>
      <w:keepLines/>
      <w:numPr>
        <w:ilvl w:val="3"/>
        <w:numId w:val="30"/>
      </w:numPr>
      <w:spacing w:before="200"/>
      <w:outlineLvl w:val="3"/>
    </w:pPr>
    <w:rPr>
      <w:b/>
      <w:bCs/>
      <w:i/>
      <w:iCs/>
      <w:color w:val="4F81BD"/>
    </w:rPr>
  </w:style>
  <w:style w:type="paragraph" w:styleId="Heading5">
    <w:name w:val="heading 5"/>
    <w:basedOn w:val="Normal"/>
    <w:next w:val="Normal"/>
    <w:link w:val="Heading5Char"/>
    <w:unhideWhenUsed/>
    <w:rsid w:val="009951EE"/>
    <w:pPr>
      <w:keepNext/>
      <w:keepLines/>
      <w:numPr>
        <w:ilvl w:val="4"/>
        <w:numId w:val="30"/>
      </w:numPr>
      <w:spacing w:before="200"/>
      <w:outlineLvl w:val="4"/>
    </w:pPr>
    <w:rPr>
      <w:color w:val="243F60"/>
    </w:rPr>
  </w:style>
  <w:style w:type="paragraph" w:styleId="Heading6">
    <w:name w:val="heading 6"/>
    <w:basedOn w:val="Normal"/>
    <w:next w:val="Normal"/>
    <w:link w:val="Heading6Char"/>
    <w:unhideWhenUsed/>
    <w:rsid w:val="009951EE"/>
    <w:pPr>
      <w:keepNext/>
      <w:keepLines/>
      <w:numPr>
        <w:ilvl w:val="5"/>
        <w:numId w:val="30"/>
      </w:numPr>
      <w:spacing w:before="200"/>
      <w:outlineLvl w:val="5"/>
    </w:pPr>
    <w:rPr>
      <w:i/>
      <w:iCs/>
      <w:color w:val="243F60"/>
    </w:rPr>
  </w:style>
  <w:style w:type="paragraph" w:styleId="Heading7">
    <w:name w:val="heading 7"/>
    <w:basedOn w:val="Normal"/>
    <w:next w:val="Normal"/>
    <w:link w:val="Heading7Char"/>
    <w:unhideWhenUsed/>
    <w:rsid w:val="009951EE"/>
    <w:pPr>
      <w:keepNext/>
      <w:keepLines/>
      <w:numPr>
        <w:ilvl w:val="6"/>
        <w:numId w:val="30"/>
      </w:numPr>
      <w:spacing w:before="200"/>
      <w:outlineLvl w:val="6"/>
    </w:pPr>
    <w:rPr>
      <w:i/>
      <w:iCs/>
      <w:color w:val="404040"/>
    </w:rPr>
  </w:style>
  <w:style w:type="paragraph" w:styleId="Heading8">
    <w:name w:val="heading 8"/>
    <w:basedOn w:val="Normal"/>
    <w:next w:val="Normal"/>
    <w:link w:val="Heading8Char"/>
    <w:unhideWhenUsed/>
    <w:rsid w:val="009951EE"/>
    <w:pPr>
      <w:keepNext/>
      <w:keepLines/>
      <w:numPr>
        <w:ilvl w:val="7"/>
        <w:numId w:val="30"/>
      </w:numPr>
      <w:spacing w:before="200"/>
      <w:outlineLvl w:val="7"/>
    </w:pPr>
    <w:rPr>
      <w:color w:val="404040"/>
      <w:szCs w:val="20"/>
    </w:rPr>
  </w:style>
  <w:style w:type="paragraph" w:styleId="Heading9">
    <w:name w:val="heading 9"/>
    <w:basedOn w:val="Normal"/>
    <w:next w:val="Normal"/>
    <w:link w:val="Heading9Char"/>
    <w:unhideWhenUsed/>
    <w:rsid w:val="009951EE"/>
    <w:pPr>
      <w:keepNext/>
      <w:keepLines/>
      <w:numPr>
        <w:ilvl w:val="8"/>
        <w:numId w:val="30"/>
      </w:numPr>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951EE"/>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951EE"/>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9951EE"/>
    <w:rPr>
      <w:szCs w:val="18"/>
      <w:vertAlign w:val="superscript"/>
    </w:rPr>
  </w:style>
  <w:style w:type="paragraph" w:customStyle="1" w:styleId="HMGA">
    <w:name w:val="_ H __M_GA"/>
    <w:basedOn w:val="Normal"/>
    <w:next w:val="SingleTxtGA"/>
    <w:qFormat/>
    <w:rsid w:val="009951EE"/>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951EE"/>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951EE"/>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951EE"/>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951EE"/>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951EE"/>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951EE"/>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951EE"/>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951EE"/>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951EE"/>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951EE"/>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951EE"/>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951EE"/>
    <w:pPr>
      <w:numPr>
        <w:numId w:val="4"/>
      </w:numPr>
      <w:tabs>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951EE"/>
    <w:pPr>
      <w:numPr>
        <w:numId w:val="5"/>
      </w:numPr>
      <w:bidi w:val="0"/>
    </w:pPr>
    <w:rPr>
      <w:lang w:val="en-US"/>
    </w:rPr>
  </w:style>
  <w:style w:type="paragraph" w:customStyle="1" w:styleId="Roman1GA">
    <w:name w:val="_Roman 1_GA"/>
    <w:basedOn w:val="Bullet1GA"/>
    <w:qFormat/>
    <w:rsid w:val="009951EE"/>
    <w:pPr>
      <w:numPr>
        <w:numId w:val="6"/>
      </w:numPr>
      <w:tabs>
        <w:tab w:val="left" w:pos="2486"/>
      </w:tabs>
      <w:ind w:left="2486" w:hanging="378"/>
    </w:pPr>
  </w:style>
  <w:style w:type="paragraph" w:customStyle="1" w:styleId="Roman2GA">
    <w:name w:val="_Roman 2_GA"/>
    <w:basedOn w:val="Bullet2GA"/>
    <w:qFormat/>
    <w:rsid w:val="009951EE"/>
    <w:pPr>
      <w:numPr>
        <w:numId w:val="7"/>
      </w:numPr>
      <w:tabs>
        <w:tab w:val="clear" w:pos="3062"/>
        <w:tab w:val="left" w:pos="3060"/>
      </w:tabs>
      <w:ind w:left="3060" w:hanging="392"/>
    </w:pPr>
  </w:style>
  <w:style w:type="paragraph" w:styleId="EndnoteText">
    <w:name w:val="endnote text"/>
    <w:aliases w:val="2_ GA,2_G"/>
    <w:basedOn w:val="Normal"/>
    <w:link w:val="EndnoteTextChar"/>
    <w:qFormat/>
    <w:rsid w:val="009951EE"/>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951EE"/>
    <w:rPr>
      <w:rFonts w:ascii="Times New Roman" w:eastAsia="PMingLiU" w:hAnsi="Times New Roman" w:cs="Simplified Arabic"/>
      <w:sz w:val="18"/>
      <w:szCs w:val="20"/>
      <w:lang w:val="en-GB"/>
    </w:rPr>
  </w:style>
  <w:style w:type="character" w:customStyle="1" w:styleId="EndtnoteReference">
    <w:name w:val="Endtnote Reference"/>
    <w:aliases w:val="1_GA"/>
    <w:qFormat/>
    <w:rsid w:val="009951EE"/>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951EE"/>
    <w:pPr>
      <w:suppressAutoHyphens/>
      <w:bidi w:val="0"/>
      <w:spacing w:line="240" w:lineRule="auto"/>
    </w:pPr>
    <w:rPr>
      <w:sz w:val="16"/>
      <w:lang w:val="en-GB"/>
    </w:rPr>
  </w:style>
  <w:style w:type="character" w:customStyle="1" w:styleId="FooterChar">
    <w:name w:val="Footer Char"/>
    <w:aliases w:val="3_GA Char,3_G Char"/>
    <w:link w:val="Footer"/>
    <w:rsid w:val="009951EE"/>
    <w:rPr>
      <w:rFonts w:ascii="Times New Roman" w:eastAsia="PMingLiU" w:hAnsi="Times New Roman" w:cs="Simplified Arabic"/>
      <w:sz w:val="16"/>
      <w:lang w:val="en-GB"/>
    </w:rPr>
  </w:style>
  <w:style w:type="paragraph" w:customStyle="1" w:styleId="FootnoteText1">
    <w:name w:val="Footnote Text1"/>
    <w:aliases w:val="5_GA"/>
    <w:basedOn w:val="Normal"/>
    <w:qFormat/>
    <w:rsid w:val="009951EE"/>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951EE"/>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951EE"/>
    <w:rPr>
      <w:rFonts w:ascii="Times New Roman" w:eastAsia="PMingLiU" w:hAnsi="Times New Roman" w:cs="Simplified Arabic"/>
      <w:b/>
      <w:bCs/>
      <w:sz w:val="18"/>
      <w:szCs w:val="18"/>
    </w:rPr>
  </w:style>
  <w:style w:type="character" w:customStyle="1" w:styleId="Heading1Char">
    <w:name w:val="Heading 1 Char"/>
    <w:aliases w:val="Table_GA Char,Table_G Char,Cuadro_G Char"/>
    <w:link w:val="Heading1"/>
    <w:rsid w:val="009951EE"/>
    <w:rPr>
      <w:rFonts w:ascii="Times New Roman" w:eastAsia="PMingLiU" w:hAnsi="Times New Roman" w:cs="Simplified Arabic"/>
      <w:lang w:val="en-GB"/>
    </w:rPr>
  </w:style>
  <w:style w:type="character" w:styleId="PageNumber">
    <w:name w:val="page number"/>
    <w:aliases w:val="7_GA,7_G"/>
    <w:qFormat/>
    <w:rsid w:val="009951EE"/>
    <w:rPr>
      <w:rFonts w:ascii="Times New Roman Bold" w:hAnsi="Times New Roman Bold"/>
      <w:b/>
      <w:i w:val="0"/>
      <w:sz w:val="18"/>
      <w:szCs w:val="18"/>
    </w:rPr>
  </w:style>
  <w:style w:type="paragraph" w:customStyle="1" w:styleId="XXLargeGA">
    <w:name w:val="XXLarge_GA"/>
    <w:basedOn w:val="Normal"/>
    <w:next w:val="SingleTxtGA"/>
    <w:qFormat/>
    <w:rsid w:val="009951EE"/>
    <w:pPr>
      <w:suppressAutoHyphens/>
      <w:spacing w:line="820" w:lineRule="exact"/>
    </w:pPr>
    <w:rPr>
      <w:spacing w:val="-8"/>
      <w:w w:val="96"/>
      <w:sz w:val="57"/>
      <w:szCs w:val="86"/>
      <w:lang w:val="en-GB"/>
    </w:rPr>
  </w:style>
  <w:style w:type="character" w:customStyle="1" w:styleId="Heading2Char">
    <w:name w:val="Heading 2 Char"/>
    <w:link w:val="Heading2"/>
    <w:rsid w:val="009951EE"/>
    <w:rPr>
      <w:rFonts w:ascii="Times New Roman" w:eastAsia="PMingLiU" w:hAnsi="Times New Roman" w:cs="Simplified Arabic"/>
      <w:b/>
      <w:bCs/>
      <w:color w:val="4F81BD"/>
      <w:sz w:val="26"/>
      <w:szCs w:val="26"/>
    </w:rPr>
  </w:style>
  <w:style w:type="character" w:styleId="BookTitle">
    <w:name w:val="Book Title"/>
    <w:uiPriority w:val="33"/>
    <w:rsid w:val="009951EE"/>
    <w:rPr>
      <w:b/>
      <w:bCs/>
      <w:smallCaps/>
      <w:spacing w:val="5"/>
    </w:rPr>
  </w:style>
  <w:style w:type="character" w:customStyle="1" w:styleId="Heading3Char">
    <w:name w:val="Heading 3 Char"/>
    <w:link w:val="Heading3"/>
    <w:rsid w:val="009951EE"/>
    <w:rPr>
      <w:rFonts w:ascii="Times New Roman" w:eastAsia="PMingLiU" w:hAnsi="Times New Roman" w:cs="Simplified Arabic"/>
      <w:b/>
      <w:bCs/>
      <w:color w:val="4F81BD"/>
      <w:sz w:val="20"/>
    </w:rPr>
  </w:style>
  <w:style w:type="character" w:customStyle="1" w:styleId="Heading4Char">
    <w:name w:val="Heading 4 Char"/>
    <w:link w:val="Heading4"/>
    <w:rsid w:val="009951EE"/>
    <w:rPr>
      <w:rFonts w:ascii="Times New Roman" w:eastAsia="PMingLiU" w:hAnsi="Times New Roman" w:cs="Simplified Arabic"/>
      <w:b/>
      <w:bCs/>
      <w:i/>
      <w:iCs/>
      <w:color w:val="4F81BD"/>
      <w:sz w:val="20"/>
    </w:rPr>
  </w:style>
  <w:style w:type="character" w:customStyle="1" w:styleId="Heading5Char">
    <w:name w:val="Heading 5 Char"/>
    <w:link w:val="Heading5"/>
    <w:rsid w:val="009951EE"/>
    <w:rPr>
      <w:rFonts w:ascii="Times New Roman" w:eastAsia="PMingLiU" w:hAnsi="Times New Roman" w:cs="Simplified Arabic"/>
      <w:color w:val="243F60"/>
      <w:sz w:val="20"/>
    </w:rPr>
  </w:style>
  <w:style w:type="character" w:customStyle="1" w:styleId="Heading6Char">
    <w:name w:val="Heading 6 Char"/>
    <w:link w:val="Heading6"/>
    <w:rsid w:val="009951EE"/>
    <w:rPr>
      <w:rFonts w:ascii="Times New Roman" w:eastAsia="PMingLiU" w:hAnsi="Times New Roman" w:cs="Simplified Arabic"/>
      <w:i/>
      <w:iCs/>
      <w:color w:val="243F60"/>
      <w:sz w:val="20"/>
    </w:rPr>
  </w:style>
  <w:style w:type="character" w:customStyle="1" w:styleId="Heading7Char">
    <w:name w:val="Heading 7 Char"/>
    <w:link w:val="Heading7"/>
    <w:rsid w:val="009951EE"/>
    <w:rPr>
      <w:rFonts w:ascii="Times New Roman" w:eastAsia="PMingLiU" w:hAnsi="Times New Roman" w:cs="Simplified Arabic"/>
      <w:i/>
      <w:iCs/>
      <w:color w:val="404040"/>
      <w:sz w:val="20"/>
    </w:rPr>
  </w:style>
  <w:style w:type="character" w:customStyle="1" w:styleId="Heading8Char">
    <w:name w:val="Heading 8 Char"/>
    <w:link w:val="Heading8"/>
    <w:rsid w:val="009951EE"/>
    <w:rPr>
      <w:rFonts w:ascii="Times New Roman" w:eastAsia="PMingLiU" w:hAnsi="Times New Roman" w:cs="Simplified Arabic"/>
      <w:color w:val="404040"/>
      <w:sz w:val="20"/>
      <w:szCs w:val="20"/>
    </w:rPr>
  </w:style>
  <w:style w:type="character" w:customStyle="1" w:styleId="Heading9Char">
    <w:name w:val="Heading 9 Char"/>
    <w:link w:val="Heading9"/>
    <w:rsid w:val="009951EE"/>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951EE"/>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951EE"/>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951EE"/>
    <w:pPr>
      <w:numPr>
        <w:ilvl w:val="1"/>
      </w:numPr>
    </w:pPr>
    <w:rPr>
      <w:i/>
      <w:iCs/>
      <w:color w:val="4F81BD"/>
      <w:spacing w:val="15"/>
      <w:sz w:val="24"/>
      <w:szCs w:val="24"/>
    </w:rPr>
  </w:style>
  <w:style w:type="character" w:customStyle="1" w:styleId="SubtitleChar">
    <w:name w:val="Subtitle Char"/>
    <w:link w:val="Subtitle"/>
    <w:uiPriority w:val="11"/>
    <w:rsid w:val="009951EE"/>
    <w:rPr>
      <w:rFonts w:ascii="Times New Roman" w:eastAsia="PMingLiU" w:hAnsi="Times New Roman" w:cs="Simplified Arabic"/>
      <w:i/>
      <w:iCs/>
      <w:color w:val="4F81BD"/>
      <w:spacing w:val="15"/>
      <w:sz w:val="24"/>
      <w:szCs w:val="24"/>
    </w:rPr>
  </w:style>
  <w:style w:type="character" w:styleId="SubtleEmphasis">
    <w:name w:val="Subtle Emphasis"/>
    <w:uiPriority w:val="19"/>
    <w:rsid w:val="009951EE"/>
    <w:rPr>
      <w:i/>
      <w:iCs/>
      <w:color w:val="808080"/>
    </w:rPr>
  </w:style>
  <w:style w:type="table" w:styleId="ColorfulGrid-Accent6">
    <w:name w:val="Colorful Grid Accent 6"/>
    <w:basedOn w:val="TableNormal"/>
    <w:uiPriority w:val="73"/>
    <w:rsid w:val="009951EE"/>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951EE"/>
    <w:rPr>
      <w:i/>
      <w:iCs/>
    </w:rPr>
  </w:style>
  <w:style w:type="character" w:styleId="IntenseEmphasis">
    <w:name w:val="Intense Emphasis"/>
    <w:uiPriority w:val="21"/>
    <w:rsid w:val="009951EE"/>
    <w:rPr>
      <w:b/>
      <w:bCs/>
      <w:i/>
      <w:iCs/>
      <w:color w:val="4F81BD"/>
    </w:rPr>
  </w:style>
  <w:style w:type="character" w:styleId="Strong">
    <w:name w:val="Strong"/>
    <w:uiPriority w:val="22"/>
    <w:rsid w:val="009951EE"/>
    <w:rPr>
      <w:b/>
      <w:bCs/>
    </w:rPr>
  </w:style>
  <w:style w:type="paragraph" w:styleId="Quote">
    <w:name w:val="Quote"/>
    <w:basedOn w:val="Normal"/>
    <w:next w:val="Normal"/>
    <w:link w:val="QuoteChar"/>
    <w:uiPriority w:val="29"/>
    <w:rsid w:val="009951EE"/>
    <w:rPr>
      <w:i/>
      <w:iCs/>
      <w:color w:val="000000"/>
    </w:rPr>
  </w:style>
  <w:style w:type="character" w:customStyle="1" w:styleId="QuoteChar">
    <w:name w:val="Quote Char"/>
    <w:link w:val="Quote"/>
    <w:uiPriority w:val="29"/>
    <w:rsid w:val="009951EE"/>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9951EE"/>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951EE"/>
    <w:rPr>
      <w:rFonts w:ascii="Times New Roman" w:eastAsia="PMingLiU" w:hAnsi="Times New Roman" w:cs="Simplified Arabic"/>
      <w:b/>
      <w:bCs/>
      <w:i/>
      <w:iCs/>
      <w:color w:val="4F81BD"/>
      <w:sz w:val="20"/>
    </w:rPr>
  </w:style>
  <w:style w:type="character" w:styleId="SubtleReference">
    <w:name w:val="Subtle Reference"/>
    <w:uiPriority w:val="31"/>
    <w:rsid w:val="009951EE"/>
    <w:rPr>
      <w:smallCaps/>
      <w:color w:val="C0504D"/>
      <w:u w:val="single"/>
    </w:rPr>
  </w:style>
  <w:style w:type="character" w:styleId="IntenseReference">
    <w:name w:val="Intense Reference"/>
    <w:uiPriority w:val="32"/>
    <w:rsid w:val="009951EE"/>
    <w:rPr>
      <w:b/>
      <w:bCs/>
      <w:smallCaps/>
      <w:color w:val="C0504D"/>
      <w:spacing w:val="5"/>
      <w:u w:val="single"/>
    </w:rPr>
  </w:style>
  <w:style w:type="paragraph" w:styleId="ListParagraph">
    <w:name w:val="List Paragraph"/>
    <w:basedOn w:val="Normal"/>
    <w:uiPriority w:val="34"/>
    <w:rsid w:val="009951EE"/>
    <w:pPr>
      <w:ind w:left="720"/>
      <w:contextualSpacing/>
    </w:pPr>
  </w:style>
  <w:style w:type="table" w:styleId="MediumShading1-Accent4">
    <w:name w:val="Medium Shading 1 Accent 4"/>
    <w:basedOn w:val="TableNormal"/>
    <w:uiPriority w:val="63"/>
    <w:rsid w:val="009951EE"/>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951EE"/>
    <w:rPr>
      <w:rFonts w:eastAsia="MS Mincho"/>
      <w:sz w:val="18"/>
      <w:vertAlign w:val="superscript"/>
    </w:rPr>
  </w:style>
  <w:style w:type="table" w:styleId="TableGrid">
    <w:name w:val="Table Grid"/>
    <w:basedOn w:val="TableNormal"/>
    <w:rsid w:val="009951EE"/>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9951EE"/>
    <w:pPr>
      <w:spacing w:line="240" w:lineRule="auto"/>
    </w:pPr>
    <w:rPr>
      <w:sz w:val="16"/>
      <w:szCs w:val="16"/>
    </w:rPr>
  </w:style>
  <w:style w:type="character" w:customStyle="1" w:styleId="BalloonTextChar">
    <w:name w:val="Balloon Text Char"/>
    <w:link w:val="BalloonText"/>
    <w:semiHidden/>
    <w:rsid w:val="009951EE"/>
    <w:rPr>
      <w:rFonts w:ascii="Times New Roman" w:eastAsia="PMingLiU" w:hAnsi="Times New Roman" w:cs="Simplified Arabic"/>
      <w:sz w:val="16"/>
      <w:szCs w:val="16"/>
    </w:rPr>
  </w:style>
  <w:style w:type="character" w:styleId="Hyperlink">
    <w:name w:val="Hyperlink"/>
    <w:uiPriority w:val="99"/>
    <w:unhideWhenUsed/>
    <w:rsid w:val="009951EE"/>
    <w:rPr>
      <w:color w:val="0000FF"/>
      <w:u w:val="none"/>
    </w:rPr>
  </w:style>
  <w:style w:type="paragraph" w:styleId="TOC1">
    <w:name w:val="toc 1"/>
    <w:basedOn w:val="Normal"/>
    <w:link w:val="TOC1Char"/>
    <w:autoRedefine/>
    <w:uiPriority w:val="39"/>
    <w:unhideWhenUsed/>
    <w:rsid w:val="009951EE"/>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951EE"/>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951EE"/>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951EE"/>
    <w:rPr>
      <w:rFonts w:eastAsia="DengXian"/>
      <w:color w:val="auto"/>
      <w:sz w:val="20"/>
      <w:szCs w:val="20"/>
      <w:u w:val="none"/>
      <w:lang w:eastAsia="zh-CN" w:bidi="ar-EG"/>
    </w:rPr>
  </w:style>
  <w:style w:type="paragraph" w:styleId="TOC4">
    <w:name w:val="toc 4"/>
    <w:basedOn w:val="Normal"/>
    <w:link w:val="TOC4Char"/>
    <w:autoRedefine/>
    <w:uiPriority w:val="39"/>
    <w:unhideWhenUsed/>
    <w:rsid w:val="009951EE"/>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951EE"/>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951EE"/>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951EE"/>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9951EE"/>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951EE"/>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9951EE"/>
    <w:rPr>
      <w:color w:val="605E5C"/>
      <w:shd w:val="clear" w:color="auto" w:fill="E1DFDD"/>
    </w:rPr>
  </w:style>
  <w:style w:type="character" w:customStyle="1" w:styleId="TOC1Char">
    <w:name w:val="TOC 1 Char"/>
    <w:basedOn w:val="DefaultParagraphFont"/>
    <w:link w:val="TOC1"/>
    <w:uiPriority w:val="39"/>
    <w:rsid w:val="009951EE"/>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951EE"/>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951EE"/>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951EE"/>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951EE"/>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951EE"/>
    <w:rPr>
      <w:rFonts w:ascii="Times New Roman" w:eastAsia="PMingLiU" w:hAnsi="Times New Roman" w:cs="Simplified Arabic"/>
      <w:sz w:val="20"/>
      <w:szCs w:val="20"/>
      <w:lang w:val="en-GB"/>
    </w:rPr>
  </w:style>
  <w:style w:type="paragraph" w:customStyle="1" w:styleId="SessionDate">
    <w:name w:val="Session_Date"/>
    <w:basedOn w:val="Normal"/>
    <w:qFormat/>
    <w:rsid w:val="009951EE"/>
    <w:pPr>
      <w:spacing w:before="240" w:after="240" w:line="460" w:lineRule="exact"/>
      <w:ind w:left="1247"/>
    </w:pPr>
    <w:rPr>
      <w:b/>
      <w:bCs/>
      <w:sz w:val="32"/>
      <w:szCs w:val="44"/>
    </w:rPr>
  </w:style>
  <w:style w:type="paragraph" w:customStyle="1" w:styleId="SessionNumber">
    <w:name w:val="Session_Number"/>
    <w:basedOn w:val="Normal"/>
    <w:qFormat/>
    <w:rsid w:val="009951EE"/>
    <w:pPr>
      <w:spacing w:line="480" w:lineRule="exact"/>
      <w:ind w:left="1247"/>
    </w:pPr>
    <w:rPr>
      <w:b/>
      <w:bCs/>
      <w:sz w:val="28"/>
      <w:szCs w:val="38"/>
    </w:rPr>
  </w:style>
  <w:style w:type="paragraph" w:customStyle="1" w:styleId="CityandYear">
    <w:name w:val="City and Year"/>
    <w:basedOn w:val="SingleTxtGA"/>
    <w:qFormat/>
    <w:rsid w:val="009951EE"/>
    <w:pPr>
      <w:spacing w:line="480" w:lineRule="exact"/>
    </w:pPr>
    <w:rPr>
      <w:b/>
      <w:bCs/>
      <w:sz w:val="30"/>
      <w:szCs w:val="38"/>
      <w:lang w:eastAsia="ar-SA"/>
    </w:rPr>
  </w:style>
  <w:style w:type="paragraph" w:customStyle="1" w:styleId="NormalA">
    <w:name w:val="Normal_A"/>
    <w:basedOn w:val="Normal"/>
    <w:qFormat/>
    <w:rsid w:val="009951EE"/>
  </w:style>
  <w:style w:type="paragraph" w:customStyle="1" w:styleId="H1G">
    <w:name w:val="_ H_1_G"/>
    <w:basedOn w:val="Normal"/>
    <w:next w:val="Normal"/>
    <w:qFormat/>
    <w:rsid w:val="009951EE"/>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951EE"/>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9951EE"/>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link w:val="H23GChar"/>
    <w:qFormat/>
    <w:rsid w:val="009951EE"/>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951EE"/>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951EE"/>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951EE"/>
    <w:rPr>
      <w:sz w:val="44"/>
      <w:szCs w:val="44"/>
      <w:lang w:val="en-US" w:bidi="ar-DZ"/>
    </w:rPr>
  </w:style>
  <w:style w:type="paragraph" w:customStyle="1" w:styleId="FootnoteGA0">
    <w:name w:val="Footnote_GA"/>
    <w:basedOn w:val="Normal"/>
    <w:qFormat/>
    <w:rsid w:val="009951EE"/>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951EE"/>
    <w:pPr>
      <w:keepNext/>
      <w:keepLines/>
      <w:spacing w:after="120" w:line="400" w:lineRule="exact"/>
      <w:outlineLvl w:val="0"/>
    </w:pPr>
    <w:rPr>
      <w:b/>
      <w:bCs/>
      <w:kern w:val="14"/>
      <w:sz w:val="24"/>
      <w:szCs w:val="32"/>
    </w:rPr>
  </w:style>
  <w:style w:type="paragraph" w:customStyle="1" w:styleId="HCh">
    <w:name w:val="_ H _Ch"/>
    <w:basedOn w:val="H1"/>
    <w:next w:val="SingleTxt"/>
    <w:qFormat/>
    <w:rsid w:val="009951EE"/>
    <w:pPr>
      <w:spacing w:line="440" w:lineRule="exact"/>
    </w:pPr>
    <w:rPr>
      <w:spacing w:val="-2"/>
      <w:sz w:val="28"/>
      <w:szCs w:val="36"/>
    </w:rPr>
  </w:style>
  <w:style w:type="character" w:styleId="CommentReference">
    <w:name w:val="annotation reference"/>
    <w:uiPriority w:val="99"/>
    <w:semiHidden/>
    <w:rsid w:val="009951EE"/>
    <w:rPr>
      <w:sz w:val="6"/>
      <w:szCs w:val="9"/>
    </w:rPr>
  </w:style>
  <w:style w:type="paragraph" w:customStyle="1" w:styleId="HM">
    <w:name w:val="_ H __M"/>
    <w:basedOn w:val="HCh"/>
    <w:next w:val="Normal"/>
    <w:qFormat/>
    <w:rsid w:val="009951EE"/>
    <w:pPr>
      <w:suppressAutoHyphens/>
      <w:spacing w:line="520" w:lineRule="exact"/>
    </w:pPr>
    <w:rPr>
      <w:spacing w:val="-3"/>
      <w:sz w:val="34"/>
      <w:szCs w:val="48"/>
    </w:rPr>
  </w:style>
  <w:style w:type="paragraph" w:customStyle="1" w:styleId="SingleTxt">
    <w:name w:val="__Single Txt"/>
    <w:basedOn w:val="Normal"/>
    <w:qFormat/>
    <w:rsid w:val="009951EE"/>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951EE"/>
    <w:pPr>
      <w:suppressAutoHyphens/>
      <w:spacing w:line="360" w:lineRule="exact"/>
      <w:outlineLvl w:val="1"/>
    </w:pPr>
    <w:rPr>
      <w:spacing w:val="2"/>
      <w:sz w:val="20"/>
      <w:szCs w:val="28"/>
    </w:rPr>
  </w:style>
  <w:style w:type="paragraph" w:customStyle="1" w:styleId="H4">
    <w:name w:val="_ H_4"/>
    <w:basedOn w:val="Normal"/>
    <w:next w:val="Normal"/>
    <w:qFormat/>
    <w:rsid w:val="009951EE"/>
    <w:pPr>
      <w:keepNext/>
      <w:keepLines/>
      <w:spacing w:after="120" w:line="360" w:lineRule="exact"/>
      <w:outlineLvl w:val="3"/>
    </w:pPr>
    <w:rPr>
      <w:i/>
      <w:iCs/>
      <w:kern w:val="14"/>
      <w:szCs w:val="28"/>
    </w:rPr>
  </w:style>
  <w:style w:type="paragraph" w:customStyle="1" w:styleId="H56">
    <w:name w:val="_ H_5/6"/>
    <w:basedOn w:val="Normal"/>
    <w:next w:val="Normal"/>
    <w:qFormat/>
    <w:rsid w:val="009951EE"/>
    <w:pPr>
      <w:keepNext/>
      <w:keepLines/>
      <w:spacing w:after="120" w:line="360" w:lineRule="exact"/>
      <w:outlineLvl w:val="4"/>
    </w:pPr>
    <w:rPr>
      <w:kern w:val="14"/>
      <w:szCs w:val="28"/>
    </w:rPr>
  </w:style>
  <w:style w:type="paragraph" w:customStyle="1" w:styleId="DualTxt">
    <w:name w:val="__Dual Txt"/>
    <w:basedOn w:val="Normal"/>
    <w:qFormat/>
    <w:rsid w:val="009951EE"/>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951EE"/>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951EE"/>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951EE"/>
    <w:pPr>
      <w:spacing w:after="120" w:line="440" w:lineRule="exact"/>
      <w:jc w:val="center"/>
    </w:pPr>
    <w:rPr>
      <w:b/>
      <w:bCs/>
      <w:sz w:val="25"/>
      <w:szCs w:val="38"/>
    </w:rPr>
  </w:style>
  <w:style w:type="paragraph" w:customStyle="1" w:styleId="JH1">
    <w:name w:val="J_H_1"/>
    <w:basedOn w:val="JCH"/>
    <w:qFormat/>
    <w:rsid w:val="009951EE"/>
    <w:pPr>
      <w:spacing w:line="420" w:lineRule="exact"/>
    </w:pPr>
    <w:rPr>
      <w:sz w:val="23"/>
      <w:szCs w:val="34"/>
    </w:rPr>
  </w:style>
  <w:style w:type="paragraph" w:customStyle="1" w:styleId="JH2">
    <w:name w:val="J_H_2"/>
    <w:basedOn w:val="JH1"/>
    <w:qFormat/>
    <w:rsid w:val="009951EE"/>
    <w:pPr>
      <w:spacing w:line="400" w:lineRule="exact"/>
    </w:pPr>
    <w:rPr>
      <w:sz w:val="20"/>
      <w:szCs w:val="30"/>
    </w:rPr>
  </w:style>
  <w:style w:type="paragraph" w:customStyle="1" w:styleId="JSmall">
    <w:name w:val="J_Small"/>
    <w:basedOn w:val="JSingleTxt"/>
    <w:next w:val="JSingleTxt"/>
    <w:qFormat/>
    <w:rsid w:val="009951EE"/>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951EE"/>
    <w:pPr>
      <w:tabs>
        <w:tab w:val="right" w:leader="dot" w:pos="360"/>
      </w:tabs>
      <w:spacing w:line="310" w:lineRule="exact"/>
      <w:jc w:val="right"/>
    </w:pPr>
    <w:rPr>
      <w:spacing w:val="5"/>
      <w:w w:val="104"/>
      <w:kern w:val="14"/>
      <w:sz w:val="17"/>
      <w:szCs w:val="25"/>
    </w:rPr>
  </w:style>
  <w:style w:type="character" w:styleId="LineNumber">
    <w:name w:val="line number"/>
    <w:qFormat/>
    <w:rsid w:val="009951EE"/>
    <w:rPr>
      <w:sz w:val="14"/>
      <w:szCs w:val="16"/>
    </w:rPr>
  </w:style>
  <w:style w:type="paragraph" w:customStyle="1" w:styleId="SmallX">
    <w:name w:val="SmallX"/>
    <w:basedOn w:val="Small"/>
    <w:next w:val="Normal"/>
    <w:qFormat/>
    <w:rsid w:val="009951EE"/>
    <w:pPr>
      <w:spacing w:line="240" w:lineRule="exact"/>
    </w:pPr>
    <w:rPr>
      <w:spacing w:val="6"/>
      <w:w w:val="106"/>
      <w:sz w:val="14"/>
      <w:szCs w:val="21"/>
    </w:rPr>
  </w:style>
  <w:style w:type="paragraph" w:customStyle="1" w:styleId="XLarge">
    <w:name w:val="XLarge"/>
    <w:basedOn w:val="HM"/>
    <w:qFormat/>
    <w:rsid w:val="009951EE"/>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951EE"/>
    <w:pPr>
      <w:spacing w:line="820" w:lineRule="exact"/>
    </w:pPr>
    <w:rPr>
      <w:spacing w:val="-8"/>
      <w:w w:val="96"/>
      <w:sz w:val="57"/>
      <w:szCs w:val="86"/>
    </w:rPr>
  </w:style>
  <w:style w:type="paragraph" w:customStyle="1" w:styleId="Distribution">
    <w:name w:val="Distribution"/>
    <w:basedOn w:val="Normal"/>
    <w:next w:val="Normal"/>
    <w:qFormat/>
    <w:rsid w:val="009951EE"/>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951EE"/>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951EE"/>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951EE"/>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9951EE"/>
    <w:pPr>
      <w:tabs>
        <w:tab w:val="left" w:pos="662"/>
        <w:tab w:val="left" w:pos="1267"/>
        <w:tab w:val="left" w:pos="1987"/>
        <w:tab w:val="left" w:pos="2650"/>
      </w:tabs>
      <w:spacing w:after="0"/>
      <w:ind w:left="662" w:hanging="662"/>
    </w:pPr>
  </w:style>
  <w:style w:type="paragraph" w:customStyle="1" w:styleId="Committee">
    <w:name w:val="Committee"/>
    <w:basedOn w:val="H1"/>
    <w:qFormat/>
    <w:rsid w:val="009951EE"/>
    <w:pPr>
      <w:tabs>
        <w:tab w:val="left" w:pos="662"/>
        <w:tab w:val="left" w:pos="1267"/>
        <w:tab w:val="left" w:pos="1987"/>
        <w:tab w:val="left" w:pos="2650"/>
      </w:tabs>
      <w:ind w:right="1264"/>
    </w:pPr>
  </w:style>
  <w:style w:type="paragraph" w:customStyle="1" w:styleId="AgendaItemNormal">
    <w:name w:val="Agenda_Item_Normal"/>
    <w:next w:val="Normal"/>
    <w:qFormat/>
    <w:rsid w:val="009951EE"/>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9951EE"/>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951EE"/>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951EE"/>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951EE"/>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rsid w:val="009951EE"/>
    <w:rPr>
      <w:i w:val="0"/>
      <w:color w:val="0000FF"/>
      <w:u w:val="none"/>
    </w:rPr>
  </w:style>
  <w:style w:type="paragraph" w:customStyle="1" w:styleId="Bullet1">
    <w:name w:val="Bullet 1"/>
    <w:basedOn w:val="Normal"/>
    <w:qFormat/>
    <w:rsid w:val="009951EE"/>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951EE"/>
    <w:pPr>
      <w:numPr>
        <w:numId w:val="14"/>
      </w:numPr>
      <w:spacing w:after="120" w:line="360" w:lineRule="exact"/>
      <w:ind w:right="1264"/>
    </w:pPr>
    <w:rPr>
      <w:kern w:val="14"/>
      <w:szCs w:val="28"/>
    </w:rPr>
  </w:style>
  <w:style w:type="paragraph" w:customStyle="1" w:styleId="Bullet3">
    <w:name w:val="Bullet 3"/>
    <w:basedOn w:val="SingleTxt"/>
    <w:qFormat/>
    <w:rsid w:val="009951EE"/>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951EE"/>
    <w:pPr>
      <w:ind w:right="5760"/>
      <w:outlineLvl w:val="1"/>
    </w:pPr>
    <w:rPr>
      <w:spacing w:val="2"/>
      <w:sz w:val="20"/>
      <w:szCs w:val="28"/>
    </w:rPr>
  </w:style>
  <w:style w:type="paragraph" w:customStyle="1" w:styleId="STitleM">
    <w:name w:val="S_Title_M"/>
    <w:basedOn w:val="Normal"/>
    <w:next w:val="Normal"/>
    <w:qFormat/>
    <w:rsid w:val="009951EE"/>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951EE"/>
    <w:pPr>
      <w:spacing w:line="600" w:lineRule="exact"/>
      <w:ind w:left="1267" w:right="1267"/>
    </w:pPr>
    <w:rPr>
      <w:w w:val="103"/>
      <w:sz w:val="60"/>
      <w:szCs w:val="60"/>
    </w:rPr>
  </w:style>
  <w:style w:type="paragraph" w:customStyle="1" w:styleId="STitleL">
    <w:name w:val="S_Title_L"/>
    <w:basedOn w:val="XLarge"/>
    <w:next w:val="Normal"/>
    <w:qFormat/>
    <w:rsid w:val="009951EE"/>
    <w:rPr>
      <w:spacing w:val="-8"/>
      <w:w w:val="96"/>
      <w:sz w:val="57"/>
    </w:rPr>
  </w:style>
  <w:style w:type="paragraph" w:styleId="CommentText">
    <w:name w:val="annotation text"/>
    <w:basedOn w:val="Normal"/>
    <w:link w:val="CommentTextChar"/>
    <w:uiPriority w:val="99"/>
    <w:semiHidden/>
    <w:unhideWhenUsed/>
    <w:rsid w:val="009951EE"/>
    <w:pPr>
      <w:spacing w:line="240" w:lineRule="auto"/>
    </w:pPr>
    <w:rPr>
      <w:kern w:val="14"/>
    </w:rPr>
  </w:style>
  <w:style w:type="character" w:customStyle="1" w:styleId="CommentTextChar">
    <w:name w:val="Comment Text Char"/>
    <w:basedOn w:val="DefaultParagraphFont"/>
    <w:link w:val="CommentText"/>
    <w:uiPriority w:val="99"/>
    <w:semiHidden/>
    <w:rsid w:val="009951EE"/>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9951EE"/>
    <w:rPr>
      <w:b/>
      <w:bCs/>
    </w:rPr>
  </w:style>
  <w:style w:type="character" w:customStyle="1" w:styleId="CommentSubjectChar">
    <w:name w:val="Comment Subject Char"/>
    <w:basedOn w:val="CommentTextChar"/>
    <w:link w:val="CommentSubject"/>
    <w:uiPriority w:val="99"/>
    <w:semiHidden/>
    <w:rsid w:val="009951EE"/>
    <w:rPr>
      <w:rFonts w:ascii="Times New Roman" w:eastAsia="PMingLiU" w:hAnsi="Times New Roman" w:cs="Simplified Arabic"/>
      <w:b/>
      <w:bCs/>
      <w:kern w:val="14"/>
      <w:sz w:val="20"/>
    </w:rPr>
  </w:style>
  <w:style w:type="paragraph" w:customStyle="1" w:styleId="Bullet1G">
    <w:name w:val="_Bullet 1_G"/>
    <w:basedOn w:val="Normal"/>
    <w:qFormat/>
    <w:rsid w:val="009951EE"/>
    <w:pPr>
      <w:numPr>
        <w:numId w:val="16"/>
      </w:numPr>
      <w:bidi w:val="0"/>
      <w:spacing w:after="120"/>
      <w:ind w:right="1134"/>
      <w:jc w:val="both"/>
    </w:pPr>
    <w:rPr>
      <w:sz w:val="22"/>
    </w:rPr>
  </w:style>
  <w:style w:type="character" w:customStyle="1" w:styleId="SingleTxtGChar">
    <w:name w:val="_ Single Txt_G Char"/>
    <w:link w:val="SingleTxtG"/>
    <w:rsid w:val="009951EE"/>
    <w:rPr>
      <w:rFonts w:ascii="Times New Roman" w:eastAsia="PMingLiU" w:hAnsi="Times New Roman" w:cs="Simplified Arabic"/>
      <w:sz w:val="20"/>
      <w:szCs w:val="20"/>
      <w:lang w:val="en-GB"/>
    </w:rPr>
  </w:style>
  <w:style w:type="paragraph" w:customStyle="1" w:styleId="Preparedby">
    <w:name w:val="Prepared by:"/>
    <w:basedOn w:val="H23GA"/>
    <w:qFormat/>
    <w:rsid w:val="009951EE"/>
    <w:rPr>
      <w:sz w:val="32"/>
      <w:szCs w:val="32"/>
    </w:rPr>
  </w:style>
  <w:style w:type="paragraph" w:customStyle="1" w:styleId="ParaNoG">
    <w:name w:val="_ParaNo._G"/>
    <w:basedOn w:val="SingleTxtG"/>
    <w:rsid w:val="009951EE"/>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link w:val="HMGChar"/>
    <w:qFormat/>
    <w:rsid w:val="009951EE"/>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951EE"/>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951EE"/>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951EE"/>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951EE"/>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951EE"/>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951EE"/>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951EE"/>
    <w:pPr>
      <w:spacing w:after="0" w:line="240" w:lineRule="auto"/>
    </w:pPr>
    <w:rPr>
      <w:rFonts w:eastAsiaTheme="minorEastAsia"/>
      <w:sz w:val="24"/>
      <w:szCs w:val="24"/>
      <w:lang w:val="fr-FR" w:eastAsia="fr-FR"/>
    </w:rPr>
  </w:style>
  <w:style w:type="paragraph" w:customStyle="1" w:styleId="Default">
    <w:name w:val="Default"/>
    <w:semiHidden/>
    <w:rsid w:val="009951EE"/>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951EE"/>
  </w:style>
  <w:style w:type="character" w:customStyle="1" w:styleId="preferred">
    <w:name w:val="preferred"/>
    <w:basedOn w:val="DefaultParagraphFont"/>
    <w:rsid w:val="009951EE"/>
  </w:style>
  <w:style w:type="character" w:customStyle="1" w:styleId="admitted">
    <w:name w:val="admitted"/>
    <w:basedOn w:val="DefaultParagraphFont"/>
    <w:rsid w:val="009951EE"/>
  </w:style>
  <w:style w:type="paragraph" w:styleId="TOC7">
    <w:name w:val="toc 7"/>
    <w:basedOn w:val="Normal"/>
    <w:next w:val="Normal"/>
    <w:autoRedefine/>
    <w:uiPriority w:val="39"/>
    <w:unhideWhenUsed/>
    <w:rsid w:val="003622B5"/>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622B5"/>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622B5"/>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9951EE"/>
    <w:pPr>
      <w:bidi w:val="0"/>
      <w:spacing w:after="160" w:line="240" w:lineRule="exact"/>
      <w:jc w:val="both"/>
    </w:pPr>
    <w:rPr>
      <w:rFonts w:asciiTheme="minorHAnsi" w:eastAsia="Times New Roman" w:hAnsiTheme="minorHAnsi" w:cstheme="minorBidi"/>
      <w:sz w:val="22"/>
      <w:szCs w:val="18"/>
      <w:vertAlign w:val="superscript"/>
    </w:rPr>
  </w:style>
  <w:style w:type="numbering" w:styleId="111111">
    <w:name w:val="Outline List 2"/>
    <w:basedOn w:val="NoList"/>
    <w:semiHidden/>
    <w:rsid w:val="00BB3044"/>
    <w:pPr>
      <w:numPr>
        <w:numId w:val="5"/>
      </w:numPr>
    </w:pPr>
  </w:style>
  <w:style w:type="numbering" w:styleId="1ai">
    <w:name w:val="Outline List 1"/>
    <w:basedOn w:val="NoList"/>
    <w:semiHidden/>
    <w:rsid w:val="00BB3044"/>
    <w:pPr>
      <w:numPr>
        <w:numId w:val="6"/>
      </w:numPr>
    </w:pPr>
  </w:style>
  <w:style w:type="character" w:customStyle="1" w:styleId="HMGChar">
    <w:name w:val="_ H __M_G Char"/>
    <w:link w:val="HMG"/>
    <w:rsid w:val="00BB3044"/>
    <w:rPr>
      <w:rFonts w:ascii="Times New Roman" w:eastAsia="PMingLiU" w:hAnsi="Times New Roman" w:cs="Simplified Arabic"/>
      <w:b/>
      <w:sz w:val="34"/>
      <w:szCs w:val="30"/>
      <w:lang w:val="fr-FR" w:eastAsia="fr-FR"/>
    </w:rPr>
  </w:style>
  <w:style w:type="character" w:customStyle="1" w:styleId="HChGChar">
    <w:name w:val="_ H _Ch_G Char"/>
    <w:link w:val="HChG"/>
    <w:rsid w:val="00BB3044"/>
    <w:rPr>
      <w:rFonts w:ascii="Times New Roman" w:eastAsia="PMingLiU" w:hAnsi="Times New Roman" w:cs="Simplified Arabic"/>
      <w:b/>
      <w:sz w:val="28"/>
      <w:szCs w:val="20"/>
      <w:lang w:val="en-GB"/>
    </w:rPr>
  </w:style>
  <w:style w:type="numbering" w:styleId="ArticleSection">
    <w:name w:val="Outline List 3"/>
    <w:basedOn w:val="NoList"/>
    <w:semiHidden/>
    <w:rsid w:val="00BB3044"/>
    <w:pPr>
      <w:numPr>
        <w:numId w:val="23"/>
      </w:numPr>
    </w:pPr>
  </w:style>
  <w:style w:type="paragraph" w:styleId="BlockText">
    <w:name w:val="Block Text"/>
    <w:basedOn w:val="Normal"/>
    <w:semiHidden/>
    <w:rsid w:val="00BB3044"/>
    <w:pPr>
      <w:bidi w:val="0"/>
      <w:spacing w:after="120"/>
      <w:ind w:left="1440" w:right="1440"/>
      <w:jc w:val="left"/>
    </w:pPr>
    <w:rPr>
      <w:rFonts w:eastAsiaTheme="minorEastAsia" w:hAnsiTheme="minorHAnsi" w:cs="Traditional Arabic" w:hint="cs"/>
      <w:szCs w:val="30"/>
      <w:lang w:val="en-GB" w:eastAsia="zh-CN"/>
    </w:rPr>
  </w:style>
  <w:style w:type="character" w:customStyle="1" w:styleId="H23GChar">
    <w:name w:val="_ H_2/3_G Char"/>
    <w:link w:val="H23G"/>
    <w:locked/>
    <w:rsid w:val="00BB3044"/>
    <w:rPr>
      <w:rFonts w:ascii="Times New Roman" w:eastAsia="PMingLiU" w:hAnsi="Times New Roman" w:cs="Simplified Arabic"/>
      <w:b/>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MW/C/PRY/QPR/2" TargetMode="External"/><Relationship Id="rId7" Type="http://schemas.openxmlformats.org/officeDocument/2006/relationships/hyperlink" Target="http://undocs.org/en/HRI/GEN/2/Rev.6" TargetMode="External"/><Relationship Id="rId2" Type="http://schemas.openxmlformats.org/officeDocument/2006/relationships/hyperlink" Target="http://undocs.org/en/CMW/C/SR.484" TargetMode="External"/><Relationship Id="rId1" Type="http://schemas.openxmlformats.org/officeDocument/2006/relationships/hyperlink" Target="https://undocs.org/ar/CMW/C/PRY/2" TargetMode="External"/><Relationship Id="rId6" Type="http://schemas.openxmlformats.org/officeDocument/2006/relationships/hyperlink" Target="http://undocs.org/en/CMW/C/PRY/QPR/2" TargetMode="External"/><Relationship Id="rId5" Type="http://schemas.openxmlformats.org/officeDocument/2006/relationships/hyperlink" Target="http://undocs.org/en/CMW/C/PRY/CO/1" TargetMode="External"/><Relationship Id="rId4" Type="http://schemas.openxmlformats.org/officeDocument/2006/relationships/hyperlink" Target="https://www.ohchr.org/sites/default/files/Documents/Issues/Migration/CMWSPMJointGuidanceNoteCOVID-19Migrant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52B66-DF3D-4981-9CE5-36145E83C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4698</Words>
  <Characters>26781</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CMW/C/PRY/CO/2</vt:lpstr>
    </vt:vector>
  </TitlesOfParts>
  <Company>DCM</Company>
  <LinksUpToDate>false</LinksUpToDate>
  <CharactersWithSpaces>31417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CMW/C/PRY/CO/2</dc:title>
  <dc:subject>GE.2208516(A)</dc:subject>
  <dc:creator>Muntaha BUHNAM - MIR</dc:creator>
  <cp:keywords>GE.2237154(A)</cp:keywords>
  <dc:description>Distr.: General
3 June 2022
Arabic
Original: Spanish</dc:description>
  <cp:lastModifiedBy>Jamila Chedad</cp:lastModifiedBy>
  <cp:revision>3</cp:revision>
  <cp:lastPrinted>2022-09-06T15:37:00Z</cp:lastPrinted>
  <dcterms:created xsi:type="dcterms:W3CDTF">2022-09-06T15:37:00Z</dcterms:created>
  <dcterms:modified xsi:type="dcterms:W3CDTF">2022-09-06T15:37:00Z</dcterms:modified>
</cp:coreProperties>
</file>