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64252C">
        <w:trPr>
          <w:trHeight w:hRule="exact" w:val="851"/>
        </w:trPr>
        <w:tc>
          <w:tcPr>
            <w:tcW w:w="1280" w:type="dxa"/>
            <w:tcBorders>
              <w:bottom w:val="single" w:sz="4" w:space="0" w:color="auto"/>
            </w:tcBorders>
          </w:tcPr>
          <w:p w:rsidR="0064252C" w:rsidRDefault="0064252C">
            <w:pPr>
              <w:rPr>
                <w:rFonts w:hint="eastAsia"/>
              </w:rPr>
            </w:pPr>
          </w:p>
        </w:tc>
        <w:tc>
          <w:tcPr>
            <w:tcW w:w="2273" w:type="dxa"/>
            <w:tcBorders>
              <w:bottom w:val="single" w:sz="4" w:space="0" w:color="auto"/>
            </w:tcBorders>
            <w:vAlign w:val="bottom"/>
          </w:tcPr>
          <w:p w:rsidR="0064252C" w:rsidRDefault="0064252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64252C" w:rsidRDefault="0064252C">
            <w:pPr>
              <w:spacing w:line="240" w:lineRule="atLeast"/>
              <w:jc w:val="right"/>
              <w:rPr>
                <w:rFonts w:hint="eastAsia"/>
                <w:szCs w:val="21"/>
              </w:rPr>
            </w:pPr>
            <w:r>
              <w:rPr>
                <w:sz w:val="40"/>
                <w:szCs w:val="40"/>
              </w:rPr>
              <w:t>CRPD</w:t>
            </w:r>
            <w:r>
              <w:rPr>
                <w:sz w:val="20"/>
              </w:rPr>
              <w:t>/C/HRV/1</w:t>
            </w:r>
          </w:p>
        </w:tc>
      </w:tr>
      <w:tr w:rsidR="0064252C">
        <w:trPr>
          <w:trHeight w:hRule="exact" w:val="2835"/>
        </w:trPr>
        <w:tc>
          <w:tcPr>
            <w:tcW w:w="1280" w:type="dxa"/>
            <w:tcBorders>
              <w:top w:val="single" w:sz="4" w:space="0" w:color="auto"/>
              <w:bottom w:val="single" w:sz="12" w:space="0" w:color="auto"/>
            </w:tcBorders>
          </w:tcPr>
          <w:p w:rsidR="0064252C" w:rsidRDefault="0064252C">
            <w:pPr>
              <w:spacing w:line="120" w:lineRule="atLeast"/>
              <w:rPr>
                <w:sz w:val="10"/>
                <w:szCs w:val="10"/>
              </w:rPr>
            </w:pPr>
          </w:p>
          <w:p w:rsidR="0064252C" w:rsidRDefault="0064252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64252C" w:rsidRDefault="0064252C">
            <w:pPr>
              <w:spacing w:before="160" w:line="240" w:lineRule="auto"/>
              <w:rPr>
                <w:rFonts w:eastAsia="SimHei" w:hint="eastAsia"/>
                <w:spacing w:val="10"/>
                <w:sz w:val="36"/>
                <w:szCs w:val="36"/>
              </w:rPr>
            </w:pPr>
            <w:r>
              <w:rPr>
                <w:rFonts w:eastAsia="SimHei" w:hint="eastAsia"/>
                <w:spacing w:val="10"/>
                <w:sz w:val="36"/>
                <w:szCs w:val="36"/>
              </w:rPr>
              <w:t>残疾人权利公约</w:t>
            </w:r>
          </w:p>
        </w:tc>
        <w:tc>
          <w:tcPr>
            <w:tcW w:w="2819" w:type="dxa"/>
            <w:tcBorders>
              <w:top w:val="single" w:sz="4" w:space="0" w:color="auto"/>
              <w:bottom w:val="single" w:sz="12" w:space="0" w:color="auto"/>
            </w:tcBorders>
          </w:tcPr>
          <w:p w:rsidR="0064252C" w:rsidRDefault="0064252C">
            <w:pPr>
              <w:spacing w:before="240" w:line="240" w:lineRule="atLeast"/>
              <w:rPr>
                <w:sz w:val="20"/>
              </w:rPr>
            </w:pPr>
            <w:r>
              <w:rPr>
                <w:sz w:val="20"/>
              </w:rPr>
              <w:t>Distr.: General</w:t>
            </w:r>
          </w:p>
          <w:p w:rsidR="0064252C" w:rsidRDefault="0064252C">
            <w:pPr>
              <w:spacing w:line="240" w:lineRule="atLeast"/>
              <w:rPr>
                <w:sz w:val="20"/>
              </w:rPr>
            </w:pPr>
            <w:r>
              <w:rPr>
                <w:sz w:val="20"/>
              </w:rPr>
              <w:t>7 May 20</w:t>
            </w:r>
            <w:r>
              <w:rPr>
                <w:rFonts w:hint="eastAsia"/>
                <w:sz w:val="20"/>
              </w:rPr>
              <w:t>1</w:t>
            </w:r>
            <w:r>
              <w:rPr>
                <w:sz w:val="20"/>
              </w:rPr>
              <w:t>3</w:t>
            </w:r>
          </w:p>
          <w:p w:rsidR="0064252C" w:rsidRDefault="0064252C">
            <w:pPr>
              <w:spacing w:line="240" w:lineRule="atLeast"/>
              <w:rPr>
                <w:sz w:val="20"/>
              </w:rPr>
            </w:pPr>
            <w:r>
              <w:rPr>
                <w:sz w:val="20"/>
              </w:rPr>
              <w:t>Chinese</w:t>
            </w:r>
          </w:p>
          <w:p w:rsidR="0064252C" w:rsidRDefault="0064252C">
            <w:pPr>
              <w:spacing w:line="240" w:lineRule="atLeast"/>
              <w:rPr>
                <w:rFonts w:hint="eastAsia"/>
                <w:sz w:val="20"/>
              </w:rPr>
            </w:pPr>
            <w:r>
              <w:rPr>
                <w:sz w:val="20"/>
              </w:rPr>
              <w:t>Original: English</w:t>
            </w:r>
          </w:p>
        </w:tc>
      </w:tr>
    </w:tbl>
    <w:p w:rsidR="0064252C" w:rsidRDefault="0064252C">
      <w:pPr>
        <w:spacing w:before="120"/>
        <w:rPr>
          <w:rFonts w:eastAsia="SimHei" w:hint="eastAsia"/>
          <w:sz w:val="24"/>
          <w:szCs w:val="24"/>
          <w:lang w:val="fr-CH"/>
        </w:rPr>
      </w:pPr>
      <w:r>
        <w:rPr>
          <w:rFonts w:eastAsia="SimHei" w:hint="eastAsia"/>
          <w:sz w:val="24"/>
          <w:szCs w:val="24"/>
          <w:lang w:val="fr-CH"/>
        </w:rPr>
        <w:t>残疾人权利委员会</w:t>
      </w:r>
    </w:p>
    <w:p w:rsidR="0064252C" w:rsidRDefault="0064252C">
      <w:pPr>
        <w:pStyle w:val="HMGC"/>
        <w:rPr>
          <w:lang w:val="en-GB"/>
        </w:rPr>
      </w:pPr>
      <w:r>
        <w:rPr>
          <w:rFonts w:hint="eastAsia"/>
          <w:lang w:val="en-GB"/>
        </w:rPr>
        <w:tab/>
      </w:r>
      <w:r>
        <w:rPr>
          <w:rFonts w:hint="eastAsia"/>
          <w:lang w:val="en-GB"/>
        </w:rPr>
        <w:tab/>
      </w:r>
      <w:r>
        <w:rPr>
          <w:rFonts w:hint="eastAsia"/>
          <w:lang w:val="en-GB"/>
        </w:rPr>
        <w:t>审议缔约国根据《公约》第三十五条提交的报告</w:t>
      </w:r>
    </w:p>
    <w:p w:rsidR="0064252C" w:rsidRDefault="0064252C">
      <w:pPr>
        <w:pStyle w:val="HChGC"/>
        <w:rPr>
          <w:lang w:val="en-GB"/>
        </w:rPr>
      </w:pPr>
      <w:r>
        <w:rPr>
          <w:rFonts w:hint="eastAsia"/>
          <w:lang w:val="en-GB"/>
        </w:rPr>
        <w:tab/>
      </w:r>
      <w:r>
        <w:rPr>
          <w:rFonts w:hint="eastAsia"/>
          <w:lang w:val="en-GB"/>
        </w:rPr>
        <w:tab/>
      </w:r>
      <w:r>
        <w:rPr>
          <w:lang w:val="en-GB"/>
        </w:rPr>
        <w:t>缔约国</w:t>
      </w:r>
      <w:r>
        <w:rPr>
          <w:rFonts w:hint="eastAsia"/>
          <w:lang w:val="en-GB"/>
        </w:rPr>
        <w:t>提交的初次报告</w:t>
      </w:r>
    </w:p>
    <w:p w:rsidR="0064252C" w:rsidRDefault="0064252C">
      <w:pPr>
        <w:pStyle w:val="HMGC"/>
        <w:rPr>
          <w:rStyle w:val="FootnoteReference"/>
        </w:rPr>
      </w:pPr>
      <w:r>
        <w:rPr>
          <w:rFonts w:hint="eastAsia"/>
          <w:lang w:val="en-GB"/>
        </w:rPr>
        <w:tab/>
      </w:r>
      <w:r>
        <w:rPr>
          <w:rFonts w:hint="eastAsia"/>
          <w:lang w:val="en-GB"/>
        </w:rPr>
        <w:tab/>
      </w:r>
      <w:r>
        <w:rPr>
          <w:rFonts w:hint="eastAsia"/>
          <w:lang w:val="en-GB"/>
        </w:rPr>
        <w:t>克罗地亚</w:t>
      </w:r>
      <w:r>
        <w:rPr>
          <w:rStyle w:val="FootnoteReference"/>
          <w:position w:val="6"/>
          <w:sz w:val="34"/>
          <w:szCs w:val="34"/>
          <w:vertAlign w:val="baseline"/>
        </w:rPr>
        <w:footnoteReference w:customMarkFollows="1" w:id="1"/>
        <w:t>*</w:t>
      </w:r>
    </w:p>
    <w:p w:rsidR="0064252C" w:rsidRDefault="0064252C">
      <w:pPr>
        <w:wordWrap w:val="0"/>
        <w:jc w:val="right"/>
        <w:rPr>
          <w:rFonts w:hint="eastAsia"/>
        </w:rPr>
      </w:pPr>
      <w:r>
        <w:t>[2011</w:t>
      </w:r>
      <w:r>
        <w:rPr>
          <w:rFonts w:hint="eastAsia"/>
        </w:rPr>
        <w:t>年</w:t>
      </w:r>
      <w:r>
        <w:rPr>
          <w:rFonts w:hint="eastAsia"/>
        </w:rPr>
        <w:t>10</w:t>
      </w:r>
      <w:r>
        <w:rPr>
          <w:rFonts w:hint="eastAsia"/>
        </w:rPr>
        <w:t>月</w:t>
      </w:r>
      <w:r>
        <w:rPr>
          <w:rFonts w:hint="eastAsia"/>
        </w:rPr>
        <w:t>27</w:t>
      </w:r>
      <w:r>
        <w:rPr>
          <w:rFonts w:hint="eastAsia"/>
        </w:rPr>
        <w:t>日</w:t>
      </w:r>
      <w:r>
        <w:t>]</w:t>
      </w:r>
    </w:p>
    <w:p w:rsidR="0064252C" w:rsidRDefault="0064252C">
      <w:pPr>
        <w:spacing w:after="120"/>
        <w:rPr>
          <w:sz w:val="28"/>
          <w:szCs w:val="28"/>
        </w:rPr>
      </w:pPr>
      <w:r>
        <w:br w:type="page"/>
      </w:r>
      <w:r>
        <w:rPr>
          <w:rFonts w:hint="eastAsia"/>
          <w:sz w:val="28"/>
          <w:szCs w:val="28"/>
        </w:rPr>
        <w:t>目录</w:t>
      </w:r>
    </w:p>
    <w:p w:rsidR="0064252C" w:rsidRDefault="0064252C">
      <w:pPr>
        <w:tabs>
          <w:tab w:val="right" w:pos="8789"/>
          <w:tab w:val="right" w:pos="9639"/>
        </w:tabs>
        <w:spacing w:after="120"/>
        <w:ind w:left="488"/>
        <w:rPr>
          <w:rFonts w:eastAsia="KaiTi_GB2312"/>
          <w:sz w:val="23"/>
          <w:szCs w:val="23"/>
        </w:rPr>
      </w:pPr>
      <w:r>
        <w:rPr>
          <w:rFonts w:eastAsia="KaiTi_GB2312"/>
          <w:sz w:val="18"/>
          <w:szCs w:val="18"/>
          <w:lang w:val="fr-CH"/>
        </w:rPr>
        <w:tab/>
      </w:r>
      <w:r>
        <w:rPr>
          <w:rFonts w:eastAsia="KaiTi_GB2312" w:hint="eastAsia"/>
          <w:sz w:val="18"/>
          <w:szCs w:val="18"/>
        </w:rPr>
        <w:t>段次</w:t>
      </w:r>
      <w:r>
        <w:rPr>
          <w:rFonts w:eastAsia="KaiTi_GB2312"/>
          <w:sz w:val="23"/>
          <w:szCs w:val="23"/>
        </w:rPr>
        <w:tab/>
      </w:r>
      <w:r>
        <w:rPr>
          <w:rFonts w:eastAsia="KaiTi_GB2312" w:hint="eastAsia"/>
          <w:sz w:val="18"/>
          <w:szCs w:val="18"/>
        </w:rPr>
        <w:t>页次</w:t>
      </w:r>
    </w:p>
    <w:p w:rsidR="0064252C" w:rsidRDefault="0064252C">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t>缩略语</w:t>
      </w:r>
      <w:r>
        <w:tab/>
      </w:r>
      <w:r>
        <w:tab/>
      </w:r>
      <w:r>
        <w:tab/>
        <w:t>4</w:t>
      </w:r>
    </w:p>
    <w:p w:rsidR="0064252C" w:rsidRDefault="0064252C">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tab/>
      </w:r>
      <w:r>
        <w:t>一</w:t>
      </w:r>
      <w:r>
        <w:t>.</w:t>
      </w:r>
      <w:r>
        <w:tab/>
      </w:r>
      <w:r>
        <w:t>导言</w:t>
      </w:r>
      <w:r>
        <w:t>.</w:t>
      </w:r>
      <w:r>
        <w:tab/>
      </w:r>
      <w:r>
        <w:tab/>
        <w:t>1-6</w:t>
      </w:r>
      <w:r>
        <w:tab/>
        <w:t>6</w:t>
      </w:r>
    </w:p>
    <w:p w:rsidR="0064252C" w:rsidRDefault="0064252C">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tab/>
      </w:r>
      <w:r>
        <w:t>二</w:t>
      </w:r>
      <w:r>
        <w:t>.</w:t>
      </w:r>
      <w:r>
        <w:tab/>
      </w:r>
      <w:r>
        <w:t>《公约》的一般性规定</w:t>
      </w:r>
      <w:r>
        <w:tab/>
      </w:r>
      <w:r>
        <w:tab/>
        <w:t>7-28</w:t>
      </w:r>
      <w:r>
        <w:tab/>
        <w:t>7</w:t>
      </w:r>
    </w:p>
    <w:p w:rsidR="0064252C" w:rsidRDefault="0064252C">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tab/>
      </w:r>
      <w:r>
        <w:rPr>
          <w:rFonts w:hint="eastAsia"/>
        </w:rPr>
        <w:tab/>
      </w:r>
      <w:r>
        <w:t>第一至第四条</w:t>
      </w:r>
      <w:r>
        <w:tab/>
      </w:r>
      <w:r>
        <w:tab/>
        <w:t>7-28</w:t>
      </w:r>
      <w:r>
        <w:tab/>
        <w:t>7</w:t>
      </w:r>
    </w:p>
    <w:p w:rsidR="0064252C" w:rsidRDefault="0064252C">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tab/>
      </w:r>
      <w:r>
        <w:t>三</w:t>
      </w:r>
      <w:r>
        <w:t>.</w:t>
      </w:r>
      <w:r>
        <w:tab/>
      </w:r>
      <w:r>
        <w:t>特殊权利</w:t>
      </w:r>
      <w:r>
        <w:t>(</w:t>
      </w:r>
      <w:r>
        <w:t>第五条和第八至第三十条</w:t>
      </w:r>
      <w:r>
        <w:t>)</w:t>
      </w:r>
      <w:r>
        <w:tab/>
      </w:r>
      <w:r>
        <w:tab/>
        <w:t>29-224</w:t>
      </w:r>
      <w:r>
        <w:tab/>
        <w:t>12</w:t>
      </w:r>
    </w:p>
    <w:p w:rsidR="0064252C" w:rsidRDefault="0064252C">
      <w:pPr>
        <w:pStyle w:val="a1"/>
        <w:tabs>
          <w:tab w:val="clear" w:pos="851"/>
          <w:tab w:val="clear" w:pos="1565"/>
          <w:tab w:val="clear" w:pos="1996"/>
          <w:tab w:val="clear" w:pos="7655"/>
          <w:tab w:val="clear" w:pos="8789"/>
          <w:tab w:val="clear" w:pos="9554"/>
          <w:tab w:val="right" w:pos="850"/>
          <w:tab w:val="left" w:pos="1134"/>
          <w:tab w:val="left" w:pos="2394"/>
          <w:tab w:val="right" w:leader="dot" w:pos="7654"/>
          <w:tab w:val="right" w:pos="8787"/>
          <w:tab w:val="right" w:pos="9553"/>
        </w:tabs>
        <w:ind w:right="2551"/>
      </w:pPr>
      <w:r>
        <w:tab/>
      </w:r>
      <w:r>
        <w:rPr>
          <w:rFonts w:hint="eastAsia"/>
        </w:rPr>
        <w:tab/>
      </w:r>
      <w:r>
        <w:t>第五条</w:t>
      </w:r>
      <w:r>
        <w:rPr>
          <w:rFonts w:hint="eastAsia"/>
        </w:rPr>
        <w:tab/>
      </w:r>
      <w:r>
        <w:t>平等和不歧视</w:t>
      </w:r>
      <w:r>
        <w:tab/>
      </w:r>
      <w:r>
        <w:tab/>
        <w:t>29-35</w:t>
      </w:r>
      <w:r>
        <w:tab/>
        <w:t>12</w:t>
      </w:r>
    </w:p>
    <w:p w:rsidR="0064252C" w:rsidRDefault="0064252C">
      <w:pPr>
        <w:pStyle w:val="a1"/>
        <w:tabs>
          <w:tab w:val="clear" w:pos="851"/>
          <w:tab w:val="clear" w:pos="1565"/>
          <w:tab w:val="clear" w:pos="1996"/>
          <w:tab w:val="clear" w:pos="7655"/>
          <w:tab w:val="clear" w:pos="8789"/>
          <w:tab w:val="clear" w:pos="9554"/>
          <w:tab w:val="right" w:pos="850"/>
          <w:tab w:val="left" w:pos="1134"/>
          <w:tab w:val="left" w:pos="2394"/>
          <w:tab w:val="right" w:leader="dot" w:pos="7654"/>
          <w:tab w:val="right" w:pos="8787"/>
          <w:tab w:val="right" w:pos="9553"/>
        </w:tabs>
        <w:ind w:right="2551"/>
      </w:pPr>
      <w:r>
        <w:tab/>
      </w:r>
      <w:r>
        <w:rPr>
          <w:rFonts w:hint="eastAsia"/>
        </w:rPr>
        <w:tab/>
      </w:r>
      <w:r>
        <w:t>第八条</w:t>
      </w:r>
      <w:r>
        <w:rPr>
          <w:rFonts w:hint="eastAsia"/>
        </w:rPr>
        <w:tab/>
      </w:r>
      <w:r>
        <w:t>提高认识</w:t>
      </w:r>
      <w:r>
        <w:tab/>
      </w:r>
      <w:r>
        <w:tab/>
        <w:t>36-46</w:t>
      </w:r>
      <w:r>
        <w:tab/>
        <w:t>13</w:t>
      </w:r>
    </w:p>
    <w:p w:rsidR="0064252C" w:rsidRDefault="0064252C">
      <w:pPr>
        <w:pStyle w:val="a1"/>
        <w:tabs>
          <w:tab w:val="clear" w:pos="851"/>
          <w:tab w:val="clear" w:pos="1565"/>
          <w:tab w:val="clear" w:pos="1996"/>
          <w:tab w:val="clear" w:pos="7655"/>
          <w:tab w:val="clear" w:pos="8789"/>
          <w:tab w:val="clear" w:pos="9554"/>
          <w:tab w:val="right" w:pos="850"/>
          <w:tab w:val="left" w:pos="1134"/>
          <w:tab w:val="left" w:pos="2394"/>
          <w:tab w:val="right" w:leader="dot" w:pos="7654"/>
          <w:tab w:val="right" w:pos="8787"/>
          <w:tab w:val="right" w:pos="9553"/>
        </w:tabs>
        <w:ind w:right="2551"/>
      </w:pPr>
      <w:r>
        <w:tab/>
      </w:r>
      <w:r>
        <w:rPr>
          <w:rFonts w:hint="eastAsia"/>
        </w:rPr>
        <w:tab/>
      </w:r>
      <w:r>
        <w:t>第九条</w:t>
      </w:r>
      <w:r>
        <w:rPr>
          <w:rFonts w:hint="eastAsia"/>
        </w:rPr>
        <w:tab/>
      </w:r>
      <w:r>
        <w:t>无障碍</w:t>
      </w:r>
      <w:r>
        <w:rPr>
          <w:rFonts w:hint="eastAsia"/>
        </w:rPr>
        <w:t>设施</w:t>
      </w:r>
      <w:r>
        <w:tab/>
      </w:r>
      <w:r>
        <w:tab/>
        <w:t>47-57</w:t>
      </w:r>
      <w:r>
        <w:tab/>
      </w:r>
      <w:r>
        <w:rPr>
          <w:rFonts w:hint="eastAsia"/>
        </w:rPr>
        <w:t>14</w:t>
      </w:r>
    </w:p>
    <w:p w:rsidR="0064252C" w:rsidRDefault="0064252C">
      <w:pPr>
        <w:pStyle w:val="a1"/>
        <w:tabs>
          <w:tab w:val="clear" w:pos="851"/>
          <w:tab w:val="clear" w:pos="1565"/>
          <w:tab w:val="clear" w:pos="1996"/>
          <w:tab w:val="clear" w:pos="7655"/>
          <w:tab w:val="clear" w:pos="8789"/>
          <w:tab w:val="clear" w:pos="9554"/>
          <w:tab w:val="right" w:pos="850"/>
          <w:tab w:val="left" w:pos="1134"/>
          <w:tab w:val="left" w:pos="2394"/>
          <w:tab w:val="right" w:leader="dot" w:pos="7654"/>
          <w:tab w:val="right" w:pos="8787"/>
          <w:tab w:val="right" w:pos="9553"/>
        </w:tabs>
        <w:ind w:right="2551"/>
      </w:pPr>
      <w:r>
        <w:tab/>
      </w:r>
      <w:r>
        <w:rPr>
          <w:rFonts w:hint="eastAsia"/>
        </w:rPr>
        <w:tab/>
      </w:r>
      <w:r>
        <w:t>第十条</w:t>
      </w:r>
      <w:r>
        <w:rPr>
          <w:rFonts w:hint="eastAsia"/>
        </w:rPr>
        <w:tab/>
      </w:r>
      <w:r>
        <w:t>生命权</w:t>
      </w:r>
      <w:r>
        <w:tab/>
      </w:r>
      <w:r>
        <w:tab/>
        <w:t>58-59</w:t>
      </w:r>
      <w:r>
        <w:tab/>
      </w:r>
      <w:r>
        <w:rPr>
          <w:rFonts w:hint="eastAsia"/>
        </w:rPr>
        <w:t>17</w:t>
      </w:r>
    </w:p>
    <w:p w:rsidR="0064252C" w:rsidRDefault="0064252C">
      <w:pPr>
        <w:pStyle w:val="a1"/>
        <w:tabs>
          <w:tab w:val="clear" w:pos="851"/>
          <w:tab w:val="clear" w:pos="1565"/>
          <w:tab w:val="clear" w:pos="1996"/>
          <w:tab w:val="clear" w:pos="7655"/>
          <w:tab w:val="clear" w:pos="8789"/>
          <w:tab w:val="clear" w:pos="9554"/>
          <w:tab w:val="right" w:pos="850"/>
          <w:tab w:val="left" w:pos="1134"/>
          <w:tab w:val="left" w:pos="2394"/>
          <w:tab w:val="right" w:leader="dot" w:pos="7654"/>
          <w:tab w:val="right" w:pos="8787"/>
          <w:tab w:val="right" w:pos="9553"/>
        </w:tabs>
        <w:ind w:right="2551"/>
      </w:pPr>
      <w:r>
        <w:tab/>
      </w:r>
      <w:r>
        <w:rPr>
          <w:rFonts w:hint="eastAsia"/>
        </w:rPr>
        <w:tab/>
      </w:r>
      <w:r>
        <w:t>第十一条</w:t>
      </w:r>
      <w:r>
        <w:rPr>
          <w:rFonts w:hint="eastAsia"/>
        </w:rPr>
        <w:tab/>
      </w:r>
      <w:r>
        <w:t>危机和人道主义紧急情况</w:t>
      </w:r>
      <w:r>
        <w:tab/>
      </w:r>
      <w:r>
        <w:tab/>
        <w:t>60-62</w:t>
      </w:r>
      <w:r>
        <w:tab/>
      </w:r>
      <w:r>
        <w:rPr>
          <w:rFonts w:hint="eastAsia"/>
        </w:rPr>
        <w:t>17</w:t>
      </w:r>
    </w:p>
    <w:p w:rsidR="0064252C" w:rsidRDefault="0064252C">
      <w:pPr>
        <w:pStyle w:val="a1"/>
        <w:tabs>
          <w:tab w:val="clear" w:pos="851"/>
          <w:tab w:val="clear" w:pos="1565"/>
          <w:tab w:val="clear" w:pos="1996"/>
          <w:tab w:val="clear" w:pos="7655"/>
          <w:tab w:val="clear" w:pos="8789"/>
          <w:tab w:val="clear" w:pos="9554"/>
          <w:tab w:val="right" w:pos="850"/>
          <w:tab w:val="left" w:pos="1134"/>
          <w:tab w:val="left" w:pos="2394"/>
          <w:tab w:val="right" w:leader="dot" w:pos="7654"/>
          <w:tab w:val="right" w:pos="8787"/>
          <w:tab w:val="right" w:pos="9553"/>
        </w:tabs>
        <w:ind w:right="2551"/>
      </w:pPr>
      <w:r>
        <w:tab/>
      </w:r>
      <w:r>
        <w:rPr>
          <w:rFonts w:hint="eastAsia"/>
        </w:rPr>
        <w:tab/>
      </w:r>
      <w:r>
        <w:t>第十二条</w:t>
      </w:r>
      <w:r>
        <w:rPr>
          <w:rFonts w:hint="eastAsia"/>
        </w:rPr>
        <w:tab/>
      </w:r>
      <w:r>
        <w:t>法律面前获得平等承认</w:t>
      </w:r>
      <w:r>
        <w:tab/>
      </w:r>
      <w:r>
        <w:tab/>
        <w:t>63-67</w:t>
      </w:r>
      <w:r>
        <w:tab/>
      </w:r>
      <w:r>
        <w:rPr>
          <w:rFonts w:hint="eastAsia"/>
        </w:rPr>
        <w:t>18</w:t>
      </w:r>
    </w:p>
    <w:p w:rsidR="0064252C" w:rsidRDefault="0064252C">
      <w:pPr>
        <w:pStyle w:val="a1"/>
        <w:tabs>
          <w:tab w:val="clear" w:pos="851"/>
          <w:tab w:val="clear" w:pos="1565"/>
          <w:tab w:val="clear" w:pos="1996"/>
          <w:tab w:val="clear" w:pos="7655"/>
          <w:tab w:val="clear" w:pos="8789"/>
          <w:tab w:val="clear" w:pos="9554"/>
          <w:tab w:val="right" w:pos="850"/>
          <w:tab w:val="left" w:pos="1134"/>
          <w:tab w:val="left" w:pos="2394"/>
          <w:tab w:val="right" w:leader="dot" w:pos="7654"/>
          <w:tab w:val="right" w:pos="8787"/>
          <w:tab w:val="right" w:pos="9553"/>
        </w:tabs>
        <w:ind w:right="2551"/>
      </w:pPr>
      <w:r>
        <w:tab/>
      </w:r>
      <w:r>
        <w:rPr>
          <w:rFonts w:hint="eastAsia"/>
        </w:rPr>
        <w:tab/>
      </w:r>
      <w:r>
        <w:t>第十三条</w:t>
      </w:r>
      <w:r>
        <w:rPr>
          <w:rFonts w:hint="eastAsia"/>
        </w:rPr>
        <w:tab/>
      </w:r>
      <w:r>
        <w:t>司法救助</w:t>
      </w:r>
      <w:r>
        <w:tab/>
      </w:r>
      <w:r>
        <w:tab/>
        <w:t>68-71</w:t>
      </w:r>
      <w:r>
        <w:tab/>
      </w:r>
      <w:r>
        <w:rPr>
          <w:rFonts w:hint="eastAsia"/>
        </w:rPr>
        <w:t>19</w:t>
      </w:r>
    </w:p>
    <w:p w:rsidR="0064252C" w:rsidRDefault="0064252C">
      <w:pPr>
        <w:pStyle w:val="a1"/>
        <w:tabs>
          <w:tab w:val="clear" w:pos="851"/>
          <w:tab w:val="clear" w:pos="1565"/>
          <w:tab w:val="clear" w:pos="1996"/>
          <w:tab w:val="clear" w:pos="7655"/>
          <w:tab w:val="clear" w:pos="8789"/>
          <w:tab w:val="clear" w:pos="9554"/>
          <w:tab w:val="right" w:pos="850"/>
          <w:tab w:val="left" w:pos="1134"/>
          <w:tab w:val="left" w:pos="2394"/>
          <w:tab w:val="right" w:leader="dot" w:pos="7654"/>
          <w:tab w:val="right" w:pos="8787"/>
          <w:tab w:val="right" w:pos="9553"/>
        </w:tabs>
        <w:ind w:right="2551"/>
      </w:pPr>
      <w:r>
        <w:tab/>
      </w:r>
      <w:r>
        <w:rPr>
          <w:rFonts w:hint="eastAsia"/>
        </w:rPr>
        <w:tab/>
      </w:r>
      <w:r>
        <w:t>第十四条</w:t>
      </w:r>
      <w:r>
        <w:rPr>
          <w:rFonts w:hint="eastAsia"/>
        </w:rPr>
        <w:tab/>
      </w:r>
      <w:r>
        <w:t>自由和人身安全</w:t>
      </w:r>
      <w:r>
        <w:tab/>
      </w:r>
      <w:r>
        <w:tab/>
        <w:t>72-76</w:t>
      </w:r>
      <w:r>
        <w:tab/>
      </w:r>
      <w:r>
        <w:rPr>
          <w:rFonts w:hint="eastAsia"/>
        </w:rPr>
        <w:t>20</w:t>
      </w:r>
    </w:p>
    <w:p w:rsidR="0064252C" w:rsidRDefault="0064252C">
      <w:pPr>
        <w:pStyle w:val="a1"/>
        <w:tabs>
          <w:tab w:val="clear" w:pos="851"/>
          <w:tab w:val="clear" w:pos="1565"/>
          <w:tab w:val="clear" w:pos="1996"/>
          <w:tab w:val="clear" w:pos="7655"/>
          <w:tab w:val="clear" w:pos="8789"/>
          <w:tab w:val="clear" w:pos="9554"/>
          <w:tab w:val="right" w:pos="850"/>
          <w:tab w:val="left" w:pos="1134"/>
          <w:tab w:val="left" w:pos="2394"/>
          <w:tab w:val="right" w:leader="dot" w:pos="7654"/>
          <w:tab w:val="right" w:pos="8787"/>
          <w:tab w:val="right" w:pos="9553"/>
        </w:tabs>
        <w:ind w:right="2551"/>
      </w:pPr>
      <w:r>
        <w:tab/>
      </w:r>
      <w:r>
        <w:rPr>
          <w:rFonts w:hint="eastAsia"/>
        </w:rPr>
        <w:tab/>
      </w:r>
      <w:r>
        <w:t>第十五条</w:t>
      </w:r>
      <w:r>
        <w:rPr>
          <w:rFonts w:hint="eastAsia"/>
        </w:rPr>
        <w:tab/>
      </w:r>
      <w:r>
        <w:t>免遭酷刑或残忍、不人道或有辱人格的待遇或处罚</w:t>
      </w:r>
      <w:r>
        <w:tab/>
      </w:r>
      <w:r>
        <w:tab/>
        <w:t>77-78</w:t>
      </w:r>
      <w:r>
        <w:tab/>
      </w:r>
      <w:r>
        <w:rPr>
          <w:rFonts w:hint="eastAsia"/>
        </w:rPr>
        <w:t>20</w:t>
      </w:r>
    </w:p>
    <w:p w:rsidR="0064252C" w:rsidRDefault="0064252C">
      <w:pPr>
        <w:pStyle w:val="a1"/>
        <w:tabs>
          <w:tab w:val="clear" w:pos="851"/>
          <w:tab w:val="clear" w:pos="1565"/>
          <w:tab w:val="clear" w:pos="1996"/>
          <w:tab w:val="clear" w:pos="7655"/>
          <w:tab w:val="clear" w:pos="8789"/>
          <w:tab w:val="clear" w:pos="9554"/>
          <w:tab w:val="right" w:pos="850"/>
          <w:tab w:val="left" w:pos="1134"/>
          <w:tab w:val="left" w:pos="2394"/>
          <w:tab w:val="right" w:leader="dot" w:pos="7654"/>
          <w:tab w:val="right" w:pos="8787"/>
          <w:tab w:val="right" w:pos="9553"/>
        </w:tabs>
        <w:ind w:right="2551"/>
      </w:pPr>
      <w:r>
        <w:tab/>
      </w:r>
      <w:r>
        <w:rPr>
          <w:rFonts w:hint="eastAsia"/>
        </w:rPr>
        <w:tab/>
      </w:r>
      <w:r>
        <w:t>第十六条</w:t>
      </w:r>
      <w:r>
        <w:rPr>
          <w:rFonts w:hint="eastAsia"/>
        </w:rPr>
        <w:tab/>
      </w:r>
      <w:r>
        <w:t>免遭剥削、暴力和虐待</w:t>
      </w:r>
      <w:r>
        <w:tab/>
      </w:r>
      <w:r>
        <w:tab/>
        <w:t>79-91</w:t>
      </w:r>
      <w:r>
        <w:tab/>
      </w:r>
      <w:r>
        <w:rPr>
          <w:rFonts w:hint="eastAsia"/>
        </w:rPr>
        <w:t>21</w:t>
      </w:r>
    </w:p>
    <w:p w:rsidR="0064252C" w:rsidRDefault="0064252C">
      <w:pPr>
        <w:pStyle w:val="a1"/>
        <w:tabs>
          <w:tab w:val="clear" w:pos="851"/>
          <w:tab w:val="clear" w:pos="1565"/>
          <w:tab w:val="clear" w:pos="1996"/>
          <w:tab w:val="clear" w:pos="7655"/>
          <w:tab w:val="clear" w:pos="8789"/>
          <w:tab w:val="clear" w:pos="9554"/>
          <w:tab w:val="right" w:pos="850"/>
          <w:tab w:val="left" w:pos="1134"/>
          <w:tab w:val="left" w:pos="2394"/>
          <w:tab w:val="right" w:leader="dot" w:pos="7654"/>
          <w:tab w:val="right" w:pos="8787"/>
          <w:tab w:val="right" w:pos="9553"/>
        </w:tabs>
        <w:ind w:right="2551"/>
      </w:pPr>
      <w:r>
        <w:tab/>
      </w:r>
      <w:r>
        <w:rPr>
          <w:rFonts w:hint="eastAsia"/>
        </w:rPr>
        <w:tab/>
      </w:r>
      <w:r>
        <w:t>第十七条</w:t>
      </w:r>
      <w:r>
        <w:rPr>
          <w:rFonts w:hint="eastAsia"/>
        </w:rPr>
        <w:tab/>
      </w:r>
      <w:r>
        <w:t>保护人身完整性</w:t>
      </w:r>
      <w:r>
        <w:tab/>
      </w:r>
      <w:r>
        <w:tab/>
        <w:t>92-95</w:t>
      </w:r>
      <w:r>
        <w:tab/>
      </w:r>
      <w:r>
        <w:rPr>
          <w:rFonts w:hint="eastAsia"/>
        </w:rPr>
        <w:t>23</w:t>
      </w:r>
    </w:p>
    <w:p w:rsidR="0064252C" w:rsidRDefault="0064252C">
      <w:pPr>
        <w:pStyle w:val="a1"/>
        <w:tabs>
          <w:tab w:val="clear" w:pos="851"/>
          <w:tab w:val="clear" w:pos="1565"/>
          <w:tab w:val="clear" w:pos="1996"/>
          <w:tab w:val="clear" w:pos="7655"/>
          <w:tab w:val="clear" w:pos="8789"/>
          <w:tab w:val="clear" w:pos="9554"/>
          <w:tab w:val="right" w:pos="850"/>
          <w:tab w:val="left" w:pos="1134"/>
          <w:tab w:val="left" w:pos="2394"/>
          <w:tab w:val="right" w:leader="dot" w:pos="7654"/>
          <w:tab w:val="right" w:pos="8787"/>
          <w:tab w:val="right" w:pos="9553"/>
        </w:tabs>
        <w:ind w:right="2551"/>
      </w:pPr>
      <w:r>
        <w:tab/>
      </w:r>
      <w:r>
        <w:rPr>
          <w:rFonts w:hint="eastAsia"/>
        </w:rPr>
        <w:tab/>
      </w:r>
      <w:r>
        <w:t>第十八条</w:t>
      </w:r>
      <w:r>
        <w:rPr>
          <w:rFonts w:hint="eastAsia"/>
        </w:rPr>
        <w:tab/>
      </w:r>
      <w:r>
        <w:t>迁徙自由和国籍</w:t>
      </w:r>
      <w:r>
        <w:tab/>
      </w:r>
      <w:r>
        <w:tab/>
        <w:t>96-99</w:t>
      </w:r>
      <w:r>
        <w:tab/>
      </w:r>
      <w:r>
        <w:rPr>
          <w:rFonts w:hint="eastAsia"/>
        </w:rPr>
        <w:t>23</w:t>
      </w:r>
    </w:p>
    <w:p w:rsidR="0064252C" w:rsidRDefault="0064252C">
      <w:pPr>
        <w:pStyle w:val="a1"/>
        <w:tabs>
          <w:tab w:val="clear" w:pos="851"/>
          <w:tab w:val="clear" w:pos="1565"/>
          <w:tab w:val="clear" w:pos="1996"/>
          <w:tab w:val="clear" w:pos="7655"/>
          <w:tab w:val="clear" w:pos="8789"/>
          <w:tab w:val="clear" w:pos="9554"/>
          <w:tab w:val="right" w:pos="850"/>
          <w:tab w:val="left" w:pos="1134"/>
          <w:tab w:val="left" w:pos="2394"/>
          <w:tab w:val="right" w:leader="dot" w:pos="7654"/>
          <w:tab w:val="right" w:pos="8787"/>
          <w:tab w:val="right" w:pos="9553"/>
        </w:tabs>
        <w:ind w:right="2551"/>
      </w:pPr>
      <w:r>
        <w:tab/>
      </w:r>
      <w:r>
        <w:rPr>
          <w:rFonts w:hint="eastAsia"/>
        </w:rPr>
        <w:tab/>
      </w:r>
      <w:r>
        <w:t>第十九条</w:t>
      </w:r>
      <w:r>
        <w:rPr>
          <w:rFonts w:hint="eastAsia"/>
        </w:rPr>
        <w:tab/>
      </w:r>
      <w:r>
        <w:t>独立生活和融入社区</w:t>
      </w:r>
      <w:r>
        <w:tab/>
      </w:r>
      <w:r>
        <w:tab/>
        <w:t>100-107</w:t>
      </w:r>
      <w:r>
        <w:tab/>
      </w:r>
      <w:r>
        <w:rPr>
          <w:rFonts w:hint="eastAsia"/>
        </w:rPr>
        <w:t>24</w:t>
      </w:r>
    </w:p>
    <w:p w:rsidR="0064252C" w:rsidRDefault="0064252C">
      <w:pPr>
        <w:pStyle w:val="a1"/>
        <w:tabs>
          <w:tab w:val="clear" w:pos="851"/>
          <w:tab w:val="clear" w:pos="1565"/>
          <w:tab w:val="clear" w:pos="1996"/>
          <w:tab w:val="clear" w:pos="7655"/>
          <w:tab w:val="clear" w:pos="8789"/>
          <w:tab w:val="clear" w:pos="9554"/>
          <w:tab w:val="right" w:pos="850"/>
          <w:tab w:val="left" w:pos="1134"/>
          <w:tab w:val="left" w:pos="2394"/>
          <w:tab w:val="right" w:leader="dot" w:pos="7654"/>
          <w:tab w:val="right" w:pos="8787"/>
          <w:tab w:val="right" w:pos="9553"/>
        </w:tabs>
        <w:ind w:right="2551"/>
      </w:pPr>
      <w:r>
        <w:tab/>
      </w:r>
      <w:r>
        <w:rPr>
          <w:rFonts w:hint="eastAsia"/>
        </w:rPr>
        <w:tab/>
      </w:r>
      <w:r>
        <w:t>第二十条</w:t>
      </w:r>
      <w:r>
        <w:rPr>
          <w:rFonts w:hint="eastAsia"/>
        </w:rPr>
        <w:tab/>
      </w:r>
      <w:r>
        <w:t>个人行动能力</w:t>
      </w:r>
      <w:r>
        <w:tab/>
      </w:r>
      <w:r>
        <w:tab/>
        <w:t>108-113</w:t>
      </w:r>
      <w:r>
        <w:tab/>
      </w:r>
      <w:r>
        <w:rPr>
          <w:rFonts w:hint="eastAsia"/>
        </w:rPr>
        <w:t>27</w:t>
      </w:r>
    </w:p>
    <w:p w:rsidR="0064252C" w:rsidRDefault="0064252C">
      <w:pPr>
        <w:pStyle w:val="a1"/>
        <w:tabs>
          <w:tab w:val="clear" w:pos="851"/>
          <w:tab w:val="clear" w:pos="1565"/>
          <w:tab w:val="clear" w:pos="1996"/>
          <w:tab w:val="clear" w:pos="7655"/>
          <w:tab w:val="clear" w:pos="8789"/>
          <w:tab w:val="clear" w:pos="9554"/>
          <w:tab w:val="right" w:pos="850"/>
          <w:tab w:val="left" w:pos="1134"/>
          <w:tab w:val="left" w:pos="2394"/>
          <w:tab w:val="right" w:leader="dot" w:pos="7654"/>
          <w:tab w:val="right" w:pos="8787"/>
          <w:tab w:val="right" w:pos="9553"/>
        </w:tabs>
        <w:ind w:right="2551"/>
      </w:pPr>
      <w:r>
        <w:tab/>
      </w:r>
      <w:r>
        <w:rPr>
          <w:rFonts w:hint="eastAsia"/>
        </w:rPr>
        <w:tab/>
      </w:r>
      <w:r>
        <w:t>第二十一条</w:t>
      </w:r>
      <w:r>
        <w:rPr>
          <w:rFonts w:hint="eastAsia"/>
        </w:rPr>
        <w:tab/>
      </w:r>
      <w:r>
        <w:t>表达</w:t>
      </w:r>
      <w:r>
        <w:rPr>
          <w:rFonts w:hint="eastAsia"/>
        </w:rPr>
        <w:t>意见的</w:t>
      </w:r>
      <w:r>
        <w:t>自由</w:t>
      </w:r>
      <w:r>
        <w:rPr>
          <w:rFonts w:hint="eastAsia"/>
        </w:rPr>
        <w:t>和</w:t>
      </w:r>
      <w:r>
        <w:t>获</w:t>
      </w:r>
      <w:r>
        <w:rPr>
          <w:rFonts w:hint="eastAsia"/>
        </w:rPr>
        <w:t>得</w:t>
      </w:r>
      <w:r>
        <w:t>信息的自由</w:t>
      </w:r>
      <w:r>
        <w:tab/>
      </w:r>
      <w:r>
        <w:tab/>
        <w:t>114-122</w:t>
      </w:r>
      <w:r>
        <w:tab/>
      </w:r>
      <w:r>
        <w:rPr>
          <w:rFonts w:hint="eastAsia"/>
        </w:rPr>
        <w:t>27</w:t>
      </w:r>
    </w:p>
    <w:p w:rsidR="0064252C" w:rsidRDefault="0064252C">
      <w:pPr>
        <w:pStyle w:val="a1"/>
        <w:tabs>
          <w:tab w:val="clear" w:pos="851"/>
          <w:tab w:val="clear" w:pos="1565"/>
          <w:tab w:val="clear" w:pos="1996"/>
          <w:tab w:val="clear" w:pos="7655"/>
          <w:tab w:val="clear" w:pos="8789"/>
          <w:tab w:val="clear" w:pos="9554"/>
          <w:tab w:val="right" w:pos="850"/>
          <w:tab w:val="left" w:pos="1134"/>
          <w:tab w:val="left" w:pos="2394"/>
          <w:tab w:val="right" w:leader="dot" w:pos="7654"/>
          <w:tab w:val="right" w:pos="8787"/>
          <w:tab w:val="right" w:pos="9553"/>
        </w:tabs>
        <w:ind w:right="2551"/>
      </w:pPr>
      <w:r>
        <w:tab/>
      </w:r>
      <w:r>
        <w:rPr>
          <w:rFonts w:hint="eastAsia"/>
        </w:rPr>
        <w:tab/>
      </w:r>
      <w:r>
        <w:t>第二十二条</w:t>
      </w:r>
      <w:r>
        <w:rPr>
          <w:rFonts w:hint="eastAsia"/>
        </w:rPr>
        <w:tab/>
      </w:r>
      <w:r>
        <w:t>尊重隐私</w:t>
      </w:r>
      <w:r>
        <w:tab/>
      </w:r>
      <w:r>
        <w:tab/>
        <w:t>123-124</w:t>
      </w:r>
      <w:r>
        <w:tab/>
      </w:r>
      <w:r>
        <w:rPr>
          <w:rFonts w:hint="eastAsia"/>
        </w:rPr>
        <w:t>29</w:t>
      </w:r>
    </w:p>
    <w:p w:rsidR="0064252C" w:rsidRDefault="0064252C">
      <w:pPr>
        <w:pStyle w:val="a1"/>
        <w:tabs>
          <w:tab w:val="clear" w:pos="851"/>
          <w:tab w:val="clear" w:pos="1565"/>
          <w:tab w:val="clear" w:pos="1996"/>
          <w:tab w:val="clear" w:pos="7655"/>
          <w:tab w:val="clear" w:pos="8789"/>
          <w:tab w:val="clear" w:pos="9554"/>
          <w:tab w:val="right" w:pos="850"/>
          <w:tab w:val="left" w:pos="1134"/>
          <w:tab w:val="left" w:pos="2394"/>
          <w:tab w:val="right" w:leader="dot" w:pos="7654"/>
          <w:tab w:val="right" w:pos="8787"/>
          <w:tab w:val="right" w:pos="9553"/>
        </w:tabs>
        <w:ind w:right="2551"/>
      </w:pPr>
      <w:r>
        <w:tab/>
      </w:r>
      <w:r>
        <w:rPr>
          <w:rFonts w:hint="eastAsia"/>
        </w:rPr>
        <w:tab/>
      </w:r>
      <w:r>
        <w:t>第二十三条</w:t>
      </w:r>
      <w:r>
        <w:rPr>
          <w:rFonts w:hint="eastAsia"/>
        </w:rPr>
        <w:tab/>
      </w:r>
      <w:r>
        <w:t>尊重家居和家庭</w:t>
      </w:r>
      <w:r>
        <w:tab/>
      </w:r>
      <w:r>
        <w:tab/>
        <w:t>125-131</w:t>
      </w:r>
      <w:r>
        <w:tab/>
      </w:r>
      <w:r>
        <w:rPr>
          <w:rFonts w:hint="eastAsia"/>
        </w:rPr>
        <w:t>29</w:t>
      </w:r>
    </w:p>
    <w:p w:rsidR="0064252C" w:rsidRDefault="0064252C">
      <w:pPr>
        <w:pStyle w:val="a1"/>
        <w:tabs>
          <w:tab w:val="clear" w:pos="851"/>
          <w:tab w:val="clear" w:pos="1565"/>
          <w:tab w:val="clear" w:pos="1996"/>
          <w:tab w:val="clear" w:pos="7655"/>
          <w:tab w:val="clear" w:pos="8789"/>
          <w:tab w:val="clear" w:pos="9554"/>
          <w:tab w:val="right" w:pos="850"/>
          <w:tab w:val="left" w:pos="1134"/>
          <w:tab w:val="left" w:pos="2394"/>
          <w:tab w:val="right" w:leader="dot" w:pos="7654"/>
          <w:tab w:val="right" w:pos="8787"/>
          <w:tab w:val="right" w:pos="9553"/>
        </w:tabs>
        <w:ind w:right="2551"/>
      </w:pPr>
      <w:r>
        <w:tab/>
      </w:r>
      <w:r>
        <w:rPr>
          <w:rFonts w:hint="eastAsia"/>
        </w:rPr>
        <w:tab/>
      </w:r>
      <w:r>
        <w:t>第二十四条</w:t>
      </w:r>
      <w:r>
        <w:rPr>
          <w:rFonts w:hint="eastAsia"/>
        </w:rPr>
        <w:tab/>
      </w:r>
      <w:r>
        <w:t>教育</w:t>
      </w:r>
      <w:r>
        <w:tab/>
      </w:r>
      <w:r>
        <w:tab/>
        <w:t>132-154</w:t>
      </w:r>
      <w:r>
        <w:tab/>
      </w:r>
      <w:r>
        <w:rPr>
          <w:rFonts w:hint="eastAsia"/>
        </w:rPr>
        <w:t>30</w:t>
      </w:r>
    </w:p>
    <w:p w:rsidR="0064252C" w:rsidRDefault="0064252C">
      <w:pPr>
        <w:pStyle w:val="a1"/>
        <w:tabs>
          <w:tab w:val="clear" w:pos="851"/>
          <w:tab w:val="clear" w:pos="1565"/>
          <w:tab w:val="clear" w:pos="1996"/>
          <w:tab w:val="clear" w:pos="7655"/>
          <w:tab w:val="clear" w:pos="8789"/>
          <w:tab w:val="clear" w:pos="9554"/>
          <w:tab w:val="right" w:pos="850"/>
          <w:tab w:val="left" w:pos="1134"/>
          <w:tab w:val="left" w:pos="2394"/>
          <w:tab w:val="right" w:leader="dot" w:pos="7654"/>
          <w:tab w:val="right" w:pos="8787"/>
          <w:tab w:val="right" w:pos="9553"/>
        </w:tabs>
        <w:ind w:right="2551"/>
      </w:pPr>
      <w:r>
        <w:tab/>
      </w:r>
      <w:r>
        <w:rPr>
          <w:rFonts w:hint="eastAsia"/>
        </w:rPr>
        <w:tab/>
      </w:r>
      <w:r>
        <w:t>第二十五条</w:t>
      </w:r>
      <w:r>
        <w:rPr>
          <w:rFonts w:hint="eastAsia"/>
        </w:rPr>
        <w:tab/>
      </w:r>
      <w:r>
        <w:t>健康</w:t>
      </w:r>
      <w:r>
        <w:tab/>
      </w:r>
      <w:r>
        <w:tab/>
        <w:t>155-162</w:t>
      </w:r>
      <w:r>
        <w:tab/>
      </w:r>
      <w:r>
        <w:rPr>
          <w:rFonts w:hint="eastAsia"/>
        </w:rPr>
        <w:t>34</w:t>
      </w:r>
    </w:p>
    <w:p w:rsidR="0064252C" w:rsidRDefault="0064252C">
      <w:pPr>
        <w:pStyle w:val="a1"/>
        <w:tabs>
          <w:tab w:val="clear" w:pos="851"/>
          <w:tab w:val="clear" w:pos="1565"/>
          <w:tab w:val="clear" w:pos="1996"/>
          <w:tab w:val="clear" w:pos="7655"/>
          <w:tab w:val="clear" w:pos="8789"/>
          <w:tab w:val="clear" w:pos="9554"/>
          <w:tab w:val="right" w:pos="850"/>
          <w:tab w:val="left" w:pos="1134"/>
          <w:tab w:val="left" w:pos="2394"/>
          <w:tab w:val="right" w:leader="dot" w:pos="7654"/>
          <w:tab w:val="right" w:pos="8787"/>
          <w:tab w:val="right" w:pos="9553"/>
        </w:tabs>
        <w:ind w:right="2551"/>
      </w:pPr>
      <w:r>
        <w:tab/>
      </w:r>
      <w:r>
        <w:rPr>
          <w:rFonts w:hint="eastAsia"/>
        </w:rPr>
        <w:tab/>
      </w:r>
      <w:r>
        <w:t>第二十六条</w:t>
      </w:r>
      <w:r>
        <w:rPr>
          <w:rFonts w:hint="eastAsia"/>
        </w:rPr>
        <w:tab/>
      </w:r>
      <w:r>
        <w:t>适应训练和康复</w:t>
      </w:r>
      <w:r>
        <w:tab/>
      </w:r>
      <w:r>
        <w:tab/>
        <w:t>163-180</w:t>
      </w:r>
      <w:r>
        <w:tab/>
      </w:r>
      <w:r>
        <w:rPr>
          <w:rFonts w:hint="eastAsia"/>
        </w:rPr>
        <w:t>35</w:t>
      </w:r>
    </w:p>
    <w:p w:rsidR="0064252C" w:rsidRDefault="0064252C">
      <w:pPr>
        <w:pStyle w:val="a1"/>
        <w:tabs>
          <w:tab w:val="clear" w:pos="851"/>
          <w:tab w:val="clear" w:pos="1565"/>
          <w:tab w:val="clear" w:pos="1996"/>
          <w:tab w:val="clear" w:pos="7655"/>
          <w:tab w:val="clear" w:pos="8789"/>
          <w:tab w:val="clear" w:pos="9554"/>
          <w:tab w:val="right" w:pos="850"/>
          <w:tab w:val="left" w:pos="1134"/>
          <w:tab w:val="left" w:pos="2394"/>
          <w:tab w:val="right" w:leader="dot" w:pos="7654"/>
          <w:tab w:val="right" w:pos="8787"/>
          <w:tab w:val="right" w:pos="9553"/>
        </w:tabs>
        <w:ind w:right="2551"/>
      </w:pPr>
      <w:r>
        <w:tab/>
      </w:r>
      <w:r>
        <w:rPr>
          <w:rFonts w:hint="eastAsia"/>
        </w:rPr>
        <w:tab/>
      </w:r>
      <w:r>
        <w:t>第二十七条</w:t>
      </w:r>
      <w:r>
        <w:rPr>
          <w:rFonts w:hint="eastAsia"/>
        </w:rPr>
        <w:tab/>
      </w:r>
      <w:r>
        <w:t>工作和就业</w:t>
      </w:r>
      <w:r>
        <w:tab/>
      </w:r>
      <w:r>
        <w:tab/>
        <w:t>181-201</w:t>
      </w:r>
      <w:r>
        <w:tab/>
      </w:r>
      <w:r>
        <w:rPr>
          <w:rFonts w:hint="eastAsia"/>
        </w:rPr>
        <w:t>38</w:t>
      </w:r>
    </w:p>
    <w:p w:rsidR="0064252C" w:rsidRDefault="0064252C">
      <w:pPr>
        <w:pStyle w:val="a1"/>
        <w:tabs>
          <w:tab w:val="clear" w:pos="851"/>
          <w:tab w:val="clear" w:pos="1565"/>
          <w:tab w:val="clear" w:pos="1996"/>
          <w:tab w:val="clear" w:pos="7655"/>
          <w:tab w:val="clear" w:pos="8789"/>
          <w:tab w:val="clear" w:pos="9554"/>
          <w:tab w:val="right" w:pos="850"/>
          <w:tab w:val="left" w:pos="1134"/>
          <w:tab w:val="left" w:pos="2394"/>
          <w:tab w:val="right" w:leader="dot" w:pos="7654"/>
          <w:tab w:val="right" w:pos="8787"/>
          <w:tab w:val="right" w:pos="9553"/>
        </w:tabs>
        <w:ind w:right="2551"/>
      </w:pPr>
      <w:r>
        <w:tab/>
      </w:r>
      <w:r>
        <w:rPr>
          <w:rFonts w:hint="eastAsia"/>
        </w:rPr>
        <w:tab/>
      </w:r>
      <w:r>
        <w:t>第二十八条</w:t>
      </w:r>
      <w:r>
        <w:rPr>
          <w:rFonts w:hint="eastAsia"/>
        </w:rPr>
        <w:tab/>
      </w:r>
      <w:r>
        <w:t>适足的生活水</w:t>
      </w:r>
      <w:r>
        <w:rPr>
          <w:rFonts w:hint="eastAsia"/>
        </w:rPr>
        <w:t>平</w:t>
      </w:r>
      <w:r>
        <w:t>和社会保护</w:t>
      </w:r>
      <w:r>
        <w:tab/>
      </w:r>
      <w:r>
        <w:tab/>
        <w:t>202-212</w:t>
      </w:r>
      <w:r>
        <w:tab/>
      </w:r>
      <w:r>
        <w:rPr>
          <w:rFonts w:hint="eastAsia"/>
        </w:rPr>
        <w:t>44</w:t>
      </w:r>
    </w:p>
    <w:p w:rsidR="0064252C" w:rsidRDefault="0064252C">
      <w:pPr>
        <w:pStyle w:val="a1"/>
        <w:tabs>
          <w:tab w:val="clear" w:pos="851"/>
          <w:tab w:val="clear" w:pos="1565"/>
          <w:tab w:val="clear" w:pos="1996"/>
          <w:tab w:val="clear" w:pos="7655"/>
          <w:tab w:val="clear" w:pos="8789"/>
          <w:tab w:val="clear" w:pos="9554"/>
          <w:tab w:val="right" w:pos="850"/>
          <w:tab w:val="left" w:pos="1134"/>
          <w:tab w:val="left" w:pos="2394"/>
          <w:tab w:val="right" w:leader="dot" w:pos="7654"/>
          <w:tab w:val="right" w:pos="8787"/>
          <w:tab w:val="right" w:pos="9553"/>
        </w:tabs>
        <w:ind w:right="2551"/>
      </w:pPr>
      <w:r>
        <w:tab/>
      </w:r>
      <w:r>
        <w:rPr>
          <w:rFonts w:hint="eastAsia"/>
        </w:rPr>
        <w:tab/>
      </w:r>
      <w:r>
        <w:t>第二十九条</w:t>
      </w:r>
      <w:r>
        <w:rPr>
          <w:rFonts w:hint="eastAsia"/>
        </w:rPr>
        <w:tab/>
      </w:r>
      <w:r>
        <w:t>参与政治和公共生活</w:t>
      </w:r>
      <w:r>
        <w:tab/>
      </w:r>
      <w:r>
        <w:tab/>
        <w:t>213-214</w:t>
      </w:r>
      <w:r>
        <w:tab/>
      </w:r>
      <w:r>
        <w:rPr>
          <w:rFonts w:hint="eastAsia"/>
        </w:rPr>
        <w:t>48</w:t>
      </w:r>
    </w:p>
    <w:p w:rsidR="0064252C" w:rsidRDefault="0064252C">
      <w:pPr>
        <w:pStyle w:val="a1"/>
        <w:tabs>
          <w:tab w:val="clear" w:pos="851"/>
          <w:tab w:val="clear" w:pos="1565"/>
          <w:tab w:val="clear" w:pos="1996"/>
          <w:tab w:val="clear" w:pos="7655"/>
          <w:tab w:val="clear" w:pos="8789"/>
          <w:tab w:val="clear" w:pos="9554"/>
          <w:tab w:val="right" w:pos="850"/>
          <w:tab w:val="left" w:pos="1134"/>
          <w:tab w:val="left" w:pos="2394"/>
          <w:tab w:val="right" w:leader="dot" w:pos="7654"/>
          <w:tab w:val="right" w:pos="8787"/>
          <w:tab w:val="right" w:pos="9553"/>
        </w:tabs>
        <w:ind w:right="2551"/>
      </w:pPr>
      <w:r>
        <w:tab/>
      </w:r>
      <w:r>
        <w:rPr>
          <w:rFonts w:hint="eastAsia"/>
        </w:rPr>
        <w:tab/>
      </w:r>
      <w:r>
        <w:t>第三十条</w:t>
      </w:r>
      <w:r>
        <w:rPr>
          <w:rFonts w:hint="eastAsia"/>
        </w:rPr>
        <w:tab/>
      </w:r>
      <w:r>
        <w:t>参与文化生活、娱乐、休闲和体育生活</w:t>
      </w:r>
      <w:r>
        <w:tab/>
      </w:r>
      <w:r>
        <w:tab/>
        <w:t>215-224</w:t>
      </w:r>
      <w:r>
        <w:tab/>
      </w:r>
      <w:r>
        <w:rPr>
          <w:rFonts w:hint="eastAsia"/>
        </w:rPr>
        <w:t>48</w:t>
      </w:r>
    </w:p>
    <w:p w:rsidR="0064252C" w:rsidRDefault="0064252C">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tab/>
      </w:r>
      <w:r>
        <w:t>四</w:t>
      </w:r>
      <w:r>
        <w:t>.</w:t>
      </w:r>
      <w:r>
        <w:tab/>
      </w:r>
      <w:r>
        <w:t>发育障碍男孩和女孩和残疾妇女的具体情况</w:t>
      </w:r>
      <w:r>
        <w:tab/>
      </w:r>
      <w:r>
        <w:tab/>
        <w:t>225-235</w:t>
      </w:r>
      <w:r>
        <w:tab/>
      </w:r>
      <w:r>
        <w:rPr>
          <w:rFonts w:hint="eastAsia"/>
        </w:rPr>
        <w:t>50</w:t>
      </w:r>
    </w:p>
    <w:p w:rsidR="0064252C" w:rsidRDefault="0064252C">
      <w:pPr>
        <w:pStyle w:val="a1"/>
        <w:tabs>
          <w:tab w:val="clear" w:pos="851"/>
          <w:tab w:val="clear" w:pos="1565"/>
          <w:tab w:val="clear" w:pos="1996"/>
          <w:tab w:val="clear" w:pos="7655"/>
          <w:tab w:val="clear" w:pos="8789"/>
          <w:tab w:val="clear" w:pos="9554"/>
          <w:tab w:val="right" w:pos="850"/>
          <w:tab w:val="left" w:pos="1134"/>
          <w:tab w:val="left" w:pos="2394"/>
          <w:tab w:val="right" w:leader="dot" w:pos="7654"/>
          <w:tab w:val="right" w:pos="8787"/>
          <w:tab w:val="right" w:pos="9553"/>
        </w:tabs>
        <w:ind w:right="2551"/>
      </w:pPr>
      <w:r>
        <w:tab/>
      </w:r>
      <w:r>
        <w:rPr>
          <w:rFonts w:hint="eastAsia"/>
        </w:rPr>
        <w:tab/>
      </w:r>
      <w:r>
        <w:t>第六条</w:t>
      </w:r>
      <w:r>
        <w:rPr>
          <w:rFonts w:hint="eastAsia"/>
        </w:rPr>
        <w:tab/>
      </w:r>
      <w:r>
        <w:t>残疾妇女</w:t>
      </w:r>
      <w:r>
        <w:tab/>
      </w:r>
      <w:r>
        <w:tab/>
        <w:t>225-230</w:t>
      </w:r>
      <w:r>
        <w:tab/>
      </w:r>
      <w:r>
        <w:rPr>
          <w:rFonts w:hint="eastAsia"/>
        </w:rPr>
        <w:t>50</w:t>
      </w:r>
    </w:p>
    <w:p w:rsidR="0064252C" w:rsidRDefault="0064252C">
      <w:pPr>
        <w:pStyle w:val="a1"/>
        <w:tabs>
          <w:tab w:val="clear" w:pos="851"/>
          <w:tab w:val="clear" w:pos="1565"/>
          <w:tab w:val="clear" w:pos="1996"/>
          <w:tab w:val="clear" w:pos="7655"/>
          <w:tab w:val="clear" w:pos="8789"/>
          <w:tab w:val="clear" w:pos="9554"/>
          <w:tab w:val="right" w:pos="850"/>
          <w:tab w:val="left" w:pos="1134"/>
          <w:tab w:val="left" w:pos="2394"/>
          <w:tab w:val="right" w:leader="dot" w:pos="7654"/>
          <w:tab w:val="right" w:pos="8787"/>
          <w:tab w:val="right" w:pos="9553"/>
        </w:tabs>
        <w:ind w:right="2551"/>
        <w:rPr>
          <w:rFonts w:hint="eastAsia"/>
        </w:rPr>
      </w:pPr>
      <w:r>
        <w:tab/>
      </w:r>
      <w:r>
        <w:rPr>
          <w:rFonts w:hint="eastAsia"/>
        </w:rPr>
        <w:tab/>
      </w:r>
      <w:r>
        <w:t>第七条</w:t>
      </w:r>
      <w:r>
        <w:rPr>
          <w:rFonts w:hint="eastAsia"/>
        </w:rPr>
        <w:tab/>
      </w:r>
      <w:r>
        <w:t>残疾儿童</w:t>
      </w:r>
      <w:r>
        <w:tab/>
      </w:r>
      <w:r>
        <w:tab/>
        <w:t>231-235</w:t>
      </w:r>
      <w:r>
        <w:tab/>
      </w:r>
      <w:r>
        <w:rPr>
          <w:rFonts w:hint="eastAsia"/>
        </w:rPr>
        <w:t>51</w:t>
      </w:r>
    </w:p>
    <w:p w:rsidR="0064252C" w:rsidRDefault="0064252C">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t>五</w:t>
      </w:r>
      <w:r>
        <w:rPr>
          <w:rFonts w:hint="eastAsia"/>
        </w:rPr>
        <w:t>.</w:t>
      </w:r>
      <w:r>
        <w:rPr>
          <w:rFonts w:hint="eastAsia"/>
        </w:rPr>
        <w:tab/>
      </w:r>
      <w:r>
        <w:rPr>
          <w:rFonts w:hint="eastAsia"/>
        </w:rPr>
        <w:t>有关</w:t>
      </w:r>
      <w:r>
        <w:t>具体义务</w:t>
      </w:r>
      <w:r>
        <w:rPr>
          <w:rFonts w:hint="eastAsia"/>
        </w:rPr>
        <w:t>的报告部分</w:t>
      </w:r>
      <w:r>
        <w:tab/>
      </w:r>
      <w:r>
        <w:tab/>
        <w:t>236-253</w:t>
      </w:r>
      <w:r>
        <w:tab/>
      </w:r>
      <w:r>
        <w:rPr>
          <w:rFonts w:hint="eastAsia"/>
        </w:rPr>
        <w:t>52</w:t>
      </w:r>
    </w:p>
    <w:p w:rsidR="0064252C" w:rsidRDefault="0064252C">
      <w:pPr>
        <w:pStyle w:val="a1"/>
        <w:tabs>
          <w:tab w:val="clear" w:pos="851"/>
          <w:tab w:val="clear" w:pos="1565"/>
          <w:tab w:val="clear" w:pos="1996"/>
          <w:tab w:val="clear" w:pos="7655"/>
          <w:tab w:val="clear" w:pos="8789"/>
          <w:tab w:val="clear" w:pos="9554"/>
          <w:tab w:val="right" w:pos="850"/>
          <w:tab w:val="left" w:pos="1134"/>
          <w:tab w:val="left" w:pos="2394"/>
          <w:tab w:val="right" w:leader="dot" w:pos="7654"/>
          <w:tab w:val="right" w:pos="8787"/>
          <w:tab w:val="right" w:pos="9553"/>
        </w:tabs>
        <w:ind w:right="2551"/>
      </w:pPr>
      <w:r>
        <w:tab/>
      </w:r>
      <w:r>
        <w:rPr>
          <w:rFonts w:hint="eastAsia"/>
        </w:rPr>
        <w:tab/>
      </w:r>
      <w:r>
        <w:t>第三十一条</w:t>
      </w:r>
      <w:r>
        <w:rPr>
          <w:rFonts w:hint="eastAsia"/>
        </w:rPr>
        <w:tab/>
      </w:r>
      <w:r>
        <w:t>统计和数据收集</w:t>
      </w:r>
      <w:r>
        <w:tab/>
      </w:r>
      <w:r>
        <w:tab/>
        <w:t>236-240</w:t>
      </w:r>
      <w:r>
        <w:tab/>
      </w:r>
      <w:r>
        <w:rPr>
          <w:rFonts w:hint="eastAsia"/>
        </w:rPr>
        <w:t>52</w:t>
      </w:r>
    </w:p>
    <w:p w:rsidR="0064252C" w:rsidRDefault="0064252C">
      <w:pPr>
        <w:pStyle w:val="a1"/>
        <w:tabs>
          <w:tab w:val="clear" w:pos="851"/>
          <w:tab w:val="clear" w:pos="1565"/>
          <w:tab w:val="clear" w:pos="1996"/>
          <w:tab w:val="clear" w:pos="7655"/>
          <w:tab w:val="clear" w:pos="8789"/>
          <w:tab w:val="clear" w:pos="9554"/>
          <w:tab w:val="right" w:pos="850"/>
          <w:tab w:val="left" w:pos="1134"/>
          <w:tab w:val="left" w:pos="2394"/>
          <w:tab w:val="right" w:leader="dot" w:pos="7654"/>
          <w:tab w:val="right" w:pos="8787"/>
          <w:tab w:val="right" w:pos="9553"/>
        </w:tabs>
        <w:ind w:right="2551"/>
      </w:pPr>
      <w:r>
        <w:tab/>
      </w:r>
      <w:r>
        <w:rPr>
          <w:rFonts w:hint="eastAsia"/>
        </w:rPr>
        <w:tab/>
      </w:r>
      <w:r>
        <w:t>第三十二条</w:t>
      </w:r>
      <w:r>
        <w:rPr>
          <w:rFonts w:hint="eastAsia"/>
        </w:rPr>
        <w:tab/>
      </w:r>
      <w:r>
        <w:t>国际合作</w:t>
      </w:r>
      <w:r>
        <w:tab/>
      </w:r>
      <w:r>
        <w:tab/>
        <w:t>241-247</w:t>
      </w:r>
      <w:r>
        <w:tab/>
      </w:r>
      <w:r>
        <w:rPr>
          <w:rFonts w:hint="eastAsia"/>
        </w:rPr>
        <w:t>53</w:t>
      </w:r>
    </w:p>
    <w:p w:rsidR="0064252C" w:rsidRDefault="0064252C">
      <w:pPr>
        <w:pStyle w:val="a1"/>
        <w:tabs>
          <w:tab w:val="clear" w:pos="851"/>
          <w:tab w:val="clear" w:pos="1565"/>
          <w:tab w:val="clear" w:pos="1996"/>
          <w:tab w:val="clear" w:pos="7655"/>
          <w:tab w:val="clear" w:pos="8789"/>
          <w:tab w:val="clear" w:pos="9554"/>
          <w:tab w:val="right" w:pos="850"/>
          <w:tab w:val="left" w:pos="1134"/>
          <w:tab w:val="left" w:pos="2394"/>
          <w:tab w:val="right" w:leader="dot" w:pos="7654"/>
          <w:tab w:val="right" w:pos="8787"/>
          <w:tab w:val="right" w:pos="9553"/>
        </w:tabs>
        <w:ind w:right="2551"/>
      </w:pPr>
      <w:r>
        <w:tab/>
      </w:r>
      <w:r>
        <w:rPr>
          <w:rFonts w:hint="eastAsia"/>
        </w:rPr>
        <w:tab/>
      </w:r>
      <w:r>
        <w:t>第三十三条</w:t>
      </w:r>
      <w:r>
        <w:rPr>
          <w:rFonts w:hint="eastAsia"/>
        </w:rPr>
        <w:tab/>
      </w:r>
      <w:r>
        <w:t>国家实施和监测</w:t>
      </w:r>
      <w:r>
        <w:tab/>
      </w:r>
      <w:r>
        <w:tab/>
        <w:t>248-253</w:t>
      </w:r>
      <w:r>
        <w:tab/>
      </w:r>
      <w:r>
        <w:rPr>
          <w:rFonts w:hint="eastAsia"/>
        </w:rPr>
        <w:t>54</w:t>
      </w:r>
    </w:p>
    <w:p w:rsidR="0064252C" w:rsidRDefault="0064252C">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rPr>
          <w:rStyle w:val="FootnoteReference"/>
        </w:rPr>
      </w:pPr>
      <w:r>
        <w:rPr>
          <w:rFonts w:hint="eastAsia"/>
        </w:rPr>
        <w:tab/>
      </w:r>
      <w:r>
        <w:t>附件</w:t>
      </w:r>
      <w:r>
        <w:rPr>
          <w:rStyle w:val="FootnoteReference"/>
          <w:position w:val="6"/>
          <w:vertAlign w:val="baseline"/>
        </w:rPr>
        <w:footnoteReference w:customMarkFollows="1" w:id="2"/>
        <w:t>**</w:t>
      </w:r>
    </w:p>
    <w:p w:rsidR="0064252C" w:rsidRDefault="0064252C">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Style w:val="FootnoteReference"/>
        </w:rPr>
        <w:tab/>
      </w:r>
      <w:r>
        <w:t>一</w:t>
      </w:r>
      <w:r>
        <w:rPr>
          <w:rStyle w:val="FootnoteReference"/>
        </w:rPr>
        <w:t>.</w:t>
      </w:r>
      <w:r>
        <w:rPr>
          <w:rStyle w:val="FootnoteReference"/>
        </w:rPr>
        <w:tab/>
      </w:r>
      <w:r>
        <w:t>共同核心文件项下要素</w:t>
      </w:r>
    </w:p>
    <w:p w:rsidR="0064252C" w:rsidRDefault="0064252C">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tab/>
      </w:r>
      <w:r>
        <w:t>二</w:t>
      </w:r>
      <w:r>
        <w:t>.</w:t>
      </w:r>
      <w:r>
        <w:tab/>
      </w:r>
      <w:r>
        <w:t>统计数据</w:t>
      </w:r>
    </w:p>
    <w:p w:rsidR="0064252C" w:rsidRDefault="0064252C">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tab/>
      </w:r>
      <w:r>
        <w:t>三</w:t>
      </w:r>
      <w:r>
        <w:t>.</w:t>
      </w:r>
      <w:r>
        <w:tab/>
      </w:r>
      <w:r>
        <w:t>相关法规的副本</w:t>
      </w:r>
    </w:p>
    <w:p w:rsidR="0064252C" w:rsidRDefault="0064252C">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tab/>
      </w:r>
      <w:r>
        <w:t>四</w:t>
      </w:r>
      <w:r>
        <w:t>.</w:t>
      </w:r>
      <w:r>
        <w:tab/>
      </w:r>
      <w:r>
        <w:t>相关研究和科学研究及其摘要</w:t>
      </w:r>
    </w:p>
    <w:p w:rsidR="0064252C" w:rsidRDefault="0064252C">
      <w:pPr>
        <w:pStyle w:val="HChGC"/>
        <w:rPr>
          <w:rFonts w:hint="eastAsia"/>
          <w:lang w:val="en-GB"/>
        </w:rPr>
      </w:pPr>
      <w:r>
        <w:br w:type="page"/>
      </w:r>
      <w:r>
        <w:rPr>
          <w:rFonts w:hint="eastAsia"/>
        </w:rPr>
        <w:tab/>
      </w:r>
      <w:r>
        <w:rPr>
          <w:rFonts w:hint="eastAsia"/>
        </w:rPr>
        <w:tab/>
      </w:r>
      <w:r>
        <w:t>缩略语</w:t>
      </w:r>
    </w:p>
    <w:p w:rsidR="0064252C" w:rsidRDefault="0064252C">
      <w:pPr>
        <w:pStyle w:val="SingleTxtGC"/>
        <w:tabs>
          <w:tab w:val="clear" w:pos="1565"/>
          <w:tab w:val="clear" w:pos="1996"/>
          <w:tab w:val="clear" w:pos="2427"/>
          <w:tab w:val="left" w:pos="3120"/>
        </w:tabs>
      </w:pPr>
      <w:r>
        <w:t>CDWV</w:t>
      </w:r>
      <w:r>
        <w:tab/>
      </w:r>
      <w:r>
        <w:t>克罗地亚卫国战争伤残退伍军人</w:t>
      </w:r>
    </w:p>
    <w:p w:rsidR="0064252C" w:rsidRDefault="0064252C">
      <w:pPr>
        <w:pStyle w:val="SingleTxtGC"/>
        <w:tabs>
          <w:tab w:val="clear" w:pos="1565"/>
          <w:tab w:val="clear" w:pos="1996"/>
          <w:tab w:val="clear" w:pos="2427"/>
          <w:tab w:val="left" w:pos="3120"/>
        </w:tabs>
      </w:pPr>
      <w:r>
        <w:t>CE</w:t>
      </w:r>
      <w:r>
        <w:rPr>
          <w:rFonts w:hint="eastAsia"/>
        </w:rPr>
        <w:tab/>
      </w:r>
      <w:r>
        <w:t>欧洲委员会</w:t>
      </w:r>
    </w:p>
    <w:p w:rsidR="0064252C" w:rsidRDefault="0064252C">
      <w:pPr>
        <w:pStyle w:val="SingleTxtGC"/>
        <w:tabs>
          <w:tab w:val="clear" w:pos="1565"/>
          <w:tab w:val="clear" w:pos="1996"/>
          <w:tab w:val="clear" w:pos="2427"/>
          <w:tab w:val="left" w:pos="3120"/>
        </w:tabs>
        <w:ind w:left="3120" w:hanging="1986"/>
      </w:pPr>
      <w:r>
        <w:t>CEAP</w:t>
      </w:r>
      <w:r>
        <w:tab/>
      </w:r>
      <w:r>
        <w:t>《</w:t>
      </w:r>
      <w:r>
        <w:t>2006-2015</w:t>
      </w:r>
      <w:r>
        <w:t>年欧洲委员会促进残疾人在社会中的权利和充分参与社会行动计划：改善欧洲残疾人生活质量》</w:t>
      </w:r>
    </w:p>
    <w:p w:rsidR="0064252C" w:rsidRDefault="0064252C">
      <w:pPr>
        <w:pStyle w:val="SingleTxtGC"/>
        <w:tabs>
          <w:tab w:val="clear" w:pos="1565"/>
          <w:tab w:val="clear" w:pos="1996"/>
          <w:tab w:val="clear" w:pos="2427"/>
          <w:tab w:val="left" w:pos="3120"/>
        </w:tabs>
      </w:pPr>
      <w:r>
        <w:t>CEI</w:t>
      </w:r>
      <w:r>
        <w:rPr>
          <w:rFonts w:hint="eastAsia"/>
        </w:rPr>
        <w:tab/>
      </w:r>
      <w:r>
        <w:t>克罗地亚就业局</w:t>
      </w:r>
    </w:p>
    <w:p w:rsidR="0064252C" w:rsidRDefault="0064252C">
      <w:pPr>
        <w:pStyle w:val="SingleTxtGC"/>
        <w:tabs>
          <w:tab w:val="clear" w:pos="1565"/>
          <w:tab w:val="clear" w:pos="1996"/>
          <w:tab w:val="clear" w:pos="2427"/>
          <w:tab w:val="left" w:pos="3120"/>
        </w:tabs>
      </w:pPr>
      <w:r>
        <w:t>CIHI</w:t>
      </w:r>
      <w:r>
        <w:tab/>
      </w:r>
      <w:r>
        <w:t>克罗地亚医疗保险局</w:t>
      </w:r>
    </w:p>
    <w:p w:rsidR="0064252C" w:rsidRDefault="0064252C">
      <w:pPr>
        <w:pStyle w:val="SingleTxtGC"/>
        <w:tabs>
          <w:tab w:val="clear" w:pos="1565"/>
          <w:tab w:val="clear" w:pos="1996"/>
          <w:tab w:val="clear" w:pos="2427"/>
          <w:tab w:val="left" w:pos="3120"/>
        </w:tabs>
      </w:pPr>
      <w:r>
        <w:t>CNIPH</w:t>
      </w:r>
      <w:r>
        <w:tab/>
      </w:r>
      <w:r>
        <w:t>克罗地亚国家公共健康局</w:t>
      </w:r>
    </w:p>
    <w:p w:rsidR="0064252C" w:rsidRDefault="0064252C">
      <w:pPr>
        <w:pStyle w:val="SingleTxtGC"/>
        <w:tabs>
          <w:tab w:val="clear" w:pos="1565"/>
          <w:tab w:val="clear" w:pos="1996"/>
          <w:tab w:val="clear" w:pos="2427"/>
          <w:tab w:val="left" w:pos="3120"/>
        </w:tabs>
        <w:rPr>
          <w:rFonts w:hint="eastAsia"/>
        </w:rPr>
      </w:pPr>
      <w:r>
        <w:t>CPC</w:t>
      </w:r>
      <w:r>
        <w:tab/>
      </w:r>
      <w:r>
        <w:t>克罗地亚残奥委会</w:t>
      </w:r>
    </w:p>
    <w:p w:rsidR="0064252C" w:rsidRDefault="0064252C">
      <w:pPr>
        <w:pStyle w:val="SingleTxtGC"/>
        <w:tabs>
          <w:tab w:val="clear" w:pos="1565"/>
          <w:tab w:val="clear" w:pos="1996"/>
          <w:tab w:val="clear" w:pos="2427"/>
          <w:tab w:val="left" w:pos="3120"/>
        </w:tabs>
      </w:pPr>
      <w:r>
        <w:t>CPDGRC</w:t>
      </w:r>
      <w:r>
        <w:tab/>
      </w:r>
      <w:r>
        <w:t>克罗地亚共和国政府残疾人委员会</w:t>
      </w:r>
    </w:p>
    <w:p w:rsidR="0064252C" w:rsidRDefault="0064252C">
      <w:pPr>
        <w:pStyle w:val="SingleTxtGC"/>
        <w:tabs>
          <w:tab w:val="clear" w:pos="1565"/>
          <w:tab w:val="clear" w:pos="1996"/>
          <w:tab w:val="clear" w:pos="2427"/>
          <w:tab w:val="left" w:pos="3120"/>
        </w:tabs>
      </w:pPr>
      <w:r>
        <w:t>CPII</w:t>
      </w:r>
      <w:r>
        <w:tab/>
      </w:r>
      <w:r>
        <w:t>克罗地亚养老保险局</w:t>
      </w:r>
    </w:p>
    <w:p w:rsidR="0064252C" w:rsidRDefault="0064252C">
      <w:pPr>
        <w:pStyle w:val="SingleTxtGC"/>
        <w:tabs>
          <w:tab w:val="clear" w:pos="1565"/>
          <w:tab w:val="clear" w:pos="1996"/>
          <w:tab w:val="clear" w:pos="2427"/>
          <w:tab w:val="left" w:pos="3120"/>
        </w:tabs>
        <w:rPr>
          <w:rFonts w:hint="eastAsia"/>
        </w:rPr>
      </w:pPr>
      <w:r>
        <w:t>CRC</w:t>
      </w:r>
      <w:r>
        <w:tab/>
      </w:r>
      <w:r>
        <w:t>克罗地亚红十字会</w:t>
      </w:r>
    </w:p>
    <w:p w:rsidR="0064252C" w:rsidRDefault="0064252C">
      <w:pPr>
        <w:pStyle w:val="SingleTxtGC"/>
        <w:tabs>
          <w:tab w:val="clear" w:pos="1565"/>
          <w:tab w:val="clear" w:pos="1996"/>
          <w:tab w:val="clear" w:pos="2427"/>
          <w:tab w:val="left" w:pos="3120"/>
        </w:tabs>
        <w:rPr>
          <w:rFonts w:hint="eastAsia"/>
        </w:rPr>
      </w:pPr>
      <w:r>
        <w:t>CRPD</w:t>
      </w:r>
      <w:r>
        <w:tab/>
      </w:r>
      <w:r>
        <w:t>克罗地亚残疾人登记处</w:t>
      </w:r>
    </w:p>
    <w:p w:rsidR="0064252C" w:rsidRDefault="0064252C">
      <w:pPr>
        <w:pStyle w:val="SingleTxtGC"/>
        <w:tabs>
          <w:tab w:val="clear" w:pos="1565"/>
          <w:tab w:val="clear" w:pos="1996"/>
          <w:tab w:val="clear" w:pos="2427"/>
          <w:tab w:val="left" w:pos="3120"/>
        </w:tabs>
      </w:pPr>
      <w:r>
        <w:t>CSAOEC</w:t>
      </w:r>
      <w:r>
        <w:tab/>
        <w:t>e-Croatia</w:t>
      </w:r>
      <w:r>
        <w:t>中央国家行政办公室</w:t>
      </w:r>
    </w:p>
    <w:p w:rsidR="0064252C" w:rsidRDefault="0064252C">
      <w:pPr>
        <w:pStyle w:val="SingleTxtGC"/>
        <w:tabs>
          <w:tab w:val="clear" w:pos="1565"/>
          <w:tab w:val="clear" w:pos="1996"/>
          <w:tab w:val="clear" w:pos="2427"/>
          <w:tab w:val="left" w:pos="3120"/>
        </w:tabs>
      </w:pPr>
      <w:r>
        <w:t>CSO</w:t>
      </w:r>
      <w:r>
        <w:tab/>
      </w:r>
      <w:r>
        <w:t>民间社会组织</w:t>
      </w:r>
    </w:p>
    <w:p w:rsidR="0064252C" w:rsidRDefault="0064252C">
      <w:pPr>
        <w:pStyle w:val="SingleTxtGC"/>
        <w:tabs>
          <w:tab w:val="clear" w:pos="1565"/>
          <w:tab w:val="clear" w:pos="1996"/>
          <w:tab w:val="clear" w:pos="2427"/>
          <w:tab w:val="left" w:pos="3120"/>
        </w:tabs>
      </w:pPr>
      <w:r>
        <w:t>CUAPD</w:t>
      </w:r>
      <w:r>
        <w:tab/>
      </w:r>
      <w:r>
        <w:t>克罗地亚残疾人协会联合会</w:t>
      </w:r>
    </w:p>
    <w:p w:rsidR="0064252C" w:rsidRDefault="0064252C">
      <w:pPr>
        <w:pStyle w:val="SingleTxtGC"/>
        <w:tabs>
          <w:tab w:val="clear" w:pos="1565"/>
          <w:tab w:val="clear" w:pos="1996"/>
          <w:tab w:val="clear" w:pos="2427"/>
          <w:tab w:val="left" w:pos="3120"/>
        </w:tabs>
      </w:pPr>
      <w:r>
        <w:t>FERS</w:t>
      </w:r>
      <w:r>
        <w:tab/>
      </w:r>
      <w:r>
        <w:t>萨勒格布大学教育和康复科学系</w:t>
      </w:r>
    </w:p>
    <w:p w:rsidR="0064252C" w:rsidRDefault="0064252C">
      <w:pPr>
        <w:pStyle w:val="SingleTxtGC"/>
        <w:tabs>
          <w:tab w:val="clear" w:pos="1565"/>
          <w:tab w:val="clear" w:pos="1996"/>
          <w:tab w:val="clear" w:pos="2427"/>
          <w:tab w:val="left" w:pos="3120"/>
        </w:tabs>
      </w:pPr>
      <w:r>
        <w:t>FPREPD</w:t>
      </w:r>
      <w:r>
        <w:tab/>
      </w:r>
      <w:r>
        <w:t>残疾人专业康复和就业基金</w:t>
      </w:r>
    </w:p>
    <w:p w:rsidR="0064252C" w:rsidRDefault="0064252C">
      <w:pPr>
        <w:pStyle w:val="SingleTxtGC"/>
        <w:tabs>
          <w:tab w:val="clear" w:pos="1565"/>
          <w:tab w:val="clear" w:pos="1996"/>
          <w:tab w:val="clear" w:pos="2427"/>
          <w:tab w:val="left" w:pos="3120"/>
        </w:tabs>
      </w:pPr>
      <w:r>
        <w:t>GRC</w:t>
      </w:r>
      <w:r>
        <w:tab/>
      </w:r>
      <w:r>
        <w:t>克罗地亚共和国政府；</w:t>
      </w:r>
    </w:p>
    <w:p w:rsidR="0064252C" w:rsidRDefault="0064252C">
      <w:pPr>
        <w:pStyle w:val="SingleTxtGC"/>
        <w:tabs>
          <w:tab w:val="clear" w:pos="1565"/>
          <w:tab w:val="clear" w:pos="1996"/>
          <w:tab w:val="clear" w:pos="2427"/>
          <w:tab w:val="left" w:pos="3120"/>
        </w:tabs>
      </w:pPr>
      <w:r>
        <w:t>ICF</w:t>
      </w:r>
      <w:r>
        <w:tab/>
      </w:r>
      <w:r>
        <w:t>国际功能、残疾和健康分类</w:t>
      </w:r>
    </w:p>
    <w:p w:rsidR="0064252C" w:rsidRDefault="0064252C">
      <w:pPr>
        <w:pStyle w:val="SingleTxtGC"/>
        <w:tabs>
          <w:tab w:val="clear" w:pos="1565"/>
          <w:tab w:val="clear" w:pos="1996"/>
          <w:tab w:val="clear" w:pos="2427"/>
          <w:tab w:val="left" w:pos="3120"/>
        </w:tabs>
      </w:pPr>
      <w:r>
        <w:t>IFLA</w:t>
      </w:r>
      <w:r>
        <w:tab/>
      </w:r>
      <w:r>
        <w:t>国际图书馆协会联合会</w:t>
      </w:r>
    </w:p>
    <w:p w:rsidR="0064252C" w:rsidRDefault="0064252C">
      <w:pPr>
        <w:pStyle w:val="SingleTxtGC"/>
        <w:tabs>
          <w:tab w:val="clear" w:pos="1565"/>
          <w:tab w:val="clear" w:pos="1996"/>
          <w:tab w:val="clear" w:pos="2427"/>
          <w:tab w:val="left" w:pos="3120"/>
        </w:tabs>
      </w:pPr>
      <w:r>
        <w:t>IPA</w:t>
      </w:r>
      <w:r>
        <w:tab/>
      </w:r>
      <w:r>
        <w:t>《加入欧盟前援助文书》</w:t>
      </w:r>
    </w:p>
    <w:p w:rsidR="0064252C" w:rsidRDefault="0064252C">
      <w:pPr>
        <w:pStyle w:val="SingleTxtGC"/>
        <w:tabs>
          <w:tab w:val="clear" w:pos="1565"/>
          <w:tab w:val="clear" w:pos="1996"/>
          <w:tab w:val="clear" w:pos="2427"/>
          <w:tab w:val="left" w:pos="3120"/>
        </w:tabs>
      </w:pPr>
      <w:r>
        <w:t>JIM</w:t>
      </w:r>
      <w:r>
        <w:tab/>
      </w:r>
      <w:r>
        <w:t>《社会包容联合备忘录》</w:t>
      </w:r>
    </w:p>
    <w:p w:rsidR="0064252C" w:rsidRDefault="0064252C">
      <w:pPr>
        <w:pStyle w:val="SingleTxtGC"/>
        <w:tabs>
          <w:tab w:val="clear" w:pos="1565"/>
          <w:tab w:val="clear" w:pos="1996"/>
          <w:tab w:val="clear" w:pos="2427"/>
          <w:tab w:val="left" w:pos="3120"/>
        </w:tabs>
      </w:pPr>
      <w:r>
        <w:t>LSAU</w:t>
      </w:r>
      <w:r>
        <w:tab/>
      </w:r>
      <w:r>
        <w:t>地方自治单位</w:t>
      </w:r>
    </w:p>
    <w:p w:rsidR="0064252C" w:rsidRDefault="0064252C">
      <w:pPr>
        <w:pStyle w:val="SingleTxtGC"/>
        <w:tabs>
          <w:tab w:val="clear" w:pos="1565"/>
          <w:tab w:val="clear" w:pos="1996"/>
          <w:tab w:val="clear" w:pos="2427"/>
          <w:tab w:val="left" w:pos="3120"/>
        </w:tabs>
      </w:pPr>
      <w:r>
        <w:t>MC</w:t>
      </w:r>
      <w:r>
        <w:tab/>
      </w:r>
      <w:r>
        <w:t>文化部</w:t>
      </w:r>
    </w:p>
    <w:p w:rsidR="0064252C" w:rsidRDefault="0064252C">
      <w:pPr>
        <w:pStyle w:val="SingleTxtGC"/>
        <w:tabs>
          <w:tab w:val="clear" w:pos="1565"/>
          <w:tab w:val="clear" w:pos="1996"/>
          <w:tab w:val="clear" w:pos="2427"/>
          <w:tab w:val="left" w:pos="3120"/>
        </w:tabs>
      </w:pPr>
      <w:r>
        <w:t>MFVAIS</w:t>
      </w:r>
      <w:r>
        <w:rPr>
          <w:rFonts w:hint="eastAsia"/>
        </w:rPr>
        <w:tab/>
      </w:r>
      <w:r>
        <w:t>家庭、退伍军人事务和代际团结部</w:t>
      </w:r>
    </w:p>
    <w:p w:rsidR="0064252C" w:rsidRDefault="0064252C">
      <w:pPr>
        <w:pStyle w:val="SingleTxtGC"/>
        <w:tabs>
          <w:tab w:val="clear" w:pos="1565"/>
          <w:tab w:val="clear" w:pos="1996"/>
          <w:tab w:val="clear" w:pos="2427"/>
          <w:tab w:val="left" w:pos="3120"/>
        </w:tabs>
      </w:pPr>
      <w:r>
        <w:t>MHSW</w:t>
      </w:r>
      <w:r>
        <w:tab/>
      </w:r>
      <w:r>
        <w:t>卫生和社会福利部</w:t>
      </w:r>
    </w:p>
    <w:p w:rsidR="0064252C" w:rsidRDefault="0064252C">
      <w:pPr>
        <w:pStyle w:val="SingleTxtGC"/>
        <w:tabs>
          <w:tab w:val="clear" w:pos="1565"/>
          <w:tab w:val="clear" w:pos="1996"/>
          <w:tab w:val="clear" w:pos="2427"/>
          <w:tab w:val="left" w:pos="3120"/>
        </w:tabs>
      </w:pPr>
      <w:r>
        <w:t>MI</w:t>
      </w:r>
      <w:r>
        <w:tab/>
      </w:r>
      <w:r>
        <w:t>内务部</w:t>
      </w:r>
    </w:p>
    <w:p w:rsidR="0064252C" w:rsidRDefault="0064252C">
      <w:pPr>
        <w:pStyle w:val="SingleTxtGC"/>
        <w:tabs>
          <w:tab w:val="clear" w:pos="1565"/>
          <w:tab w:val="clear" w:pos="1996"/>
          <w:tab w:val="clear" w:pos="2427"/>
          <w:tab w:val="left" w:pos="3120"/>
        </w:tabs>
      </w:pPr>
      <w:r>
        <w:t>MJ</w:t>
      </w:r>
      <w:r>
        <w:tab/>
      </w:r>
      <w:r>
        <w:t>司法部</w:t>
      </w:r>
    </w:p>
    <w:p w:rsidR="0064252C" w:rsidRDefault="0064252C">
      <w:pPr>
        <w:pStyle w:val="SingleTxtGC"/>
        <w:tabs>
          <w:tab w:val="clear" w:pos="1565"/>
          <w:tab w:val="clear" w:pos="1996"/>
          <w:tab w:val="clear" w:pos="2427"/>
          <w:tab w:val="left" w:pos="3120"/>
        </w:tabs>
      </w:pPr>
      <w:r>
        <w:t>MPA</w:t>
      </w:r>
      <w:r>
        <w:tab/>
      </w:r>
      <w:r>
        <w:t>公共行政部</w:t>
      </w:r>
    </w:p>
    <w:p w:rsidR="0064252C" w:rsidRDefault="0064252C">
      <w:pPr>
        <w:pStyle w:val="SingleTxtGC"/>
        <w:tabs>
          <w:tab w:val="clear" w:pos="1565"/>
          <w:tab w:val="clear" w:pos="1996"/>
          <w:tab w:val="clear" w:pos="2427"/>
          <w:tab w:val="left" w:pos="3120"/>
        </w:tabs>
      </w:pPr>
      <w:r>
        <w:t>MRDFWM</w:t>
      </w:r>
      <w:r>
        <w:rPr>
          <w:rFonts w:hint="eastAsia"/>
        </w:rPr>
        <w:tab/>
      </w:r>
      <w:r>
        <w:t>地方发展、林业和水利部</w:t>
      </w:r>
    </w:p>
    <w:p w:rsidR="0064252C" w:rsidRDefault="0064252C">
      <w:pPr>
        <w:pStyle w:val="SingleTxtGC"/>
        <w:tabs>
          <w:tab w:val="clear" w:pos="1565"/>
          <w:tab w:val="clear" w:pos="1996"/>
          <w:tab w:val="clear" w:pos="2427"/>
          <w:tab w:val="left" w:pos="3120"/>
        </w:tabs>
      </w:pPr>
      <w:r>
        <w:t>MSES</w:t>
      </w:r>
      <w:r>
        <w:tab/>
      </w:r>
      <w:r>
        <w:t>科学、教育和体育部</w:t>
      </w:r>
    </w:p>
    <w:p w:rsidR="0064252C" w:rsidRDefault="0064252C">
      <w:pPr>
        <w:pStyle w:val="SingleTxtGC"/>
        <w:tabs>
          <w:tab w:val="clear" w:pos="1565"/>
          <w:tab w:val="clear" w:pos="1996"/>
          <w:tab w:val="clear" w:pos="2427"/>
          <w:tab w:val="left" w:pos="3120"/>
        </w:tabs>
      </w:pPr>
      <w:r>
        <w:t>MSTI</w:t>
      </w:r>
      <w:r>
        <w:tab/>
      </w:r>
      <w:r>
        <w:t>交通、海洋和基础设施部</w:t>
      </w:r>
    </w:p>
    <w:p w:rsidR="0064252C" w:rsidRDefault="0064252C">
      <w:pPr>
        <w:pStyle w:val="SingleTxtGC"/>
        <w:tabs>
          <w:tab w:val="clear" w:pos="1565"/>
          <w:tab w:val="clear" w:pos="1996"/>
          <w:tab w:val="clear" w:pos="2427"/>
          <w:tab w:val="left" w:pos="3120"/>
        </w:tabs>
      </w:pPr>
      <w:r>
        <w:t>MT</w:t>
      </w:r>
      <w:r>
        <w:tab/>
      </w:r>
      <w:r>
        <w:t>旅游部</w:t>
      </w:r>
    </w:p>
    <w:p w:rsidR="0064252C" w:rsidRDefault="0064252C">
      <w:pPr>
        <w:pStyle w:val="SingleTxtGC"/>
        <w:tabs>
          <w:tab w:val="clear" w:pos="1565"/>
          <w:tab w:val="clear" w:pos="1996"/>
          <w:tab w:val="clear" w:pos="2427"/>
          <w:tab w:val="left" w:pos="3120"/>
        </w:tabs>
      </w:pPr>
      <w:r>
        <w:t>NFCSD</w:t>
      </w:r>
      <w:r>
        <w:tab/>
      </w:r>
      <w:r>
        <w:t>国家公民社会发展基金会</w:t>
      </w:r>
    </w:p>
    <w:p w:rsidR="0064252C" w:rsidRDefault="0064252C">
      <w:pPr>
        <w:pStyle w:val="SingleTxtGC"/>
        <w:tabs>
          <w:tab w:val="clear" w:pos="1565"/>
          <w:tab w:val="clear" w:pos="1996"/>
          <w:tab w:val="clear" w:pos="2427"/>
          <w:tab w:val="left" w:pos="3120"/>
        </w:tabs>
      </w:pPr>
      <w:r>
        <w:t>NPPPHR</w:t>
      </w:r>
      <w:r>
        <w:tab/>
      </w:r>
      <w:r>
        <w:t>《</w:t>
      </w:r>
      <w:r>
        <w:t>2008-2011</w:t>
      </w:r>
      <w:r>
        <w:t>年保护和增进人权国家方案》</w:t>
      </w:r>
    </w:p>
    <w:p w:rsidR="0064252C" w:rsidRDefault="0064252C">
      <w:pPr>
        <w:pStyle w:val="SingleTxtGC"/>
        <w:tabs>
          <w:tab w:val="clear" w:pos="1565"/>
          <w:tab w:val="clear" w:pos="1996"/>
          <w:tab w:val="clear" w:pos="2427"/>
          <w:tab w:val="left" w:pos="3120"/>
        </w:tabs>
      </w:pPr>
      <w:r>
        <w:t>NSEOPD</w:t>
      </w:r>
      <w:r>
        <w:tab/>
      </w:r>
      <w:r>
        <w:t>《</w:t>
      </w:r>
      <w:r>
        <w:t>2007-2015</w:t>
      </w:r>
      <w:r>
        <w:t>年残疾人机会均等国家战略》</w:t>
      </w:r>
    </w:p>
    <w:p w:rsidR="0064252C" w:rsidRDefault="0064252C">
      <w:pPr>
        <w:pStyle w:val="SingleTxtGC"/>
        <w:tabs>
          <w:tab w:val="clear" w:pos="1565"/>
          <w:tab w:val="clear" w:pos="1996"/>
          <w:tab w:val="clear" w:pos="2427"/>
          <w:tab w:val="left" w:pos="3120"/>
        </w:tabs>
      </w:pPr>
      <w:r>
        <w:t>OCNGOGRC</w:t>
      </w:r>
      <w:r>
        <w:rPr>
          <w:rFonts w:hint="eastAsia"/>
        </w:rPr>
        <w:tab/>
      </w:r>
      <w:r>
        <w:t>克罗地亚共和国政府与非政府组织合作办公室</w:t>
      </w:r>
    </w:p>
    <w:p w:rsidR="0064252C" w:rsidRDefault="0064252C">
      <w:pPr>
        <w:pStyle w:val="SingleTxtGC"/>
        <w:tabs>
          <w:tab w:val="clear" w:pos="1565"/>
          <w:tab w:val="clear" w:pos="1996"/>
          <w:tab w:val="clear" w:pos="2427"/>
          <w:tab w:val="left" w:pos="3120"/>
        </w:tabs>
      </w:pPr>
      <w:r>
        <w:t>OGEGRC</w:t>
      </w:r>
      <w:r>
        <w:rPr>
          <w:rFonts w:hint="eastAsia"/>
        </w:rPr>
        <w:tab/>
      </w:r>
      <w:r>
        <w:t>克罗地亚共和国政府性别平等办公室</w:t>
      </w:r>
    </w:p>
    <w:p w:rsidR="0064252C" w:rsidRDefault="0064252C">
      <w:pPr>
        <w:pStyle w:val="SingleTxtGC"/>
        <w:tabs>
          <w:tab w:val="clear" w:pos="1565"/>
          <w:tab w:val="clear" w:pos="1996"/>
          <w:tab w:val="clear" w:pos="2427"/>
          <w:tab w:val="left" w:pos="3120"/>
        </w:tabs>
      </w:pPr>
      <w:r>
        <w:t>OHRGRC</w:t>
      </w:r>
      <w:r>
        <w:rPr>
          <w:rFonts w:hint="eastAsia"/>
        </w:rPr>
        <w:tab/>
      </w:r>
      <w:r>
        <w:t>克罗地亚共和国政府人权办公室</w:t>
      </w:r>
    </w:p>
    <w:p w:rsidR="0064252C" w:rsidRDefault="0064252C">
      <w:pPr>
        <w:pStyle w:val="SingleTxtGC"/>
        <w:tabs>
          <w:tab w:val="clear" w:pos="1565"/>
          <w:tab w:val="clear" w:pos="1996"/>
          <w:tab w:val="clear" w:pos="2427"/>
          <w:tab w:val="left" w:pos="3120"/>
        </w:tabs>
      </w:pPr>
      <w:r>
        <w:t>OOC</w:t>
      </w:r>
      <w:r>
        <w:tab/>
      </w:r>
      <w:r>
        <w:t>儿童监察员办公室</w:t>
      </w:r>
    </w:p>
    <w:p w:rsidR="0064252C" w:rsidRDefault="0064252C">
      <w:pPr>
        <w:pStyle w:val="SingleTxtGC"/>
        <w:tabs>
          <w:tab w:val="clear" w:pos="1565"/>
          <w:tab w:val="clear" w:pos="1996"/>
          <w:tab w:val="clear" w:pos="2427"/>
          <w:tab w:val="left" w:pos="3120"/>
        </w:tabs>
      </w:pPr>
      <w:r>
        <w:t>OOPD</w:t>
      </w:r>
      <w:r>
        <w:tab/>
      </w:r>
      <w:r>
        <w:t>残疾人监察员办公室</w:t>
      </w:r>
    </w:p>
    <w:p w:rsidR="0064252C" w:rsidRDefault="0064252C">
      <w:pPr>
        <w:pStyle w:val="SingleTxtGC"/>
        <w:tabs>
          <w:tab w:val="clear" w:pos="1565"/>
          <w:tab w:val="clear" w:pos="1996"/>
          <w:tab w:val="clear" w:pos="2427"/>
          <w:tab w:val="left" w:pos="3120"/>
        </w:tabs>
      </w:pPr>
      <w:r>
        <w:t>RC</w:t>
      </w:r>
      <w:r>
        <w:tab/>
      </w:r>
      <w:r>
        <w:t>克罗地亚共和国</w:t>
      </w:r>
    </w:p>
    <w:p w:rsidR="0064252C" w:rsidRDefault="0064252C">
      <w:pPr>
        <w:pStyle w:val="SingleTxtGC"/>
        <w:tabs>
          <w:tab w:val="clear" w:pos="1565"/>
          <w:tab w:val="clear" w:pos="1996"/>
          <w:tab w:val="clear" w:pos="2427"/>
          <w:tab w:val="left" w:pos="3120"/>
        </w:tabs>
      </w:pPr>
      <w:r>
        <w:t>RSAU</w:t>
      </w:r>
      <w:r>
        <w:tab/>
      </w:r>
      <w:r>
        <w:t>区域自治单位</w:t>
      </w:r>
    </w:p>
    <w:p w:rsidR="0064252C" w:rsidRDefault="0064252C">
      <w:pPr>
        <w:pStyle w:val="SingleTxtGC"/>
        <w:tabs>
          <w:tab w:val="clear" w:pos="1565"/>
          <w:tab w:val="clear" w:pos="1996"/>
          <w:tab w:val="clear" w:pos="2427"/>
          <w:tab w:val="left" w:pos="3120"/>
        </w:tabs>
      </w:pPr>
      <w:r>
        <w:t>SWC</w:t>
      </w:r>
      <w:r>
        <w:tab/>
      </w:r>
      <w:r>
        <w:t>社会福利中心</w:t>
      </w:r>
    </w:p>
    <w:p w:rsidR="0064252C" w:rsidRDefault="0064252C">
      <w:pPr>
        <w:pStyle w:val="SingleTxtGC"/>
        <w:tabs>
          <w:tab w:val="clear" w:pos="1565"/>
          <w:tab w:val="clear" w:pos="1996"/>
          <w:tab w:val="clear" w:pos="2427"/>
          <w:tab w:val="left" w:pos="3120"/>
        </w:tabs>
      </w:pPr>
      <w:r>
        <w:t>UNCRPD</w:t>
      </w:r>
      <w:r>
        <w:rPr>
          <w:rFonts w:hint="eastAsia"/>
        </w:rPr>
        <w:tab/>
      </w:r>
      <w:r>
        <w:t>《残疾人权利公约》</w:t>
      </w:r>
    </w:p>
    <w:p w:rsidR="0064252C" w:rsidRDefault="0064252C">
      <w:pPr>
        <w:pStyle w:val="SingleTxtGC"/>
        <w:tabs>
          <w:tab w:val="clear" w:pos="1565"/>
          <w:tab w:val="clear" w:pos="1996"/>
          <w:tab w:val="clear" w:pos="2427"/>
          <w:tab w:val="left" w:pos="3120"/>
        </w:tabs>
      </w:pPr>
      <w:r>
        <w:t>UNDP</w:t>
      </w:r>
      <w:r>
        <w:tab/>
      </w:r>
      <w:r>
        <w:t>联合国开发计划署</w:t>
      </w:r>
      <w:r>
        <w:rPr>
          <w:rFonts w:hint="eastAsia"/>
        </w:rPr>
        <w:t>(</w:t>
      </w:r>
      <w:r>
        <w:t>开发署</w:t>
      </w:r>
      <w:r>
        <w:rPr>
          <w:rFonts w:hint="eastAsia"/>
        </w:rPr>
        <w:t>)</w:t>
      </w:r>
    </w:p>
    <w:p w:rsidR="0064252C" w:rsidRDefault="0064252C">
      <w:pPr>
        <w:pStyle w:val="HChGC"/>
        <w:rPr>
          <w:lang w:val="en-GB"/>
        </w:rPr>
      </w:pPr>
      <w:r>
        <w:rPr>
          <w:lang w:val="en-GB"/>
        </w:rPr>
        <w:br w:type="page"/>
      </w:r>
      <w:r>
        <w:rPr>
          <w:rFonts w:hint="eastAsia"/>
          <w:lang w:val="en-GB"/>
        </w:rPr>
        <w:tab/>
      </w:r>
      <w:r>
        <w:rPr>
          <w:lang w:val="en-GB"/>
        </w:rPr>
        <w:t>一</w:t>
      </w:r>
      <w:r>
        <w:rPr>
          <w:lang w:val="en-GB"/>
        </w:rPr>
        <w:t>.</w:t>
      </w:r>
      <w:r>
        <w:rPr>
          <w:rFonts w:ascii="SimSun" w:eastAsia="SimSun" w:hAnsi="SimSun" w:cs="SimSun" w:hint="eastAsia"/>
          <w:lang w:val="en-GB"/>
        </w:rPr>
        <w:tab/>
      </w:r>
      <w:r>
        <w:rPr>
          <w:lang w:val="en-GB"/>
        </w:rPr>
        <w:t>导言</w:t>
      </w:r>
    </w:p>
    <w:p w:rsidR="0064252C" w:rsidRDefault="0064252C">
      <w:pPr>
        <w:pStyle w:val="SingleTxtGC"/>
        <w:rPr>
          <w:lang w:val="en-GB"/>
        </w:rPr>
      </w:pPr>
      <w:r>
        <w:rPr>
          <w:lang w:val="en-GB"/>
        </w:rPr>
        <w:t xml:space="preserve">1.  </w:t>
      </w:r>
      <w:r>
        <w:t>作为联合国会员国、欧洲委员会成员国</w:t>
      </w:r>
      <w:r>
        <w:rPr>
          <w:lang w:val="en-GB"/>
        </w:rPr>
        <w:t>以及</w:t>
      </w:r>
      <w:r>
        <w:t>作为公民社会和经济安全领域所有主要公约和标准的签字国</w:t>
      </w:r>
      <w:r>
        <w:rPr>
          <w:lang w:val="en-GB"/>
        </w:rPr>
        <w:t>，</w:t>
      </w:r>
      <w:r>
        <w:t>克罗地亚共和国已承担起保护和促进残疾人人权的义务</w:t>
      </w:r>
      <w:r>
        <w:rPr>
          <w:lang w:val="en-GB"/>
        </w:rPr>
        <w:t>，</w:t>
      </w:r>
      <w:r>
        <w:t>特别是在促进残疾人机会均等领域</w:t>
      </w:r>
      <w:r>
        <w:rPr>
          <w:lang w:val="en-GB"/>
        </w:rPr>
        <w:t>，</w:t>
      </w:r>
      <w:r>
        <w:t>以便他们能够平等参与公民、政治、经济、社会和文化各方面生活。克罗地亚承诺充分实现残疾人一切基本人权</w:t>
      </w:r>
      <w:r>
        <w:rPr>
          <w:lang w:val="en-GB"/>
        </w:rPr>
        <w:t>，</w:t>
      </w:r>
      <w:r>
        <w:t>并通过在</w:t>
      </w:r>
      <w:r>
        <w:rPr>
          <w:lang w:val="en-GB"/>
        </w:rPr>
        <w:t>2007</w:t>
      </w:r>
      <w:r>
        <w:t>年</w:t>
      </w:r>
      <w:r>
        <w:rPr>
          <w:lang w:val="en-GB"/>
        </w:rPr>
        <w:t>3</w:t>
      </w:r>
      <w:r>
        <w:t>月签署《残疾人权利公约》和克罗地亚议会随后在</w:t>
      </w:r>
      <w:r>
        <w:rPr>
          <w:lang w:val="en-GB"/>
        </w:rPr>
        <w:t>2007</w:t>
      </w:r>
      <w:r>
        <w:t>年</w:t>
      </w:r>
      <w:r>
        <w:rPr>
          <w:lang w:val="en-GB"/>
        </w:rPr>
        <w:t>6</w:t>
      </w:r>
      <w:r>
        <w:t>月</w:t>
      </w:r>
      <w:r>
        <w:rPr>
          <w:lang w:val="en-GB"/>
        </w:rPr>
        <w:t>1</w:t>
      </w:r>
      <w:r>
        <w:t>日批准《公约》加以确认。《克罗地亚共和国宪法》直接保障国家在残疾人保护及其融入社会生活方面提供特殊关照，并通过适用一般原则，确定通过专门法律平等生活的权利。</w:t>
      </w:r>
    </w:p>
    <w:p w:rsidR="0064252C" w:rsidRDefault="0064252C">
      <w:pPr>
        <w:pStyle w:val="SingleTxtGC"/>
        <w:rPr>
          <w:lang w:val="en-GB"/>
        </w:rPr>
      </w:pPr>
      <w:r>
        <w:rPr>
          <w:lang w:val="en-GB"/>
        </w:rPr>
        <w:t>2.  2007</w:t>
      </w:r>
      <w:r>
        <w:rPr>
          <w:lang w:val="en-GB"/>
        </w:rPr>
        <w:t>年</w:t>
      </w:r>
      <w:r>
        <w:rPr>
          <w:lang w:val="en-GB"/>
        </w:rPr>
        <w:t>6</w:t>
      </w:r>
      <w:r>
        <w:rPr>
          <w:lang w:val="en-GB"/>
        </w:rPr>
        <w:t>月</w:t>
      </w:r>
      <w:r>
        <w:rPr>
          <w:lang w:val="en-GB"/>
        </w:rPr>
        <w:t>5</w:t>
      </w:r>
      <w:r>
        <w:rPr>
          <w:lang w:val="en-GB"/>
        </w:rPr>
        <w:t>日，克罗地亚共和国政府在《</w:t>
      </w:r>
      <w:r>
        <w:t>残疾人权利公约》和《</w:t>
      </w:r>
      <w:r>
        <w:rPr>
          <w:lang w:val="en-GB"/>
        </w:rPr>
        <w:t>2006-2015</w:t>
      </w:r>
      <w:r>
        <w:t>年欧洲委员会促进残疾人在社会中的权利和充分参与社会行动计划</w:t>
      </w:r>
      <w:r>
        <w:rPr>
          <w:lang w:val="en-GB"/>
        </w:rPr>
        <w:t>：</w:t>
      </w:r>
      <w:r>
        <w:t>改善欧洲残疾人生活质量》的基础上</w:t>
      </w:r>
      <w:r>
        <w:rPr>
          <w:lang w:val="en-GB"/>
        </w:rPr>
        <w:t>，通过了《</w:t>
      </w:r>
      <w:r>
        <w:rPr>
          <w:lang w:val="en-GB"/>
        </w:rPr>
        <w:t>2007-2015</w:t>
      </w:r>
      <w:r>
        <w:rPr>
          <w:lang w:val="en-GB"/>
        </w:rPr>
        <w:t>年残疾人机会均等国家战略》。</w:t>
      </w:r>
      <w:r>
        <w:t>该《国家战略》列出了</w:t>
      </w:r>
      <w:r>
        <w:t>101</w:t>
      </w:r>
      <w:r>
        <w:t>项措施，明确了实施承办方和共同承办方，阐述了各项措施的实施活动和期限，设定了实施指标，并规定了规划各项措施实施资金的义务。《国家战略》的目的是协调统一残疾人保护领域的所有活动方案，使之符合在全球一级取得的标准和所有旨在努力让生活和活动的所有方面对残疾人开放且不对其构成障碍的趋势。《国家战略》的总体目标如下：尊重人权、不歧视、创造平等机会、公民充分参与、充分参与社区生活和融入全球和欧洲残疾人政策框架。《国家战略》以既定框架为基础，寻求新的解决方案，确保在所有与残疾人利益有利害关系的领域，特别是在改善当地社区生活质量领域采取综合性做法。《国家战略》实施工作的协调单位是家庭、退伍军人事务和代际团结部和克罗地亚共和国政府的咨询和专业机构克罗地亚共和国政府残疾人委员会。</w:t>
      </w:r>
    </w:p>
    <w:p w:rsidR="0064252C" w:rsidRDefault="0064252C">
      <w:pPr>
        <w:pStyle w:val="SingleTxtGC"/>
      </w:pPr>
      <w:r>
        <w:rPr>
          <w:lang w:val="en-GB"/>
        </w:rPr>
        <w:t xml:space="preserve">3.  </w:t>
      </w:r>
      <w:r>
        <w:t>为</w:t>
      </w:r>
      <w:r>
        <w:rPr>
          <w:rFonts w:hint="eastAsia"/>
        </w:rPr>
        <w:t>加强</w:t>
      </w:r>
      <w:r>
        <w:t>《国家战略》各项措施的实施情况</w:t>
      </w:r>
      <w:r>
        <w:rPr>
          <w:lang w:val="en-GB"/>
        </w:rPr>
        <w:t>，</w:t>
      </w:r>
      <w:r>
        <w:t>并更好地对实施工作和报告工作进行横向和纵向协调</w:t>
      </w:r>
      <w:r>
        <w:rPr>
          <w:lang w:val="en-GB"/>
        </w:rPr>
        <w:t>，</w:t>
      </w:r>
      <w:r>
        <w:t>家庭、退伍军人事务和代际团结部与联合国开发计划署</w:t>
      </w:r>
      <w:r>
        <w:rPr>
          <w:lang w:val="en-GB"/>
        </w:rPr>
        <w:t>(</w:t>
      </w:r>
      <w:r>
        <w:t>开发署</w:t>
      </w:r>
      <w:r>
        <w:rPr>
          <w:lang w:val="en-GB"/>
        </w:rPr>
        <w:t>)</w:t>
      </w:r>
      <w:r>
        <w:t>展开合作</w:t>
      </w:r>
      <w:r>
        <w:rPr>
          <w:lang w:val="en-GB"/>
        </w:rPr>
        <w:t>，</w:t>
      </w:r>
      <w:r>
        <w:t>自</w:t>
      </w:r>
      <w:r>
        <w:rPr>
          <w:lang w:val="en-GB"/>
        </w:rPr>
        <w:t>2009</w:t>
      </w:r>
      <w:r>
        <w:t>年起实施</w:t>
      </w:r>
      <w:r>
        <w:rPr>
          <w:rFonts w:hint="eastAsia"/>
          <w:lang w:val="en-GB"/>
        </w:rPr>
        <w:t>“</w:t>
      </w:r>
      <w:r>
        <w:t>支助适用《</w:t>
      </w:r>
      <w:r>
        <w:rPr>
          <w:lang w:val="en-GB"/>
        </w:rPr>
        <w:t>2007-2015</w:t>
      </w:r>
      <w:r>
        <w:t>年残疾人机会均等国家战略》实施情况监测和评价机制</w:t>
      </w:r>
      <w:r>
        <w:rPr>
          <w:rFonts w:hint="eastAsia"/>
        </w:rPr>
        <w:t>”</w:t>
      </w:r>
      <w:r>
        <w:t>项目。因此，对《国家战略》进行了分析，并进而开始查明挑战，为改进实施和监测情况而创建新工具</w:t>
      </w:r>
      <w:r>
        <w:t>(</w:t>
      </w:r>
      <w:r>
        <w:t>《残疾人机会均等国家战略》实施情况监测框架</w:t>
      </w:r>
      <w:r>
        <w:t>)</w:t>
      </w:r>
      <w:r>
        <w:t>和完善现有工具</w:t>
      </w:r>
      <w:r>
        <w:t>(</w:t>
      </w:r>
      <w:r>
        <w:t>《残疾人机会均等国家战略》措施实施情况报告编写格式</w:t>
      </w:r>
      <w:r>
        <w:t>)</w:t>
      </w:r>
      <w:r>
        <w:t>；并举办了各级</w:t>
      </w:r>
      <w:r>
        <w:t>(</w:t>
      </w:r>
      <w:r>
        <w:t>国家、区域和地方</w:t>
      </w:r>
      <w:r>
        <w:t>)</w:t>
      </w:r>
      <w:r>
        <w:t>承办方和共同承办方、国家行政办公室和家庭中心代表和各残疾人协会代表共同参加的磋商和教育讲习班。完善《国家战略》实施、监测和评价的目的是在国家和地方两级国家立法和战略计划中充分落实《残疾人权利公约》，这一进程将在下一阶段继续展开。</w:t>
      </w:r>
    </w:p>
    <w:p w:rsidR="0064252C" w:rsidRDefault="0064252C">
      <w:pPr>
        <w:pStyle w:val="SingleTxtGC"/>
        <w:rPr>
          <w:lang w:val="en-GB"/>
        </w:rPr>
      </w:pPr>
      <w:r>
        <w:rPr>
          <w:lang w:val="en-GB"/>
        </w:rPr>
        <w:t xml:space="preserve">4.  </w:t>
      </w:r>
      <w:r>
        <w:t>截至</w:t>
      </w:r>
      <w:r>
        <w:rPr>
          <w:lang w:val="en-GB"/>
        </w:rPr>
        <w:t>2011</w:t>
      </w:r>
      <w:r>
        <w:t>年</w:t>
      </w:r>
      <w:r>
        <w:rPr>
          <w:lang w:val="en-GB"/>
        </w:rPr>
        <w:t>1</w:t>
      </w:r>
      <w:r>
        <w:t>月</w:t>
      </w:r>
      <w:r>
        <w:rPr>
          <w:lang w:val="en-GB"/>
        </w:rPr>
        <w:t>10</w:t>
      </w:r>
      <w:r>
        <w:t>日</w:t>
      </w:r>
      <w:r>
        <w:rPr>
          <w:lang w:val="en-GB"/>
        </w:rPr>
        <w:t>，</w:t>
      </w:r>
      <w:r>
        <w:t>克罗地亚共和国残疾人登记总数人为</w:t>
      </w:r>
      <w:r>
        <w:rPr>
          <w:lang w:val="en-GB"/>
        </w:rPr>
        <w:t>531,506</w:t>
      </w:r>
      <w:r>
        <w:t>人</w:t>
      </w:r>
      <w:r>
        <w:rPr>
          <w:lang w:val="en-GB"/>
        </w:rPr>
        <w:t>，</w:t>
      </w:r>
      <w:r>
        <w:t>其中</w:t>
      </w:r>
      <w:r>
        <w:rPr>
          <w:lang w:val="en-GB"/>
        </w:rPr>
        <w:t>318,169</w:t>
      </w:r>
      <w:r>
        <w:t>人为男性</w:t>
      </w:r>
      <w:r>
        <w:rPr>
          <w:lang w:val="en-GB"/>
        </w:rPr>
        <w:t>(59.9%)</w:t>
      </w:r>
      <w:r>
        <w:rPr>
          <w:lang w:val="en-GB"/>
        </w:rPr>
        <w:t>，</w:t>
      </w:r>
      <w:r>
        <w:rPr>
          <w:lang w:val="en-GB"/>
        </w:rPr>
        <w:t>213,337</w:t>
      </w:r>
      <w:r>
        <w:t>人为女性</w:t>
      </w:r>
      <w:r>
        <w:rPr>
          <w:lang w:val="en-GB"/>
        </w:rPr>
        <w:t>(40.1%)</w:t>
      </w:r>
      <w:r>
        <w:rPr>
          <w:lang w:val="en-GB"/>
        </w:rPr>
        <w:t>，</w:t>
      </w:r>
      <w:r>
        <w:t>约占克罗地亚共和国总人口的</w:t>
      </w:r>
      <w:r>
        <w:rPr>
          <w:lang w:val="en-GB"/>
        </w:rPr>
        <w:t>12%</w:t>
      </w:r>
      <w:r>
        <w:t>。在残疾人当中，处于工作年龄段，即年龄介于</w:t>
      </w:r>
      <w:r>
        <w:t>19</w:t>
      </w:r>
      <w:r>
        <w:t>周岁至</w:t>
      </w:r>
      <w:r>
        <w:t>64</w:t>
      </w:r>
      <w:r>
        <w:t>周岁之间的人口最多，有</w:t>
      </w:r>
      <w:r>
        <w:t>292,320</w:t>
      </w:r>
      <w:r>
        <w:t>人</w:t>
      </w:r>
      <w:r>
        <w:t>(55%)(</w:t>
      </w:r>
      <w:r>
        <w:t>附件二表</w:t>
      </w:r>
      <w:r>
        <w:t>1)</w:t>
      </w:r>
      <w:r>
        <w:t>；发育障碍儿童</w:t>
      </w:r>
      <w:r>
        <w:t>(</w:t>
      </w:r>
      <w:r>
        <w:t>年龄在</w:t>
      </w:r>
      <w:r>
        <w:t>0</w:t>
      </w:r>
      <w:r>
        <w:t>到</w:t>
      </w:r>
      <w:r>
        <w:t>18</w:t>
      </w:r>
      <w:r>
        <w:t>周岁之间</w:t>
      </w:r>
      <w:r>
        <w:t>)</w:t>
      </w:r>
      <w:r>
        <w:t>有</w:t>
      </w:r>
      <w:r>
        <w:t>33,627</w:t>
      </w:r>
      <w:r>
        <w:t>人，占残疾人总人口的</w:t>
      </w:r>
      <w:r>
        <w:t>6.3%</w:t>
      </w:r>
      <w:r>
        <w:t>，年龄在</w:t>
      </w:r>
      <w:r>
        <w:t>65</w:t>
      </w:r>
      <w:r>
        <w:t>周岁及以上的人口有</w:t>
      </w:r>
      <w:r>
        <w:t>205,559</w:t>
      </w:r>
      <w:r>
        <w:t>人，占残疾人总人口的</w:t>
      </w:r>
      <w:r>
        <w:t>38.7%</w:t>
      </w:r>
      <w:r>
        <w:t>。</w:t>
      </w:r>
    </w:p>
    <w:p w:rsidR="0064252C" w:rsidRDefault="0064252C">
      <w:pPr>
        <w:pStyle w:val="SingleTxtGC"/>
        <w:rPr>
          <w:lang w:val="en-GB"/>
        </w:rPr>
      </w:pPr>
      <w:r>
        <w:rPr>
          <w:lang w:val="en-GB"/>
        </w:rPr>
        <w:t xml:space="preserve">5.  </w:t>
      </w:r>
      <w:r>
        <w:t>残疾人中最常见的损伤类</w:t>
      </w:r>
      <w:r>
        <w:rPr>
          <w:rFonts w:hint="eastAsia"/>
        </w:rPr>
        <w:t>型</w:t>
      </w:r>
      <w:r>
        <w:t>是运动系统损伤和其他器官和器官系统损伤。如果对男女之间的残疾差异加以分析，便会发现男性各类损伤发生率高于女性，而先天畸形和染色体异常发生率则低于女性。男女之间残疾流行情况特别显著的差异表现在精神失常、运动器官损伤和自闭症三个方面。</w:t>
      </w:r>
    </w:p>
    <w:p w:rsidR="0064252C" w:rsidRDefault="0064252C">
      <w:pPr>
        <w:pStyle w:val="SingleTxtGC"/>
        <w:rPr>
          <w:lang w:val="en-GB"/>
        </w:rPr>
      </w:pPr>
      <w:r>
        <w:rPr>
          <w:lang w:val="en-GB"/>
        </w:rPr>
        <w:t xml:space="preserve">6.  </w:t>
      </w:r>
      <w:r>
        <w:t>欲了解更多关于上述内容的信息，请参阅附件二表</w:t>
      </w:r>
      <w:r>
        <w:t>2</w:t>
      </w:r>
      <w:r>
        <w:t>至表</w:t>
      </w:r>
      <w:r>
        <w:t>6</w:t>
      </w:r>
      <w:r>
        <w:t>。</w:t>
      </w:r>
    </w:p>
    <w:p w:rsidR="0064252C" w:rsidRDefault="0064252C">
      <w:pPr>
        <w:pStyle w:val="HChGC"/>
        <w:rPr>
          <w:lang w:val="en-GB"/>
        </w:rPr>
      </w:pPr>
      <w:r>
        <w:rPr>
          <w:lang w:val="en-GB"/>
        </w:rPr>
        <w:tab/>
      </w:r>
      <w:r>
        <w:rPr>
          <w:lang w:val="en-GB"/>
        </w:rPr>
        <w:t>二</w:t>
      </w:r>
      <w:r>
        <w:rPr>
          <w:lang w:val="en-GB"/>
        </w:rPr>
        <w:t>.</w:t>
      </w:r>
      <w:r>
        <w:rPr>
          <w:rFonts w:ascii="SimSun" w:eastAsia="SimSun" w:hAnsi="SimSun" w:cs="SimSun" w:hint="eastAsia"/>
          <w:lang w:val="en-GB"/>
        </w:rPr>
        <w:tab/>
      </w:r>
      <w:r>
        <w:rPr>
          <w:lang w:val="en-GB"/>
        </w:rPr>
        <w:t>《公约》的一般性规定</w:t>
      </w:r>
    </w:p>
    <w:p w:rsidR="0064252C" w:rsidRDefault="0064252C">
      <w:pPr>
        <w:pStyle w:val="H1GC"/>
      </w:pPr>
      <w:r>
        <w:tab/>
      </w:r>
      <w:r>
        <w:tab/>
      </w:r>
      <w:r>
        <w:t>第一至第四条</w:t>
      </w:r>
    </w:p>
    <w:p w:rsidR="0064252C" w:rsidRDefault="0064252C">
      <w:pPr>
        <w:pStyle w:val="H23GC"/>
        <w:rPr>
          <w:lang w:val="en-GB"/>
        </w:rPr>
      </w:pPr>
      <w:r>
        <w:rPr>
          <w:rFonts w:hint="eastAsia"/>
          <w:lang w:val="en-GB"/>
        </w:rPr>
        <w:tab/>
      </w:r>
      <w:r>
        <w:rPr>
          <w:lang w:val="en-GB"/>
        </w:rPr>
        <w:t>1.</w:t>
      </w:r>
      <w:r>
        <w:rPr>
          <w:rFonts w:ascii="SimSun" w:eastAsia="SimSun" w:hAnsi="SimSun" w:cs="SimSun" w:hint="eastAsia"/>
          <w:lang w:val="en-GB"/>
        </w:rPr>
        <w:tab/>
      </w:r>
      <w:r>
        <w:t>定义</w:t>
      </w:r>
    </w:p>
    <w:p w:rsidR="0064252C" w:rsidRDefault="0064252C">
      <w:pPr>
        <w:pStyle w:val="SingleTxtGC"/>
        <w:rPr>
          <w:lang w:val="en-GB"/>
        </w:rPr>
      </w:pPr>
      <w:r>
        <w:rPr>
          <w:lang w:val="en-GB"/>
        </w:rPr>
        <w:t xml:space="preserve">7.  </w:t>
      </w:r>
      <w:bookmarkStart w:id="0" w:name="OLE_LINK1"/>
      <w:bookmarkStart w:id="1" w:name="OLE_LINK2"/>
      <w:bookmarkStart w:id="2" w:name="OLE_LINK3"/>
      <w:r>
        <w:t>关于</w:t>
      </w:r>
      <w:r>
        <w:rPr>
          <w:rFonts w:hint="eastAsia"/>
          <w:lang w:val="en-GB"/>
        </w:rPr>
        <w:t>“</w:t>
      </w:r>
      <w:r>
        <w:t>残疾</w:t>
      </w:r>
      <w:r>
        <w:rPr>
          <w:rFonts w:hint="eastAsia"/>
          <w:lang w:val="en-GB"/>
        </w:rPr>
        <w:t>”</w:t>
      </w:r>
      <w:r>
        <w:t>和</w:t>
      </w:r>
      <w:r>
        <w:rPr>
          <w:rFonts w:hint="eastAsia"/>
          <w:lang w:val="en-GB"/>
        </w:rPr>
        <w:t>“</w:t>
      </w:r>
      <w:r>
        <w:t>残疾人</w:t>
      </w:r>
      <w:r>
        <w:rPr>
          <w:rFonts w:hint="eastAsia"/>
          <w:lang w:val="en-GB"/>
        </w:rPr>
        <w:t>”</w:t>
      </w:r>
      <w:r>
        <w:rPr>
          <w:lang w:val="en-GB"/>
        </w:rPr>
        <w:t>，</w:t>
      </w:r>
      <w:r>
        <w:t>克罗地亚立法采用了若干不同的定义。《军事和平民战争伤残人员保护法》</w:t>
      </w:r>
      <w:r>
        <w:t>(1992</w:t>
      </w:r>
      <w:r>
        <w:t>年</w:t>
      </w:r>
      <w:r>
        <w:t>)</w:t>
      </w:r>
      <w:r>
        <w:rPr>
          <w:rStyle w:val="FootnoteReference"/>
        </w:rPr>
        <w:footnoteReference w:id="3"/>
      </w:r>
      <w:r>
        <w:t>、《社会福利法》</w:t>
      </w:r>
      <w:r>
        <w:t>(1997</w:t>
      </w:r>
      <w:r>
        <w:t>和</w:t>
      </w:r>
      <w:r>
        <w:t>2011</w:t>
      </w:r>
      <w:r>
        <w:t>年</w:t>
      </w:r>
      <w:r>
        <w:t>)</w:t>
      </w:r>
      <w:r>
        <w:t>、《养老保险法》</w:t>
      </w:r>
      <w:r>
        <w:t>(1998</w:t>
      </w:r>
      <w:r>
        <w:t>年</w:t>
      </w:r>
      <w:r>
        <w:t>)</w:t>
      </w:r>
      <w:r>
        <w:t>、《克罗地亚残疾人登记法》</w:t>
      </w:r>
      <w:r>
        <w:t>(2001</w:t>
      </w:r>
      <w:r>
        <w:t>年</w:t>
      </w:r>
      <w:r>
        <w:t>)</w:t>
      </w:r>
      <w:r>
        <w:t>、《残疾人专业康复和就业法》</w:t>
      </w:r>
      <w:r>
        <w:t>(2002</w:t>
      </w:r>
      <w:r>
        <w:t>年</w:t>
      </w:r>
      <w:r>
        <w:t>)</w:t>
      </w:r>
      <w:r>
        <w:t>、《克罗地亚卫国战争退伍军人及其家庭成员权利法》</w:t>
      </w:r>
      <w:r>
        <w:t>(2004</w:t>
      </w:r>
      <w:r>
        <w:t>年</w:t>
      </w:r>
      <w:r>
        <w:t>)</w:t>
      </w:r>
      <w:r>
        <w:rPr>
          <w:rStyle w:val="FootnoteReference"/>
        </w:rPr>
        <w:footnoteReference w:id="4"/>
      </w:r>
      <w:r>
        <w:rPr>
          <w:rStyle w:val="FootnoteReference"/>
        </w:rPr>
        <w:t xml:space="preserve"> </w:t>
      </w:r>
      <w:r>
        <w:t>和《落实社会福利系统各项权利和具体法规所载其他权利进程中专业鉴定机构组成和工作方式规则手册》</w:t>
      </w:r>
      <w:r>
        <w:t>(2002</w:t>
      </w:r>
      <w:r>
        <w:t>年</w:t>
      </w:r>
      <w:r>
        <w:t>)</w:t>
      </w:r>
      <w:r>
        <w:t>均载有</w:t>
      </w:r>
      <w:r>
        <w:rPr>
          <w:rFonts w:hint="eastAsia"/>
          <w:lang w:val="en-GB"/>
        </w:rPr>
        <w:t>“</w:t>
      </w:r>
      <w:r>
        <w:t>残疾</w:t>
      </w:r>
      <w:r>
        <w:rPr>
          <w:rFonts w:hint="eastAsia"/>
          <w:lang w:val="en-GB"/>
        </w:rPr>
        <w:t>”</w:t>
      </w:r>
      <w:r>
        <w:t>和</w:t>
      </w:r>
      <w:r>
        <w:rPr>
          <w:rFonts w:hint="eastAsia"/>
          <w:lang w:val="en-GB"/>
        </w:rPr>
        <w:t>“</w:t>
      </w:r>
      <w:r>
        <w:t>残疾人</w:t>
      </w:r>
      <w:r>
        <w:rPr>
          <w:rFonts w:hint="eastAsia"/>
          <w:lang w:val="en-GB"/>
        </w:rPr>
        <w:t>”</w:t>
      </w:r>
      <w:r>
        <w:rPr>
          <w:lang w:val="en-GB"/>
        </w:rPr>
        <w:t>定义</w:t>
      </w:r>
      <w:r>
        <w:t>。这些法律规定了残疾人可在各系统内享有的各类权利，这一权利多样性源自各系统所涵盖社会风险的多样性，以及各系统的宗旨及其受益人范围、保护类型和保护水平的差异。《残疾人权利公约》一经签署，便在通过新的法律法规时，适用符合《公约》规定的定义</w:t>
      </w:r>
      <w:r>
        <w:t>(</w:t>
      </w:r>
      <w:r>
        <w:t>例如，《社会福利法》，</w:t>
      </w:r>
      <w:r>
        <w:t>2011</w:t>
      </w:r>
      <w:r>
        <w:t>年</w:t>
      </w:r>
      <w:r>
        <w:t>)</w:t>
      </w:r>
      <w:r>
        <w:t>。</w:t>
      </w:r>
      <w:bookmarkEnd w:id="0"/>
      <w:bookmarkEnd w:id="1"/>
      <w:bookmarkEnd w:id="2"/>
    </w:p>
    <w:p w:rsidR="0064252C" w:rsidRDefault="0064252C">
      <w:pPr>
        <w:pStyle w:val="SingleTxtGC"/>
        <w:rPr>
          <w:lang w:val="en-GB"/>
        </w:rPr>
      </w:pPr>
      <w:r>
        <w:rPr>
          <w:lang w:val="en-GB"/>
        </w:rPr>
        <w:t xml:space="preserve">8.  </w:t>
      </w:r>
      <w:r>
        <w:t>在养老保险系统中</w:t>
      </w:r>
      <w:r>
        <w:rPr>
          <w:lang w:val="en-GB"/>
        </w:rPr>
        <w:t>，</w:t>
      </w:r>
      <w:r>
        <w:t>根据《养老保险法》</w:t>
      </w:r>
      <w:r>
        <w:rPr>
          <w:lang w:val="en-GB"/>
        </w:rPr>
        <w:t>(1998</w:t>
      </w:r>
      <w:r>
        <w:rPr>
          <w:rFonts w:hint="eastAsia"/>
          <w:lang w:val="en-GB"/>
        </w:rPr>
        <w:t>年</w:t>
      </w:r>
      <w:r>
        <w:t>、</w:t>
      </w:r>
      <w:r>
        <w:rPr>
          <w:lang w:val="en-GB"/>
        </w:rPr>
        <w:t>2000</w:t>
      </w:r>
      <w:r>
        <w:rPr>
          <w:rFonts w:hint="eastAsia"/>
          <w:lang w:val="en-GB"/>
        </w:rPr>
        <w:t>年</w:t>
      </w:r>
      <w:r>
        <w:t>、</w:t>
      </w:r>
      <w:r>
        <w:rPr>
          <w:lang w:val="en-GB"/>
        </w:rPr>
        <w:t>2001</w:t>
      </w:r>
      <w:r>
        <w:rPr>
          <w:rFonts w:hint="eastAsia"/>
          <w:lang w:val="en-GB"/>
        </w:rPr>
        <w:t>年</w:t>
      </w:r>
      <w:r>
        <w:t>、</w:t>
      </w:r>
      <w:r>
        <w:rPr>
          <w:lang w:val="en-GB"/>
        </w:rPr>
        <w:t>2002</w:t>
      </w:r>
      <w:r>
        <w:rPr>
          <w:rFonts w:hint="eastAsia"/>
          <w:lang w:val="en-GB"/>
        </w:rPr>
        <w:t>年</w:t>
      </w:r>
      <w:r>
        <w:t>、</w:t>
      </w:r>
      <w:r>
        <w:rPr>
          <w:lang w:val="en-GB"/>
        </w:rPr>
        <w:t>2003</w:t>
      </w:r>
      <w:r>
        <w:rPr>
          <w:rFonts w:hint="eastAsia"/>
          <w:lang w:val="en-GB"/>
        </w:rPr>
        <w:t>年</w:t>
      </w:r>
      <w:r>
        <w:t>、</w:t>
      </w:r>
      <w:r>
        <w:rPr>
          <w:lang w:val="en-GB"/>
        </w:rPr>
        <w:t>2004</w:t>
      </w:r>
      <w:r>
        <w:rPr>
          <w:rFonts w:hint="eastAsia"/>
          <w:lang w:val="en-GB"/>
        </w:rPr>
        <w:t>年</w:t>
      </w:r>
      <w:r>
        <w:t>、</w:t>
      </w:r>
      <w:r>
        <w:rPr>
          <w:lang w:val="en-GB"/>
        </w:rPr>
        <w:t>2005</w:t>
      </w:r>
      <w:r>
        <w:rPr>
          <w:rFonts w:hint="eastAsia"/>
          <w:lang w:val="en-GB"/>
        </w:rPr>
        <w:t>年</w:t>
      </w:r>
      <w:r>
        <w:t>、</w:t>
      </w:r>
      <w:r>
        <w:rPr>
          <w:lang w:val="en-GB"/>
        </w:rPr>
        <w:t>2007</w:t>
      </w:r>
      <w:r>
        <w:rPr>
          <w:rFonts w:hint="eastAsia"/>
          <w:lang w:val="en-GB"/>
        </w:rPr>
        <w:t>年</w:t>
      </w:r>
      <w:r>
        <w:t>、</w:t>
      </w:r>
      <w:r>
        <w:rPr>
          <w:lang w:val="en-GB"/>
        </w:rPr>
        <w:t>2008</w:t>
      </w:r>
      <w:r>
        <w:rPr>
          <w:rFonts w:hint="eastAsia"/>
          <w:lang w:val="en-GB"/>
        </w:rPr>
        <w:t>年</w:t>
      </w:r>
      <w:r>
        <w:t>和</w:t>
      </w:r>
      <w:r>
        <w:rPr>
          <w:lang w:val="en-GB"/>
        </w:rPr>
        <w:t>2010</w:t>
      </w:r>
      <w:r>
        <w:t>年</w:t>
      </w:r>
      <w:r>
        <w:rPr>
          <w:lang w:val="en-GB"/>
        </w:rPr>
        <w:t>)</w:t>
      </w:r>
      <w:r>
        <w:t>规定</w:t>
      </w:r>
      <w:r>
        <w:rPr>
          <w:lang w:val="en-GB"/>
        </w:rPr>
        <w:t>，</w:t>
      </w:r>
      <w:r>
        <w:rPr>
          <w:rFonts w:hint="eastAsia"/>
          <w:lang w:val="en-GB"/>
        </w:rPr>
        <w:t>“</w:t>
      </w:r>
      <w:r>
        <w:t>肢体损伤</w:t>
      </w:r>
      <w:r>
        <w:rPr>
          <w:rFonts w:hint="eastAsia"/>
          <w:lang w:val="en-GB"/>
        </w:rPr>
        <w:t>”</w:t>
      </w:r>
      <w:r>
        <w:t>是指导致正常肌体活动能力恶化且需要付出更多努力来满足日常需求的个别器官或身体部分缺失、严重受损或功能严重丧失</w:t>
      </w:r>
      <w:r>
        <w:rPr>
          <w:lang w:val="en-GB"/>
        </w:rPr>
        <w:t>，</w:t>
      </w:r>
      <w:r>
        <w:t>无论致残与否。肢体损伤程度百分比系根据一份专门的肢体损伤清单加以鉴定</w:t>
      </w:r>
      <w:r>
        <w:t>(</w:t>
      </w:r>
      <w:r>
        <w:t>《肢体损伤清单法》，</w:t>
      </w:r>
      <w:r>
        <w:t>1998</w:t>
      </w:r>
      <w:r>
        <w:t>年</w:t>
      </w:r>
      <w:r>
        <w:t>)</w:t>
      </w:r>
      <w:r>
        <w:t>。较之《残疾人权利公约》所载之</w:t>
      </w:r>
      <w:r>
        <w:rPr>
          <w:rFonts w:hint="eastAsia"/>
        </w:rPr>
        <w:t>“</w:t>
      </w:r>
      <w:r>
        <w:t>残疾</w:t>
      </w:r>
      <w:r>
        <w:rPr>
          <w:rFonts w:hint="eastAsia"/>
        </w:rPr>
        <w:t>”</w:t>
      </w:r>
      <w:r>
        <w:t>概念，</w:t>
      </w:r>
      <w:r>
        <w:rPr>
          <w:rFonts w:hint="eastAsia"/>
        </w:rPr>
        <w:t>“</w:t>
      </w:r>
      <w:r>
        <w:t>肢体损伤</w:t>
      </w:r>
      <w:r>
        <w:rPr>
          <w:rFonts w:hint="eastAsia"/>
        </w:rPr>
        <w:t>”</w:t>
      </w:r>
      <w:r>
        <w:t>和</w:t>
      </w:r>
      <w:r>
        <w:rPr>
          <w:rFonts w:hint="eastAsia"/>
        </w:rPr>
        <w:t>“</w:t>
      </w:r>
      <w:r>
        <w:t>残疾</w:t>
      </w:r>
      <w:r>
        <w:rPr>
          <w:rFonts w:hint="eastAsia"/>
        </w:rPr>
        <w:t>”</w:t>
      </w:r>
      <w:r>
        <w:t>的共同特征是某种损伤</w:t>
      </w:r>
      <w:r>
        <w:t>(</w:t>
      </w:r>
      <w:r>
        <w:t>长时间</w:t>
      </w:r>
      <w:r>
        <w:t>)</w:t>
      </w:r>
      <w:r>
        <w:t>持续和存在，但并不是所有肢体损伤都一定会对充分和切实参与社会或在与他人平等的基础上参与社会生活构成障碍。究其原因，</w:t>
      </w:r>
      <w:r>
        <w:rPr>
          <w:rFonts w:hint="eastAsia"/>
        </w:rPr>
        <w:t>“</w:t>
      </w:r>
      <w:r>
        <w:t>肢体损伤</w:t>
      </w:r>
      <w:r>
        <w:rPr>
          <w:rFonts w:hint="eastAsia"/>
        </w:rPr>
        <w:t>”</w:t>
      </w:r>
      <w:r>
        <w:t>概念，作为养老保险系统各项权利的一项基础条件，历史上是在保险领域内为防备发生工伤事故和职业疾病而产生和发展起来的。其最初的目的是向按照雇主指示并为雇主利益工作期间，因发生与工作有关的社会风险而受到损害的雇员进行赔偿。肢体损伤赔偿是在与导致人身伤害或职业疾病的工伤事故有关的养老保险中落实的，在此背景下，其赔偿性对现时代的个人依然适用。编制肢体损伤清单的主要出发点是对因工伤事故受伤的雇员进行赔偿，后开始应用于一般性残疾的鉴定实践。以此方式鉴定的肢体损伤程度百分比和在无其他确认文件的情况下由克罗地亚养老保险局出具的决定作为可证明残疾人残疾身份的正式文件，并根据该项决定落实各系统内专门赋予残疾人的权利</w:t>
      </w:r>
      <w:r>
        <w:t>(</w:t>
      </w:r>
      <w:r>
        <w:t>和特权</w:t>
      </w:r>
      <w:r>
        <w:t>)</w:t>
      </w:r>
      <w:r>
        <w:t>。这一损伤鉴定方式所带来的不良后果是缺乏对损伤所致各项需求的单独评估。</w:t>
      </w:r>
    </w:p>
    <w:p w:rsidR="0064252C" w:rsidRDefault="0064252C">
      <w:pPr>
        <w:pStyle w:val="SingleTxtGC"/>
        <w:rPr>
          <w:lang w:val="en-GB"/>
        </w:rPr>
      </w:pPr>
      <w:r>
        <w:rPr>
          <w:lang w:val="en-GB"/>
        </w:rPr>
        <w:t xml:space="preserve">9.  </w:t>
      </w:r>
      <w:r>
        <w:t>社会福利系统对其所辖各项权利展开专家评价</w:t>
      </w:r>
      <w:r>
        <w:rPr>
          <w:lang w:val="en-GB"/>
        </w:rPr>
        <w:t>，其</w:t>
      </w:r>
      <w:r>
        <w:t>评价结果以及克罗地亚养老保险局出具的决定适用于其他系统</w:t>
      </w:r>
      <w:r>
        <w:rPr>
          <w:lang w:val="en-GB"/>
        </w:rPr>
        <w:t>，</w:t>
      </w:r>
      <w:r>
        <w:t>例如</w:t>
      </w:r>
      <w:r>
        <w:rPr>
          <w:lang w:val="en-GB"/>
        </w:rPr>
        <w:t>，</w:t>
      </w:r>
      <w:r>
        <w:t>在教育系统中作为残疾确认书</w:t>
      </w:r>
      <w:r>
        <w:rPr>
          <w:lang w:val="en-GB"/>
        </w:rPr>
        <w:t>，</w:t>
      </w:r>
      <w:r>
        <w:t>或在子女补助金系统中用以实现领取子女补助金的权利。有损伤者享有社会福利权利，而社会福利系统中对</w:t>
      </w:r>
      <w:r>
        <w:rPr>
          <w:rFonts w:hint="eastAsia"/>
        </w:rPr>
        <w:t>“</w:t>
      </w:r>
      <w:r>
        <w:t>损伤</w:t>
      </w:r>
      <w:r>
        <w:rPr>
          <w:rFonts w:hint="eastAsia"/>
        </w:rPr>
        <w:t>”</w:t>
      </w:r>
      <w:r>
        <w:t>的鉴定是以《落实社会福利系统各项权利和具体法规所载其他权利进程中专业鉴定机构组成和工作方式规则手册》</w:t>
      </w:r>
      <w:r>
        <w:t>(2002</w:t>
      </w:r>
      <w:r>
        <w:t>年、</w:t>
      </w:r>
      <w:r>
        <w:t>2007</w:t>
      </w:r>
      <w:r>
        <w:t>年</w:t>
      </w:r>
      <w:r>
        <w:t>)</w:t>
      </w:r>
      <w:r>
        <w:t>为依据。由各社会福利中心一级和二级专业鉴定机构为落实社会福利系统各项权利目的而运行的专家系统，考虑到了个人的整体机能运作情况及其在人生某一特定阶段的具体需求，因此，与社会残疾模式最为贴近。</w:t>
      </w:r>
    </w:p>
    <w:p w:rsidR="0064252C" w:rsidRDefault="0064252C">
      <w:pPr>
        <w:pStyle w:val="SingleTxtGC"/>
        <w:rPr>
          <w:lang w:val="en-GB"/>
        </w:rPr>
      </w:pPr>
      <w:r>
        <w:rPr>
          <w:lang w:val="en-GB"/>
        </w:rPr>
        <w:t xml:space="preserve">10.  </w:t>
      </w:r>
      <w:r>
        <w:t>《克罗地亚残疾人登记法》</w:t>
      </w:r>
      <w:r>
        <w:rPr>
          <w:lang w:val="en-GB"/>
        </w:rPr>
        <w:t>(2001</w:t>
      </w:r>
      <w:r>
        <w:t>年</w:t>
      </w:r>
      <w:r>
        <w:rPr>
          <w:lang w:val="en-GB"/>
        </w:rPr>
        <w:t>)</w:t>
      </w:r>
      <w:r>
        <w:t>规定了关于残疾人健康损伤原因、类型、程度和严重性的数据收集方式、数据处理和使用方式和登记处残疾人相关数据保护方式。根据该项法律，</w:t>
      </w:r>
      <w:r>
        <w:rPr>
          <w:rFonts w:hint="eastAsia"/>
        </w:rPr>
        <w:t>“</w:t>
      </w:r>
      <w:r>
        <w:t>残疾人</w:t>
      </w:r>
      <w:r>
        <w:rPr>
          <w:rFonts w:hint="eastAsia"/>
        </w:rPr>
        <w:t>”</w:t>
      </w:r>
      <w:r>
        <w:t>是指因健康损伤导致从事某项体力活动或适龄心理机能的能力长期受限、减退或缺失的人。</w:t>
      </w:r>
    </w:p>
    <w:p w:rsidR="0064252C" w:rsidRDefault="0064252C">
      <w:pPr>
        <w:pStyle w:val="SingleTxtGC"/>
        <w:rPr>
          <w:lang w:val="en-GB"/>
        </w:rPr>
      </w:pPr>
      <w:r>
        <w:rPr>
          <w:lang w:val="en-GB"/>
        </w:rPr>
        <w:t xml:space="preserve">11.  </w:t>
      </w:r>
      <w:r>
        <w:t>《</w:t>
      </w:r>
      <w:r>
        <w:rPr>
          <w:lang w:val="en-GB"/>
        </w:rPr>
        <w:t>2001</w:t>
      </w:r>
      <w:r>
        <w:t>年人口、家庭和住房普查方法论》对</w:t>
      </w:r>
      <w:r>
        <w:rPr>
          <w:rFonts w:hint="eastAsia"/>
          <w:lang w:val="en-GB"/>
        </w:rPr>
        <w:t>“</w:t>
      </w:r>
      <w:r>
        <w:t>残疾</w:t>
      </w:r>
      <w:r>
        <w:rPr>
          <w:rFonts w:hint="eastAsia"/>
          <w:lang w:val="en-GB"/>
        </w:rPr>
        <w:t>”</w:t>
      </w:r>
      <w:r>
        <w:t>的定义最为广义</w:t>
      </w:r>
      <w:r>
        <w:rPr>
          <w:lang w:val="en-GB"/>
        </w:rPr>
        <w:t>，</w:t>
      </w:r>
      <w:r>
        <w:t>即疾病、受伤或先天损伤所造成的器质性状况</w:t>
      </w:r>
      <w:r>
        <w:rPr>
          <w:lang w:val="en-GB"/>
        </w:rPr>
        <w:t>，</w:t>
      </w:r>
      <w:r>
        <w:t>其后果是个人正常社会生活能力永久、部分或全部减退</w:t>
      </w:r>
      <w:r>
        <w:rPr>
          <w:lang w:val="en-GB"/>
        </w:rPr>
        <w:t>，</w:t>
      </w:r>
      <w:r>
        <w:t>进而导致其收入能力永久、部分或全部减退。</w:t>
      </w:r>
    </w:p>
    <w:p w:rsidR="0064252C" w:rsidRDefault="0064252C">
      <w:pPr>
        <w:pStyle w:val="SingleTxtGC"/>
        <w:rPr>
          <w:lang w:val="en-GB"/>
        </w:rPr>
      </w:pPr>
      <w:r>
        <w:rPr>
          <w:lang w:val="en-GB"/>
        </w:rPr>
        <w:t>12.  2010</w:t>
      </w:r>
      <w:r>
        <w:t>年</w:t>
      </w:r>
      <w:r>
        <w:rPr>
          <w:lang w:val="en-GB"/>
        </w:rPr>
        <w:t>5</w:t>
      </w:r>
      <w:r>
        <w:t>月</w:t>
      </w:r>
      <w:r>
        <w:rPr>
          <w:lang w:val="en-GB"/>
        </w:rPr>
        <w:t>，</w:t>
      </w:r>
      <w:r>
        <w:t>克罗地亚共和国通过的《经济复苏方案》</w:t>
      </w:r>
      <w:r>
        <w:rPr>
          <w:lang w:val="en-GB"/>
        </w:rPr>
        <w:t>，规定</w:t>
      </w:r>
      <w:r>
        <w:t>卫生和社会福利部为措施责任方</w:t>
      </w:r>
      <w:r>
        <w:rPr>
          <w:lang w:val="en-GB"/>
        </w:rPr>
        <w:t>：</w:t>
      </w:r>
      <w:r>
        <w:rPr>
          <w:rFonts w:hint="eastAsia"/>
          <w:lang w:val="en-GB"/>
        </w:rPr>
        <w:t>“</w:t>
      </w:r>
      <w:r>
        <w:t>分析社会补助制度、统一在同样基础上提供的补助金和充分适用个人身份号码</w:t>
      </w:r>
      <w:r>
        <w:rPr>
          <w:lang w:val="en-GB"/>
        </w:rPr>
        <w:t>(</w:t>
      </w:r>
      <w:r>
        <w:rPr>
          <w:lang w:val="en-GB"/>
        </w:rPr>
        <w:t>克罗地亚</w:t>
      </w:r>
      <w:r>
        <w:rPr>
          <w:lang w:val="en-GB"/>
        </w:rPr>
        <w:t>PIN</w:t>
      </w:r>
      <w:r>
        <w:rPr>
          <w:lang w:val="en-GB"/>
        </w:rPr>
        <w:t>：</w:t>
      </w:r>
      <w:r>
        <w:rPr>
          <w:lang w:val="en-GB"/>
        </w:rPr>
        <w:t>OIB)</w:t>
      </w:r>
      <w:r>
        <w:rPr>
          <w:lang w:val="en-GB"/>
        </w:rPr>
        <w:t>，</w:t>
      </w:r>
      <w:r>
        <w:t>作为指导社会政策措施的工具</w:t>
      </w:r>
      <w:r>
        <w:rPr>
          <w:rFonts w:hint="eastAsia"/>
          <w:lang w:val="en-GB"/>
        </w:rPr>
        <w:t>”</w:t>
      </w:r>
      <w:r>
        <w:rPr>
          <w:lang w:val="en-GB"/>
        </w:rPr>
        <w:t>；</w:t>
      </w:r>
      <w:r>
        <w:t>和活动责任方</w:t>
      </w:r>
      <w:r>
        <w:rPr>
          <w:lang w:val="en-GB"/>
        </w:rPr>
        <w:t>：</w:t>
      </w:r>
      <w:r>
        <w:t>确定统一的残疾鉴定方式</w:t>
      </w:r>
      <w:r>
        <w:rPr>
          <w:lang w:val="en-GB"/>
        </w:rPr>
        <w:t>(</w:t>
      </w:r>
      <w:r>
        <w:t>编制一份统一的损伤清单、概述有效的法律法规并随附待修正法规清单、起草关于独家专业鉴定机构和残疾鉴定方式的法律</w:t>
      </w:r>
      <w:r>
        <w:rPr>
          <w:lang w:val="en-GB"/>
        </w:rPr>
        <w:t>)</w:t>
      </w:r>
      <w:r>
        <w:t>。为在克罗地亚共和国层面引入在所有系统</w:t>
      </w:r>
      <w:r>
        <w:t>(</w:t>
      </w:r>
      <w:r>
        <w:t>医疗保健、教育、社会福利、养老保险、退伍军人和就业</w:t>
      </w:r>
      <w:r>
        <w:t>)</w:t>
      </w:r>
      <w:r>
        <w:t>中均具效力的单一残疾人定义，根据《残疾人权利公约》编制了以下文件：</w:t>
      </w:r>
    </w:p>
    <w:p w:rsidR="0064252C" w:rsidRDefault="0064252C">
      <w:pPr>
        <w:pStyle w:val="SingleTxtGC"/>
        <w:numPr>
          <w:ilvl w:val="0"/>
          <w:numId w:val="8"/>
        </w:numPr>
        <w:tabs>
          <w:tab w:val="clear" w:pos="2427"/>
          <w:tab w:val="clear" w:pos="3560"/>
          <w:tab w:val="left" w:pos="431"/>
          <w:tab w:val="left" w:pos="1134"/>
          <w:tab w:val="left" w:pos="1565"/>
          <w:tab w:val="left" w:pos="1996"/>
        </w:tabs>
        <w:ind w:left="1134"/>
        <w:rPr>
          <w:lang w:val="en-GB"/>
        </w:rPr>
      </w:pPr>
      <w:r>
        <w:t>有效法律法规简编</w:t>
      </w:r>
      <w:r>
        <w:rPr>
          <w:lang w:val="en-GB"/>
        </w:rPr>
        <w:t>(</w:t>
      </w:r>
      <w:r>
        <w:t>载有一份待修正条款和法规清单</w:t>
      </w:r>
      <w:r>
        <w:rPr>
          <w:lang w:val="en-GB"/>
        </w:rPr>
        <w:t>)</w:t>
      </w:r>
      <w:r>
        <w:rPr>
          <w:lang w:val="en-GB"/>
        </w:rPr>
        <w:t>；</w:t>
      </w:r>
    </w:p>
    <w:p w:rsidR="0064252C" w:rsidRDefault="0064252C">
      <w:pPr>
        <w:pStyle w:val="SingleTxtGC"/>
        <w:numPr>
          <w:ilvl w:val="0"/>
          <w:numId w:val="8"/>
        </w:numPr>
        <w:tabs>
          <w:tab w:val="clear" w:pos="2427"/>
          <w:tab w:val="clear" w:pos="3560"/>
          <w:tab w:val="left" w:pos="431"/>
          <w:tab w:val="left" w:pos="1134"/>
          <w:tab w:val="left" w:pos="1565"/>
          <w:tab w:val="left" w:pos="1996"/>
        </w:tabs>
        <w:ind w:left="1134"/>
        <w:rPr>
          <w:lang w:val="en-GB"/>
        </w:rPr>
      </w:pPr>
      <w:r>
        <w:t>关于根据国际功能、残疾和健康分类编制一份统一的功能能力清单的提案</w:t>
      </w:r>
      <w:r>
        <w:rPr>
          <w:lang w:val="en-GB"/>
        </w:rPr>
        <w:t>(</w:t>
      </w:r>
      <w:r>
        <w:t>待由下列单位实施</w:t>
      </w:r>
      <w:r>
        <w:rPr>
          <w:lang w:val="en-GB"/>
        </w:rPr>
        <w:t>：</w:t>
      </w:r>
      <w:r>
        <w:t>残疾人医疗保健、社会福利、教育、专业康复和就业、军事战争伤残人员和平民战争伤残人员保护、养老保险、卫国战争退伍军人及其家庭成员和现役军人系统中的主管部委和公共机构</w:t>
      </w:r>
      <w:r>
        <w:rPr>
          <w:lang w:val="en-GB"/>
        </w:rPr>
        <w:t>)</w:t>
      </w:r>
    </w:p>
    <w:p w:rsidR="0064252C" w:rsidRDefault="0064252C">
      <w:pPr>
        <w:pStyle w:val="SingleTxtGC"/>
        <w:numPr>
          <w:ilvl w:val="0"/>
          <w:numId w:val="8"/>
        </w:numPr>
        <w:tabs>
          <w:tab w:val="clear" w:pos="2427"/>
          <w:tab w:val="clear" w:pos="3560"/>
          <w:tab w:val="left" w:pos="431"/>
          <w:tab w:val="left" w:pos="1134"/>
          <w:tab w:val="left" w:pos="1565"/>
          <w:tab w:val="left" w:pos="1996"/>
        </w:tabs>
        <w:ind w:left="1134"/>
        <w:rPr>
          <w:lang w:val="en-GB"/>
        </w:rPr>
      </w:pPr>
      <w:r>
        <w:t>关于独家专业鉴定机构和残疾鉴定方式的提案</w:t>
      </w:r>
      <w:r>
        <w:rPr>
          <w:lang w:val="en-GB"/>
        </w:rPr>
        <w:t>；</w:t>
      </w:r>
    </w:p>
    <w:p w:rsidR="0064252C" w:rsidRDefault="0064252C">
      <w:pPr>
        <w:pStyle w:val="SingleTxtGC"/>
        <w:numPr>
          <w:ilvl w:val="0"/>
          <w:numId w:val="8"/>
        </w:numPr>
        <w:tabs>
          <w:tab w:val="clear" w:pos="2427"/>
          <w:tab w:val="clear" w:pos="3560"/>
          <w:tab w:val="left" w:pos="431"/>
          <w:tab w:val="left" w:pos="1134"/>
          <w:tab w:val="left" w:pos="1565"/>
          <w:tab w:val="left" w:pos="1996"/>
        </w:tabs>
        <w:ind w:left="1134"/>
        <w:rPr>
          <w:lang w:val="en-GB"/>
        </w:rPr>
      </w:pPr>
      <w:r>
        <w:t>关于建立专家评价制度法令的提案。</w:t>
      </w:r>
    </w:p>
    <w:p w:rsidR="0064252C" w:rsidRDefault="0064252C">
      <w:pPr>
        <w:pStyle w:val="SingleTxtGC"/>
        <w:rPr>
          <w:rStyle w:val="FootnoteReference"/>
        </w:rPr>
      </w:pPr>
      <w:r>
        <w:t xml:space="preserve">13.  </w:t>
      </w:r>
      <w:r>
        <w:t>为评估通过独家专业鉴定机构和残疾鉴定方式法和建立专家评价制度法令所产生的影响，克罗地亚共和国于</w:t>
      </w:r>
      <w:r>
        <w:t>2010</w:t>
      </w:r>
      <w:r>
        <w:t>年</w:t>
      </w:r>
      <w:r>
        <w:t>9</w:t>
      </w:r>
      <w:r>
        <w:t>月通过了一项关于准许试行《清单》的《结论》，目前，该《清单》正在实施之中。</w:t>
      </w:r>
      <w:r>
        <w:t>2011</w:t>
      </w:r>
      <w:r>
        <w:t>年</w:t>
      </w:r>
      <w:r>
        <w:t>9</w:t>
      </w:r>
      <w:r>
        <w:t>月</w:t>
      </w:r>
      <w:r>
        <w:t>30</w:t>
      </w:r>
      <w:r>
        <w:t>日，规定对《清单》进行调整以使其与试行结果相符，</w:t>
      </w:r>
      <w:r>
        <w:t>2011</w:t>
      </w:r>
      <w:r>
        <w:t>年</w:t>
      </w:r>
      <w:r>
        <w:t>11</w:t>
      </w:r>
      <w:r>
        <w:t>月</w:t>
      </w:r>
      <w:r>
        <w:t>1</w:t>
      </w:r>
      <w:r>
        <w:t>日，计划提交关于该项法律和克罗地亚共和国法令的提案，以供通过。通过调整该定义以使其符合《残疾人权利公约》规定、推行统一的清单和设立独家专业鉴定机构来确立专业鉴定过程中所遵循的规范化标准，将会提升克罗地亚共和国的数据收集质量。还将促进使用者实现基于残疾的权利，因为他们将能够在所有系统中适用同一医学发现。设立独家专业鉴定机构将能让专业鉴定进程中所遵循的标准规范化。因一家专业鉴定机构对所有系统有效适用，进行专业鉴定的成本也将降低。参与《清单提案》编制过程的，除来自上述各个系统的专家外，还包括倡导残疾人权利的民间社会组织的代表。</w:t>
      </w:r>
      <w:r>
        <w:rPr>
          <w:rStyle w:val="FootnoteReference"/>
        </w:rPr>
        <w:footnoteReference w:id="5"/>
      </w:r>
    </w:p>
    <w:p w:rsidR="0064252C" w:rsidRDefault="0064252C">
      <w:pPr>
        <w:pStyle w:val="H23GC"/>
        <w:rPr>
          <w:lang w:val="en-GB"/>
        </w:rPr>
      </w:pPr>
      <w:r>
        <w:rPr>
          <w:rFonts w:hint="eastAsia"/>
          <w:lang w:val="en-GB"/>
        </w:rPr>
        <w:tab/>
      </w:r>
      <w:r>
        <w:rPr>
          <w:lang w:val="en-GB"/>
        </w:rPr>
        <w:t>2.</w:t>
      </w:r>
      <w:r>
        <w:rPr>
          <w:rFonts w:ascii="SimSun" w:eastAsia="SimSun" w:hAnsi="SimSun" w:cs="SimSun" w:hint="eastAsia"/>
          <w:lang w:val="en-GB"/>
        </w:rPr>
        <w:tab/>
      </w:r>
      <w:r>
        <w:rPr>
          <w:lang w:val="en-GB"/>
        </w:rPr>
        <w:t>交流</w:t>
      </w:r>
    </w:p>
    <w:p w:rsidR="0064252C" w:rsidRDefault="0064252C">
      <w:pPr>
        <w:pStyle w:val="SingleTxtGC"/>
      </w:pPr>
      <w:r>
        <w:rPr>
          <w:lang w:val="en-GB"/>
        </w:rPr>
        <w:t xml:space="preserve">14.  </w:t>
      </w:r>
      <w:r>
        <w:t>《</w:t>
      </w:r>
      <w:r>
        <w:rPr>
          <w:lang w:val="en-GB"/>
        </w:rPr>
        <w:t>2007-2015</w:t>
      </w:r>
      <w:r>
        <w:t>年残疾人机会均等国家战略》的活动领域之一是增进知识、展开交流和提高认识</w:t>
      </w:r>
      <w:r>
        <w:rPr>
          <w:lang w:val="en-GB"/>
        </w:rPr>
        <w:t>，</w:t>
      </w:r>
      <w:r>
        <w:t>旨在确保残疾人根据其具体需要和能力获取和共享信息。该领域的活动旨在增强交流独立性、增进残疾人知识和提高公众对残疾人具体交流特点的敏感认识。该领域开展的一项活动是克罗地亚共和国长期方案</w:t>
      </w:r>
      <w:r>
        <w:rPr>
          <w:rFonts w:ascii="SimSun" w:hAnsi="SimSun" w:cs="SimSun" w:hint="eastAsia"/>
        </w:rPr>
        <w:t>“</w:t>
      </w:r>
      <w:r>
        <w:t>我的管理</w:t>
      </w:r>
      <w:r>
        <w:rPr>
          <w:rFonts w:ascii="SimSun" w:hAnsi="SimSun" w:cs="SimSun" w:hint="eastAsia"/>
        </w:rPr>
        <w:t>”</w:t>
      </w:r>
      <w:r>
        <w:t>(Moja uprava)(</w:t>
      </w:r>
      <w:r>
        <w:t>详细解释参见第二十一条</w:t>
      </w:r>
      <w:r>
        <w:rPr>
          <w:rFonts w:hint="eastAsia"/>
        </w:rPr>
        <w:t>)</w:t>
      </w:r>
      <w:r>
        <w:t>。</w:t>
      </w:r>
    </w:p>
    <w:p w:rsidR="0064252C" w:rsidRDefault="0064252C">
      <w:pPr>
        <w:pStyle w:val="SingleTxtGC"/>
        <w:rPr>
          <w:lang w:val="en-GB"/>
        </w:rPr>
      </w:pPr>
      <w:r>
        <w:rPr>
          <w:lang w:val="en-GB"/>
        </w:rPr>
        <w:t xml:space="preserve">15.  </w:t>
      </w:r>
      <w:r>
        <w:t>克罗地亚共和国在确保不受歧视地进行交流的权利方面所作的其他实例包括印刷和使用盲文教科书、用盲文印刷国家和国际重要文件</w:t>
      </w:r>
      <w:r>
        <w:rPr>
          <w:rStyle w:val="FootnoteReference"/>
        </w:rPr>
        <w:footnoteReference w:id="6"/>
      </w:r>
      <w:r>
        <w:t>、图书馆面向盲人开展工作</w:t>
      </w:r>
      <w:r>
        <w:rPr>
          <w:rStyle w:val="FootnoteReference"/>
        </w:rPr>
        <w:footnoteReference w:id="7"/>
      </w:r>
      <w:r>
        <w:t>、在医药包装上、触觉领域和公共交通警示标语中使用盲文、使用发声交通灯、鼓励使用新技术以确保交流权利等等。在听力和言语有障碍者的医疗诊断和康复中，使用语调听觉法的理论假设、方法程序和电声器材。</w:t>
      </w:r>
    </w:p>
    <w:p w:rsidR="0064252C" w:rsidRDefault="0064252C">
      <w:pPr>
        <w:pStyle w:val="SingleTxtGC"/>
        <w:rPr>
          <w:lang w:val="en-GB"/>
        </w:rPr>
      </w:pPr>
      <w:r>
        <w:rPr>
          <w:lang w:val="en-GB"/>
        </w:rPr>
        <w:t xml:space="preserve">16.  </w:t>
      </w:r>
      <w:r>
        <w:t>从根本上说</w:t>
      </w:r>
      <w:r>
        <w:rPr>
          <w:lang w:val="en-GB"/>
        </w:rPr>
        <w:t>，</w:t>
      </w:r>
      <w:r>
        <w:t>交流是多种感官共同参与的活动</w:t>
      </w:r>
      <w:r>
        <w:rPr>
          <w:lang w:val="en-GB"/>
        </w:rPr>
        <w:t>，</w:t>
      </w:r>
      <w:r>
        <w:t>所以</w:t>
      </w:r>
      <w:r>
        <w:rPr>
          <w:lang w:val="en-GB"/>
        </w:rPr>
        <w:t>，</w:t>
      </w:r>
      <w:r>
        <w:t>听力障碍者康复、教育和交流发展系统采取的做法也要调动多种感官。在利用电声装置得到听力补偿以后，听力有障碍者能获得交流能力，并通过其他感官渠道进行言语和语言学习。成功的教育和康复进程是利用最高效的感官渠道和其他一切可能有用的资源促进听力有障碍者言语和语言</w:t>
      </w:r>
      <w:r>
        <w:t>(</w:t>
      </w:r>
      <w:r>
        <w:t>及其教育</w:t>
      </w:r>
      <w:r>
        <w:t>)</w:t>
      </w:r>
      <w:r>
        <w:t>发展的进程，这是聋人双语康复和教育的基础。克罗地亚共和国听力有障碍儿童和成人的康复和教育方案以双语教学法为依托，因为该做法有利于认知发展，能刺激大脑发育，在大脑中将听觉和视觉信息联系起来，促进智力发育，并增强儿童记忆力，可对其词汇量的扩充和语言技能的培养产生有利影响。为正确应用双语教学法，克罗地亚共和国在培养听力和言语康复专业人员的院系实施相关教育方案，各项方案由支持这一做法和方法的教育中心</w:t>
      </w:r>
      <w:r>
        <w:rPr>
          <w:rFonts w:ascii="SimSun" w:hAnsi="SimSun" w:cs="SimSun" w:hint="eastAsia"/>
        </w:rPr>
        <w:t>“</w:t>
      </w:r>
      <w:r>
        <w:t>Slava Raškaj</w:t>
      </w:r>
      <w:r>
        <w:rPr>
          <w:rFonts w:ascii="SimSun" w:hAnsi="SimSun" w:cs="SimSun" w:hint="eastAsia"/>
        </w:rPr>
        <w:t>”</w:t>
      </w:r>
      <w:r>
        <w:t>制定。这一做法可最大限度地利用新技术以行使康复和交流权利，减少各种听力损伤及其后果所造成的交流问题和障碍。</w:t>
      </w:r>
    </w:p>
    <w:p w:rsidR="0064252C" w:rsidRDefault="0064252C">
      <w:pPr>
        <w:pStyle w:val="H23GC"/>
        <w:rPr>
          <w:lang w:val="en-GB"/>
        </w:rPr>
      </w:pPr>
      <w:r>
        <w:rPr>
          <w:rFonts w:hint="eastAsia"/>
          <w:lang w:val="en-GB"/>
        </w:rPr>
        <w:tab/>
      </w:r>
      <w:r>
        <w:rPr>
          <w:lang w:val="en-GB"/>
        </w:rPr>
        <w:t>3.</w:t>
      </w:r>
      <w:r>
        <w:rPr>
          <w:rFonts w:ascii="SimSun" w:eastAsia="SimSun" w:hAnsi="SimSun" w:cs="SimSun" w:hint="eastAsia"/>
          <w:lang w:val="en-GB"/>
        </w:rPr>
        <w:tab/>
      </w:r>
      <w:r>
        <w:rPr>
          <w:lang w:val="en-GB"/>
        </w:rPr>
        <w:t>语言</w:t>
      </w:r>
    </w:p>
    <w:p w:rsidR="0064252C" w:rsidRDefault="0064252C">
      <w:pPr>
        <w:pStyle w:val="SingleTxtGC"/>
        <w:rPr>
          <w:lang w:val="en-GB"/>
        </w:rPr>
      </w:pPr>
      <w:r>
        <w:rPr>
          <w:lang w:val="en-GB"/>
        </w:rPr>
        <w:t xml:space="preserve">17.  </w:t>
      </w:r>
      <w:r>
        <w:t>为了确认手语是少数群体语言</w:t>
      </w:r>
      <w:r>
        <w:rPr>
          <w:lang w:val="en-GB"/>
        </w:rPr>
        <w:t>，</w:t>
      </w:r>
      <w:r>
        <w:t>并确保以手语为主要交流形式的聋人和其他有交流困难者在平等基础上获取信息</w:t>
      </w:r>
      <w:r>
        <w:rPr>
          <w:lang w:val="en-GB"/>
        </w:rPr>
        <w:t>，</w:t>
      </w:r>
      <w:r>
        <w:t>克罗地亚正在就克罗地亚手语编制法律法规</w:t>
      </w:r>
      <w:r>
        <w:rPr>
          <w:lang w:val="en-GB"/>
        </w:rPr>
        <w:t>，</w:t>
      </w:r>
      <w:r>
        <w:t>聋人、重听人和聋盲人亦参与编制工作。</w:t>
      </w:r>
    </w:p>
    <w:p w:rsidR="0064252C" w:rsidRDefault="0064252C">
      <w:pPr>
        <w:pStyle w:val="H23GC"/>
        <w:rPr>
          <w:lang w:val="en-GB"/>
        </w:rPr>
      </w:pPr>
      <w:r>
        <w:rPr>
          <w:rFonts w:hint="eastAsia"/>
          <w:lang w:val="en-GB"/>
        </w:rPr>
        <w:tab/>
      </w:r>
      <w:r>
        <w:rPr>
          <w:lang w:val="en-GB"/>
        </w:rPr>
        <w:t>4.</w:t>
      </w:r>
      <w:r>
        <w:rPr>
          <w:rFonts w:ascii="SimSun" w:eastAsia="SimSun" w:hAnsi="SimSun" w:cs="SimSun" w:hint="eastAsia"/>
          <w:lang w:val="en-GB"/>
        </w:rPr>
        <w:tab/>
      </w:r>
      <w:r>
        <w:rPr>
          <w:lang w:val="en-GB"/>
        </w:rPr>
        <w:t>基于残疾的歧视</w:t>
      </w:r>
    </w:p>
    <w:p w:rsidR="0064252C" w:rsidRDefault="0064252C">
      <w:pPr>
        <w:pStyle w:val="SingleTxtGC"/>
        <w:rPr>
          <w:lang w:val="en-GB"/>
        </w:rPr>
      </w:pPr>
      <w:r>
        <w:rPr>
          <w:lang w:val="en-GB"/>
        </w:rPr>
        <w:t xml:space="preserve">18.  </w:t>
      </w:r>
      <w:r>
        <w:t>根据《反歧视法》</w:t>
      </w:r>
      <w:r>
        <w:rPr>
          <w:lang w:val="en-GB"/>
        </w:rPr>
        <w:t>(2008</w:t>
      </w:r>
      <w:r>
        <w:t>年</w:t>
      </w:r>
      <w:r>
        <w:rPr>
          <w:lang w:val="en-GB"/>
        </w:rPr>
        <w:t>)</w:t>
      </w:r>
      <w:r>
        <w:rPr>
          <w:lang w:val="en-GB"/>
        </w:rPr>
        <w:t>，</w:t>
      </w:r>
      <w:r>
        <w:rPr>
          <w:rFonts w:ascii="SimSun" w:hAnsi="SimSun" w:cs="SimSun" w:hint="eastAsia"/>
          <w:lang w:val="en-GB"/>
        </w:rPr>
        <w:t>“</w:t>
      </w:r>
      <w:r>
        <w:t>歧视</w:t>
      </w:r>
      <w:r>
        <w:rPr>
          <w:rFonts w:ascii="SimSun" w:hAnsi="SimSun" w:cs="SimSun" w:hint="eastAsia"/>
          <w:lang w:val="en-GB"/>
        </w:rPr>
        <w:t>”</w:t>
      </w:r>
      <w:r>
        <w:t>是指因该法所界定的全部歧视理由而将任何人置于较为不利的境地。不仅将其置于较不利境地被视为歧视，将与其具有亲属或其他关系之人置于较不利境地的，亦被视为歧视。该法对下列形式的歧视做了区分：直接和间接歧视、骚扰和性骚扰、怂恿歧视和未能作出合理调整、因任何残疾而强迫和蓄意将人分隔开来的隔离和更严重形式的歧视</w:t>
      </w:r>
      <w:r>
        <w:rPr>
          <w:rFonts w:ascii="SimSun" w:hAnsi="SimSun" w:cs="SimSun" w:hint="eastAsia"/>
          <w:spacing w:val="-60"/>
        </w:rPr>
        <w:t>―</w:t>
      </w:r>
      <w:r>
        <w:rPr>
          <w:rFonts w:ascii="SimSun" w:hAnsi="SimSun" w:cs="SimSun" w:hint="eastAsia"/>
          <w:spacing w:val="10"/>
        </w:rPr>
        <w:t>―</w:t>
      </w:r>
      <w:r>
        <w:t>多重</w:t>
      </w:r>
      <w:r>
        <w:t>(</w:t>
      </w:r>
      <w:r>
        <w:t>旨在防止基于不止一种理由的某种歧视形式被忽视</w:t>
      </w:r>
      <w:r>
        <w:t>)</w:t>
      </w:r>
      <w:r>
        <w:t>、反复或持续歧视或者其后果对受害者尤具危害性的歧视。在特殊情况下，以下置他人于较为不利境地的情况不被视为歧视：</w:t>
      </w:r>
    </w:p>
    <w:p w:rsidR="0064252C" w:rsidRDefault="0064252C">
      <w:pPr>
        <w:pStyle w:val="Bullet1GC"/>
        <w:rPr>
          <w:lang w:val="en-GB"/>
        </w:rPr>
      </w:pPr>
      <w:r>
        <w:t>积极行动</w:t>
      </w:r>
      <w:r>
        <w:rPr>
          <w:lang w:val="en-GB"/>
        </w:rPr>
        <w:t>，</w:t>
      </w:r>
      <w:r>
        <w:t>即</w:t>
      </w:r>
      <w:r>
        <w:rPr>
          <w:lang w:val="en-GB"/>
        </w:rPr>
        <w:t>，</w:t>
      </w:r>
      <w:r>
        <w:t>这类行为系基于法律条款、辅助法规、方案、措施或决定</w:t>
      </w:r>
      <w:r>
        <w:rPr>
          <w:lang w:val="en-GB"/>
        </w:rPr>
        <w:t>，</w:t>
      </w:r>
      <w:r>
        <w:t>且其目的是为了提高民族、宗教、语言上或其他少数群体或者其他公民群体的地位</w:t>
      </w:r>
      <w:r>
        <w:rPr>
          <w:lang w:val="en-GB"/>
        </w:rPr>
        <w:t>；</w:t>
      </w:r>
    </w:p>
    <w:p w:rsidR="0064252C" w:rsidRDefault="0064252C">
      <w:pPr>
        <w:pStyle w:val="Bullet1GC"/>
        <w:rPr>
          <w:lang w:val="en-GB"/>
        </w:rPr>
      </w:pPr>
      <w:r>
        <w:t>赋予孕妇、儿童、年轻人、老年人、负有照料责任且定期履行照料义务者和残疾人特权</w:t>
      </w:r>
      <w:r>
        <w:rPr>
          <w:lang w:val="en-GB"/>
        </w:rPr>
        <w:t>，</w:t>
      </w:r>
      <w:r>
        <w:t>其目的是提供保护</w:t>
      </w:r>
      <w:r>
        <w:rPr>
          <w:lang w:val="en-GB"/>
        </w:rPr>
        <w:t>，</w:t>
      </w:r>
      <w:r>
        <w:t>且这类行为是以法律条款、辅助法规、方案和措施为基础。</w:t>
      </w:r>
    </w:p>
    <w:p w:rsidR="0064252C" w:rsidRDefault="0064252C">
      <w:pPr>
        <w:pStyle w:val="H23GC"/>
        <w:rPr>
          <w:lang w:val="en-GB"/>
        </w:rPr>
      </w:pPr>
      <w:r>
        <w:rPr>
          <w:rFonts w:hint="eastAsia"/>
          <w:lang w:val="en-GB"/>
        </w:rPr>
        <w:tab/>
      </w:r>
      <w:r>
        <w:rPr>
          <w:lang w:val="en-GB"/>
        </w:rPr>
        <w:t>5.</w:t>
      </w:r>
      <w:r>
        <w:rPr>
          <w:rFonts w:ascii="SimSun" w:eastAsia="SimSun" w:hAnsi="SimSun" w:cs="SimSun" w:hint="eastAsia"/>
          <w:lang w:val="en-GB"/>
        </w:rPr>
        <w:tab/>
      </w:r>
      <w:r>
        <w:rPr>
          <w:lang w:val="en-GB"/>
        </w:rPr>
        <w:t>合理调整</w:t>
      </w:r>
    </w:p>
    <w:p w:rsidR="0064252C" w:rsidRDefault="0064252C">
      <w:pPr>
        <w:pStyle w:val="SingleTxtGC"/>
        <w:rPr>
          <w:lang w:val="en-GB"/>
        </w:rPr>
      </w:pPr>
      <w:r>
        <w:rPr>
          <w:lang w:val="en-GB"/>
        </w:rPr>
        <w:t xml:space="preserve">19.  </w:t>
      </w:r>
      <w:r>
        <w:t>《反歧视法》</w:t>
      </w:r>
      <w:r>
        <w:rPr>
          <w:lang w:val="en-GB"/>
        </w:rPr>
        <w:t>(2008</w:t>
      </w:r>
      <w:r>
        <w:t>年</w:t>
      </w:r>
      <w:r>
        <w:rPr>
          <w:lang w:val="en-GB"/>
        </w:rPr>
        <w:t>)</w:t>
      </w:r>
      <w:r>
        <w:t>阐明了确保合理调整的必要性</w:t>
      </w:r>
      <w:r>
        <w:rPr>
          <w:lang w:val="en-GB"/>
        </w:rPr>
        <w:t>，</w:t>
      </w:r>
      <w:r>
        <w:t>该法关于</w:t>
      </w:r>
      <w:r>
        <w:rPr>
          <w:rFonts w:hint="eastAsia"/>
          <w:lang w:val="en-GB"/>
        </w:rPr>
        <w:t>“</w:t>
      </w:r>
      <w:r>
        <w:t>对残疾人的歧视</w:t>
      </w:r>
      <w:r>
        <w:rPr>
          <w:rFonts w:hint="eastAsia"/>
          <w:lang w:val="en-GB"/>
        </w:rPr>
        <w:t>”</w:t>
      </w:r>
      <w:r>
        <w:t>的定义</w:t>
      </w:r>
      <w:r>
        <w:rPr>
          <w:lang w:val="en-GB"/>
        </w:rPr>
        <w:t>，</w:t>
      </w:r>
      <w:r>
        <w:t>除与整体民众有关的理由外</w:t>
      </w:r>
      <w:r>
        <w:rPr>
          <w:lang w:val="en-GB"/>
        </w:rPr>
        <w:t>，</w:t>
      </w:r>
      <w:r>
        <w:t>还包括</w:t>
      </w:r>
      <w:r>
        <w:rPr>
          <w:rFonts w:hint="eastAsia"/>
          <w:lang w:val="en-GB"/>
        </w:rPr>
        <w:t>“</w:t>
      </w:r>
      <w:r>
        <w:t>未能作出合理调整</w:t>
      </w:r>
      <w:r>
        <w:rPr>
          <w:rFonts w:hint="eastAsia"/>
          <w:lang w:val="en-GB"/>
        </w:rPr>
        <w:t>”</w:t>
      </w:r>
      <w:r>
        <w:rPr>
          <w:lang w:val="en-GB"/>
        </w:rPr>
        <w:t>，</w:t>
      </w:r>
      <w:r>
        <w:t>即</w:t>
      </w:r>
      <w:r>
        <w:rPr>
          <w:lang w:val="en-GB"/>
        </w:rPr>
        <w:t>，</w:t>
      </w:r>
      <w:r>
        <w:t>未能根据残疾人具体需求调整基础设施和馆舍、使用设备且以其他方式未对有义务做出合理调整者造成不合理负担的调整</w:t>
      </w:r>
      <w:r>
        <w:rPr>
          <w:lang w:val="en-GB"/>
        </w:rPr>
        <w:t>，</w:t>
      </w:r>
      <w:r>
        <w:t>以便残疾人能够从事以下活动</w:t>
      </w:r>
      <w:r>
        <w:rPr>
          <w:lang w:val="en-GB"/>
        </w:rPr>
        <w:t>：</w:t>
      </w:r>
      <w:r>
        <w:t>使用公开可用资源</w:t>
      </w:r>
      <w:r>
        <w:rPr>
          <w:lang w:val="en-GB"/>
        </w:rPr>
        <w:t>；</w:t>
      </w:r>
      <w:r>
        <w:t>参与公共和社会生活</w:t>
      </w:r>
      <w:r>
        <w:rPr>
          <w:lang w:val="en-GB"/>
        </w:rPr>
        <w:t>；</w:t>
      </w:r>
      <w:r>
        <w:t>无障碍出入工作场所和获得适当的工作条件。</w:t>
      </w:r>
    </w:p>
    <w:p w:rsidR="0064252C" w:rsidRDefault="0064252C">
      <w:pPr>
        <w:pStyle w:val="SingleTxtGC"/>
        <w:rPr>
          <w:lang w:val="en-GB"/>
        </w:rPr>
      </w:pPr>
      <w:r>
        <w:rPr>
          <w:lang w:val="en-GB"/>
        </w:rPr>
        <w:t xml:space="preserve">20.  </w:t>
      </w:r>
      <w:r>
        <w:t>公共设施调整须遵守《国土规划和建设法》</w:t>
      </w:r>
      <w:r>
        <w:rPr>
          <w:lang w:val="en-GB"/>
        </w:rPr>
        <w:t>(2007</w:t>
      </w:r>
      <w:r>
        <w:t>年</w:t>
      </w:r>
      <w:r>
        <w:rPr>
          <w:lang w:val="en-GB"/>
        </w:rPr>
        <w:t>)</w:t>
      </w:r>
      <w:r>
        <w:t>和《确保建筑对残疾人和行动不便者无障碍规则手册》</w:t>
      </w:r>
      <w:r>
        <w:rPr>
          <w:lang w:val="en-GB"/>
        </w:rPr>
        <w:t>(2005</w:t>
      </w:r>
      <w:r>
        <w:t>年</w:t>
      </w:r>
      <w:r>
        <w:rPr>
          <w:lang w:val="en-GB"/>
        </w:rPr>
        <w:t>)</w:t>
      </w:r>
      <w:r>
        <w:t>。本《规则手册》规定了确保残疾人不受阻碍地出入、移动、停留和工作的条件和方式。</w:t>
      </w:r>
    </w:p>
    <w:p w:rsidR="0064252C" w:rsidRDefault="0064252C">
      <w:pPr>
        <w:pStyle w:val="SingleTxtGC"/>
        <w:rPr>
          <w:lang w:val="en-GB"/>
        </w:rPr>
      </w:pPr>
      <w:r>
        <w:rPr>
          <w:lang w:val="en-GB"/>
        </w:rPr>
        <w:t xml:space="preserve">21.  </w:t>
      </w:r>
      <w:r>
        <w:t>为确保残疾人能够在与其他雇员平等的基础上执行工作任务</w:t>
      </w:r>
      <w:r>
        <w:rPr>
          <w:lang w:val="en-GB"/>
        </w:rPr>
        <w:t>，</w:t>
      </w:r>
      <w:r>
        <w:t>《残疾人专业康复和就业法》</w:t>
      </w:r>
      <w:r>
        <w:rPr>
          <w:lang w:val="en-GB"/>
        </w:rPr>
        <w:t>(2002</w:t>
      </w:r>
      <w:r>
        <w:t>年</w:t>
      </w:r>
      <w:r>
        <w:rPr>
          <w:lang w:val="en-GB"/>
        </w:rPr>
        <w:t>)</w:t>
      </w:r>
      <w:r>
        <w:t>规定了确保工作场所合理调整的各种方式</w:t>
      </w:r>
      <w:r>
        <w:rPr>
          <w:lang w:val="en-GB"/>
        </w:rPr>
        <w:t>：</w:t>
      </w:r>
      <w:r>
        <w:t>工作场所和工作条件调整、工作效率降低所致差异化赔偿、私人助理费用</w:t>
      </w:r>
      <w:r>
        <w:rPr>
          <w:lang w:val="en-GB"/>
        </w:rPr>
        <w:t>(</w:t>
      </w:r>
      <w:r>
        <w:t>工作助手</w:t>
      </w:r>
      <w:r>
        <w:rPr>
          <w:lang w:val="en-GB"/>
        </w:rPr>
        <w:t>)</w:t>
      </w:r>
      <w:r>
        <w:t>的分摊、贷款利息的分摊和工作理疗师费用的分摊。</w:t>
      </w:r>
    </w:p>
    <w:p w:rsidR="0064252C" w:rsidRDefault="0064252C">
      <w:pPr>
        <w:pStyle w:val="H23GC"/>
        <w:rPr>
          <w:lang w:val="en-GB"/>
        </w:rPr>
      </w:pPr>
      <w:r>
        <w:rPr>
          <w:rFonts w:hint="eastAsia"/>
          <w:lang w:val="en-GB"/>
        </w:rPr>
        <w:tab/>
      </w:r>
      <w:r>
        <w:rPr>
          <w:lang w:val="en-GB"/>
        </w:rPr>
        <w:t>6.</w:t>
      </w:r>
      <w:r>
        <w:rPr>
          <w:rFonts w:ascii="SimSun" w:eastAsia="SimSun" w:hAnsi="SimSun" w:cs="SimSun" w:hint="eastAsia"/>
          <w:lang w:val="en-GB"/>
        </w:rPr>
        <w:tab/>
      </w:r>
      <w:r>
        <w:rPr>
          <w:lang w:val="en-GB"/>
        </w:rPr>
        <w:t>通用设计</w:t>
      </w:r>
    </w:p>
    <w:p w:rsidR="0064252C" w:rsidRDefault="0064252C">
      <w:pPr>
        <w:pStyle w:val="SingleTxtGC"/>
        <w:rPr>
          <w:lang w:val="en-GB"/>
        </w:rPr>
      </w:pPr>
      <w:r>
        <w:rPr>
          <w:lang w:val="en-GB"/>
        </w:rPr>
        <w:t xml:space="preserve">22.  </w:t>
      </w:r>
      <w:r>
        <w:t>《</w:t>
      </w:r>
      <w:r>
        <w:rPr>
          <w:lang w:val="en-GB"/>
        </w:rPr>
        <w:t>2008-2011</w:t>
      </w:r>
      <w:r>
        <w:t>年保护和增进人权国家方案》所载措施之一是促进适用通用设计原则</w:t>
      </w:r>
      <w:r>
        <w:rPr>
          <w:lang w:val="en-GB"/>
        </w:rPr>
        <w:t>，</w:t>
      </w:r>
      <w:r>
        <w:t>该方案包括按照通用设计原则确保所有公共服务和公共交通无障碍和确保环境无障碍。该项措施的实施责任方是各主管部委，它们与克罗地亚共和国政府残疾人委员会、民间社会组织</w:t>
      </w:r>
      <w:r>
        <w:rPr>
          <w:rFonts w:hint="eastAsia"/>
        </w:rPr>
        <w:t>及</w:t>
      </w:r>
      <w:r>
        <w:t>地方和区域自治单位合作共同实施。</w:t>
      </w:r>
    </w:p>
    <w:p w:rsidR="0064252C" w:rsidRDefault="0064252C">
      <w:pPr>
        <w:pStyle w:val="H23GC"/>
        <w:rPr>
          <w:lang w:val="en-GB"/>
        </w:rPr>
      </w:pPr>
      <w:r>
        <w:rPr>
          <w:rFonts w:hint="eastAsia"/>
          <w:lang w:val="en-GB"/>
        </w:rPr>
        <w:tab/>
      </w:r>
      <w:r>
        <w:rPr>
          <w:lang w:val="en-GB"/>
        </w:rPr>
        <w:t>7.</w:t>
      </w:r>
      <w:r>
        <w:rPr>
          <w:rFonts w:ascii="SimSun" w:eastAsia="SimSun" w:hAnsi="SimSun" w:cs="SimSun" w:hint="eastAsia"/>
          <w:lang w:val="en-GB"/>
        </w:rPr>
        <w:tab/>
      </w:r>
      <w:r>
        <w:rPr>
          <w:lang w:val="en-GB"/>
        </w:rPr>
        <w:t>《公约》一般原则的实施</w:t>
      </w:r>
    </w:p>
    <w:p w:rsidR="0064252C" w:rsidRDefault="0064252C">
      <w:pPr>
        <w:pStyle w:val="SingleTxtGC"/>
        <w:rPr>
          <w:lang w:val="en-GB"/>
        </w:rPr>
      </w:pPr>
      <w:r>
        <w:rPr>
          <w:lang w:val="en-GB"/>
        </w:rPr>
        <w:t xml:space="preserve">23.  </w:t>
      </w:r>
      <w:r>
        <w:t>《宪法》规定克罗地亚共和国是一个统一的、不可分割的民主和社会国家</w:t>
      </w:r>
      <w:r>
        <w:rPr>
          <w:lang w:val="en-GB"/>
        </w:rPr>
        <w:t>，</w:t>
      </w:r>
      <w:r>
        <w:t>所有法律和法律保障的权利对克罗地亚共和国境内所有公民具有同等效力。地方自治单位和区域自治单位可在其本职工作范围内，按照其一般性法案规定的条件和方式确保扩大现有权利和其他类型公民援助的适用范围。</w:t>
      </w:r>
    </w:p>
    <w:p w:rsidR="0064252C" w:rsidRDefault="0064252C">
      <w:pPr>
        <w:pStyle w:val="SingleTxtGC"/>
        <w:rPr>
          <w:lang w:val="en-GB"/>
        </w:rPr>
      </w:pPr>
      <w:r>
        <w:rPr>
          <w:lang w:val="en-GB"/>
        </w:rPr>
        <w:t xml:space="preserve">24.  </w:t>
      </w:r>
      <w:r>
        <w:t>《</w:t>
      </w:r>
      <w:r>
        <w:rPr>
          <w:lang w:val="en-GB"/>
        </w:rPr>
        <w:t>2007-2015</w:t>
      </w:r>
      <w:r>
        <w:t>年残疾人机会均等国家战略》和《</w:t>
      </w:r>
      <w:r>
        <w:rPr>
          <w:lang w:val="en-GB"/>
        </w:rPr>
        <w:t>2008-2011</w:t>
      </w:r>
      <w:r>
        <w:t>年保护和增进人权国家方案》以《残疾人权利公约》所载各项原则为基础</w:t>
      </w:r>
      <w:r>
        <w:rPr>
          <w:lang w:val="en-GB"/>
        </w:rPr>
        <w:t>，</w:t>
      </w:r>
      <w:r>
        <w:t>阐述各项措施</w:t>
      </w:r>
      <w:r>
        <w:rPr>
          <w:lang w:val="en-GB"/>
        </w:rPr>
        <w:t>，</w:t>
      </w:r>
      <w:r>
        <w:t>以确保最大限度向残疾人提供现代保护并确保他们不受歧视地获得和实现一切权利</w:t>
      </w:r>
      <w:r>
        <w:rPr>
          <w:lang w:val="en-GB"/>
        </w:rPr>
        <w:t>，</w:t>
      </w:r>
      <w:r>
        <w:t>因此《残疾人权利公约》所载各项原则已基本纳入该《国家战略》和《国家方案》。这些原则还已纳入规范人权和残疾人权利的其他相关文件、法律和辅助法规之中。</w:t>
      </w:r>
    </w:p>
    <w:p w:rsidR="0064252C" w:rsidRDefault="0064252C">
      <w:pPr>
        <w:pStyle w:val="SingleTxtGC"/>
        <w:rPr>
          <w:bCs/>
          <w:lang w:val="en-GB"/>
        </w:rPr>
      </w:pPr>
      <w:r>
        <w:rPr>
          <w:lang w:val="en-GB"/>
        </w:rPr>
        <w:t xml:space="preserve">25.  </w:t>
      </w:r>
      <w:r>
        <w:t>《通过法律、其他法规和法令过程中与相关公众协商的行为守则》</w:t>
      </w:r>
      <w:r>
        <w:rPr>
          <w:lang w:val="en-GB"/>
        </w:rPr>
        <w:t>(2009</w:t>
      </w:r>
      <w:r>
        <w:t>年</w:t>
      </w:r>
      <w:r>
        <w:rPr>
          <w:lang w:val="en-GB"/>
        </w:rPr>
        <w:t>)</w:t>
      </w:r>
      <w:r>
        <w:t>使包括各残疾人协会代表在内的有关公众能够通过运用其知识、经验和专长，代表他们所拥护的群体和利益团体对克罗地亚共和国的政策施加影响力。</w:t>
      </w:r>
    </w:p>
    <w:p w:rsidR="0064252C" w:rsidRDefault="0064252C">
      <w:pPr>
        <w:pStyle w:val="SingleTxtGC"/>
        <w:rPr>
          <w:lang w:val="en-GB"/>
        </w:rPr>
      </w:pPr>
      <w:r>
        <w:rPr>
          <w:lang w:val="en-GB"/>
        </w:rPr>
        <w:t xml:space="preserve">26.  </w:t>
      </w:r>
      <w:r>
        <w:t>克罗地亚共和国政府残疾人委员会、一系列的法律法规提案和国家及地方战略编制专业工作组和确保为实施民间社会组织项目提供财政支持的各机构下设各项目评估工作组均包括残疾人成员。</w:t>
      </w:r>
    </w:p>
    <w:p w:rsidR="0064252C" w:rsidRDefault="0064252C">
      <w:pPr>
        <w:pStyle w:val="SingleTxtGC"/>
        <w:rPr>
          <w:lang w:val="en-GB"/>
        </w:rPr>
      </w:pPr>
      <w:r>
        <w:rPr>
          <w:lang w:val="en-GB"/>
        </w:rPr>
        <w:t xml:space="preserve">27.  </w:t>
      </w:r>
      <w:r>
        <w:t>作为负责增进与民间社会组织合作的中央国家机关</w:t>
      </w:r>
      <w:r>
        <w:rPr>
          <w:lang w:val="en-GB"/>
        </w:rPr>
        <w:t>，</w:t>
      </w:r>
      <w:r>
        <w:t>克罗地亚共和国政府与非政府组织合作办公室不断努力完善与民间社会组织进行合作的立法框架</w:t>
      </w:r>
      <w:r>
        <w:rPr>
          <w:lang w:val="en-GB"/>
        </w:rPr>
        <w:t>，确保</w:t>
      </w:r>
      <w:r>
        <w:t>创造有利环境</w:t>
      </w:r>
      <w:r>
        <w:rPr>
          <w:lang w:val="en-GB"/>
        </w:rPr>
        <w:t>，</w:t>
      </w:r>
      <w:r>
        <w:t>以便各组织开展工作和就向民间社会组织活动供资制定方案和标准并提出建议</w:t>
      </w:r>
      <w:r>
        <w:rPr>
          <w:lang w:val="en-GB"/>
        </w:rPr>
        <w:t>。</w:t>
      </w:r>
      <w:r>
        <w:t>在此过程中</w:t>
      </w:r>
      <w:r>
        <w:rPr>
          <w:lang w:val="en-GB"/>
        </w:rPr>
        <w:t>，</w:t>
      </w:r>
      <w:r>
        <w:t>该办公室积极与这些组织的代表</w:t>
      </w:r>
      <w:r>
        <w:rPr>
          <w:lang w:val="en-GB"/>
        </w:rPr>
        <w:t>，</w:t>
      </w:r>
      <w:r>
        <w:t>包括各残疾人协会的代表进行合作。</w:t>
      </w:r>
    </w:p>
    <w:p w:rsidR="0064252C" w:rsidRDefault="0064252C">
      <w:pPr>
        <w:pStyle w:val="SingleTxtGC"/>
        <w:rPr>
          <w:lang w:val="en-GB"/>
        </w:rPr>
      </w:pPr>
      <w:r>
        <w:rPr>
          <w:lang w:val="en-GB"/>
        </w:rPr>
        <w:t xml:space="preserve">28.  </w:t>
      </w:r>
      <w:r>
        <w:t>残疾人通过他们在克罗地亚共和国咨询机构民间社会发展理事会内的代表</w:t>
      </w:r>
      <w:r>
        <w:rPr>
          <w:lang w:val="en-GB"/>
        </w:rPr>
        <w:t>，</w:t>
      </w:r>
      <w:r>
        <w:t>参与对克罗地亚共和国民间社会发展公共政策的持续监测和分析工作。</w:t>
      </w:r>
    </w:p>
    <w:p w:rsidR="0064252C" w:rsidRDefault="0064252C">
      <w:pPr>
        <w:pStyle w:val="HChGC"/>
        <w:rPr>
          <w:lang w:val="en-GB"/>
        </w:rPr>
      </w:pPr>
      <w:r>
        <w:rPr>
          <w:lang w:val="en-GB"/>
        </w:rPr>
        <w:tab/>
      </w:r>
      <w:r>
        <w:rPr>
          <w:lang w:val="en-GB"/>
        </w:rPr>
        <w:t>三</w:t>
      </w:r>
      <w:r>
        <w:rPr>
          <w:lang w:val="en-GB"/>
        </w:rPr>
        <w:t>.</w:t>
      </w:r>
      <w:r>
        <w:rPr>
          <w:rFonts w:ascii="SimSun" w:eastAsia="SimSun" w:hAnsi="SimSun" w:cs="SimSun" w:hint="eastAsia"/>
          <w:lang w:val="en-GB"/>
        </w:rPr>
        <w:tab/>
      </w:r>
      <w:r>
        <w:rPr>
          <w:lang w:val="en-GB"/>
        </w:rPr>
        <w:t>特殊权利</w:t>
      </w:r>
      <w:r>
        <w:rPr>
          <w:lang w:val="en-GB"/>
        </w:rPr>
        <w:t>(</w:t>
      </w:r>
      <w:r>
        <w:rPr>
          <w:lang w:val="en-GB"/>
        </w:rPr>
        <w:t>第五条和第八至第三十条</w:t>
      </w:r>
      <w:r>
        <w:rPr>
          <w:lang w:val="en-GB"/>
        </w:rPr>
        <w:t>)</w:t>
      </w:r>
    </w:p>
    <w:p w:rsidR="0064252C" w:rsidRDefault="0064252C">
      <w:pPr>
        <w:pStyle w:val="H1GC"/>
      </w:pPr>
      <w:r>
        <w:tab/>
      </w:r>
      <w:r>
        <w:tab/>
      </w:r>
      <w:r>
        <w:t>第五条</w:t>
      </w:r>
      <w:r>
        <w:rPr>
          <w:rFonts w:hint="eastAsia"/>
        </w:rPr>
        <w:br/>
      </w:r>
      <w:r>
        <w:t>平等和不歧视</w:t>
      </w:r>
    </w:p>
    <w:p w:rsidR="0064252C" w:rsidRDefault="0064252C">
      <w:pPr>
        <w:pStyle w:val="SingleTxtGC"/>
        <w:rPr>
          <w:lang w:val="en-GB"/>
        </w:rPr>
      </w:pPr>
      <w:r>
        <w:rPr>
          <w:lang w:val="en-GB"/>
        </w:rPr>
        <w:t xml:space="preserve">29.  </w:t>
      </w:r>
      <w:r>
        <w:rPr>
          <w:lang w:val="en-GB"/>
        </w:rPr>
        <w:t>平等是克罗地亚共和国</w:t>
      </w:r>
      <w:r>
        <w:t>宪法制度最高价值观之一。《反歧视法》</w:t>
      </w:r>
      <w:r>
        <w:rPr>
          <w:lang w:val="en-GB"/>
        </w:rPr>
        <w:t>(2008</w:t>
      </w:r>
      <w:r>
        <w:t>年</w:t>
      </w:r>
      <w:r>
        <w:rPr>
          <w:lang w:val="en-GB"/>
        </w:rPr>
        <w:t>)</w:t>
      </w:r>
      <w:r>
        <w:t>对其通过之前各类法律所载关于歧视的条款进行了统一和概括，它的通过进一步加强了平等价值观。监察员是主管消除歧视工作的中央机构，而由特殊法律确定的一些任务由特别监察员负责执行</w:t>
      </w:r>
      <w:r>
        <w:rPr>
          <w:rStyle w:val="FootnoteReference"/>
        </w:rPr>
        <w:footnoteReference w:id="8"/>
      </w:r>
      <w:r>
        <w:t>。</w:t>
      </w:r>
    </w:p>
    <w:p w:rsidR="0064252C" w:rsidRDefault="0064252C">
      <w:pPr>
        <w:pStyle w:val="SingleTxtGC"/>
        <w:rPr>
          <w:lang w:val="en-GB"/>
        </w:rPr>
      </w:pPr>
      <w:r>
        <w:rPr>
          <w:lang w:val="en-GB"/>
        </w:rPr>
        <w:t xml:space="preserve">30.  </w:t>
      </w:r>
      <w:r>
        <w:t>被歧视者也可采用两种方式向法院主张保护和实现其权利</w:t>
      </w:r>
      <w:r>
        <w:rPr>
          <w:lang w:val="en-GB"/>
        </w:rPr>
        <w:t>，一</w:t>
      </w:r>
      <w:r>
        <w:t>是向法院提起诉讼</w:t>
      </w:r>
      <w:r>
        <w:rPr>
          <w:lang w:val="en-GB"/>
        </w:rPr>
        <w:t>，</w:t>
      </w:r>
      <w:r>
        <w:t>要求保护其受到歧视行动侵犯的某些权利</w:t>
      </w:r>
      <w:r>
        <w:rPr>
          <w:lang w:val="en-GB"/>
        </w:rPr>
        <w:t>，二</w:t>
      </w:r>
      <w:r>
        <w:t>是提起特别反歧视诉讼，提出反歧视主张。该法还规定，集体索赔制度是使各类集体性群体通过法院实现其获得保护以免遭歧视性行动的权利的工具。索赔可由依法设立的、在保护某一群体集体利益方面具有正当利益的协会、机关、机构或其他组织提起。克罗地亚共和国市级和县级法院根据歧视诉讼案件统计监测格式保存已报案的歧视案件</w:t>
      </w:r>
      <w:r>
        <w:t>(</w:t>
      </w:r>
      <w:r>
        <w:t>附件二表</w:t>
      </w:r>
      <w:r>
        <w:t>1</w:t>
      </w:r>
      <w:r>
        <w:t>至表</w:t>
      </w:r>
      <w:r>
        <w:t>5)</w:t>
      </w:r>
      <w:r>
        <w:t>。</w:t>
      </w:r>
    </w:p>
    <w:p w:rsidR="0064252C" w:rsidRDefault="0064252C">
      <w:pPr>
        <w:pStyle w:val="SingleTxtGC"/>
        <w:rPr>
          <w:lang w:val="en-GB"/>
        </w:rPr>
      </w:pPr>
      <w:r>
        <w:rPr>
          <w:lang w:val="en-GB"/>
        </w:rPr>
        <w:t>31.  2009</w:t>
      </w:r>
      <w:r>
        <w:t>年</w:t>
      </w:r>
      <w:r>
        <w:rPr>
          <w:lang w:val="en-GB"/>
        </w:rPr>
        <w:t>，</w:t>
      </w:r>
      <w:r>
        <w:t>为提高公众对歧视问题的认识</w:t>
      </w:r>
      <w:r>
        <w:rPr>
          <w:lang w:val="en-GB"/>
        </w:rPr>
        <w:t>，</w:t>
      </w:r>
      <w:r>
        <w:t>克罗地亚共和国政府人权办公室、监察员办公室与和平研究中心在欧洲联盟就业和社会团结方案</w:t>
      </w:r>
      <w:r>
        <w:rPr>
          <w:rFonts w:hint="eastAsia"/>
          <w:lang w:val="en-GB"/>
        </w:rPr>
        <w:t>“</w:t>
      </w:r>
      <w:r>
        <w:t>进展</w:t>
      </w:r>
      <w:r>
        <w:rPr>
          <w:rFonts w:hint="eastAsia"/>
          <w:lang w:val="en-GB"/>
        </w:rPr>
        <w:t>”</w:t>
      </w:r>
      <w:r>
        <w:t>内</w:t>
      </w:r>
      <w:r>
        <w:rPr>
          <w:lang w:val="en-GB"/>
        </w:rPr>
        <w:t>，</w:t>
      </w:r>
      <w:r>
        <w:t>合作开展了</w:t>
      </w:r>
      <w:r>
        <w:rPr>
          <w:rFonts w:hint="eastAsia"/>
          <w:lang w:val="en-GB"/>
        </w:rPr>
        <w:t>“</w:t>
      </w:r>
      <w:r>
        <w:t>支持执行《反歧视法》</w:t>
      </w:r>
      <w:r>
        <w:rPr>
          <w:rFonts w:hint="eastAsia"/>
          <w:lang w:val="en-GB"/>
        </w:rPr>
        <w:t>”</w:t>
      </w:r>
      <w:r>
        <w:t>项目。该项目涉及作为歧视理由的残疾、种族或民族背景、年龄、宗教和性取向，包括</w:t>
      </w:r>
      <w:r>
        <w:t>3</w:t>
      </w:r>
      <w:r>
        <w:t>个组成部分：</w:t>
      </w:r>
    </w:p>
    <w:p w:rsidR="0064252C" w:rsidRDefault="0064252C">
      <w:pPr>
        <w:pStyle w:val="Bullet1GC"/>
        <w:rPr>
          <w:lang w:val="en-GB"/>
        </w:rPr>
      </w:pPr>
      <w:r>
        <w:t>关于实施《反歧视法》的教育</w:t>
      </w:r>
      <w:r>
        <w:rPr>
          <w:rFonts w:hint="eastAsia"/>
        </w:rPr>
        <w:t>(</w:t>
      </w:r>
      <w:r>
        <w:t>克罗地亚共和国公民对歧视</w:t>
      </w:r>
      <w:r>
        <w:rPr>
          <w:rFonts w:hint="eastAsia"/>
        </w:rPr>
        <w:t>问题</w:t>
      </w:r>
      <w:r>
        <w:t>的态度</w:t>
      </w:r>
      <w:r>
        <w:rPr>
          <w:rFonts w:hint="eastAsia"/>
        </w:rPr>
        <w:t>的</w:t>
      </w:r>
      <w:r>
        <w:t>调查</w:t>
      </w:r>
      <w:r>
        <w:rPr>
          <w:rFonts w:hint="eastAsia"/>
        </w:rPr>
        <w:t>)</w:t>
      </w:r>
      <w:r>
        <w:rPr>
          <w:lang w:val="en-GB"/>
        </w:rPr>
        <w:t>，</w:t>
      </w:r>
      <w:r>
        <w:t>调查结果显示</w:t>
      </w:r>
      <w:r>
        <w:rPr>
          <w:lang w:val="en-GB"/>
        </w:rPr>
        <w:t>，</w:t>
      </w:r>
      <w:r>
        <w:t>公众广泛支持通过《反歧视法》。作为实施《反歧视法》方面的主要挑战，快速处理歧视诉讼案件的必要性现已查明，同时，有必要确保在克罗地亚社会内营造更为宽容的环境。</w:t>
      </w:r>
    </w:p>
    <w:p w:rsidR="0064252C" w:rsidRDefault="0064252C">
      <w:pPr>
        <w:pStyle w:val="Bullet1GC"/>
        <w:rPr>
          <w:lang w:val="en-GB"/>
        </w:rPr>
      </w:pPr>
      <w:r>
        <w:t>旨在提高克罗地亚公民对于歧视的认识的公共运动</w:t>
      </w:r>
      <w:r>
        <w:rPr>
          <w:lang w:val="en-GB"/>
        </w:rPr>
        <w:t>，</w:t>
      </w:r>
      <w:r>
        <w:t>其中包括印刷媒体</w:t>
      </w:r>
      <w:r>
        <w:rPr>
          <w:lang w:val="en-GB"/>
        </w:rPr>
        <w:t>(</w:t>
      </w:r>
      <w:r>
        <w:t>巨型海报和广告牌</w:t>
      </w:r>
      <w:r>
        <w:rPr>
          <w:lang w:val="en-GB"/>
        </w:rPr>
        <w:t>)</w:t>
      </w:r>
      <w:r>
        <w:t>和播放电视和广播短片。</w:t>
      </w:r>
    </w:p>
    <w:p w:rsidR="0064252C" w:rsidRDefault="0064252C">
      <w:pPr>
        <w:pStyle w:val="SingleTxtGC"/>
        <w:rPr>
          <w:lang w:val="en-GB"/>
        </w:rPr>
      </w:pPr>
      <w:r>
        <w:rPr>
          <w:lang w:val="en-GB"/>
        </w:rPr>
        <w:t>32</w:t>
      </w:r>
      <w:r>
        <w:t xml:space="preserve">.  </w:t>
      </w:r>
      <w:r>
        <w:t>此外</w:t>
      </w:r>
      <w:r>
        <w:rPr>
          <w:lang w:val="en-GB"/>
        </w:rPr>
        <w:t>，</w:t>
      </w:r>
      <w:r>
        <w:t>还创建了网站</w:t>
      </w:r>
      <w:r>
        <w:rPr>
          <w:lang w:val="en-GB"/>
        </w:rPr>
        <w:t>www.suzbijanjediskriminacije.hr</w:t>
      </w:r>
      <w:r>
        <w:rPr>
          <w:lang w:val="en-GB"/>
        </w:rPr>
        <w:t>，</w:t>
      </w:r>
      <w:r>
        <w:t>出版了《反歧视法法律指导》</w:t>
      </w:r>
      <w:r>
        <w:rPr>
          <w:lang w:val="en-GB"/>
        </w:rPr>
        <w:t>，</w:t>
      </w:r>
      <w:r>
        <w:t>并在</w:t>
      </w:r>
      <w:r>
        <w:rPr>
          <w:lang w:val="en-GB"/>
        </w:rPr>
        <w:t>2009</w:t>
      </w:r>
      <w:r>
        <w:t>年底通过为期两天的《反歧视法》会议完成了该项目。</w:t>
      </w:r>
    </w:p>
    <w:p w:rsidR="0064252C" w:rsidRDefault="0064252C">
      <w:pPr>
        <w:pStyle w:val="SingleTxtGC"/>
        <w:rPr>
          <w:lang w:val="en-GB"/>
        </w:rPr>
      </w:pPr>
      <w:r>
        <w:rPr>
          <w:lang w:val="en-GB"/>
        </w:rPr>
        <w:t xml:space="preserve">33.  </w:t>
      </w:r>
      <w:r>
        <w:t>《</w:t>
      </w:r>
      <w:r>
        <w:rPr>
          <w:lang w:val="en-GB"/>
        </w:rPr>
        <w:t>2008-2013</w:t>
      </w:r>
      <w:r>
        <w:t>年全国反歧视计划》还规定</w:t>
      </w:r>
      <w:r>
        <w:rPr>
          <w:lang w:val="en-GB"/>
        </w:rPr>
        <w:t>，</w:t>
      </w:r>
      <w:r>
        <w:t>保护残疾人免遭基于残疾的歧视。该计划保护和促进《残疾人权利公约》的一般性规定，并规定了一系列促进残疾人融入社会的措施。</w:t>
      </w:r>
    </w:p>
    <w:p w:rsidR="0064252C" w:rsidRDefault="0064252C">
      <w:pPr>
        <w:pStyle w:val="SingleTxtGC"/>
        <w:rPr>
          <w:lang w:val="en-GB"/>
        </w:rPr>
      </w:pPr>
      <w:r>
        <w:rPr>
          <w:lang w:val="en-GB"/>
        </w:rPr>
        <w:t xml:space="preserve">34.  </w:t>
      </w:r>
      <w:r>
        <w:t>《免费法律援助法》</w:t>
      </w:r>
      <w:r>
        <w:rPr>
          <w:lang w:val="en-GB"/>
        </w:rPr>
        <w:t>(2008</w:t>
      </w:r>
      <w:r>
        <w:t>年</w:t>
      </w:r>
      <w:r>
        <w:rPr>
          <w:lang w:val="en-GB"/>
        </w:rPr>
        <w:t>)</w:t>
      </w:r>
      <w:r>
        <w:t>确立了向物质条件较差者免费提供法律援助以解决其生存问题的综合制度。</w:t>
      </w:r>
      <w:r>
        <w:t>2009</w:t>
      </w:r>
      <w:r>
        <w:t>年，使用免费法律援助制度的案件有</w:t>
      </w:r>
      <w:r>
        <w:t>2,644</w:t>
      </w:r>
      <w:r>
        <w:t>起，</w:t>
      </w:r>
      <w:r>
        <w:t>2010</w:t>
      </w:r>
      <w:r>
        <w:t>年，有</w:t>
      </w:r>
      <w:r>
        <w:t>3,283</w:t>
      </w:r>
      <w:r>
        <w:t>起。其中，寻求法律援助在家庭司法诉讼程序中最为普遍。</w:t>
      </w:r>
    </w:p>
    <w:p w:rsidR="0064252C" w:rsidRDefault="0064252C">
      <w:pPr>
        <w:pStyle w:val="SingleTxtGC"/>
        <w:rPr>
          <w:lang w:val="en-GB"/>
        </w:rPr>
      </w:pPr>
      <w:r>
        <w:rPr>
          <w:lang w:val="en-GB"/>
        </w:rPr>
        <w:t xml:space="preserve">35.  </w:t>
      </w:r>
      <w:r>
        <w:t>残疾人监察员办公室不断增进残疾人对于《反歧视法》重要性的知识</w:t>
      </w:r>
      <w:r>
        <w:rPr>
          <w:lang w:val="en-GB"/>
        </w:rPr>
        <w:t>，</w:t>
      </w:r>
      <w:r>
        <w:t>并强调</w:t>
      </w:r>
      <w:r>
        <w:rPr>
          <w:lang w:val="en-GB"/>
        </w:rPr>
        <w:t>，</w:t>
      </w:r>
      <w:r>
        <w:t>有必要让残疾人不断熟悉该法的各项条款及其重要性</w:t>
      </w:r>
      <w:r>
        <w:rPr>
          <w:lang w:val="en-GB"/>
        </w:rPr>
        <w:t>，</w:t>
      </w:r>
      <w:r>
        <w:t>即熟悉这样一个现实</w:t>
      </w:r>
      <w:r>
        <w:rPr>
          <w:lang w:val="en-GB"/>
        </w:rPr>
        <w:t>：除非</w:t>
      </w:r>
      <w:r>
        <w:t>将他人置于较为不利境地的不公平待遇是该法明确规定的</w:t>
      </w:r>
      <w:r>
        <w:rPr>
          <w:lang w:val="en-GB"/>
        </w:rPr>
        <w:t>17</w:t>
      </w:r>
      <w:r>
        <w:t>条歧视理由之一</w:t>
      </w:r>
      <w:r>
        <w:rPr>
          <w:lang w:val="en-GB"/>
        </w:rPr>
        <w:t>，</w:t>
      </w:r>
      <w:r>
        <w:t>否则任何此类行为都不属于歧视。残疾人监察员办公室还受理关于歧视的申诉</w:t>
      </w:r>
      <w:r>
        <w:t>(</w:t>
      </w:r>
      <w:r>
        <w:t>附件二表</w:t>
      </w:r>
      <w:r>
        <w:t>6</w:t>
      </w:r>
      <w:r>
        <w:t>至表</w:t>
      </w:r>
      <w:r>
        <w:t>11)</w:t>
      </w:r>
      <w:r>
        <w:t>。</w:t>
      </w:r>
    </w:p>
    <w:p w:rsidR="0064252C" w:rsidRDefault="0064252C">
      <w:pPr>
        <w:pStyle w:val="H1GC"/>
      </w:pPr>
      <w:r>
        <w:tab/>
      </w:r>
      <w:r>
        <w:tab/>
      </w:r>
      <w:r>
        <w:t>第八条</w:t>
      </w:r>
      <w:r>
        <w:br/>
      </w:r>
      <w:r>
        <w:t>提高认识</w:t>
      </w:r>
    </w:p>
    <w:p w:rsidR="0064252C" w:rsidRDefault="0064252C">
      <w:pPr>
        <w:pStyle w:val="SingleTxtGC"/>
        <w:rPr>
          <w:lang w:val="en-GB"/>
        </w:rPr>
      </w:pPr>
      <w:r>
        <w:rPr>
          <w:lang w:val="en-GB"/>
        </w:rPr>
        <w:t xml:space="preserve">36.  </w:t>
      </w:r>
      <w:r>
        <w:t>为了让公众客观了解关于残疾及其后果以及关于残疾人主观困难的知识</w:t>
      </w:r>
      <w:r>
        <w:rPr>
          <w:lang w:val="en-GB"/>
        </w:rPr>
        <w:t>，</w:t>
      </w:r>
      <w:r>
        <w:t>持续以</w:t>
      </w:r>
      <w:r>
        <w:rPr>
          <w:rFonts w:hint="eastAsia"/>
        </w:rPr>
        <w:t>“</w:t>
      </w:r>
      <w:r>
        <w:t>在我们周围，始终与我们在一起</w:t>
      </w:r>
      <w:r>
        <w:rPr>
          <w:rFonts w:hint="eastAsia"/>
        </w:rPr>
        <w:t>”</w:t>
      </w:r>
      <w:r>
        <w:t>为口号</w:t>
      </w:r>
      <w:r>
        <w:rPr>
          <w:lang w:val="en-GB"/>
        </w:rPr>
        <w:t>，</w:t>
      </w:r>
      <w:r>
        <w:t>组织各项运动、讨论会、会议、圆桌会议和讲习班</w:t>
      </w:r>
      <w:r>
        <w:rPr>
          <w:lang w:val="en-GB"/>
        </w:rPr>
        <w:t>，</w:t>
      </w:r>
      <w:r>
        <w:t>残疾人积极参与其中。</w:t>
      </w:r>
    </w:p>
    <w:p w:rsidR="0064252C" w:rsidRDefault="0064252C">
      <w:pPr>
        <w:pStyle w:val="SingleTxtGC"/>
        <w:rPr>
          <w:lang w:val="en-GB"/>
        </w:rPr>
      </w:pPr>
      <w:r>
        <w:rPr>
          <w:lang w:val="en-GB"/>
        </w:rPr>
        <w:t xml:space="preserve">37.  </w:t>
      </w:r>
      <w:r>
        <w:t>早在</w:t>
      </w:r>
      <w:r>
        <w:rPr>
          <w:lang w:val="en-GB"/>
        </w:rPr>
        <w:t>2006</w:t>
      </w:r>
      <w:r>
        <w:t>年</w:t>
      </w:r>
      <w:r>
        <w:rPr>
          <w:lang w:val="en-GB"/>
        </w:rPr>
        <w:t>，</w:t>
      </w:r>
      <w:r>
        <w:t>克罗地亚共和国便开展了</w:t>
      </w:r>
      <w:r>
        <w:rPr>
          <w:rFonts w:hint="eastAsia"/>
          <w:lang w:val="en-GB"/>
        </w:rPr>
        <w:t>“</w:t>
      </w:r>
      <w:r>
        <w:t>人人不同</w:t>
      </w:r>
      <w:r>
        <w:rPr>
          <w:lang w:val="en-GB"/>
        </w:rPr>
        <w:t>/</w:t>
      </w:r>
      <w:r>
        <w:t>人人平等</w:t>
      </w:r>
      <w:r>
        <w:rPr>
          <w:rFonts w:hint="eastAsia"/>
          <w:lang w:val="en-GB"/>
        </w:rPr>
        <w:t>”</w:t>
      </w:r>
      <w:r>
        <w:t>运动</w:t>
      </w:r>
      <w:r>
        <w:rPr>
          <w:lang w:val="en-GB"/>
        </w:rPr>
        <w:t>，</w:t>
      </w:r>
      <w:r>
        <w:t>藉此积极参与欧洲委员会旨在宣扬社会多样性价值观的同名运动的实施。</w:t>
      </w:r>
    </w:p>
    <w:p w:rsidR="0064252C" w:rsidRDefault="0064252C">
      <w:pPr>
        <w:pStyle w:val="SingleTxtGC"/>
        <w:rPr>
          <w:lang w:val="en-GB"/>
        </w:rPr>
      </w:pPr>
      <w:r>
        <w:rPr>
          <w:lang w:val="en-GB"/>
        </w:rPr>
        <w:t>38.  2006</w:t>
      </w:r>
      <w:r>
        <w:t>年</w:t>
      </w:r>
      <w:r>
        <w:rPr>
          <w:lang w:val="en-GB"/>
        </w:rPr>
        <w:t>，</w:t>
      </w:r>
      <w:r>
        <w:t>制作了一部题目为</w:t>
      </w:r>
      <w:r>
        <w:rPr>
          <w:rFonts w:hint="eastAsia"/>
          <w:lang w:val="en-GB"/>
        </w:rPr>
        <w:t>“</w:t>
      </w:r>
      <w:r>
        <w:t>蓝色玫瑰花园</w:t>
      </w:r>
      <w:r>
        <w:rPr>
          <w:rFonts w:hint="eastAsia"/>
          <w:lang w:val="en-GB"/>
        </w:rPr>
        <w:t>”</w:t>
      </w:r>
      <w:r>
        <w:t>的纪录片</w:t>
      </w:r>
      <w:r>
        <w:rPr>
          <w:lang w:val="en-GB"/>
        </w:rPr>
        <w:t>，</w:t>
      </w:r>
      <w:r>
        <w:t>探讨在儿童慢性疾病专科医院戈尔尼亚</w:t>
      </w:r>
      <w:r>
        <w:rPr>
          <w:lang w:val="en-GB"/>
        </w:rPr>
        <w:t>·</w:t>
      </w:r>
      <w:r>
        <w:t>比斯特拉医院做义工的价值</w:t>
      </w:r>
      <w:r>
        <w:rPr>
          <w:lang w:val="en-GB"/>
        </w:rPr>
        <w:t>，</w:t>
      </w:r>
      <w:r>
        <w:t>目前</w:t>
      </w:r>
      <w:r>
        <w:rPr>
          <w:lang w:val="en-GB"/>
        </w:rPr>
        <w:t>，</w:t>
      </w:r>
      <w:r>
        <w:t>该医院内共有约</w:t>
      </w:r>
      <w:r>
        <w:rPr>
          <w:lang w:val="en-GB"/>
        </w:rPr>
        <w:t>100</w:t>
      </w:r>
      <w:r>
        <w:t>名患有最严重肢体损伤和精神障碍的儿童。</w:t>
      </w:r>
    </w:p>
    <w:p w:rsidR="0064252C" w:rsidRDefault="0064252C">
      <w:pPr>
        <w:pStyle w:val="SingleTxtGC"/>
        <w:rPr>
          <w:lang w:val="en-GB"/>
        </w:rPr>
      </w:pPr>
      <w:r>
        <w:rPr>
          <w:lang w:val="en-GB"/>
        </w:rPr>
        <w:t>39.  2008</w:t>
      </w:r>
      <w:r>
        <w:t>年</w:t>
      </w:r>
      <w:r>
        <w:rPr>
          <w:lang w:val="en-GB"/>
        </w:rPr>
        <w:t>，</w:t>
      </w:r>
      <w:r>
        <w:t>开展了</w:t>
      </w:r>
      <w:r>
        <w:rPr>
          <w:rFonts w:hint="eastAsia"/>
          <w:lang w:val="en-GB"/>
        </w:rPr>
        <w:t>“</w:t>
      </w:r>
      <w:r>
        <w:t>她们可以做到这一切</w:t>
      </w:r>
      <w:r>
        <w:rPr>
          <w:rFonts w:hint="eastAsia"/>
          <w:lang w:val="en-GB"/>
        </w:rPr>
        <w:t>”</w:t>
      </w:r>
      <w:r>
        <w:t>反歧视媒体运动</w:t>
      </w:r>
      <w:r>
        <w:rPr>
          <w:lang w:val="en-GB"/>
        </w:rPr>
        <w:t>，</w:t>
      </w:r>
      <w:r>
        <w:t>旨在提高公众对于残疾妇女和发育障碍女孩的能力和成就的认识</w:t>
      </w:r>
      <w:r>
        <w:rPr>
          <w:lang w:val="en-GB"/>
        </w:rPr>
        <w:t>，</w:t>
      </w:r>
      <w:r>
        <w:t>重点是承认她们的权利和提高其社会地位。</w:t>
      </w:r>
    </w:p>
    <w:p w:rsidR="0064252C" w:rsidRDefault="0064252C">
      <w:pPr>
        <w:pStyle w:val="SingleTxtGC"/>
        <w:rPr>
          <w:lang w:val="en-GB"/>
        </w:rPr>
      </w:pPr>
      <w:r>
        <w:rPr>
          <w:lang w:val="en-GB"/>
        </w:rPr>
        <w:t>40.  2006</w:t>
      </w:r>
      <w:r>
        <w:t>至</w:t>
      </w:r>
      <w:r>
        <w:rPr>
          <w:lang w:val="en-GB"/>
        </w:rPr>
        <w:t>2008</w:t>
      </w:r>
      <w:r>
        <w:t>年期间</w:t>
      </w:r>
      <w:r>
        <w:rPr>
          <w:lang w:val="en-GB"/>
        </w:rPr>
        <w:t>，</w:t>
      </w:r>
      <w:r>
        <w:t>开展了打击家庭暴力侵害妇女行为的国家运动</w:t>
      </w:r>
      <w:r>
        <w:rPr>
          <w:rFonts w:hint="eastAsia"/>
          <w:lang w:val="en-GB"/>
        </w:rPr>
        <w:t>“</w:t>
      </w:r>
      <w:r>
        <w:t>暴力没有理由</w:t>
      </w:r>
      <w:r>
        <w:rPr>
          <w:rFonts w:hint="eastAsia"/>
          <w:lang w:val="en-GB"/>
        </w:rPr>
        <w:t>”</w:t>
      </w:r>
      <w:r>
        <w:rPr>
          <w:lang w:val="en-GB"/>
        </w:rPr>
        <w:t>，该运动还将</w:t>
      </w:r>
      <w:r>
        <w:t>残疾妇女包括在内</w:t>
      </w:r>
      <w:r>
        <w:rPr>
          <w:lang w:val="en-GB"/>
        </w:rPr>
        <w:t>(</w:t>
      </w:r>
      <w:r>
        <w:t>运动成果之一是开通了残疾妇女紧急呼救电话服务热线</w:t>
      </w:r>
      <w:r>
        <w:rPr>
          <w:lang w:val="en-GB"/>
        </w:rPr>
        <w:t>)</w:t>
      </w:r>
      <w:r>
        <w:t>。还在家庭、退伍军人事务和代际团结部的财政支助下，与</w:t>
      </w:r>
      <w:r>
        <w:t>2</w:t>
      </w:r>
      <w:r>
        <w:t>家民间社会组织合作开展实施了</w:t>
      </w:r>
      <w:r>
        <w:rPr>
          <w:rFonts w:hint="eastAsia"/>
          <w:lang w:val="en-GB"/>
        </w:rPr>
        <w:t>“</w:t>
      </w:r>
      <w:r>
        <w:t>支助残疾妇女防止家庭暴力</w:t>
      </w:r>
      <w:r>
        <w:rPr>
          <w:rFonts w:hint="eastAsia"/>
        </w:rPr>
        <w:t>”</w:t>
      </w:r>
      <w:r>
        <w:t>项目，其间，印制了关于适用《家庭暴力问题议定书》的教科书。</w:t>
      </w:r>
    </w:p>
    <w:p w:rsidR="0064252C" w:rsidRDefault="0064252C">
      <w:pPr>
        <w:pStyle w:val="SingleTxtGC"/>
        <w:rPr>
          <w:lang w:val="en-GB"/>
        </w:rPr>
      </w:pPr>
      <w:r>
        <w:rPr>
          <w:lang w:val="en-GB"/>
        </w:rPr>
        <w:t>41.  2009</w:t>
      </w:r>
      <w:r>
        <w:t>年</w:t>
      </w:r>
      <w:r>
        <w:rPr>
          <w:lang w:val="en-GB"/>
        </w:rPr>
        <w:t>，</w:t>
      </w:r>
      <w:r>
        <w:t>与欧洲委员会合作启动了反对体罚儿童</w:t>
      </w:r>
      <w:r>
        <w:rPr>
          <w:lang w:val="en-GB"/>
        </w:rPr>
        <w:t>，</w:t>
      </w:r>
      <w:r>
        <w:t>包括发育障碍儿童的运动</w:t>
      </w:r>
      <w:r>
        <w:rPr>
          <w:lang w:val="en-GB"/>
        </w:rPr>
        <w:t>，</w:t>
      </w:r>
      <w:r>
        <w:t>旨在提请大家注意虐待和体罚儿童现象是一种社会完全不能接受的行为形式</w:t>
      </w:r>
      <w:r>
        <w:rPr>
          <w:lang w:val="en-GB"/>
        </w:rPr>
        <w:t>，</w:t>
      </w:r>
      <w:r>
        <w:t>该运动还作为</w:t>
      </w:r>
      <w:r>
        <w:rPr>
          <w:lang w:val="en-GB"/>
        </w:rPr>
        <w:t>2009</w:t>
      </w:r>
      <w:r>
        <w:t>年克罗地亚共和国国家运动加以实施。</w:t>
      </w:r>
    </w:p>
    <w:p w:rsidR="0064252C" w:rsidRDefault="0064252C">
      <w:pPr>
        <w:pStyle w:val="SingleTxtGC"/>
        <w:rPr>
          <w:lang w:val="en-GB"/>
        </w:rPr>
      </w:pPr>
      <w:r>
        <w:rPr>
          <w:lang w:val="en-GB"/>
        </w:rPr>
        <w:t>42.  2008</w:t>
      </w:r>
      <w:r>
        <w:t>年</w:t>
      </w:r>
      <w:r>
        <w:rPr>
          <w:lang w:val="en-GB"/>
        </w:rPr>
        <w:t>，</w:t>
      </w:r>
      <w:r>
        <w:t>克罗地亚聋人和重听人协会启动了题为</w:t>
      </w:r>
      <w:r>
        <w:rPr>
          <w:rFonts w:hint="eastAsia"/>
          <w:lang w:val="en-GB"/>
        </w:rPr>
        <w:t>“</w:t>
      </w:r>
      <w:r>
        <w:t>手语</w:t>
      </w:r>
      <w:r>
        <w:rPr>
          <w:rFonts w:hint="eastAsia"/>
          <w:spacing w:val="-60"/>
          <w:lang w:val="en-GB"/>
        </w:rPr>
        <w:t>―</w:t>
      </w:r>
      <w:r>
        <w:rPr>
          <w:rFonts w:hint="eastAsia"/>
          <w:spacing w:val="10"/>
          <w:lang w:val="en-GB"/>
        </w:rPr>
        <w:t>―</w:t>
      </w:r>
      <w:r>
        <w:t>促进聋人平等的条件</w:t>
      </w:r>
      <w:r>
        <w:rPr>
          <w:rFonts w:hint="eastAsia"/>
          <w:lang w:val="en-GB"/>
        </w:rPr>
        <w:t>”</w:t>
      </w:r>
      <w:r>
        <w:rPr>
          <w:lang w:val="en-GB"/>
        </w:rPr>
        <w:t>的</w:t>
      </w:r>
      <w:r>
        <w:t>运动</w:t>
      </w:r>
      <w:r>
        <w:rPr>
          <w:lang w:val="en-GB"/>
        </w:rPr>
        <w:t>，</w:t>
      </w:r>
      <w:r>
        <w:t>旨在促进将手语确认为一种少数群体语言</w:t>
      </w:r>
      <w:r>
        <w:rPr>
          <w:lang w:val="en-GB"/>
        </w:rPr>
        <w:t>，</w:t>
      </w:r>
      <w:r>
        <w:t>而盲聋人协会则在</w:t>
      </w:r>
      <w:r>
        <w:rPr>
          <w:lang w:val="en-GB"/>
        </w:rPr>
        <w:t>2008</w:t>
      </w:r>
      <w:r>
        <w:t>至</w:t>
      </w:r>
      <w:r>
        <w:rPr>
          <w:lang w:val="en-GB"/>
        </w:rPr>
        <w:t>2010</w:t>
      </w:r>
      <w:r>
        <w:t>年期间开展了</w:t>
      </w:r>
      <w:r>
        <w:rPr>
          <w:rFonts w:hint="eastAsia"/>
          <w:lang w:val="en-GB"/>
        </w:rPr>
        <w:t>“</w:t>
      </w:r>
      <w:r>
        <w:t>我的交流权和信息权</w:t>
      </w:r>
      <w:r>
        <w:rPr>
          <w:rFonts w:hint="eastAsia"/>
          <w:lang w:val="en-GB"/>
        </w:rPr>
        <w:t>”</w:t>
      </w:r>
      <w:r>
        <w:t>运动</w:t>
      </w:r>
      <w:r>
        <w:rPr>
          <w:lang w:val="en-GB"/>
        </w:rPr>
        <w:t>，</w:t>
      </w:r>
      <w:r>
        <w:t>旨在确认盲聋人获得翻译协助的权利。</w:t>
      </w:r>
    </w:p>
    <w:p w:rsidR="0064252C" w:rsidRDefault="0064252C">
      <w:pPr>
        <w:pStyle w:val="SingleTxtGC"/>
        <w:rPr>
          <w:lang w:val="en-GB"/>
        </w:rPr>
      </w:pPr>
      <w:r>
        <w:rPr>
          <w:lang w:val="en-GB"/>
        </w:rPr>
        <w:t>43.  2010</w:t>
      </w:r>
      <w:r>
        <w:t>年</w:t>
      </w:r>
      <w:r>
        <w:rPr>
          <w:lang w:val="en-GB"/>
        </w:rPr>
        <w:t>，</w:t>
      </w:r>
      <w:r>
        <w:t>为提高公众对于唐氏综合症患者生命权的认识</w:t>
      </w:r>
      <w:r>
        <w:rPr>
          <w:lang w:val="en-GB"/>
        </w:rPr>
        <w:t>，</w:t>
      </w:r>
      <w:r>
        <w:t>家庭、退伍军人事务和代际团结部作为共同出资方制作了一部电影短片</w:t>
      </w:r>
      <w:r>
        <w:rPr>
          <w:lang w:val="en-GB"/>
        </w:rPr>
        <w:t>，</w:t>
      </w:r>
      <w:r>
        <w:t>该短片与其他短片组成的区域性短片合集</w:t>
      </w:r>
      <w:r>
        <w:rPr>
          <w:rFonts w:hint="eastAsia"/>
          <w:lang w:val="en-GB"/>
        </w:rPr>
        <w:t>“</w:t>
      </w:r>
      <w:r>
        <w:t>一些其他的故事</w:t>
      </w:r>
      <w:r>
        <w:rPr>
          <w:rFonts w:hint="eastAsia"/>
          <w:lang w:val="en-GB"/>
        </w:rPr>
        <w:t>”</w:t>
      </w:r>
      <w:r>
        <w:t>共在</w:t>
      </w:r>
      <w:r>
        <w:rPr>
          <w:lang w:val="en-GB"/>
        </w:rPr>
        <w:t>15</w:t>
      </w:r>
      <w:r>
        <w:t>个电影节上参展</w:t>
      </w:r>
      <w:r>
        <w:rPr>
          <w:lang w:val="en-GB"/>
        </w:rPr>
        <w:t>，</w:t>
      </w:r>
      <w:r>
        <w:t>并在克罗地亚境外影院上映。</w:t>
      </w:r>
    </w:p>
    <w:p w:rsidR="0064252C" w:rsidRDefault="0064252C">
      <w:pPr>
        <w:pStyle w:val="SingleTxtGC"/>
        <w:rPr>
          <w:lang w:val="en-GB"/>
        </w:rPr>
      </w:pPr>
      <w:r>
        <w:rPr>
          <w:lang w:val="en-GB"/>
        </w:rPr>
        <w:t xml:space="preserve">44.  </w:t>
      </w:r>
      <w:r>
        <w:rPr>
          <w:lang w:val="en-GB"/>
        </w:rPr>
        <w:t>在</w:t>
      </w:r>
      <w:r>
        <w:t>每年</w:t>
      </w:r>
      <w:r>
        <w:rPr>
          <w:lang w:val="en-GB"/>
        </w:rPr>
        <w:t>12</w:t>
      </w:r>
      <w:r>
        <w:t>月</w:t>
      </w:r>
      <w:r>
        <w:rPr>
          <w:lang w:val="en-GB"/>
        </w:rPr>
        <w:t>3</w:t>
      </w:r>
      <w:r>
        <w:t>日的国际残疾人日</w:t>
      </w:r>
      <w:r>
        <w:rPr>
          <w:lang w:val="en-GB"/>
        </w:rPr>
        <w:t>，</w:t>
      </w:r>
      <w:r>
        <w:t>残疾人协会都会组织举办各类活动</w:t>
      </w:r>
      <w:r>
        <w:rPr>
          <w:lang w:val="en-GB"/>
        </w:rPr>
        <w:t>：</w:t>
      </w:r>
      <w:r>
        <w:t>圆桌会议、论坛、地方自治单位和区域自治单位残疾人代表招待会等。其中一个例子是克罗地亚残疾人协会联合会组织举办的</w:t>
      </w:r>
      <w:r>
        <w:rPr>
          <w:rFonts w:hint="eastAsia"/>
        </w:rPr>
        <w:t>“</w:t>
      </w:r>
      <w:r>
        <w:t>我们提醒</w:t>
      </w:r>
      <w:r>
        <w:rPr>
          <w:rFonts w:hint="eastAsia"/>
        </w:rPr>
        <w:t>﹣</w:t>
      </w:r>
      <w:r>
        <w:t>我们警告</w:t>
      </w:r>
      <w:r>
        <w:rPr>
          <w:rFonts w:hint="eastAsia"/>
        </w:rPr>
        <w:t>”</w:t>
      </w:r>
      <w:r>
        <w:t>活动，在该项活动中，残疾人与国家行政机关</w:t>
      </w:r>
      <w:r>
        <w:rPr>
          <w:rFonts w:hint="eastAsia"/>
        </w:rPr>
        <w:t>及</w:t>
      </w:r>
      <w:r>
        <w:t>地方和区域自治单位的代表高举横幅，在城市中穿行，提醒人们解决残疾人无障碍问题方面的良好做法实例，并警告不良做法实例。</w:t>
      </w:r>
      <w:r>
        <w:t>2009</w:t>
      </w:r>
      <w:r>
        <w:t>年，克罗地亚共和国政府首次庆祝国际残疾人日，举行了残疾人协会代表招待会。为庆祝这个日子，以及其他重要的国家和国际日和各类行动，各家庭中心也通过与地方利益攸关方展开合作等在地方一级举办适当活动</w:t>
      </w:r>
      <w:r>
        <w:t>(</w:t>
      </w:r>
      <w:r>
        <w:t>讲习班和讲座、论坛、圆桌会议、在地方媒体和家庭中心网站上发表文章和公告和报告、印制宣传材料等</w:t>
      </w:r>
      <w:r>
        <w:t>)</w:t>
      </w:r>
      <w:r>
        <w:t>的方式参与其中</w:t>
      </w:r>
      <w:r>
        <w:rPr>
          <w:rStyle w:val="FootnoteReference"/>
        </w:rPr>
        <w:footnoteReference w:id="9"/>
      </w:r>
      <w:r>
        <w:t>。</w:t>
      </w:r>
    </w:p>
    <w:p w:rsidR="0064252C" w:rsidRDefault="0064252C">
      <w:pPr>
        <w:pStyle w:val="SingleTxtGC"/>
        <w:rPr>
          <w:lang w:val="en-GB"/>
        </w:rPr>
      </w:pPr>
      <w:r>
        <w:rPr>
          <w:lang w:val="en-GB"/>
        </w:rPr>
        <w:t xml:space="preserve">45.  </w:t>
      </w:r>
      <w:r>
        <w:t>《残疾人权利公约》案文盲文宣传册现已印制</w:t>
      </w:r>
      <w:r>
        <w:rPr>
          <w:lang w:val="en-GB"/>
        </w:rPr>
        <w:t>5,000</w:t>
      </w:r>
      <w:r>
        <w:t>份</w:t>
      </w:r>
      <w:r>
        <w:rPr>
          <w:lang w:val="en-GB"/>
        </w:rPr>
        <w:t>，</w:t>
      </w:r>
      <w:r>
        <w:t>同时还为儿童印制了方便他们使用的《残疾人权利公约》案文宣传册。</w:t>
      </w:r>
    </w:p>
    <w:p w:rsidR="0064252C" w:rsidRDefault="0064252C">
      <w:pPr>
        <w:pStyle w:val="SingleTxtGC"/>
        <w:rPr>
          <w:lang w:val="en-GB"/>
        </w:rPr>
      </w:pPr>
      <w:r>
        <w:rPr>
          <w:lang w:val="en-GB"/>
        </w:rPr>
        <w:t xml:space="preserve">46.  </w:t>
      </w:r>
      <w:r>
        <w:t>克罗地亚残奥委会鼓励和促进残疾人从事运动并取得运动成就</w:t>
      </w:r>
      <w:r>
        <w:rPr>
          <w:lang w:val="en-GB"/>
        </w:rPr>
        <w:t>，</w:t>
      </w:r>
      <w:r>
        <w:t>为提高公众认识作出了贡献。例如，开展了三年期项目</w:t>
      </w:r>
      <w:r>
        <w:rPr>
          <w:rFonts w:hint="eastAsia"/>
        </w:rPr>
        <w:t>“</w:t>
      </w:r>
      <w:r>
        <w:t>残奥会运动日</w:t>
      </w:r>
      <w:r>
        <w:rPr>
          <w:rFonts w:hint="eastAsia"/>
        </w:rPr>
        <w:t>”</w:t>
      </w:r>
      <w:r>
        <w:t>，即在小学内，通过互动游戏、趣味问答和讲座向儿童介绍残疾人体育、残疾体育运动员及其成就、日常障碍和实现既定目标的坚定性。</w:t>
      </w:r>
    </w:p>
    <w:p w:rsidR="0064252C" w:rsidRDefault="0064252C">
      <w:pPr>
        <w:pStyle w:val="H1GC"/>
      </w:pPr>
      <w:r>
        <w:tab/>
      </w:r>
      <w:r>
        <w:tab/>
      </w:r>
      <w:r>
        <w:t>第九条</w:t>
      </w:r>
      <w:r>
        <w:rPr>
          <w:rFonts w:hint="eastAsia"/>
        </w:rPr>
        <w:br/>
      </w:r>
      <w:r>
        <w:t>无障碍设施</w:t>
      </w:r>
    </w:p>
    <w:p w:rsidR="0064252C" w:rsidRDefault="0064252C">
      <w:pPr>
        <w:pStyle w:val="SingleTxtGC"/>
        <w:rPr>
          <w:lang w:val="en-GB"/>
        </w:rPr>
      </w:pPr>
      <w:r>
        <w:rPr>
          <w:lang w:val="en-GB"/>
        </w:rPr>
        <w:t xml:space="preserve">47.  </w:t>
      </w:r>
      <w:r>
        <w:t>根据《国土规划和建设法》</w:t>
      </w:r>
      <w:r>
        <w:rPr>
          <w:lang w:val="en-GB"/>
        </w:rPr>
        <w:t>(2007</w:t>
      </w:r>
      <w:r>
        <w:t>年</w:t>
      </w:r>
      <w:r>
        <w:rPr>
          <w:lang w:val="en-GB"/>
        </w:rPr>
        <w:t>)</w:t>
      </w:r>
      <w:r>
        <w:rPr>
          <w:lang w:val="en-GB"/>
        </w:rPr>
        <w:t>，</w:t>
      </w:r>
      <w:r>
        <w:t>《确保建筑对残疾人和行动不便者无障碍规则手册》</w:t>
      </w:r>
      <w:r>
        <w:rPr>
          <w:lang w:val="en-GB"/>
        </w:rPr>
        <w:t>(2005</w:t>
      </w:r>
      <w:r>
        <w:t>和</w:t>
      </w:r>
      <w:r>
        <w:t>2</w:t>
      </w:r>
      <w:r>
        <w:rPr>
          <w:lang w:val="en-GB"/>
        </w:rPr>
        <w:t>007</w:t>
      </w:r>
      <w:r>
        <w:t>年</w:t>
      </w:r>
      <w:r>
        <w:rPr>
          <w:lang w:val="en-GB"/>
        </w:rPr>
        <w:t>)</w:t>
      </w:r>
      <w:r>
        <w:t>对建筑对残疾人无障碍加以规范监管。本《规则手册》所规定的义务涉及所有公共和商业建筑与住宅建筑和商住两用建筑。公共和商业建筑是指用于以下目的的建筑</w:t>
      </w:r>
      <w:r>
        <w:rPr>
          <w:lang w:val="en-GB"/>
        </w:rPr>
        <w:t>：</w:t>
      </w:r>
      <w:r>
        <w:t>贸易、旅馆</w:t>
      </w:r>
      <w:r>
        <w:rPr>
          <w:lang w:val="en-GB"/>
        </w:rPr>
        <w:t>/</w:t>
      </w:r>
      <w:r>
        <w:t>饭店和</w:t>
      </w:r>
      <w:r>
        <w:rPr>
          <w:lang w:val="en-GB"/>
        </w:rPr>
        <w:t>(</w:t>
      </w:r>
      <w:r>
        <w:t>或</w:t>
      </w:r>
      <w:r>
        <w:rPr>
          <w:lang w:val="en-GB"/>
        </w:rPr>
        <w:t>)</w:t>
      </w:r>
      <w:r>
        <w:t>承接游客</w:t>
      </w:r>
      <w:r>
        <w:rPr>
          <w:lang w:val="en-GB"/>
        </w:rPr>
        <w:t>；</w:t>
      </w:r>
      <w:r>
        <w:t>邮政通信和</w:t>
      </w:r>
      <w:r>
        <w:rPr>
          <w:lang w:val="en-GB"/>
        </w:rPr>
        <w:t>(</w:t>
      </w:r>
      <w:r>
        <w:t>或</w:t>
      </w:r>
      <w:r>
        <w:rPr>
          <w:lang w:val="en-GB"/>
        </w:rPr>
        <w:t>)</w:t>
      </w:r>
      <w:r>
        <w:t>电信</w:t>
      </w:r>
      <w:r>
        <w:rPr>
          <w:lang w:val="en-GB"/>
        </w:rPr>
        <w:t>；</w:t>
      </w:r>
      <w:r>
        <w:t>提供现金服务和其他金融服务</w:t>
      </w:r>
      <w:r>
        <w:rPr>
          <w:lang w:val="en-GB"/>
        </w:rPr>
        <w:t>；</w:t>
      </w:r>
      <w:r>
        <w:t>行政和类似目的</w:t>
      </w:r>
      <w:r>
        <w:rPr>
          <w:lang w:val="en-GB"/>
        </w:rPr>
        <w:t>；</w:t>
      </w:r>
      <w:r>
        <w:t>健康及社会照料和康复</w:t>
      </w:r>
      <w:r>
        <w:rPr>
          <w:lang w:val="en-GB"/>
        </w:rPr>
        <w:t>；</w:t>
      </w:r>
      <w:r>
        <w:t>残疾人经常逗留目的</w:t>
      </w:r>
      <w:r>
        <w:rPr>
          <w:lang w:val="en-GB"/>
        </w:rPr>
        <w:t>；</w:t>
      </w:r>
      <w:r>
        <w:t>教育</w:t>
      </w:r>
      <w:r>
        <w:rPr>
          <w:lang w:val="en-GB"/>
        </w:rPr>
        <w:t>；</w:t>
      </w:r>
      <w:r>
        <w:t>文化</w:t>
      </w:r>
      <w:r>
        <w:rPr>
          <w:lang w:val="en-GB"/>
        </w:rPr>
        <w:t>；</w:t>
      </w:r>
      <w:r>
        <w:t>交通</w:t>
      </w:r>
      <w:r>
        <w:rPr>
          <w:lang w:val="en-GB"/>
        </w:rPr>
        <w:t>；</w:t>
      </w:r>
      <w:r>
        <w:t>体育休闲</w:t>
      </w:r>
      <w:r>
        <w:rPr>
          <w:lang w:val="en-GB"/>
        </w:rPr>
        <w:t>；</w:t>
      </w:r>
      <w:r>
        <w:t>娱乐</w:t>
      </w:r>
      <w:r>
        <w:rPr>
          <w:lang w:val="en-GB"/>
        </w:rPr>
        <w:t>；</w:t>
      </w:r>
      <w:r>
        <w:t>宗教和祭典目的</w:t>
      </w:r>
      <w:r>
        <w:rPr>
          <w:lang w:val="en-GB"/>
        </w:rPr>
        <w:t>；为了执行监狱判决；</w:t>
      </w:r>
      <w:r>
        <w:t>公共空间和区域</w:t>
      </w:r>
      <w:r>
        <w:rPr>
          <w:lang w:val="en-GB"/>
        </w:rPr>
        <w:t>，</w:t>
      </w:r>
      <w:r>
        <w:t>以及用作展览会、公共厕所和公共庇护所等其他目的的建筑。在建筑建造过程中的每一阶段，从设计到使用和维护，通过建设和改造无障碍设施规定的执行进行管控。已针对设计者、建造者、施工监理和建筑所有者违反建筑无障碍规定的行为做了惩罚规定。克罗地亚共和国政府与克罗地亚残疾人协会联合会合作开展了</w:t>
      </w:r>
      <w:r>
        <w:rPr>
          <w:rFonts w:hint="eastAsia"/>
        </w:rPr>
        <w:t>“</w:t>
      </w:r>
      <w:r>
        <w:t>携手实现克罗地亚无障碍</w:t>
      </w:r>
      <w:r>
        <w:rPr>
          <w:rFonts w:hint="eastAsia"/>
        </w:rPr>
        <w:t>”</w:t>
      </w:r>
      <w:r>
        <w:t>运动，为</w:t>
      </w:r>
      <w:r>
        <w:t>9</w:t>
      </w:r>
      <w:r>
        <w:t>个县制定了指南，其中载有关于建筑和公共空间及其对残疾人无障碍设施的数据</w:t>
      </w:r>
      <w:r>
        <w:t>(</w:t>
      </w:r>
      <w:r>
        <w:t>无障碍设施展示实例见附件二表</w:t>
      </w:r>
      <w:r>
        <w:t>3)</w:t>
      </w:r>
      <w:r>
        <w:t>。</w:t>
      </w:r>
    </w:p>
    <w:p w:rsidR="0064252C" w:rsidRDefault="0064252C">
      <w:pPr>
        <w:pStyle w:val="SingleTxtGC"/>
        <w:rPr>
          <w:lang w:val="en-GB"/>
        </w:rPr>
      </w:pPr>
      <w:r>
        <w:rPr>
          <w:lang w:val="en-GB"/>
        </w:rPr>
        <w:t xml:space="preserve">48.  </w:t>
      </w:r>
      <w:r>
        <w:t>为确保在上述法律和《规则手册》对住宅建筑无障碍</w:t>
      </w:r>
      <w:r>
        <w:rPr>
          <w:rFonts w:hint="eastAsia"/>
        </w:rPr>
        <w:t>设施</w:t>
      </w:r>
      <w:r>
        <w:t>做出规定之前所建造的住宅建筑无障碍</w:t>
      </w:r>
      <w:r>
        <w:rPr>
          <w:rFonts w:hint="eastAsia"/>
        </w:rPr>
        <w:t>设施</w:t>
      </w:r>
      <w:r>
        <w:rPr>
          <w:lang w:val="en-GB"/>
        </w:rPr>
        <w:t>，</w:t>
      </w:r>
      <w:r>
        <w:t>《所有权和其他物权法》</w:t>
      </w:r>
      <w:r>
        <w:rPr>
          <w:lang w:val="en-GB"/>
        </w:rPr>
        <w:t>(1996</w:t>
      </w:r>
      <w:r>
        <w:t>年</w:t>
      </w:r>
      <w:r>
        <w:rPr>
          <w:lang w:val="en-GB"/>
        </w:rPr>
        <w:t>)</w:t>
      </w:r>
      <w:r>
        <w:t>规定</w:t>
      </w:r>
      <w:r>
        <w:rPr>
          <w:lang w:val="en-GB"/>
        </w:rPr>
        <w:t>，</w:t>
      </w:r>
      <w:r>
        <w:t>在住宅建筑内建造匝道或升降梯以</w:t>
      </w:r>
      <w:r>
        <w:rPr>
          <w:rFonts w:hint="eastAsia"/>
        </w:rPr>
        <w:t>便供</w:t>
      </w:r>
      <w:r>
        <w:t>残疾人</w:t>
      </w:r>
      <w:r>
        <w:rPr>
          <w:rFonts w:hint="eastAsia"/>
        </w:rPr>
        <w:t>使用</w:t>
      </w:r>
      <w:r>
        <w:t>无障碍</w:t>
      </w:r>
      <w:r>
        <w:rPr>
          <w:rFonts w:hint="eastAsia"/>
        </w:rPr>
        <w:t>设施</w:t>
      </w:r>
      <w:r>
        <w:rPr>
          <w:lang w:val="en-GB"/>
        </w:rPr>
        <w:t>，</w:t>
      </w:r>
      <w:r>
        <w:t>无须征得所有建筑共同所有人同意。</w:t>
      </w:r>
    </w:p>
    <w:p w:rsidR="0064252C" w:rsidRDefault="0064252C">
      <w:pPr>
        <w:pStyle w:val="SingleTxtGC"/>
        <w:rPr>
          <w:lang w:val="en-GB"/>
        </w:rPr>
      </w:pPr>
      <w:r>
        <w:rPr>
          <w:lang w:val="en-GB"/>
        </w:rPr>
        <w:t>49.  2004</w:t>
      </w:r>
      <w:r>
        <w:t>年</w:t>
      </w:r>
      <w:r>
        <w:rPr>
          <w:lang w:val="en-GB"/>
        </w:rPr>
        <w:t>，</w:t>
      </w:r>
      <w:r>
        <w:t>家庭、退伍军人事务和代际团结部与残疾人协会联合会合作</w:t>
      </w:r>
      <w:r>
        <w:rPr>
          <w:lang w:val="en-GB"/>
        </w:rPr>
        <w:t>，</w:t>
      </w:r>
      <w:r>
        <w:t>开始执行旨在解决无障碍设施问题的项目。继发出公开呼吁之后，同意地方自治单位和区域自治单位为克罗地亚共和国国家预算供资的项目共同出资；由罗地亚卫国战争伤残退伍军人和残疾人民间协会代表组成的工作组负责对各项适用工作进行评价。除公共建筑外，还包括其他设施，例如：调整浴室和城镇泳池、交通灯安装发声信号设备、建造触觉警示带、降低路缘石高度和调整街道和十字路口的人行道。</w:t>
      </w:r>
      <w:r>
        <w:t>2004</w:t>
      </w:r>
      <w:r>
        <w:t>至</w:t>
      </w:r>
      <w:r>
        <w:t>2010</w:t>
      </w:r>
      <w:r>
        <w:t>年期间，共在解决设施对残疾人无障碍</w:t>
      </w:r>
      <w:r>
        <w:rPr>
          <w:rFonts w:hint="eastAsia"/>
        </w:rPr>
        <w:t>设施</w:t>
      </w:r>
      <w:r>
        <w:t>问题的项目上花费</w:t>
      </w:r>
      <w:r>
        <w:t>8,731,606.48</w:t>
      </w:r>
      <w:r>
        <w:t>库纳，以对</w:t>
      </w:r>
      <w:r>
        <w:t>82</w:t>
      </w:r>
      <w:r>
        <w:t>处公共设施</w:t>
      </w:r>
      <w:r>
        <w:t>(</w:t>
      </w:r>
      <w:r>
        <w:t>附件二表</w:t>
      </w:r>
      <w:r>
        <w:t>1)</w:t>
      </w:r>
      <w:r>
        <w:t>做出调整，</w:t>
      </w:r>
      <w:r>
        <w:t>2011</w:t>
      </w:r>
      <w:r>
        <w:t>年，确保提供</w:t>
      </w:r>
      <w:r>
        <w:t>150</w:t>
      </w:r>
      <w:r>
        <w:t>万库纳，以实现</w:t>
      </w:r>
      <w:r>
        <w:t>23</w:t>
      </w:r>
      <w:r>
        <w:t>个地方自治单位和区域自治单位建立无障碍设施。</w:t>
      </w:r>
    </w:p>
    <w:p w:rsidR="0064252C" w:rsidRDefault="0064252C">
      <w:pPr>
        <w:pStyle w:val="SingleTxtGC"/>
        <w:rPr>
          <w:lang w:val="en-GB"/>
        </w:rPr>
      </w:pPr>
      <w:r>
        <w:rPr>
          <w:lang w:val="en-GB"/>
        </w:rPr>
        <w:t xml:space="preserve">50.  </w:t>
      </w:r>
      <w:r>
        <w:t>《</w:t>
      </w:r>
      <w:r>
        <w:rPr>
          <w:lang w:val="en-GB"/>
        </w:rPr>
        <w:t>2007-2015</w:t>
      </w:r>
      <w:r>
        <w:t>年残疾人机会均等国家战略》所载措施之一是国家行政机关和地方自治单位和区域自治单位有义务确保独立预算</w:t>
      </w:r>
      <w:r>
        <w:rPr>
          <w:lang w:val="en-GB"/>
        </w:rPr>
        <w:t>，</w:t>
      </w:r>
      <w:r>
        <w:t>规划和记录用以清除建筑物及其他障碍的各项资金。</w:t>
      </w:r>
    </w:p>
    <w:p w:rsidR="0064252C" w:rsidRDefault="0064252C">
      <w:pPr>
        <w:pStyle w:val="SingleTxtGC"/>
        <w:rPr>
          <w:lang w:val="en-GB"/>
        </w:rPr>
      </w:pPr>
      <w:r>
        <w:rPr>
          <w:lang w:val="en-GB"/>
        </w:rPr>
        <w:t xml:space="preserve">51.  </w:t>
      </w:r>
      <w:r>
        <w:t>为鼓励提高对于确保公共设施无障碍这一义务的认识</w:t>
      </w:r>
      <w:r>
        <w:rPr>
          <w:lang w:val="en-GB"/>
        </w:rPr>
        <w:t>，</w:t>
      </w:r>
      <w:r>
        <w:t>家庭、退伍军人事务和代际团结部与开发署合作发起了签署《公共空间对残疾人无障碍宪章》的倡议</w:t>
      </w:r>
      <w:r>
        <w:rPr>
          <w:lang w:val="en-GB"/>
        </w:rPr>
        <w:t>，</w:t>
      </w:r>
      <w:r>
        <w:rPr>
          <w:lang w:val="en-GB"/>
        </w:rPr>
        <w:t>2009</w:t>
      </w:r>
      <w:r>
        <w:t>年</w:t>
      </w:r>
      <w:r>
        <w:rPr>
          <w:lang w:val="en-GB"/>
        </w:rPr>
        <w:t>9</w:t>
      </w:r>
      <w:r>
        <w:t>月至</w:t>
      </w:r>
      <w:r>
        <w:rPr>
          <w:lang w:val="en-GB"/>
        </w:rPr>
        <w:t>2011</w:t>
      </w:r>
      <w:r>
        <w:t>年</w:t>
      </w:r>
      <w:r>
        <w:rPr>
          <w:lang w:val="en-GB"/>
        </w:rPr>
        <w:t>3</w:t>
      </w:r>
      <w:r>
        <w:t>月期间</w:t>
      </w:r>
      <w:r>
        <w:rPr>
          <w:lang w:val="en-GB"/>
        </w:rPr>
        <w:t>，</w:t>
      </w:r>
      <w:r>
        <w:t>克罗地亚共和国</w:t>
      </w:r>
      <w:r>
        <w:rPr>
          <w:lang w:val="en-GB"/>
        </w:rPr>
        <w:t>127</w:t>
      </w:r>
      <w:r>
        <w:t>个市镇中有</w:t>
      </w:r>
      <w:r>
        <w:rPr>
          <w:lang w:val="en-GB"/>
        </w:rPr>
        <w:t>93</w:t>
      </w:r>
      <w:r>
        <w:t>个市镇的市长签署了该宪章</w:t>
      </w:r>
      <w:r>
        <w:rPr>
          <w:lang w:val="en-GB"/>
        </w:rPr>
        <w:t>，</w:t>
      </w:r>
      <w:r>
        <w:t>目前</w:t>
      </w:r>
      <w:r>
        <w:rPr>
          <w:lang w:val="en-GB"/>
        </w:rPr>
        <w:t>，</w:t>
      </w:r>
      <w:r>
        <w:t>该项目仍在继续。为在克罗地亚共和国推出无障碍车辆和交通基础设施，克罗地亚残疾人协会联合会举行了</w:t>
      </w:r>
      <w:r>
        <w:t>19</w:t>
      </w:r>
      <w:r>
        <w:t>次</w:t>
      </w:r>
      <w:r>
        <w:rPr>
          <w:rFonts w:hint="eastAsia"/>
        </w:rPr>
        <w:t>“</w:t>
      </w:r>
      <w:r>
        <w:t>残疾人交通问题</w:t>
      </w:r>
      <w:r>
        <w:rPr>
          <w:rFonts w:hint="eastAsia"/>
        </w:rPr>
        <w:t>”</w:t>
      </w:r>
      <w:r>
        <w:t>圆桌会议。</w:t>
      </w:r>
    </w:p>
    <w:p w:rsidR="0064252C" w:rsidRDefault="0064252C">
      <w:pPr>
        <w:pStyle w:val="SingleTxtGC"/>
        <w:rPr>
          <w:lang w:val="en-GB"/>
        </w:rPr>
      </w:pPr>
      <w:r>
        <w:rPr>
          <w:lang w:val="en-GB"/>
        </w:rPr>
        <w:t>52.  2009</w:t>
      </w:r>
      <w:r>
        <w:t>年</w:t>
      </w:r>
      <w:r>
        <w:rPr>
          <w:lang w:val="en-GB"/>
        </w:rPr>
        <w:t>，</w:t>
      </w:r>
      <w:r>
        <w:t>环保、国土规划和建设部向克罗地亚肢体残疾人协会联合会拨付</w:t>
      </w:r>
      <w:r>
        <w:rPr>
          <w:lang w:val="en-GB"/>
        </w:rPr>
        <w:t>5</w:t>
      </w:r>
      <w:r>
        <w:t>万库纳作为财政支助</w:t>
      </w:r>
      <w:r>
        <w:rPr>
          <w:lang w:val="en-GB"/>
        </w:rPr>
        <w:t>，</w:t>
      </w:r>
      <w:r>
        <w:t>用以实施</w:t>
      </w:r>
      <w:r>
        <w:rPr>
          <w:rFonts w:hint="eastAsia"/>
          <w:lang w:val="en-GB"/>
        </w:rPr>
        <w:t>“</w:t>
      </w:r>
      <w:r>
        <w:t>无障碍教育</w:t>
      </w:r>
      <w:r>
        <w:rPr>
          <w:rFonts w:hint="eastAsia"/>
          <w:lang w:val="en-GB"/>
        </w:rPr>
        <w:t>”</w:t>
      </w:r>
      <w:r>
        <w:t>项目</w:t>
      </w:r>
      <w:r>
        <w:rPr>
          <w:lang w:val="en-GB"/>
        </w:rPr>
        <w:t>，</w:t>
      </w:r>
      <w:r>
        <w:t>该项目旨在让建造者和投资者了解残疾人的生活方式</w:t>
      </w:r>
      <w:r>
        <w:rPr>
          <w:lang w:val="en-GB"/>
        </w:rPr>
        <w:t>，</w:t>
      </w:r>
      <w:r>
        <w:t>并提醒他们注意关于建筑无障碍设施和尊重残疾人行动权规定的条款。在克罗地亚建筑师学会和克罗地亚土木工程师学会的组织援助下，在克罗地亚</w:t>
      </w:r>
      <w:r>
        <w:t>10</w:t>
      </w:r>
      <w:r>
        <w:t>个市镇举行了教育讲座。讲座介绍了不良做法实例，着重强调更好地了解残疾人使用规定调整的方式的必要性，以便安全有效地进行设计、建设和维护。</w:t>
      </w:r>
    </w:p>
    <w:p w:rsidR="0064252C" w:rsidRDefault="0064252C">
      <w:pPr>
        <w:pStyle w:val="SingleTxtGC"/>
        <w:rPr>
          <w:lang w:val="en-GB"/>
        </w:rPr>
      </w:pPr>
      <w:r>
        <w:rPr>
          <w:lang w:val="en-GB"/>
        </w:rPr>
        <w:t xml:space="preserve">53.  </w:t>
      </w:r>
      <w:r>
        <w:t>在不断采取措施</w:t>
      </w:r>
      <w:r>
        <w:rPr>
          <w:lang w:val="en-GB"/>
        </w:rPr>
        <w:t>，</w:t>
      </w:r>
      <w:r>
        <w:t>清除交通基础设施内的建筑障碍</w:t>
      </w:r>
      <w:r>
        <w:rPr>
          <w:rStyle w:val="FootnoteReference"/>
        </w:rPr>
        <w:footnoteReference w:id="10"/>
      </w:r>
      <w:r>
        <w:t>，新的交通基础设施的建设必须确保残疾人能够顺利出入和移动。此外，还通过调整公共交通车辆、提供某些类型的服务和向特定对象发放补助金和津贴确保公共交通对残疾人无障碍。</w:t>
      </w:r>
    </w:p>
    <w:p w:rsidR="0064252C" w:rsidRDefault="0064252C">
      <w:pPr>
        <w:pStyle w:val="SingleTxtGC"/>
        <w:numPr>
          <w:ilvl w:val="0"/>
          <w:numId w:val="12"/>
        </w:numPr>
        <w:tabs>
          <w:tab w:val="clear" w:pos="2427"/>
          <w:tab w:val="clear" w:pos="3560"/>
          <w:tab w:val="left" w:pos="431"/>
          <w:tab w:val="left" w:pos="1134"/>
          <w:tab w:val="left" w:pos="1565"/>
          <w:tab w:val="left" w:pos="1996"/>
        </w:tabs>
        <w:ind w:left="1134"/>
        <w:rPr>
          <w:lang w:val="en-GB"/>
        </w:rPr>
      </w:pPr>
      <w:r>
        <w:t>调整公共交通车辆</w:t>
      </w:r>
      <w:r>
        <w:rPr>
          <w:lang w:val="en-GB"/>
        </w:rPr>
        <w:t>：</w:t>
      </w:r>
      <w:r>
        <w:t>不断对公共汽车、轮船、火车和电车进行调整</w:t>
      </w:r>
      <w:r>
        <w:rPr>
          <w:lang w:val="en-GB"/>
        </w:rPr>
        <w:t>，</w:t>
      </w:r>
      <w:r>
        <w:t>在此需要特别指出的是</w:t>
      </w:r>
      <w:r>
        <w:rPr>
          <w:lang w:val="en-GB"/>
        </w:rPr>
        <w:t>，</w:t>
      </w:r>
      <w:r>
        <w:t>新开发的克罗地亚城市公共交通无障碍设施问题解决手段</w:t>
      </w:r>
      <w:r>
        <w:rPr>
          <w:rFonts w:ascii="SimSun" w:hAnsi="SimSun" w:cs="SimSun" w:hint="eastAsia"/>
          <w:spacing w:val="-60"/>
          <w:lang w:val="en-GB"/>
        </w:rPr>
        <w:t>―</w:t>
      </w:r>
      <w:r>
        <w:rPr>
          <w:rFonts w:ascii="SimSun" w:hAnsi="SimSun" w:cs="SimSun" w:hint="eastAsia"/>
          <w:spacing w:val="10"/>
          <w:lang w:val="en-GB"/>
        </w:rPr>
        <w:t>―</w:t>
      </w:r>
      <w:r>
        <w:t>低地台电车</w:t>
      </w:r>
      <w:r>
        <w:rPr>
          <w:lang w:val="en-GB"/>
        </w:rPr>
        <w:t>TMK</w:t>
      </w:r>
      <w:r>
        <w:rPr>
          <w:rFonts w:hint="eastAsia"/>
          <w:lang w:val="en-GB"/>
        </w:rPr>
        <w:t xml:space="preserve"> </w:t>
      </w:r>
      <w:r>
        <w:rPr>
          <w:lang w:val="en-GB"/>
        </w:rPr>
        <w:t>2200</w:t>
      </w:r>
      <w:r>
        <w:t>完全适应行动有困难者的需要。有</w:t>
      </w:r>
      <w:r>
        <w:t>50</w:t>
      </w:r>
      <w:r>
        <w:t>家克罗地亚公司参与了该项目的落实工作，</w:t>
      </w:r>
      <w:r>
        <w:t>2005</w:t>
      </w:r>
      <w:r>
        <w:t>至</w:t>
      </w:r>
      <w:r>
        <w:t>2010</w:t>
      </w:r>
      <w:r>
        <w:t>年期间，共向萨格勒布市交付</w:t>
      </w:r>
      <w:r>
        <w:t>142</w:t>
      </w:r>
      <w:r>
        <w:t>辆低地台电车。得益于此，</w:t>
      </w:r>
      <w:r>
        <w:t>2010</w:t>
      </w:r>
      <w:r>
        <w:t>年初，萨格勒布市车队中低地台公共汽车和低地台电车所占比重分别达到</w:t>
      </w:r>
      <w:r>
        <w:t>83%</w:t>
      </w:r>
      <w:r>
        <w:t>和</w:t>
      </w:r>
      <w:r>
        <w:t>46%</w:t>
      </w:r>
      <w:r>
        <w:t>。一家克罗地亚公司还开发和生产了低地台电动机火车，计划用于区域交通，如稍作调整，还可用于城市和郊区交通。</w:t>
      </w:r>
    </w:p>
    <w:p w:rsidR="0064252C" w:rsidRDefault="0064252C">
      <w:pPr>
        <w:pStyle w:val="SingleTxtGC"/>
        <w:numPr>
          <w:ilvl w:val="0"/>
          <w:numId w:val="12"/>
        </w:numPr>
        <w:tabs>
          <w:tab w:val="clear" w:pos="2427"/>
          <w:tab w:val="clear" w:pos="3560"/>
          <w:tab w:val="left" w:pos="431"/>
          <w:tab w:val="left" w:pos="1134"/>
          <w:tab w:val="left" w:pos="1565"/>
          <w:tab w:val="left" w:pos="1996"/>
        </w:tabs>
        <w:ind w:left="1134"/>
        <w:rPr>
          <w:lang w:val="en-GB"/>
        </w:rPr>
      </w:pPr>
      <w:r>
        <w:t>服务</w:t>
      </w:r>
      <w:r>
        <w:rPr>
          <w:lang w:val="en-GB"/>
        </w:rPr>
        <w:t>：</w:t>
      </w:r>
      <w:r>
        <w:t>确保各项服务的一个实例是</w:t>
      </w:r>
      <w:r>
        <w:rPr>
          <w:lang w:val="en-GB"/>
        </w:rPr>
        <w:t>，</w:t>
      </w:r>
      <w:r>
        <w:t>《航空运输强制和专有权法》</w:t>
      </w:r>
      <w:r>
        <w:rPr>
          <w:lang w:val="en-GB"/>
        </w:rPr>
        <w:t>(1998</w:t>
      </w:r>
      <w:r>
        <w:t>年</w:t>
      </w:r>
      <w:r>
        <w:rPr>
          <w:lang w:val="en-GB"/>
        </w:rPr>
        <w:t>)</w:t>
      </w:r>
      <w:r>
        <w:t>规定</w:t>
      </w:r>
      <w:r>
        <w:rPr>
          <w:lang w:val="en-GB"/>
        </w:rPr>
        <w:t>，</w:t>
      </w:r>
      <w:r>
        <w:t>机场有义务确保具备协助残疾人上下航班的人力和技术能力</w:t>
      </w:r>
      <w:r>
        <w:rPr>
          <w:lang w:val="en-GB"/>
        </w:rPr>
        <w:t>，</w:t>
      </w:r>
      <w:r>
        <w:t>例如利用调整后的车辆进行移送。作为提供无障碍城市公共交通服务的一个实例，我们强调在萨格勒布市组织残疾人和发育障碍儿童前往工作地、大学、学校、休闲活动地和工作治疗地的日常交通。自</w:t>
      </w:r>
      <w:r>
        <w:t>1994</w:t>
      </w:r>
      <w:r>
        <w:t>年起，该项服务由一家城市交通运输公司负责提供。</w:t>
      </w:r>
    </w:p>
    <w:p w:rsidR="0064252C" w:rsidRDefault="0064252C">
      <w:pPr>
        <w:pStyle w:val="SingleTxtGC"/>
        <w:numPr>
          <w:ilvl w:val="0"/>
          <w:numId w:val="12"/>
        </w:numPr>
        <w:tabs>
          <w:tab w:val="clear" w:pos="2427"/>
          <w:tab w:val="clear" w:pos="3560"/>
          <w:tab w:val="left" w:pos="431"/>
          <w:tab w:val="left" w:pos="1134"/>
          <w:tab w:val="left" w:pos="1565"/>
          <w:tab w:val="left" w:pos="1996"/>
        </w:tabs>
        <w:ind w:left="1134"/>
        <w:rPr>
          <w:lang w:val="en-GB"/>
        </w:rPr>
      </w:pPr>
      <w:r>
        <w:t>特权和补助</w:t>
      </w:r>
      <w:r>
        <w:rPr>
          <w:lang w:val="en-GB"/>
        </w:rPr>
        <w:t>：</w:t>
      </w:r>
      <w:r>
        <w:t>《道路交通安全法》</w:t>
      </w:r>
      <w:r>
        <w:rPr>
          <w:lang w:val="en-GB"/>
        </w:rPr>
        <w:t>(2008</w:t>
      </w:r>
      <w:r>
        <w:t>年</w:t>
      </w:r>
      <w:r>
        <w:rPr>
          <w:lang w:val="en-GB"/>
        </w:rPr>
        <w:t>)</w:t>
      </w:r>
      <w:r>
        <w:t>规定</w:t>
      </w:r>
      <w:r>
        <w:rPr>
          <w:lang w:val="en-GB"/>
        </w:rPr>
        <w:t>，</w:t>
      </w:r>
      <w:r>
        <w:t>肢体残疾程度达</w:t>
      </w:r>
      <w:r>
        <w:rPr>
          <w:lang w:val="en-GB"/>
        </w:rPr>
        <w:t>80%</w:t>
      </w:r>
      <w:r>
        <w:t>及以上的</w:t>
      </w:r>
      <w:r>
        <w:rPr>
          <w:lang w:val="en-GB"/>
        </w:rPr>
        <w:t>，</w:t>
      </w:r>
      <w:r>
        <w:t>和下肢残疾程度达</w:t>
      </w:r>
      <w:r>
        <w:rPr>
          <w:lang w:val="en-GB"/>
        </w:rPr>
        <w:t>60%</w:t>
      </w:r>
      <w:r>
        <w:t>及以上的</w:t>
      </w:r>
      <w:r>
        <w:rPr>
          <w:lang w:val="en-GB"/>
        </w:rPr>
        <w:t>，</w:t>
      </w:r>
      <w:r>
        <w:t>其所驾乘车辆可打上规定的无障碍标识</w:t>
      </w:r>
      <w:r>
        <w:rPr>
          <w:lang w:val="en-GB"/>
        </w:rPr>
        <w:t>，并可</w:t>
      </w:r>
      <w:r>
        <w:t>凭借这一标识将车辆停放在为此专门划定的停车区内。不能使用岛上公共道路交通服务的残疾人有权获享报销其独自前往工作地、学校或专业培训所花交通费用的现金补助。经鉴定下肢残疾程度达</w:t>
      </w:r>
      <w:r>
        <w:t>80%</w:t>
      </w:r>
      <w:r>
        <w:t>及以上者和肢体残疾程度达</w:t>
      </w:r>
      <w:r>
        <w:t>100%</w:t>
      </w:r>
      <w:r>
        <w:t>的克罗地亚卫国战争伤残退伍军人，其所拥有的一部私人车辆有权免缴道路通行费</w:t>
      </w:r>
      <w:r>
        <w:t>(</w:t>
      </w:r>
      <w:r>
        <w:rPr>
          <w:rFonts w:ascii="SimSun" w:hAnsi="SimSun" w:cs="SimSun" w:hint="eastAsia"/>
        </w:rPr>
        <w:t>“</w:t>
      </w:r>
      <w:r>
        <w:t>智能</w:t>
      </w:r>
      <w:r>
        <w:rPr>
          <w:rFonts w:ascii="SimSun" w:hAnsi="SimSun" w:cs="SimSun" w:hint="eastAsia"/>
        </w:rPr>
        <w:t>”</w:t>
      </w:r>
      <w:r>
        <w:t>卡</w:t>
      </w:r>
      <w:r>
        <w:t>)</w:t>
      </w:r>
      <w:r>
        <w:t>。肢体残疾程度达</w:t>
      </w:r>
      <w:r>
        <w:t>80%</w:t>
      </w:r>
      <w:r>
        <w:t>及以上者和经鉴定下肢残疾程度达</w:t>
      </w:r>
      <w:r>
        <w:t>60%</w:t>
      </w:r>
      <w:r>
        <w:t>及以上者，其所拥有的一部私人车辆无需支付公共道路使用年费。因此，</w:t>
      </w:r>
      <w:r>
        <w:t>2010</w:t>
      </w:r>
      <w:r>
        <w:t>年</w:t>
      </w:r>
      <w:r>
        <w:t>12</w:t>
      </w:r>
      <w:r>
        <w:t>月</w:t>
      </w:r>
      <w:r>
        <w:t>20</w:t>
      </w:r>
      <w:r>
        <w:t>日，共登记高速公路免费</w:t>
      </w:r>
      <w:r>
        <w:rPr>
          <w:rFonts w:ascii="SimSun" w:hAnsi="SimSun" w:cs="SimSun" w:hint="eastAsia"/>
        </w:rPr>
        <w:t>“</w:t>
      </w:r>
      <w:r>
        <w:t>智能</w:t>
      </w:r>
      <w:r>
        <w:rPr>
          <w:rFonts w:ascii="SimSun" w:hAnsi="SimSun" w:cs="SimSun" w:hint="eastAsia"/>
        </w:rPr>
        <w:t>”</w:t>
      </w:r>
      <w:r>
        <w:t>卡使用者</w:t>
      </w:r>
      <w:r>
        <w:t>10,416</w:t>
      </w:r>
      <w:r>
        <w:t>人，公共道路使用年费豁免权使用者</w:t>
      </w:r>
      <w:r>
        <w:t>33,566</w:t>
      </w:r>
      <w:r>
        <w:t>人。《国内乘客交通特权法》</w:t>
      </w:r>
      <w:r>
        <w:t>(2000</w:t>
      </w:r>
      <w:r>
        <w:t>年</w:t>
      </w:r>
      <w:r>
        <w:t>)</w:t>
      </w:r>
      <w:r>
        <w:t>规定，在国内乘</w:t>
      </w:r>
      <w:r>
        <w:rPr>
          <w:rFonts w:hint="eastAsia"/>
        </w:rPr>
        <w:t>坐</w:t>
      </w:r>
      <w:r>
        <w:t>交通中，残疾人在乘坐火车或轮船时，有权每年享受</w:t>
      </w:r>
      <w:r>
        <w:t>4</w:t>
      </w:r>
      <w:r>
        <w:t>次正常票价优惠幅度达</w:t>
      </w:r>
      <w:r>
        <w:t>75%</w:t>
      </w:r>
      <w:r>
        <w:t>的特权，且残疾人在使用这些特权时，</w:t>
      </w:r>
      <w:r>
        <w:t>1</w:t>
      </w:r>
      <w:r>
        <w:t>名陪乘人员享有免费搭乘权。</w:t>
      </w:r>
    </w:p>
    <w:p w:rsidR="0064252C" w:rsidRDefault="0064252C">
      <w:pPr>
        <w:pStyle w:val="SingleTxtGC"/>
        <w:rPr>
          <w:lang w:val="en-GB"/>
        </w:rPr>
      </w:pPr>
      <w:r>
        <w:rPr>
          <w:lang w:val="en-GB"/>
        </w:rPr>
        <w:t xml:space="preserve">54.  </w:t>
      </w:r>
      <w:r>
        <w:t>《道路交通安全法》</w:t>
      </w:r>
      <w:r>
        <w:rPr>
          <w:lang w:val="en-GB"/>
        </w:rPr>
        <w:t>(2008</w:t>
      </w:r>
      <w:r>
        <w:t>年</w:t>
      </w:r>
      <w:r>
        <w:rPr>
          <w:lang w:val="en-GB"/>
        </w:rPr>
        <w:t>)</w:t>
      </w:r>
      <w:r>
        <w:t>规定</w:t>
      </w:r>
      <w:r>
        <w:rPr>
          <w:lang w:val="en-GB"/>
        </w:rPr>
        <w:t>，</w:t>
      </w:r>
      <w:r>
        <w:t>地方自治单位和区域自治单位对其管辖范围内交通进行管制的可能性</w:t>
      </w:r>
      <w:r>
        <w:rPr>
          <w:lang w:val="en-GB"/>
        </w:rPr>
        <w:t>，</w:t>
      </w:r>
      <w:r>
        <w:t>其中包括确保残疾人车辆停车免费和对使用公共停车场或住宅建筑前预留停车位</w:t>
      </w:r>
      <w:r>
        <w:rPr>
          <w:lang w:val="en-GB"/>
        </w:rPr>
        <w:t>(</w:t>
      </w:r>
      <w:r>
        <w:t>无论公共停车场与否</w:t>
      </w:r>
      <w:r>
        <w:rPr>
          <w:lang w:val="en-GB"/>
        </w:rPr>
        <w:t>)</w:t>
      </w:r>
      <w:r>
        <w:t>征税的可能性</w:t>
      </w:r>
      <w:r>
        <w:rPr>
          <w:lang w:val="en-GB"/>
        </w:rPr>
        <w:t>，</w:t>
      </w:r>
      <w:r>
        <w:t>和签发允许残疾人车辆在限制或禁止交通公共空间内移动和停留许可证的可能性。</w:t>
      </w:r>
    </w:p>
    <w:p w:rsidR="0064252C" w:rsidRDefault="0064252C">
      <w:pPr>
        <w:pStyle w:val="SingleTxtGC"/>
        <w:rPr>
          <w:lang w:val="en-GB"/>
        </w:rPr>
      </w:pPr>
      <w:r>
        <w:rPr>
          <w:lang w:val="en-GB"/>
        </w:rPr>
        <w:t xml:space="preserve">55.  </w:t>
      </w:r>
      <w:r>
        <w:t>现行与一般性人权和残疾人权利有关的国家战略文件鼓励适用通用设计。</w:t>
      </w:r>
    </w:p>
    <w:p w:rsidR="0064252C" w:rsidRDefault="0064252C">
      <w:pPr>
        <w:pStyle w:val="SingleTxtGC"/>
        <w:rPr>
          <w:lang w:val="en-GB"/>
        </w:rPr>
      </w:pPr>
      <w:r>
        <w:rPr>
          <w:lang w:val="en-GB"/>
        </w:rPr>
        <w:t xml:space="preserve">56.  </w:t>
      </w:r>
      <w:r>
        <w:t>《规则手册》就社会福利院类型及活动、在家庭之外提供照料的方式、社会福利院空间、设备及雇员条件、治疗社团、宗教团体、各学会和其他提供上门援助和照料的法人和中心规定了相关技术标准</w:t>
      </w:r>
      <w:r>
        <w:rPr>
          <w:lang w:val="en-GB"/>
        </w:rPr>
        <w:t>，</w:t>
      </w:r>
      <w:r>
        <w:t>确保社会福利系统无障碍</w:t>
      </w:r>
      <w:r>
        <w:rPr>
          <w:rFonts w:hint="eastAsia"/>
        </w:rPr>
        <w:t>(2009</w:t>
      </w:r>
      <w:r>
        <w:rPr>
          <w:rFonts w:hint="eastAsia"/>
        </w:rPr>
        <w:t>年</w:t>
      </w:r>
      <w:r>
        <w:rPr>
          <w:rFonts w:hint="eastAsia"/>
        </w:rPr>
        <w:t>)</w:t>
      </w:r>
      <w:r>
        <w:t>。</w:t>
      </w:r>
    </w:p>
    <w:p w:rsidR="0064252C" w:rsidRDefault="0064252C">
      <w:pPr>
        <w:pStyle w:val="SingleTxtGC"/>
        <w:rPr>
          <w:lang w:val="en-GB"/>
        </w:rPr>
      </w:pPr>
      <w:r>
        <w:rPr>
          <w:lang w:val="en-GB"/>
        </w:rPr>
        <w:t xml:space="preserve">57.  </w:t>
      </w:r>
      <w:r>
        <w:t>按照《公共采购法》</w:t>
      </w:r>
      <w:r>
        <w:rPr>
          <w:lang w:val="en-GB"/>
        </w:rPr>
        <w:t>(2007</w:t>
      </w:r>
      <w:r>
        <w:t>年</w:t>
      </w:r>
      <w:r>
        <w:rPr>
          <w:lang w:val="en-GB"/>
        </w:rPr>
        <w:t>)</w:t>
      </w:r>
      <w:r>
        <w:rPr>
          <w:lang w:val="en-GB"/>
        </w:rPr>
        <w:t>，</w:t>
      </w:r>
      <w:r>
        <w:t>招标文件中应载有与说明产品和服务必备特点的技术规格有关的要求</w:t>
      </w:r>
      <w:r>
        <w:rPr>
          <w:lang w:val="en-GB"/>
        </w:rPr>
        <w:t>，</w:t>
      </w:r>
      <w:r>
        <w:t>例如</w:t>
      </w:r>
      <w:r>
        <w:rPr>
          <w:lang w:val="en-GB"/>
        </w:rPr>
        <w:t>，</w:t>
      </w:r>
      <w:r>
        <w:t>符合所有要求的设计</w:t>
      </w:r>
      <w:r>
        <w:rPr>
          <w:lang w:val="en-GB"/>
        </w:rPr>
        <w:t>(</w:t>
      </w:r>
      <w:r>
        <w:t>包括残疾人无障碍设施</w:t>
      </w:r>
      <w:r>
        <w:rPr>
          <w:lang w:val="en-GB"/>
        </w:rPr>
        <w:t>)</w:t>
      </w:r>
      <w:r>
        <w:t>。该法还规定，技术规格必须让所有投标者和候选者能够在平等和非歧视的基础上参与竞争，以及订约当局有可能保留合同通知所载参与权的可能性，方式是表明公共合同是仅限于符合庇护性就业方案要求的候选人或投标者，还是仅限于残疾人占雇员比重达</w:t>
      </w:r>
      <w:r>
        <w:t>50%</w:t>
      </w:r>
      <w:r>
        <w:t>以上的候选人或投标者。</w:t>
      </w:r>
    </w:p>
    <w:p w:rsidR="0064252C" w:rsidRDefault="0064252C">
      <w:pPr>
        <w:pStyle w:val="H1GC"/>
      </w:pPr>
      <w:r>
        <w:tab/>
      </w:r>
      <w:r>
        <w:tab/>
      </w:r>
      <w:r>
        <w:t>第十条</w:t>
      </w:r>
      <w:r>
        <w:rPr>
          <w:rFonts w:hint="eastAsia"/>
        </w:rPr>
        <w:br/>
      </w:r>
      <w:r>
        <w:t>生命权</w:t>
      </w:r>
    </w:p>
    <w:p w:rsidR="0064252C" w:rsidRDefault="0064252C">
      <w:pPr>
        <w:pStyle w:val="SingleTxtGC"/>
        <w:rPr>
          <w:lang w:val="en-GB"/>
        </w:rPr>
      </w:pPr>
      <w:r>
        <w:rPr>
          <w:lang w:val="en-GB"/>
        </w:rPr>
        <w:t xml:space="preserve">58.  </w:t>
      </w:r>
      <w:r>
        <w:t>生命权受到《克罗地亚共和国宪法》保障</w:t>
      </w:r>
      <w:r>
        <w:rPr>
          <w:lang w:val="en-GB"/>
        </w:rPr>
        <w:t>，</w:t>
      </w:r>
      <w:r>
        <w:t>又因克罗地亚签署了众多国际</w:t>
      </w:r>
      <w:r>
        <w:rPr>
          <w:spacing w:val="-4"/>
        </w:rPr>
        <w:t>文件而进一步得到加强</w:t>
      </w:r>
      <w:r>
        <w:rPr>
          <w:spacing w:val="-4"/>
          <w:lang w:val="en-GB"/>
        </w:rPr>
        <w:t>，</w:t>
      </w:r>
      <w:r>
        <w:rPr>
          <w:spacing w:val="-4"/>
        </w:rPr>
        <w:t>这些文件是克罗地亚共和国法律系统不可分割的一部分</w:t>
      </w:r>
      <w:r>
        <w:rPr>
          <w:rStyle w:val="FootnoteReference"/>
          <w:spacing w:val="-4"/>
        </w:rPr>
        <w:footnoteReference w:id="11"/>
      </w:r>
      <w:r>
        <w:rPr>
          <w:spacing w:val="-4"/>
        </w:rPr>
        <w:t>。</w:t>
      </w:r>
      <w:r>
        <w:t>残疾人不会被任意剥夺生命。根据《刑法》</w:t>
      </w:r>
      <w:r>
        <w:t>(1997</w:t>
      </w:r>
      <w:r>
        <w:t>年</w:t>
      </w:r>
      <w:r>
        <w:t>)</w:t>
      </w:r>
      <w:r>
        <w:t>规定，如果拒绝向生病者或因生命面临直接危险而要求获得医疗援助者立即提供这类援助的，视为犯罪行为，按照规定，可处以</w:t>
      </w:r>
      <w:r>
        <w:t>6</w:t>
      </w:r>
      <w:r>
        <w:t>个月到</w:t>
      </w:r>
      <w:r>
        <w:t>3</w:t>
      </w:r>
      <w:r>
        <w:t>年的刑期。</w:t>
      </w:r>
    </w:p>
    <w:p w:rsidR="0064252C" w:rsidRDefault="0064252C">
      <w:pPr>
        <w:pStyle w:val="SingleTxtGC"/>
        <w:rPr>
          <w:lang w:val="en-GB"/>
        </w:rPr>
      </w:pPr>
      <w:r>
        <w:rPr>
          <w:lang w:val="en-GB"/>
        </w:rPr>
        <w:t xml:space="preserve">59.  </w:t>
      </w:r>
      <w:r>
        <w:t>根据《行使自由决定生育权的医疗保健措施法》</w:t>
      </w:r>
      <w:r>
        <w:rPr>
          <w:lang w:val="en-GB"/>
        </w:rPr>
        <w:t>(1978</w:t>
      </w:r>
      <w:r>
        <w:t>年</w:t>
      </w:r>
      <w:r>
        <w:rPr>
          <w:lang w:val="en-GB"/>
        </w:rPr>
        <w:t>)</w:t>
      </w:r>
      <w:r>
        <w:rPr>
          <w:lang w:val="en-GB"/>
        </w:rPr>
        <w:t>，</w:t>
      </w:r>
      <w:r>
        <w:t>妇女在妊娠头</w:t>
      </w:r>
      <w:r>
        <w:rPr>
          <w:lang w:val="en-GB"/>
        </w:rPr>
        <w:t>10</w:t>
      </w:r>
      <w:r>
        <w:t>周内可合法终止妊娠</w:t>
      </w:r>
      <w:r>
        <w:rPr>
          <w:lang w:val="en-GB"/>
        </w:rPr>
        <w:t>，</w:t>
      </w:r>
      <w:r>
        <w:t>无需征得委员会同意</w:t>
      </w:r>
      <w:r>
        <w:rPr>
          <w:lang w:val="en-GB"/>
        </w:rPr>
        <w:t>，</w:t>
      </w:r>
      <w:r>
        <w:t>堕胎手术仅可在法定医疗保健机构进行。目前，对于因有迹象表明婴儿在出生时将患有严重先天性身体或精神残疾而进行堕胎的情况，尚无相关统计数据。但经对法律法规进行修正和通过</w:t>
      </w:r>
      <w:r>
        <w:t>2011</w:t>
      </w:r>
      <w:r>
        <w:t>年统计调查计划，这将成为可能。为此目的，现已采取了必要的预备活动，即，《堕胎报告表》对染色体异常及其所致堕胎请求进行筛选的问题进行补充，在堕胎理由方面，介绍了涉及强奸和乱伦所致怀孕的其他法律规定理由。</w:t>
      </w:r>
    </w:p>
    <w:p w:rsidR="0064252C" w:rsidRDefault="0064252C">
      <w:pPr>
        <w:pStyle w:val="H1GC"/>
      </w:pPr>
      <w:r>
        <w:tab/>
      </w:r>
      <w:r>
        <w:tab/>
      </w:r>
      <w:r>
        <w:t>第十一条</w:t>
      </w:r>
      <w:r>
        <w:rPr>
          <w:rFonts w:hint="eastAsia"/>
        </w:rPr>
        <w:br/>
      </w:r>
      <w:r>
        <w:t>危机和人道主义紧急情况</w:t>
      </w:r>
    </w:p>
    <w:p w:rsidR="0064252C" w:rsidRDefault="0064252C">
      <w:pPr>
        <w:pStyle w:val="SingleTxtGC"/>
        <w:rPr>
          <w:lang w:val="en-GB"/>
        </w:rPr>
      </w:pPr>
      <w:r>
        <w:rPr>
          <w:lang w:val="en-GB"/>
        </w:rPr>
        <w:t xml:space="preserve">60.  </w:t>
      </w:r>
      <w:r>
        <w:t>克罗地亚共和国境内《保护和救援计划》规定</w:t>
      </w:r>
      <w:r>
        <w:rPr>
          <w:lang w:val="en-GB"/>
        </w:rPr>
        <w:t>，</w:t>
      </w:r>
      <w:r>
        <w:t>地方自治单位和区域自治单位的民事保护计划负责规范管理弱势群体清单和对疏散伤病者、体弱者、</w:t>
      </w:r>
      <w:r>
        <w:rPr>
          <w:lang w:val="en-GB"/>
        </w:rPr>
        <w:t>75</w:t>
      </w:r>
      <w:r>
        <w:t>周岁以上老人和残疾人等工作中的支助进行组织规划。此外，还规定了对医疗保健机构</w:t>
      </w:r>
      <w:r>
        <w:t>(</w:t>
      </w:r>
      <w:r>
        <w:t>医院和疗养院</w:t>
      </w:r>
      <w:r>
        <w:t>)</w:t>
      </w:r>
      <w:r>
        <w:t>和残疾人入住机构的强制疏散。地方自治单位和区域自治单位的保护和救援计划对此作了详细阐述。</w:t>
      </w:r>
    </w:p>
    <w:p w:rsidR="0064252C" w:rsidRDefault="0064252C">
      <w:pPr>
        <w:pStyle w:val="SingleTxtGC"/>
        <w:rPr>
          <w:lang w:val="en-GB"/>
        </w:rPr>
      </w:pPr>
      <w:r>
        <w:rPr>
          <w:lang w:val="en-GB"/>
        </w:rPr>
        <w:t xml:space="preserve">61.  </w:t>
      </w:r>
      <w:r>
        <w:t>《人道主义援助法》</w:t>
      </w:r>
      <w:r>
        <w:rPr>
          <w:lang w:val="en-GB"/>
        </w:rPr>
        <w:t>(2003</w:t>
      </w:r>
      <w:r>
        <w:t>年</w:t>
      </w:r>
      <w:r>
        <w:rPr>
          <w:lang w:val="en-GB"/>
        </w:rPr>
        <w:t>)</w:t>
      </w:r>
      <w:r>
        <w:t>对人道主义组织、人道主义援助</w:t>
      </w:r>
      <w:r>
        <w:rPr>
          <w:rFonts w:hint="eastAsia"/>
        </w:rPr>
        <w:t>及其</w:t>
      </w:r>
      <w:r>
        <w:t>提供条件作了界定。</w:t>
      </w:r>
    </w:p>
    <w:p w:rsidR="0064252C" w:rsidRDefault="0064252C">
      <w:pPr>
        <w:pStyle w:val="SingleTxtGC"/>
        <w:rPr>
          <w:lang w:val="en-GB"/>
        </w:rPr>
      </w:pPr>
      <w:r>
        <w:rPr>
          <w:lang w:val="en-GB"/>
        </w:rPr>
        <w:t xml:space="preserve">62.  </w:t>
      </w:r>
      <w:r>
        <w:t>克罗地亚红十字会在其日常活动中特别关注残疾人保护问题。克罗地亚红十字会及其各地分会在向残疾人分发人道主义援助时实行将人道主义援助送至家庭、居所或逗留地的人性化原则。这类人道主义援助分发做法还应用于危机情况。在难民营</w:t>
      </w:r>
      <w:r>
        <w:t>(</w:t>
      </w:r>
      <w:r>
        <w:t>克罗地亚红十字会接待中心，即帐篷定居点</w:t>
      </w:r>
      <w:r>
        <w:t>)</w:t>
      </w:r>
      <w:r>
        <w:t>，可通过在帐篷内使用适合残疾人需求的化学厕所和通过使用有流动水的空间在一定程度上确保环境卫生设施的可用性</w:t>
      </w:r>
      <w:r>
        <w:rPr>
          <w:rFonts w:hint="eastAsia"/>
        </w:rPr>
        <w:t>、</w:t>
      </w:r>
      <w:r>
        <w:t>无障碍性和基本个人卫生需要得到满足。</w:t>
      </w:r>
    </w:p>
    <w:p w:rsidR="0064252C" w:rsidRDefault="0064252C">
      <w:pPr>
        <w:pStyle w:val="H1GC"/>
      </w:pPr>
      <w:r>
        <w:tab/>
      </w:r>
      <w:r>
        <w:tab/>
      </w:r>
      <w:r>
        <w:t>第十二条</w:t>
      </w:r>
      <w:r>
        <w:rPr>
          <w:rFonts w:hint="eastAsia"/>
        </w:rPr>
        <w:br/>
      </w:r>
      <w:r>
        <w:t>法律面前获得平等承认</w:t>
      </w:r>
    </w:p>
    <w:p w:rsidR="0064252C" w:rsidRDefault="0064252C">
      <w:pPr>
        <w:pStyle w:val="SingleTxtGC"/>
        <w:rPr>
          <w:lang w:val="en-GB"/>
        </w:rPr>
      </w:pPr>
      <w:r>
        <w:rPr>
          <w:lang w:val="en-GB"/>
        </w:rPr>
        <w:t xml:space="preserve">63.  </w:t>
      </w:r>
      <w:r>
        <w:t>在克罗地亚共和国，法律面前人人平等。《刑法》</w:t>
      </w:r>
      <w:r>
        <w:t>(1997</w:t>
      </w:r>
      <w:r>
        <w:t>年</w:t>
      </w:r>
      <w:r>
        <w:t>)</w:t>
      </w:r>
      <w:r>
        <w:t>规定，剥夺和限制《宪法》、法律或其他法规所规定的人和公民所享有的自由或权利的，或者因差别或配属关系而给予公民特权或有利条件的，将受到制裁。</w:t>
      </w:r>
    </w:p>
    <w:p w:rsidR="0064252C" w:rsidRDefault="0064252C">
      <w:pPr>
        <w:pStyle w:val="SingleTxtGC"/>
        <w:rPr>
          <w:lang w:val="en-GB"/>
        </w:rPr>
      </w:pPr>
      <w:r>
        <w:rPr>
          <w:lang w:val="en-GB"/>
        </w:rPr>
        <w:t xml:space="preserve">64.  </w:t>
      </w:r>
      <w:r>
        <w:t>《家庭法》</w:t>
      </w:r>
      <w:r>
        <w:rPr>
          <w:lang w:val="en-GB"/>
        </w:rPr>
        <w:t>(2003</w:t>
      </w:r>
      <w:r>
        <w:t>年</w:t>
      </w:r>
      <w:r>
        <w:rPr>
          <w:lang w:val="en-GB"/>
        </w:rPr>
        <w:t>)</w:t>
      </w:r>
      <w:r>
        <w:t>规定</w:t>
      </w:r>
      <w:r>
        <w:rPr>
          <w:lang w:val="en-GB"/>
        </w:rPr>
        <w:t>，</w:t>
      </w:r>
      <w:r>
        <w:t>成年</w:t>
      </w:r>
      <w:r>
        <w:rPr>
          <w:lang w:val="en-GB"/>
        </w:rPr>
        <w:t>(</w:t>
      </w:r>
      <w:r>
        <w:t>年龄满</w:t>
      </w:r>
      <w:r>
        <w:rPr>
          <w:lang w:val="en-GB"/>
        </w:rPr>
        <w:t>18</w:t>
      </w:r>
      <w:r>
        <w:t>周岁</w:t>
      </w:r>
      <w:r>
        <w:rPr>
          <w:lang w:val="en-GB"/>
        </w:rPr>
        <w:t>)</w:t>
      </w:r>
      <w:r>
        <w:t>后或者在成年前婚姻的</w:t>
      </w:r>
      <w:r>
        <w:rPr>
          <w:lang w:val="en-GB"/>
        </w:rPr>
        <w:t>，</w:t>
      </w:r>
      <w:r>
        <w:t>即具备劳动能力。年龄在</w:t>
      </w:r>
      <w:r>
        <w:t>16</w:t>
      </w:r>
      <w:r>
        <w:t>周岁以上，且已成为父</w:t>
      </w:r>
      <w:r>
        <w:t>(</w:t>
      </w:r>
      <w:r>
        <w:t>母</w:t>
      </w:r>
      <w:r>
        <w:t>)</w:t>
      </w:r>
      <w:r>
        <w:t>亲的未成年人，也即具备劳动能力，这需要法院在虑及该未成年人心理成熟程度后通过法外程序予以裁决。该法通过监护权制度确保对无父母照料的未成年人、无自理能力成年人和因其他原因无法保护自身权益者提供保护。以此确保被监护人通过照料、医疗</w:t>
      </w:r>
      <w:r>
        <w:rPr>
          <w:rFonts w:hint="eastAsia"/>
        </w:rPr>
        <w:t>、</w:t>
      </w:r>
      <w:r>
        <w:t>生活和工作康复得到人格保护并获得专有权利和利益保护。法院依据职权或经社会福利中心、配偶或程序审理对象、其直系血亲或二代以内旁系血亲提议而提起法外程序就劳动能力丧失和监护人委任作出裁决。法院在作出裁决时会考虑到法院医疗专家的专家意见。劳动能力丧失包括完全丧失和部分丧失两个程度档次，部分丧失意味着不适合独立从事的措施、行动和工作受到规定限制</w:t>
      </w:r>
      <w:r>
        <w:t>(</w:t>
      </w:r>
      <w:r>
        <w:t>例如，资产和收入的处置和管理、做出就业决定、采取与婚姻、父母照料和其他个人条件有关的行动等等</w:t>
      </w:r>
      <w:r>
        <w:t>)</w:t>
      </w:r>
      <w:r>
        <w:t>。部分丧失劳动能力的被监护人有权就关于委任或撤回监护人的裁决以及决定其权利和福祉的裁决提起申诉。社会福利中心根据法院裁决将部分或完全丧失劳动能力者置于监护之下，并委任其监护人。如果丧失劳动能力者的父母同意且有能力照料其成年子女，社会福利中心可就成年后父母照料作出决定。监护人有义务认真被监护人及</w:t>
      </w:r>
      <w:r>
        <w:rPr>
          <w:rFonts w:hint="eastAsia"/>
        </w:rPr>
        <w:t>重视</w:t>
      </w:r>
      <w:r>
        <w:t>其权利、义务和福祉。在采取任何重大措施保护被监护人或其财产利益之前，监护人有义务考虑到被监护人的意见、意愿和感受。监护人有义务在采取一切关乎被监护人利益的重大措施之前事先征得社会福利中心的许可，被监护人的利益和权利由此进一步得到保护。社会福利中心有义务至少每三年一次就被监护人的健康状况征询初级医疗保健医生的意见，以评估申请更改工作能力丧失之裁决的必要性。</w:t>
      </w:r>
    </w:p>
    <w:p w:rsidR="0064252C" w:rsidRDefault="0064252C">
      <w:pPr>
        <w:pStyle w:val="SingleTxtGC"/>
        <w:rPr>
          <w:lang w:val="en-GB"/>
        </w:rPr>
      </w:pPr>
      <w:r>
        <w:rPr>
          <w:lang w:val="en-GB"/>
        </w:rPr>
        <w:t xml:space="preserve">65.  </w:t>
      </w:r>
      <w:r>
        <w:t>恢复劳动能力裁定程序可由下列行为体发起</w:t>
      </w:r>
      <w:r>
        <w:rPr>
          <w:lang w:val="en-GB"/>
        </w:rPr>
        <w:t>：</w:t>
      </w:r>
      <w:r>
        <w:t>法院依据其职权发起</w:t>
      </w:r>
      <w:r>
        <w:rPr>
          <w:lang w:val="en-GB"/>
        </w:rPr>
        <w:t>；</w:t>
      </w:r>
      <w:r>
        <w:t>有权提起丧失工作能力裁定程序者发起</w:t>
      </w:r>
      <w:r>
        <w:rPr>
          <w:lang w:val="en-GB"/>
        </w:rPr>
        <w:t>；</w:t>
      </w:r>
      <w:r>
        <w:t>监护人在征得社会福利中心或恢复劳动能力裁定程序审理对象允许后发起。在该程序中，法院可驳回请求或裁定工作能力完全或部分恢复。</w:t>
      </w:r>
    </w:p>
    <w:p w:rsidR="0064252C" w:rsidRDefault="0064252C">
      <w:pPr>
        <w:pStyle w:val="SingleTxtGC"/>
        <w:rPr>
          <w:lang w:val="en-GB"/>
        </w:rPr>
      </w:pPr>
      <w:r>
        <w:rPr>
          <w:lang w:val="en-GB"/>
        </w:rPr>
        <w:t xml:space="preserve">66.  </w:t>
      </w:r>
      <w:r>
        <w:t>克罗地亚共和国政府于</w:t>
      </w:r>
      <w:r>
        <w:rPr>
          <w:lang w:val="en-GB"/>
        </w:rPr>
        <w:t>2011</w:t>
      </w:r>
      <w:r>
        <w:t>年</w:t>
      </w:r>
      <w:r>
        <w:rPr>
          <w:lang w:val="en-GB"/>
        </w:rPr>
        <w:t>4</w:t>
      </w:r>
      <w:r>
        <w:t>月通过《</w:t>
      </w:r>
      <w:r>
        <w:rPr>
          <w:lang w:val="en-GB"/>
        </w:rPr>
        <w:t>2011-2016</w:t>
      </w:r>
      <w:r>
        <w:t>年克罗地亚共和国社会福利系统发展战略》</w:t>
      </w:r>
      <w:r>
        <w:rPr>
          <w:lang w:val="en-GB"/>
        </w:rPr>
        <w:t>，</w:t>
      </w:r>
      <w:r>
        <w:t>规定了以下措施</w:t>
      </w:r>
      <w:r>
        <w:rPr>
          <w:lang w:val="en-GB"/>
        </w:rPr>
        <w:t>：</w:t>
      </w:r>
    </w:p>
    <w:p w:rsidR="0064252C" w:rsidRDefault="0064252C">
      <w:pPr>
        <w:pStyle w:val="Bullet1GC"/>
        <w:rPr>
          <w:lang w:val="en-GB"/>
        </w:rPr>
      </w:pPr>
      <w:r>
        <w:rPr>
          <w:lang w:val="en-GB"/>
        </w:rPr>
        <w:t>2011-2016</w:t>
      </w:r>
      <w:r>
        <w:t>年期间进行家庭立法改革</w:t>
      </w:r>
      <w:r>
        <w:rPr>
          <w:lang w:val="en-GB"/>
        </w:rPr>
        <w:t>(</w:t>
      </w:r>
      <w:r>
        <w:t>关于《家庭法》在保护儿童权利和监护权领域适用情况的分析、《家庭法》修正案提案草案、关于需要修正以便与拟议法律草案保持一致的法规提案、关于参与执法的法院和机构组织结构的提案和关于参与执法的法官及其他专业人员的教育提案</w:t>
      </w:r>
      <w:r>
        <w:rPr>
          <w:lang w:val="en-GB"/>
        </w:rPr>
        <w:t>)</w:t>
      </w:r>
      <w:r>
        <w:rPr>
          <w:lang w:val="en-GB"/>
        </w:rPr>
        <w:t>，</w:t>
      </w:r>
    </w:p>
    <w:p w:rsidR="0064252C" w:rsidRDefault="0064252C">
      <w:pPr>
        <w:pStyle w:val="Bullet1GC"/>
        <w:rPr>
          <w:lang w:val="en-GB"/>
        </w:rPr>
      </w:pPr>
      <w:r>
        <w:t>在完善《家庭法》实质性和程序性条款框架内</w:t>
      </w:r>
      <w:r>
        <w:rPr>
          <w:lang w:val="en-GB"/>
        </w:rPr>
        <w:t>，</w:t>
      </w:r>
      <w:r>
        <w:t>改进社会福利系统在家庭司法保护领域的工作</w:t>
      </w:r>
      <w:r>
        <w:rPr>
          <w:lang w:val="en-GB"/>
        </w:rPr>
        <w:t>，</w:t>
      </w:r>
      <w:r>
        <w:t>并规定进行更为精确的能力鉴定以尊重残疾人人权</w:t>
      </w:r>
      <w:r>
        <w:rPr>
          <w:lang w:val="en-GB"/>
        </w:rPr>
        <w:t>，</w:t>
      </w:r>
      <w:r>
        <w:t>其中包括进一步完善与成年人监护权有关的法律规定</w:t>
      </w:r>
      <w:r>
        <w:rPr>
          <w:lang w:val="en-GB"/>
        </w:rPr>
        <w:t>，</w:t>
      </w:r>
      <w:r>
        <w:t>其实施期限截至</w:t>
      </w:r>
      <w:r>
        <w:rPr>
          <w:lang w:val="en-GB"/>
        </w:rPr>
        <w:t>2012</w:t>
      </w:r>
      <w:r>
        <w:t>年。</w:t>
      </w:r>
    </w:p>
    <w:p w:rsidR="0064252C" w:rsidRDefault="0064252C">
      <w:pPr>
        <w:pStyle w:val="SingleTxtGC"/>
        <w:rPr>
          <w:lang w:val="en-GB"/>
        </w:rPr>
      </w:pPr>
      <w:r>
        <w:rPr>
          <w:lang w:val="en-GB"/>
        </w:rPr>
        <w:t xml:space="preserve">67.  </w:t>
      </w:r>
      <w:r>
        <w:t>《家庭法》适用影响分析及其改进建议提案筹备工作组业已成立</w:t>
      </w:r>
      <w:r>
        <w:rPr>
          <w:lang w:val="en-GB"/>
        </w:rPr>
        <w:t>，</w:t>
      </w:r>
      <w:r>
        <w:t>隶属于家庭、退伍军人事务和代际团结部。将根据已收集的关于法院和社会福利中心适用《家庭法》情况的数据和来自专业和科研机构的其他相关数据，分析有效的法律法规和以往法庭实践，并就删除《家庭法》适用中任何欠明晰和存疑之处提出建议，还将通过对某些法律解决方案所做的改进。工作组注意到，有必要完善监护制度领域的法律法规，以使丧失劳动能力者的权利保护完全符合《残疾人权利公约》的要求。在规范、体制和执行层面对该领域进行监管极其复杂，这需要长期地、系统地开展工作，以确保各项法规的适用产生令人满意的影响。</w:t>
      </w:r>
    </w:p>
    <w:p w:rsidR="0064252C" w:rsidRDefault="0064252C">
      <w:pPr>
        <w:pStyle w:val="H1GC"/>
      </w:pPr>
      <w:r>
        <w:tab/>
      </w:r>
      <w:r>
        <w:tab/>
      </w:r>
      <w:r>
        <w:t>第十三条</w:t>
      </w:r>
      <w:r>
        <w:rPr>
          <w:rFonts w:hint="eastAsia"/>
        </w:rPr>
        <w:br/>
      </w:r>
      <w:r>
        <w:t>司法救助</w:t>
      </w:r>
    </w:p>
    <w:p w:rsidR="0064252C" w:rsidRDefault="0064252C">
      <w:pPr>
        <w:pStyle w:val="SingleTxtGC"/>
        <w:rPr>
          <w:lang w:val="en-GB"/>
        </w:rPr>
      </w:pPr>
      <w:r>
        <w:rPr>
          <w:lang w:val="en-GB"/>
        </w:rPr>
        <w:t xml:space="preserve">68.  </w:t>
      </w:r>
      <w:r>
        <w:t>残疾人有权在与其他公民平等的基础上获得司法救助，此外，还通过残疾人监察员机构对其权利单独加以保护。</w:t>
      </w:r>
    </w:p>
    <w:p w:rsidR="0064252C" w:rsidRDefault="0064252C">
      <w:pPr>
        <w:pStyle w:val="SingleTxtGC"/>
        <w:rPr>
          <w:lang w:val="en-GB"/>
        </w:rPr>
      </w:pPr>
      <w:r>
        <w:rPr>
          <w:lang w:val="en-GB"/>
        </w:rPr>
        <w:t xml:space="preserve">69.  </w:t>
      </w:r>
      <w:r>
        <w:t>残疾人监察员强调</w:t>
      </w:r>
      <w:r>
        <w:rPr>
          <w:lang w:val="en-GB"/>
        </w:rPr>
        <w:t>，</w:t>
      </w:r>
      <w:r>
        <w:t>较之往年</w:t>
      </w:r>
      <w:r>
        <w:rPr>
          <w:lang w:val="en-GB"/>
        </w:rPr>
        <w:t>，</w:t>
      </w:r>
      <w:r>
        <w:t>提高司法案件解决效率是可预见的</w:t>
      </w:r>
      <w:r>
        <w:rPr>
          <w:lang w:val="en-GB"/>
        </w:rPr>
        <w:t>，</w:t>
      </w:r>
      <w:r>
        <w:t>但她还强调行政争议解决速度缓慢的问题</w:t>
      </w:r>
      <w:r>
        <w:rPr>
          <w:lang w:val="en-GB"/>
        </w:rPr>
        <w:t>，</w:t>
      </w:r>
      <w:r>
        <w:t>她发现大量行政索赔案中均存在这一问题</w:t>
      </w:r>
      <w:r>
        <w:rPr>
          <w:lang w:val="en-GB"/>
        </w:rPr>
        <w:t>，</w:t>
      </w:r>
      <w:r>
        <w:t>并期望新的《行政争议法》的适用</w:t>
      </w:r>
      <w:r>
        <w:rPr>
          <w:lang w:val="en-GB"/>
        </w:rPr>
        <w:t>(</w:t>
      </w:r>
      <w:r>
        <w:t>自</w:t>
      </w:r>
      <w:r>
        <w:rPr>
          <w:lang w:val="en-GB"/>
        </w:rPr>
        <w:t>2012</w:t>
      </w:r>
      <w:r>
        <w:t>年</w:t>
      </w:r>
      <w:r>
        <w:rPr>
          <w:lang w:val="en-GB"/>
        </w:rPr>
        <w:t>1</w:t>
      </w:r>
      <w:r>
        <w:t>月</w:t>
      </w:r>
      <w:r>
        <w:rPr>
          <w:lang w:val="en-GB"/>
        </w:rPr>
        <w:t>1</w:t>
      </w:r>
      <w:r>
        <w:t>日开始</w:t>
      </w:r>
      <w:r>
        <w:rPr>
          <w:lang w:val="en-GB"/>
        </w:rPr>
        <w:t>)</w:t>
      </w:r>
      <w:r>
        <w:t>将能推动这些争议更快、更高效地得到解决。</w:t>
      </w:r>
    </w:p>
    <w:p w:rsidR="0064252C" w:rsidRDefault="0064252C">
      <w:pPr>
        <w:pStyle w:val="SingleTxtGC"/>
        <w:rPr>
          <w:lang w:val="en-GB"/>
        </w:rPr>
      </w:pPr>
      <w:r>
        <w:rPr>
          <w:lang w:val="en-GB"/>
        </w:rPr>
        <w:t xml:space="preserve">70.  </w:t>
      </w:r>
      <w:r>
        <w:t>《免费法律援助法》</w:t>
      </w:r>
      <w:r>
        <w:rPr>
          <w:lang w:val="en-GB"/>
        </w:rPr>
        <w:t>(2008</w:t>
      </w:r>
      <w:r>
        <w:t>年</w:t>
      </w:r>
      <w:r>
        <w:rPr>
          <w:lang w:val="en-GB"/>
        </w:rPr>
        <w:t>)</w:t>
      </w:r>
      <w:r>
        <w:t>规定</w:t>
      </w:r>
      <w:r>
        <w:rPr>
          <w:lang w:val="en-GB"/>
        </w:rPr>
        <w:t>，</w:t>
      </w:r>
      <w:r>
        <w:t>物质条件较差的</w:t>
      </w:r>
      <w:r>
        <w:rPr>
          <w:lang w:val="en-GB"/>
        </w:rPr>
        <w:t>，</w:t>
      </w:r>
      <w:r>
        <w:t>其法律援助费用由克罗地亚共和国完全或部分承担</w:t>
      </w:r>
      <w:r>
        <w:rPr>
          <w:lang w:val="en-GB"/>
        </w:rPr>
        <w:t>，</w:t>
      </w:r>
      <w:r>
        <w:t>这为他们诉诸法院和其他克罗地亚公民和国外人权利和义务裁决机构提供了便利。在法律规定的条件下，残疾人可在与其他公民平等的基础上使用这一权利</w:t>
      </w:r>
      <w:r>
        <w:t>(</w:t>
      </w:r>
      <w:r>
        <w:t>附件二表</w:t>
      </w:r>
      <w:r>
        <w:rPr>
          <w:rFonts w:hint="eastAsia"/>
        </w:rPr>
        <w:t>1</w:t>
      </w:r>
      <w:r>
        <w:t>和表</w:t>
      </w:r>
      <w:r>
        <w:t>2</w:t>
      </w:r>
      <w:r>
        <w:rPr>
          <w:rStyle w:val="FootnoteReference"/>
        </w:rPr>
        <w:footnoteReference w:id="12"/>
      </w:r>
      <w:r>
        <w:t>)</w:t>
      </w:r>
      <w:r>
        <w:t>。</w:t>
      </w:r>
    </w:p>
    <w:p w:rsidR="0064252C" w:rsidRDefault="0064252C">
      <w:pPr>
        <w:pStyle w:val="SingleTxtGC"/>
        <w:rPr>
          <w:lang w:val="en-GB"/>
        </w:rPr>
      </w:pPr>
      <w:r>
        <w:rPr>
          <w:lang w:val="en-GB"/>
        </w:rPr>
        <w:t>71.  2010</w:t>
      </w:r>
      <w:r>
        <w:t>和</w:t>
      </w:r>
      <w:r>
        <w:rPr>
          <w:lang w:val="en-GB"/>
        </w:rPr>
        <w:t>2011</w:t>
      </w:r>
      <w:r>
        <w:t>年期间</w:t>
      </w:r>
      <w:r>
        <w:rPr>
          <w:lang w:val="en-GB"/>
        </w:rPr>
        <w:t>，</w:t>
      </w:r>
      <w:r>
        <w:t>为确保司法和监狱系统工作人员适当接受关于残疾人权利的培训</w:t>
      </w:r>
      <w:r>
        <w:rPr>
          <w:lang w:val="en-GB"/>
        </w:rPr>
        <w:t>，</w:t>
      </w:r>
      <w:r>
        <w:t>对司法警察展开了题为</w:t>
      </w:r>
      <w:r>
        <w:rPr>
          <w:rFonts w:hint="eastAsia"/>
          <w:lang w:val="en-GB"/>
        </w:rPr>
        <w:t>“</w:t>
      </w:r>
      <w:r>
        <w:t>残疾人</w:t>
      </w:r>
      <w:r>
        <w:rPr>
          <w:rFonts w:ascii="SimSun" w:hAnsi="SimSun" w:cs="SimSun" w:hint="eastAsia"/>
          <w:spacing w:val="-60"/>
          <w:lang w:val="en-GB"/>
        </w:rPr>
        <w:t>―</w:t>
      </w:r>
      <w:r>
        <w:rPr>
          <w:rFonts w:ascii="SimSun" w:hAnsi="SimSun" w:cs="SimSun" w:hint="eastAsia"/>
          <w:spacing w:val="10"/>
          <w:lang w:val="en-GB"/>
        </w:rPr>
        <w:t>―</w:t>
      </w:r>
      <w:r>
        <w:t>司法系统的使用者</w:t>
      </w:r>
      <w:r>
        <w:rPr>
          <w:rFonts w:hint="eastAsia"/>
          <w:lang w:val="en-GB"/>
        </w:rPr>
        <w:t>”</w:t>
      </w:r>
      <w:r>
        <w:t>的培训。</w:t>
      </w:r>
    </w:p>
    <w:p w:rsidR="0064252C" w:rsidRDefault="0064252C">
      <w:pPr>
        <w:pStyle w:val="H1GC"/>
      </w:pPr>
      <w:r>
        <w:tab/>
      </w:r>
      <w:r>
        <w:tab/>
      </w:r>
      <w:r>
        <w:t>第十四条</w:t>
      </w:r>
      <w:r>
        <w:rPr>
          <w:rFonts w:hint="eastAsia"/>
        </w:rPr>
        <w:br/>
      </w:r>
      <w:r>
        <w:t>自由和人身安全</w:t>
      </w:r>
    </w:p>
    <w:p w:rsidR="0064252C" w:rsidRDefault="0064252C">
      <w:pPr>
        <w:pStyle w:val="SingleTxtGC"/>
        <w:rPr>
          <w:lang w:val="en-GB"/>
        </w:rPr>
      </w:pPr>
      <w:r>
        <w:rPr>
          <w:lang w:val="en-GB"/>
        </w:rPr>
        <w:t xml:space="preserve">72.  </w:t>
      </w:r>
      <w:r>
        <w:t>《克罗地亚共和国宪法》保障人人享有权利和自由</w:t>
      </w:r>
      <w:r>
        <w:rPr>
          <w:lang w:val="en-GB"/>
        </w:rPr>
        <w:t>，</w:t>
      </w:r>
      <w:r>
        <w:t>不分种族、肤色、性别、语言、宗教、政治或其他见解、民族本源或社会出身、财产、出生、教育、社会地位或其他属性。对自由或权利的任何限制必须充分具备各情况下进行限制的必要性。确保所有公民的个人和家庭生活、尊严、名誉和荣誉得到尊重和法律保护。</w:t>
      </w:r>
    </w:p>
    <w:p w:rsidR="0064252C" w:rsidRDefault="0064252C">
      <w:pPr>
        <w:pStyle w:val="SingleTxtGC"/>
        <w:rPr>
          <w:lang w:val="en-GB"/>
        </w:rPr>
      </w:pPr>
      <w:r>
        <w:rPr>
          <w:lang w:val="en-GB"/>
        </w:rPr>
        <w:t xml:space="preserve">73.  </w:t>
      </w:r>
      <w:r>
        <w:t>《徒刑执行法》</w:t>
      </w:r>
      <w:r>
        <w:rPr>
          <w:lang w:val="en-GB"/>
        </w:rPr>
        <w:t>(1999</w:t>
      </w:r>
      <w:r>
        <w:rPr>
          <w:rFonts w:hint="eastAsia"/>
          <w:lang w:val="en-GB"/>
        </w:rPr>
        <w:t>年</w:t>
      </w:r>
      <w:r>
        <w:t>、</w:t>
      </w:r>
      <w:r>
        <w:rPr>
          <w:lang w:val="en-GB"/>
        </w:rPr>
        <w:t>2000</w:t>
      </w:r>
      <w:r>
        <w:rPr>
          <w:rFonts w:hint="eastAsia"/>
          <w:lang w:val="en-GB"/>
        </w:rPr>
        <w:t>年</w:t>
      </w:r>
      <w:r>
        <w:t>、</w:t>
      </w:r>
      <w:r>
        <w:rPr>
          <w:lang w:val="en-GB"/>
        </w:rPr>
        <w:t>2001</w:t>
      </w:r>
      <w:r>
        <w:rPr>
          <w:rFonts w:hint="eastAsia"/>
          <w:lang w:val="en-GB"/>
        </w:rPr>
        <w:t>年</w:t>
      </w:r>
      <w:r>
        <w:t>、</w:t>
      </w:r>
      <w:r>
        <w:rPr>
          <w:lang w:val="en-GB"/>
        </w:rPr>
        <w:t>2003</w:t>
      </w:r>
      <w:r>
        <w:rPr>
          <w:rFonts w:hint="eastAsia"/>
          <w:lang w:val="en-GB"/>
        </w:rPr>
        <w:t>年</w:t>
      </w:r>
      <w:r>
        <w:t>、</w:t>
      </w:r>
      <w:r>
        <w:rPr>
          <w:lang w:val="en-GB"/>
        </w:rPr>
        <w:t>2007</w:t>
      </w:r>
      <w:r>
        <w:rPr>
          <w:rFonts w:hint="eastAsia"/>
          <w:lang w:val="en-GB"/>
        </w:rPr>
        <w:t>年</w:t>
      </w:r>
      <w:r>
        <w:t>、</w:t>
      </w:r>
      <w:r>
        <w:rPr>
          <w:lang w:val="en-GB"/>
        </w:rPr>
        <w:t>2008</w:t>
      </w:r>
      <w:r>
        <w:rPr>
          <w:rFonts w:hint="eastAsia"/>
          <w:lang w:val="en-GB"/>
        </w:rPr>
        <w:t>年</w:t>
      </w:r>
      <w:r>
        <w:t>、</w:t>
      </w:r>
      <w:r>
        <w:rPr>
          <w:lang w:val="en-GB"/>
        </w:rPr>
        <w:t>2009</w:t>
      </w:r>
      <w:r>
        <w:rPr>
          <w:rFonts w:hint="eastAsia"/>
          <w:lang w:val="en-GB"/>
        </w:rPr>
        <w:t>年</w:t>
      </w:r>
      <w:r>
        <w:t>、</w:t>
      </w:r>
      <w:r>
        <w:rPr>
          <w:lang w:val="en-GB"/>
        </w:rPr>
        <w:t>2011</w:t>
      </w:r>
      <w:r>
        <w:t>年</w:t>
      </w:r>
      <w:r>
        <w:rPr>
          <w:lang w:val="en-GB"/>
        </w:rPr>
        <w:t>)</w:t>
      </w:r>
      <w:r>
        <w:t>规定</w:t>
      </w:r>
      <w:r>
        <w:rPr>
          <w:lang w:val="en-GB"/>
        </w:rPr>
        <w:t>，</w:t>
      </w:r>
      <w:r>
        <w:t>确保残疾囚犯获得适合其残疾类型和残疾程度的便利</w:t>
      </w:r>
      <w:r>
        <w:rPr>
          <w:lang w:val="en-GB"/>
        </w:rPr>
        <w:t>，</w:t>
      </w:r>
      <w:r>
        <w:t>由此确保被剥夺自由的残疾人获得适当的便利并与他人一样享有平等的程序保障。</w:t>
      </w:r>
    </w:p>
    <w:p w:rsidR="0064252C" w:rsidRDefault="0064252C">
      <w:pPr>
        <w:pStyle w:val="SingleTxtGC"/>
        <w:rPr>
          <w:lang w:val="en-GB"/>
        </w:rPr>
      </w:pPr>
      <w:r>
        <w:rPr>
          <w:lang w:val="en-GB"/>
        </w:rPr>
        <w:t xml:space="preserve">74.  </w:t>
      </w:r>
      <w:r>
        <w:t>在进行司法系统新设施建设和旧设施改造时</w:t>
      </w:r>
      <w:r>
        <w:rPr>
          <w:lang w:val="en-GB"/>
        </w:rPr>
        <w:t>，</w:t>
      </w:r>
      <w:r>
        <w:t>费心努力确保它们不对残疾人构成障碍</w:t>
      </w:r>
      <w:r>
        <w:rPr>
          <w:lang w:val="en-GB"/>
        </w:rPr>
        <w:t>；</w:t>
      </w:r>
      <w:r>
        <w:t>但是</w:t>
      </w:r>
      <w:r>
        <w:rPr>
          <w:lang w:val="en-GB"/>
        </w:rPr>
        <w:t>，</w:t>
      </w:r>
      <w:r>
        <w:t>根据监察员所作的评估和基于应宪法法院请求就残疾囚犯声称在监狱医院拘押和服刑期间因无适当便利而受到不人道待遇的说法而展开的行动</w:t>
      </w:r>
      <w:r>
        <w:rPr>
          <w:lang w:val="en-GB"/>
        </w:rPr>
        <w:t>，</w:t>
      </w:r>
      <w:r>
        <w:t>克罗地亚共和国监狱系统内缺乏容纳</w:t>
      </w:r>
      <w:r>
        <w:rPr>
          <w:rFonts w:hint="eastAsia"/>
        </w:rPr>
        <w:t>、</w:t>
      </w:r>
      <w:r>
        <w:t>监禁或拘押和调查拘押需要轮椅辅助行动的残疾人的适当条件。在该项争议中，宪法法院通过了</w:t>
      </w:r>
      <w:r>
        <w:t>2010</w:t>
      </w:r>
      <w:r>
        <w:t>年</w:t>
      </w:r>
      <w:r>
        <w:t>11</w:t>
      </w:r>
      <w:r>
        <w:t>月</w:t>
      </w:r>
      <w:r>
        <w:t>3</w:t>
      </w:r>
      <w:r>
        <w:t>日裁决所提的宪法权利要求，责令克罗地亚共和国政府采取措施，让残疾囚犯能够在监狱医院内不受阻碍地移动，同时对整个监狱系统内确立和切实执行医疗保健保护质量监督机制。</w:t>
      </w:r>
    </w:p>
    <w:p w:rsidR="0064252C" w:rsidRDefault="0064252C">
      <w:pPr>
        <w:pStyle w:val="SingleTxtGC"/>
        <w:rPr>
          <w:lang w:val="en-GB"/>
        </w:rPr>
      </w:pPr>
      <w:r>
        <w:rPr>
          <w:lang w:val="en-GB"/>
        </w:rPr>
        <w:t xml:space="preserve">75.  </w:t>
      </w:r>
      <w:r>
        <w:t>《轻罪法》</w:t>
      </w:r>
      <w:r>
        <w:rPr>
          <w:lang w:val="en-GB"/>
        </w:rPr>
        <w:t>(2007</w:t>
      </w:r>
      <w:r>
        <w:t>年</w:t>
      </w:r>
      <w:r>
        <w:rPr>
          <w:lang w:val="en-GB"/>
        </w:rPr>
        <w:t>)</w:t>
      </w:r>
      <w:r>
        <w:t>旨在确保被剥夺自由的聋哑人在与他人平等的基础上享有平等的程序保障</w:t>
      </w:r>
      <w:r>
        <w:rPr>
          <w:lang w:val="en-GB"/>
        </w:rPr>
        <w:t>，</w:t>
      </w:r>
      <w:r>
        <w:t>根据该法规定</w:t>
      </w:r>
      <w:r>
        <w:rPr>
          <w:lang w:val="en-GB"/>
        </w:rPr>
        <w:t>，</w:t>
      </w:r>
      <w:r>
        <w:t>讯问期间</w:t>
      </w:r>
      <w:r>
        <w:rPr>
          <w:lang w:val="en-GB"/>
        </w:rPr>
        <w:t>，</w:t>
      </w:r>
      <w:r>
        <w:t>必须确保手语翻译在场协助。</w:t>
      </w:r>
    </w:p>
    <w:p w:rsidR="0064252C" w:rsidRDefault="0064252C">
      <w:pPr>
        <w:pStyle w:val="SingleTxtGC"/>
        <w:rPr>
          <w:lang w:val="en-GB"/>
        </w:rPr>
      </w:pPr>
      <w:r>
        <w:rPr>
          <w:lang w:val="en-GB"/>
        </w:rPr>
        <w:t xml:space="preserve">76.  </w:t>
      </w:r>
      <w:r>
        <w:t>关于社会福利机构改革和残疾人非机构化进程的详细报告参见第十九条。</w:t>
      </w:r>
    </w:p>
    <w:p w:rsidR="0064252C" w:rsidRDefault="0064252C">
      <w:pPr>
        <w:pStyle w:val="H1GC"/>
      </w:pPr>
      <w:r>
        <w:tab/>
      </w:r>
      <w:r>
        <w:tab/>
      </w:r>
      <w:r>
        <w:t>第十五条</w:t>
      </w:r>
      <w:r>
        <w:rPr>
          <w:rFonts w:hint="eastAsia"/>
        </w:rPr>
        <w:br/>
      </w:r>
      <w:r>
        <w:t>免遭酷刑或残忍、不人道或有辱人格的待遇或处罚</w:t>
      </w:r>
    </w:p>
    <w:p w:rsidR="0064252C" w:rsidRDefault="0064252C">
      <w:pPr>
        <w:pStyle w:val="SingleTxtGC"/>
        <w:rPr>
          <w:lang w:val="en-GB"/>
        </w:rPr>
      </w:pPr>
      <w:r>
        <w:rPr>
          <w:lang w:val="en-GB"/>
        </w:rPr>
        <w:t xml:space="preserve">77.  </w:t>
      </w:r>
      <w:r>
        <w:t>根据《患者权利保护法》</w:t>
      </w:r>
      <w:r>
        <w:rPr>
          <w:lang w:val="en-GB"/>
        </w:rPr>
        <w:t>(2004</w:t>
      </w:r>
      <w:r>
        <w:t>年</w:t>
      </w:r>
      <w:r>
        <w:rPr>
          <w:lang w:val="en-GB"/>
        </w:rPr>
        <w:t>)</w:t>
      </w:r>
      <w:r>
        <w:rPr>
          <w:lang w:val="en-GB"/>
        </w:rPr>
        <w:t>，</w:t>
      </w:r>
      <w:r>
        <w:t>如果要对患者进行科学研究并将其纳入医学教育</w:t>
      </w:r>
      <w:r>
        <w:rPr>
          <w:lang w:val="en-GB"/>
        </w:rPr>
        <w:t>，</w:t>
      </w:r>
      <w:r>
        <w:t>需要该患者明确作出知情同意</w:t>
      </w:r>
      <w:r>
        <w:rPr>
          <w:lang w:val="en-GB"/>
        </w:rPr>
        <w:t>，</w:t>
      </w:r>
      <w:r>
        <w:t>即患者根据以可被理解的方式拟定的关于测试性质、重要性、后果和风险的精确信息</w:t>
      </w:r>
      <w:r>
        <w:rPr>
          <w:lang w:val="en-GB"/>
        </w:rPr>
        <w:t>，</w:t>
      </w:r>
      <w:r>
        <w:t>出具同意参加某一科学研究或医学教育的书面同意书</w:t>
      </w:r>
      <w:r>
        <w:rPr>
          <w:lang w:val="en-GB"/>
        </w:rPr>
        <w:t>，</w:t>
      </w:r>
      <w:r>
        <w:t>同意书应署明日期和病患签字。对于丧失劳动能力者或未成年患者，同意书由其法律代理人或监护人出具，且可随时撤回。</w:t>
      </w:r>
    </w:p>
    <w:p w:rsidR="0064252C" w:rsidRDefault="0064252C">
      <w:pPr>
        <w:pStyle w:val="SingleTxtGC"/>
        <w:rPr>
          <w:lang w:val="en-GB"/>
        </w:rPr>
      </w:pPr>
      <w:r>
        <w:rPr>
          <w:lang w:val="en-GB"/>
        </w:rPr>
        <w:t xml:space="preserve">78.  </w:t>
      </w:r>
      <w:r>
        <w:t>被剥夺自由者根据《欧洲防止酷刑和不人道或有辱人格待遇或处罚公约》和《欧洲防止酷刑和不人道或有辱人格的待遇或处罚委员会标准与建议》受到相应待遇。在这方面，《防止酷刑和其他残忍、不人道和有辱人格待遇和处罚国家预防机制法》</w:t>
      </w:r>
      <w:r>
        <w:t>(2011</w:t>
      </w:r>
      <w:r>
        <w:t>年</w:t>
      </w:r>
      <w:r>
        <w:t>)</w:t>
      </w:r>
      <w:r>
        <w:t>规定，监察员与</w:t>
      </w:r>
      <w:r>
        <w:t>2</w:t>
      </w:r>
      <w:r>
        <w:t>名来自注册从事人权保护领域相关活动的协会的代表和</w:t>
      </w:r>
      <w:r>
        <w:t>2</w:t>
      </w:r>
      <w:r>
        <w:t>名学术界代表负责执行国家预防机制的任务；监察员向克罗地亚议会报告。</w:t>
      </w:r>
    </w:p>
    <w:p w:rsidR="0064252C" w:rsidRDefault="0064252C">
      <w:pPr>
        <w:pStyle w:val="H1GC"/>
      </w:pPr>
      <w:r>
        <w:tab/>
      </w:r>
      <w:r>
        <w:tab/>
      </w:r>
      <w:r>
        <w:t>第十六条</w:t>
      </w:r>
      <w:r>
        <w:rPr>
          <w:rFonts w:hint="eastAsia"/>
        </w:rPr>
        <w:br/>
      </w:r>
      <w:r>
        <w:t>免遭剥削、暴力和虐待</w:t>
      </w:r>
    </w:p>
    <w:p w:rsidR="0064252C" w:rsidRDefault="0064252C">
      <w:pPr>
        <w:pStyle w:val="SingleTxtGC"/>
        <w:rPr>
          <w:lang w:val="en-GB"/>
        </w:rPr>
      </w:pPr>
      <w:r>
        <w:rPr>
          <w:lang w:val="en-GB"/>
        </w:rPr>
        <w:t xml:space="preserve">79.  </w:t>
      </w:r>
      <w:r>
        <w:t>克罗地亚共和国现已采取立法和其他措施</w:t>
      </w:r>
      <w:r>
        <w:rPr>
          <w:lang w:val="en-GB"/>
        </w:rPr>
        <w:t>，</w:t>
      </w:r>
      <w:r>
        <w:t>保护残疾人免遭一切形式的剥削、暴力和虐待</w:t>
      </w:r>
      <w:r>
        <w:rPr>
          <w:lang w:val="en-GB"/>
        </w:rPr>
        <w:t>，</w:t>
      </w:r>
      <w:r>
        <w:t>包括他们与性别和儿童有关的方面。已出台一系列法规，确保向涉及家庭暴力和主管机关在暴力、虐待、忽视和剥削情况中采取行动之义务的犯罪行为和轻罪的受害者和证人提供法律和体制保护</w:t>
      </w:r>
      <w:r>
        <w:rPr>
          <w:rStyle w:val="FootnoteReference"/>
        </w:rPr>
        <w:footnoteReference w:id="13"/>
      </w:r>
      <w:r>
        <w:t>，我们特别强调《反家庭暴力法》</w:t>
      </w:r>
      <w:r>
        <w:t>(2009</w:t>
      </w:r>
      <w:r>
        <w:t>年</w:t>
      </w:r>
      <w:r>
        <w:t>)</w:t>
      </w:r>
      <w:r>
        <w:t>，该法确认，残疾人和发育障碍儿童是一个特殊的脆弱群体，并规定，对残疾人实施家庭暴力或在残疾人面前实施家庭暴力的，处以更为严厉的制裁。</w:t>
      </w:r>
    </w:p>
    <w:p w:rsidR="0064252C" w:rsidRDefault="0064252C">
      <w:pPr>
        <w:pStyle w:val="SingleTxtGC"/>
        <w:rPr>
          <w:lang w:val="en-GB"/>
        </w:rPr>
      </w:pPr>
      <w:r>
        <w:rPr>
          <w:lang w:val="en-GB"/>
        </w:rPr>
        <w:t xml:space="preserve">80.  </w:t>
      </w:r>
      <w:r>
        <w:t>《刑法》</w:t>
      </w:r>
      <w:r>
        <w:rPr>
          <w:lang w:val="en-GB"/>
        </w:rPr>
        <w:t>(1997</w:t>
      </w:r>
      <w:r>
        <w:t>年</w:t>
      </w:r>
      <w:r>
        <w:rPr>
          <w:lang w:val="en-GB"/>
        </w:rPr>
        <w:t>)</w:t>
      </w:r>
      <w:r>
        <w:t>规定</w:t>
      </w:r>
      <w:r>
        <w:rPr>
          <w:lang w:val="en-GB"/>
        </w:rPr>
        <w:t>，</w:t>
      </w:r>
      <w:r>
        <w:t>在窘迫情况下遗弃无自理能力的家庭成员的</w:t>
      </w:r>
      <w:r>
        <w:rPr>
          <w:lang w:val="en-GB"/>
        </w:rPr>
        <w:t>，</w:t>
      </w:r>
      <w:r>
        <w:t>即构成违反法定家庭义务行为</w:t>
      </w:r>
      <w:r>
        <w:rPr>
          <w:lang w:val="en-GB"/>
        </w:rPr>
        <w:t>，</w:t>
      </w:r>
      <w:r>
        <w:t>处以有期徒刑。该法还规定，未经允许擅闯他人住宅或此类住宅和商业场所附封闭区域或围栏内区域的，或经被授权人请求而未离开的，处以罚金或监禁。</w:t>
      </w:r>
    </w:p>
    <w:p w:rsidR="0064252C" w:rsidRDefault="0064252C">
      <w:pPr>
        <w:pStyle w:val="SingleTxtGC"/>
        <w:rPr>
          <w:lang w:val="en-GB"/>
        </w:rPr>
      </w:pPr>
      <w:r>
        <w:rPr>
          <w:lang w:val="en-GB"/>
        </w:rPr>
        <w:t xml:space="preserve">81.  </w:t>
      </w:r>
      <w:r>
        <w:t>2008</w:t>
      </w:r>
      <w:r>
        <w:t>年，为预防基于性别的暴力，开展了题为</w:t>
      </w:r>
      <w:r>
        <w:rPr>
          <w:rFonts w:ascii="SimSun" w:hAnsi="SimSun" w:cs="SimSun" w:hint="eastAsia"/>
        </w:rPr>
        <w:t>“</w:t>
      </w:r>
      <w:r>
        <w:t>沉默不是金</w:t>
      </w:r>
      <w:r>
        <w:rPr>
          <w:rFonts w:ascii="SimSun" w:hAnsi="SimSun" w:cs="SimSun" w:hint="eastAsia"/>
        </w:rPr>
        <w:t>”</w:t>
      </w:r>
      <w:r>
        <w:t>的媒体运动，其中包括有关家庭暴力、恋爱关系内强奸和贩运人口专题的电视短片和广告牌。</w:t>
      </w:r>
    </w:p>
    <w:p w:rsidR="0064252C" w:rsidRDefault="0064252C">
      <w:pPr>
        <w:pStyle w:val="SingleTxtGC"/>
        <w:rPr>
          <w:lang w:val="en-GB"/>
        </w:rPr>
      </w:pPr>
      <w:r>
        <w:rPr>
          <w:lang w:val="en-GB"/>
        </w:rPr>
        <w:t>82.  2010</w:t>
      </w:r>
      <w:r>
        <w:t>年</w:t>
      </w:r>
      <w:r>
        <w:rPr>
          <w:lang w:val="en-GB"/>
        </w:rPr>
        <w:t>，</w:t>
      </w:r>
      <w:r>
        <w:t>内务部、司法部、家庭、退伍军人事务和代际团结部、卫生和社会福利部、公共行政部和科学、教育和体育部签署了《暴力案件合作协定》</w:t>
      </w:r>
      <w:r>
        <w:rPr>
          <w:lang w:val="en-GB"/>
        </w:rPr>
        <w:t>，</w:t>
      </w:r>
      <w:r>
        <w:t>《协定》还将在其执行计划中制定暴力预防方案、暴力受害者援助和必要干预措施方案。</w:t>
      </w:r>
    </w:p>
    <w:p w:rsidR="0064252C" w:rsidRDefault="0064252C">
      <w:pPr>
        <w:pStyle w:val="SingleTxtGC"/>
        <w:rPr>
          <w:lang w:val="en-GB"/>
        </w:rPr>
      </w:pPr>
      <w:r>
        <w:rPr>
          <w:lang w:val="en-GB"/>
        </w:rPr>
        <w:t>83.  2009</w:t>
      </w:r>
      <w:r>
        <w:t>年</w:t>
      </w:r>
      <w:r>
        <w:rPr>
          <w:lang w:val="en-GB"/>
        </w:rPr>
        <w:t>，</w:t>
      </w:r>
      <w:r>
        <w:t>克罗地亚共和国政府反家庭暴力保护改进委员会成立</w:t>
      </w:r>
      <w:r>
        <w:rPr>
          <w:lang w:val="en-GB"/>
        </w:rPr>
        <w:t>，</w:t>
      </w:r>
      <w:r>
        <w:t>作为克罗地亚共和国政府的专业和咨询机构</w:t>
      </w:r>
      <w:r>
        <w:rPr>
          <w:lang w:val="en-GB"/>
        </w:rPr>
        <w:t>，</w:t>
      </w:r>
      <w:r>
        <w:t>其成员由家庭暴力问题专家、民间社会组织代表和主管国家主管行政机关代表组成。</w:t>
      </w:r>
      <w:r>
        <w:t>2010</w:t>
      </w:r>
      <w:r>
        <w:t>年，根据《反家庭暴力法》的规定，成立了刑事和轻罪诉讼机构工作和反家庭暴力保护相关制裁执行情况监测和改进专家委员会。</w:t>
      </w:r>
    </w:p>
    <w:p w:rsidR="0064252C" w:rsidRDefault="0064252C">
      <w:pPr>
        <w:pStyle w:val="SingleTxtGC"/>
        <w:rPr>
          <w:lang w:val="en-GB"/>
        </w:rPr>
      </w:pPr>
      <w:r>
        <w:rPr>
          <w:lang w:val="en-GB"/>
        </w:rPr>
        <w:t xml:space="preserve">84.  </w:t>
      </w:r>
      <w:r>
        <w:t>为强调在公开各项家庭暴力相关法律文本之前考虑到其可能产生的影响的重要性</w:t>
      </w:r>
      <w:r>
        <w:rPr>
          <w:lang w:val="en-GB"/>
        </w:rPr>
        <w:t>，于</w:t>
      </w:r>
      <w:r>
        <w:rPr>
          <w:lang w:val="en-GB"/>
        </w:rPr>
        <w:t>2007</w:t>
      </w:r>
      <w:r>
        <w:t>年编制了《家庭暴力媒体报道教科书及准则》</w:t>
      </w:r>
      <w:r>
        <w:rPr>
          <w:lang w:val="en-GB"/>
        </w:rPr>
        <w:t>，重点</w:t>
      </w:r>
      <w:r>
        <w:t>强调在报道家庭暴力案件时</w:t>
      </w:r>
      <w:r>
        <w:rPr>
          <w:lang w:val="en-GB"/>
        </w:rPr>
        <w:t>，</w:t>
      </w:r>
      <w:r>
        <w:t>应以规定不能以任何方式恶化受害者处境的价值框架为出发点。</w:t>
      </w:r>
    </w:p>
    <w:p w:rsidR="0064252C" w:rsidRDefault="0064252C">
      <w:pPr>
        <w:pStyle w:val="SingleTxtGC"/>
        <w:rPr>
          <w:lang w:val="en-GB"/>
        </w:rPr>
      </w:pPr>
      <w:r>
        <w:rPr>
          <w:lang w:val="en-GB"/>
        </w:rPr>
        <w:t>85</w:t>
      </w:r>
      <w:r>
        <w:t xml:space="preserve">.  </w:t>
      </w:r>
      <w:r>
        <w:t>自通过《反家庭暴力国家战略》</w:t>
      </w:r>
      <w:r>
        <w:rPr>
          <w:lang w:val="en-GB"/>
        </w:rPr>
        <w:t>(2008</w:t>
      </w:r>
      <w:r>
        <w:t>年</w:t>
      </w:r>
      <w:r>
        <w:rPr>
          <w:lang w:val="en-GB"/>
        </w:rPr>
        <w:t>，</w:t>
      </w:r>
      <w:r>
        <w:t>实施期限为两年</w:t>
      </w:r>
      <w:r>
        <w:rPr>
          <w:lang w:val="en-GB"/>
        </w:rPr>
        <w:t>)</w:t>
      </w:r>
      <w:r>
        <w:t>之日起</w:t>
      </w:r>
      <w:r>
        <w:rPr>
          <w:lang w:val="en-GB"/>
        </w:rPr>
        <w:t>，</w:t>
      </w:r>
      <w:r>
        <w:t>便根据《家庭暴力问题议定书》执行情况标准报告方法格式</w:t>
      </w:r>
      <w:r>
        <w:rPr>
          <w:lang w:val="en-GB"/>
        </w:rPr>
        <w:t>，</w:t>
      </w:r>
      <w:r>
        <w:t>通过社会福利机构年度报告对该问题进行监测</w:t>
      </w:r>
      <w:r>
        <w:rPr>
          <w:lang w:val="en-GB"/>
        </w:rPr>
        <w:t>(</w:t>
      </w:r>
      <w:r>
        <w:t>附件二表</w:t>
      </w:r>
      <w:r>
        <w:t>1</w:t>
      </w:r>
      <w:r>
        <w:rPr>
          <w:rFonts w:hint="eastAsia"/>
          <w:lang w:val="en-GB"/>
        </w:rPr>
        <w:t>至</w:t>
      </w:r>
      <w:r>
        <w:t>表</w:t>
      </w:r>
      <w:r>
        <w:t>3</w:t>
      </w:r>
      <w:r>
        <w:rPr>
          <w:lang w:val="en-GB"/>
        </w:rPr>
        <w:t>)</w:t>
      </w:r>
      <w:r>
        <w:t>。</w:t>
      </w:r>
    </w:p>
    <w:p w:rsidR="0064252C" w:rsidRDefault="0064252C">
      <w:pPr>
        <w:pStyle w:val="SingleTxtGC"/>
        <w:rPr>
          <w:lang w:val="en-GB"/>
        </w:rPr>
      </w:pPr>
      <w:r>
        <w:rPr>
          <w:lang w:val="en-GB"/>
        </w:rPr>
        <w:t xml:space="preserve">86.  </w:t>
      </w:r>
      <w:r>
        <w:t>《儿童暴力问题议定书》以及《家庭暴力问题议定书》规定</w:t>
      </w:r>
      <w:r>
        <w:rPr>
          <w:lang w:val="en-GB"/>
        </w:rPr>
        <w:t>，</w:t>
      </w:r>
      <w:r>
        <w:t>在发生暴力、虐待、忽视或剥削时</w:t>
      </w:r>
      <w:r>
        <w:rPr>
          <w:lang w:val="en-GB"/>
        </w:rPr>
        <w:t>，</w:t>
      </w:r>
      <w:r>
        <w:t>所有主管机构均有义务采取行动。根据《初等和中等教育法》</w:t>
      </w:r>
      <w:r>
        <w:t>(2008</w:t>
      </w:r>
      <w:r>
        <w:t>年</w:t>
      </w:r>
      <w:r>
        <w:t>)</w:t>
      </w:r>
      <w:r>
        <w:t>的规定，科学、教育和体育部编制了一份关于教师、相关工作人员和校长在采取措施保护学生权利和向主管当局报告侵犯这些权利的行为两个方面采取行动的《规则手册》，该手册将考虑到各国际协定所载之承诺，利用上文所述议定书和第</w:t>
      </w:r>
      <w:r>
        <w:t>82</w:t>
      </w:r>
      <w:r>
        <w:t>段所述之《合作协定》，对在发生任何侵犯学生权利的案件时教育系统工作人员应采取的行动作出了特别规定。科学、教育和体育部编制了《预防儿童和青少年暴力活动方案》，实施期限是</w:t>
      </w:r>
      <w:r>
        <w:t>2006</w:t>
      </w:r>
      <w:r>
        <w:rPr>
          <w:lang w:val="en-GB"/>
        </w:rPr>
        <w:t>-</w:t>
      </w:r>
      <w:r>
        <w:t>2012</w:t>
      </w:r>
      <w:r>
        <w:t>年，在此基础上，所有中等教育机构就该问题编制了预防方案、举办了讲习班、组织了讲座并与学生和家长一道开展各方案。中等教育机构计划在课程中增加预防方案，并向科学、教育和体育部报告该计划。所规定的大部分活动是在早点名教室集合时间开展落实的，除教师外，相关工作人员和来自各协会、社会福利中心或警察部门的代表也参与其中。</w:t>
      </w:r>
    </w:p>
    <w:p w:rsidR="0064252C" w:rsidRDefault="0064252C">
      <w:pPr>
        <w:pStyle w:val="SingleTxtGC"/>
        <w:rPr>
          <w:lang w:val="en-GB"/>
        </w:rPr>
      </w:pPr>
      <w:r>
        <w:rPr>
          <w:lang w:val="en-GB"/>
        </w:rPr>
        <w:t xml:space="preserve">87.  </w:t>
      </w:r>
      <w:r>
        <w:t>残疾人监察员办公室称</w:t>
      </w:r>
      <w:r>
        <w:rPr>
          <w:lang w:val="en-GB"/>
        </w:rPr>
        <w:t>，</w:t>
      </w:r>
      <w:r>
        <w:t>因做出调整的安全房舍数量不足和缺乏专门的残疾人康复和心理社会支持方案</w:t>
      </w:r>
      <w:r>
        <w:rPr>
          <w:lang w:val="en-GB"/>
        </w:rPr>
        <w:t>，</w:t>
      </w:r>
      <w:r>
        <w:t>现已采取的措施不足以确保所有残疾人</w:t>
      </w:r>
      <w:r>
        <w:rPr>
          <w:rFonts w:ascii="SimSun" w:hAnsi="SimSun" w:cs="SimSun" w:hint="eastAsia"/>
          <w:spacing w:val="-60"/>
          <w:lang w:val="en-GB"/>
        </w:rPr>
        <w:t>―</w:t>
      </w:r>
      <w:r>
        <w:rPr>
          <w:rFonts w:ascii="SimSun" w:hAnsi="SimSun" w:cs="SimSun" w:hint="eastAsia"/>
          <w:spacing w:val="10"/>
          <w:lang w:val="en-GB"/>
        </w:rPr>
        <w:t>―</w:t>
      </w:r>
      <w:r>
        <w:t>暴力行为受害者</w:t>
      </w:r>
      <w:r>
        <w:rPr>
          <w:rFonts w:ascii="SimSun" w:hAnsi="SimSun" w:cs="SimSun" w:hint="eastAsia"/>
          <w:spacing w:val="-60"/>
          <w:lang w:val="en-GB"/>
        </w:rPr>
        <w:t>―</w:t>
      </w:r>
      <w:r>
        <w:rPr>
          <w:rFonts w:ascii="SimSun" w:hAnsi="SimSun" w:cs="SimSun" w:hint="eastAsia"/>
          <w:spacing w:val="10"/>
          <w:lang w:val="en-GB"/>
        </w:rPr>
        <w:t>―</w:t>
      </w:r>
      <w:r>
        <w:t>能够获享高效的服务和恢复方案、康复和社会融合。她认为，应强化旨在保护免遭暴力的措施，以期向残疾受害者提供支持并预防暴力行为。</w:t>
      </w:r>
    </w:p>
    <w:p w:rsidR="0064252C" w:rsidRDefault="0064252C">
      <w:pPr>
        <w:pStyle w:val="SingleTxtGC"/>
        <w:rPr>
          <w:lang w:val="en-GB"/>
        </w:rPr>
      </w:pPr>
      <w:r>
        <w:rPr>
          <w:lang w:val="en-GB"/>
        </w:rPr>
        <w:t xml:space="preserve">88.  </w:t>
      </w:r>
      <w:r>
        <w:t>卫生和社会福利部和家庭、退伍军人事务和代际团结部确保向照料遭受家庭暴力侵害的儿童和成人的法人提供财政支持。直至</w:t>
      </w:r>
      <w:r>
        <w:t>2010</w:t>
      </w:r>
      <w:r>
        <w:t>年底，为确保家庭暴力受害者收容所顺利开展工作，家庭、退伍军人事务和代际团结部、区域自治单位和城镇之间签署了三方协定，共同资助区域自治单位管辖范围内家庭暴力受害者咨询设施和收容所的工作</w:t>
      </w:r>
      <w:r>
        <w:t>(</w:t>
      </w:r>
      <w:r>
        <w:t>附件二表</w:t>
      </w:r>
      <w:r>
        <w:t>4</w:t>
      </w:r>
      <w:r>
        <w:t>家庭、退伍军人事务和代际团结部</w:t>
      </w:r>
      <w:r>
        <w:t>)</w:t>
      </w:r>
      <w:r>
        <w:t>。卫生和社会福利部还与开展这类活动的</w:t>
      </w:r>
      <w:r>
        <w:t>9</w:t>
      </w:r>
      <w:r>
        <w:t>个法人签订了协定，共有</w:t>
      </w:r>
      <w:r>
        <w:t>134</w:t>
      </w:r>
      <w:r>
        <w:t>人的收容能力。作为暴力行为受害者的残疾人也能够使用这些服务。</w:t>
      </w:r>
    </w:p>
    <w:p w:rsidR="0064252C" w:rsidRDefault="0064252C">
      <w:pPr>
        <w:pStyle w:val="SingleTxtGC"/>
        <w:rPr>
          <w:lang w:val="en-GB"/>
        </w:rPr>
      </w:pPr>
      <w:r>
        <w:rPr>
          <w:lang w:val="en-GB"/>
        </w:rPr>
        <w:t xml:space="preserve">89.  </w:t>
      </w:r>
      <w:r>
        <w:t>国家行政机关与民间社会组织合作</w:t>
      </w:r>
      <w:r>
        <w:rPr>
          <w:lang w:val="en-GB"/>
        </w:rPr>
        <w:t>，</w:t>
      </w:r>
      <w:r>
        <w:t>共同资助开展旨在预防和清除各类形式家庭暴力的项目</w:t>
      </w:r>
      <w:r>
        <w:rPr>
          <w:lang w:val="en-GB"/>
        </w:rPr>
        <w:t>，</w:t>
      </w:r>
      <w:r>
        <w:t>残疾人亦被包括其中</w:t>
      </w:r>
      <w:r>
        <w:rPr>
          <w:lang w:val="en-GB"/>
        </w:rPr>
        <w:t>(</w:t>
      </w:r>
      <w:r>
        <w:t>附件二表</w:t>
      </w:r>
      <w:r>
        <w:t>5</w:t>
      </w:r>
      <w:r>
        <w:t>家庭、退伍军人事务和代际团结部</w:t>
      </w:r>
      <w:r>
        <w:rPr>
          <w:rFonts w:hint="eastAsia"/>
        </w:rPr>
        <w:t>及</w:t>
      </w:r>
      <w:r>
        <w:t>卫生和社会福利部</w:t>
      </w:r>
      <w:r>
        <w:rPr>
          <w:lang w:val="en-GB"/>
        </w:rPr>
        <w:t>)</w:t>
      </w:r>
      <w:r>
        <w:t>。</w:t>
      </w:r>
    </w:p>
    <w:p w:rsidR="0064252C" w:rsidRDefault="0064252C">
      <w:pPr>
        <w:pStyle w:val="SingleTxtGC"/>
        <w:rPr>
          <w:lang w:val="en-GB"/>
        </w:rPr>
      </w:pPr>
      <w:r>
        <w:rPr>
          <w:lang w:val="en-GB"/>
        </w:rPr>
        <w:t xml:space="preserve">90.  </w:t>
      </w:r>
      <w:r>
        <w:t>心理援助学会与来自荷兰社会发展中心的荷兰专家共同合作</w:t>
      </w:r>
      <w:r>
        <w:rPr>
          <w:lang w:val="en-GB"/>
        </w:rPr>
        <w:t>，</w:t>
      </w:r>
      <w:r>
        <w:t>在三年期项目</w:t>
      </w:r>
      <w:r>
        <w:rPr>
          <w:rFonts w:ascii="SimSun" w:hAnsi="SimSun" w:cs="SimSun" w:hint="eastAsia"/>
          <w:lang w:val="en-GB"/>
        </w:rPr>
        <w:t>“</w:t>
      </w:r>
      <w:r>
        <w:rPr>
          <w:lang w:val="en-GB"/>
        </w:rPr>
        <w:t>MATRA</w:t>
      </w:r>
      <w:r>
        <w:rPr>
          <w:rFonts w:ascii="SimSun" w:hAnsi="SimSun" w:cs="SimSun" w:hint="eastAsia"/>
          <w:lang w:val="en-GB"/>
        </w:rPr>
        <w:t>”</w:t>
      </w:r>
      <w:r>
        <w:t>框架内开展项目</w:t>
      </w:r>
      <w:r>
        <w:rPr>
          <w:lang w:val="en-GB"/>
        </w:rPr>
        <w:t>，</w:t>
      </w:r>
      <w:r>
        <w:t>卫生和社会福利部对此予以支持。</w:t>
      </w:r>
      <w:r>
        <w:t>2009</w:t>
      </w:r>
      <w:r>
        <w:t>年，在该项目内启动了面向家庭暴力受害者和行为人问题专家</w:t>
      </w:r>
      <w:r>
        <w:rPr>
          <w:rFonts w:ascii="SimSun" w:hAnsi="SimSun" w:cs="SimSun" w:hint="eastAsia"/>
          <w:spacing w:val="-60"/>
        </w:rPr>
        <w:t>―</w:t>
      </w:r>
      <w:r>
        <w:rPr>
          <w:rFonts w:ascii="SimSun" w:hAnsi="SimSun" w:cs="SimSun" w:hint="eastAsia"/>
          <w:spacing w:val="10"/>
        </w:rPr>
        <w:t>―</w:t>
      </w:r>
      <w:r>
        <w:t>社会福利、警察、司法、医疗保健系统和民间社会组织雇员</w:t>
      </w:r>
      <w:r>
        <w:rPr>
          <w:rFonts w:ascii="SimSun" w:hAnsi="SimSun" w:cs="SimSun" w:hint="eastAsia"/>
          <w:spacing w:val="-60"/>
        </w:rPr>
        <w:t>―</w:t>
      </w:r>
      <w:r>
        <w:rPr>
          <w:rFonts w:ascii="SimSun" w:hAnsi="SimSun" w:cs="SimSun" w:hint="eastAsia"/>
          <w:spacing w:val="10"/>
        </w:rPr>
        <w:t>―</w:t>
      </w:r>
      <w:r>
        <w:t>的专业培训方案举行了</w:t>
      </w:r>
      <w:r>
        <w:t>13</w:t>
      </w:r>
      <w:r>
        <w:t>届区域讨论会，其中，</w:t>
      </w:r>
      <w:r>
        <w:t>1</w:t>
      </w:r>
      <w:r>
        <w:t>名来自卫生和社会福利部的代表以社会福利活动相关方案部分演讲人的身份出席。家庭、退伍军人事务和代际团结部与克罗地亚残疾人协会联合会合作，围绕各类残疾类型中所采取行动的具体特点对参加《家庭暴力问题议定书》项下活动的公务员开展教育。</w:t>
      </w:r>
    </w:p>
    <w:p w:rsidR="0064252C" w:rsidRDefault="0064252C">
      <w:pPr>
        <w:pStyle w:val="SingleTxtGC"/>
        <w:rPr>
          <w:lang w:val="en-GB"/>
        </w:rPr>
      </w:pPr>
      <w:r>
        <w:rPr>
          <w:lang w:val="en-GB"/>
        </w:rPr>
        <w:t>91.  2010</w:t>
      </w:r>
      <w:r>
        <w:t>年</w:t>
      </w:r>
      <w:r>
        <w:rPr>
          <w:lang w:val="en-GB"/>
        </w:rPr>
        <w:t>，</w:t>
      </w:r>
      <w:r>
        <w:t>为改进和统一家庭司法和刑事司法保护问题中的工作和行动方式</w:t>
      </w:r>
      <w:r>
        <w:rPr>
          <w:lang w:val="en-GB"/>
        </w:rPr>
        <w:t>，</w:t>
      </w:r>
      <w:r>
        <w:t>在地方一级设立协调员并发展跨部门合作网络</w:t>
      </w:r>
      <w:r>
        <w:rPr>
          <w:lang w:val="en-GB"/>
        </w:rPr>
        <w:t>，</w:t>
      </w:r>
      <w:r>
        <w:t>卫生和社会福利部面向这些问题方面的专家发起了题为</w:t>
      </w:r>
      <w:r>
        <w:rPr>
          <w:rFonts w:ascii="SimSun" w:hAnsi="SimSun" w:cs="SimSun" w:hint="eastAsia"/>
          <w:lang w:val="en-GB"/>
        </w:rPr>
        <w:t>“</w:t>
      </w:r>
      <w:r>
        <w:t>我们可以联起手来</w:t>
      </w:r>
      <w:r>
        <w:rPr>
          <w:rFonts w:ascii="SimSun" w:hAnsi="SimSun" w:cs="SimSun" w:hint="eastAsia"/>
          <w:lang w:val="en-GB"/>
        </w:rPr>
        <w:t>”</w:t>
      </w:r>
      <w:r>
        <w:t>的讨论会。</w:t>
      </w:r>
    </w:p>
    <w:p w:rsidR="0064252C" w:rsidRDefault="0064252C">
      <w:pPr>
        <w:pStyle w:val="H1GC"/>
      </w:pPr>
      <w:r>
        <w:tab/>
      </w:r>
      <w:r>
        <w:tab/>
      </w:r>
      <w:r>
        <w:t>第十七条</w:t>
      </w:r>
      <w:r>
        <w:br/>
      </w:r>
      <w:r>
        <w:t>保护人身完整性</w:t>
      </w:r>
    </w:p>
    <w:p w:rsidR="0064252C" w:rsidRDefault="0064252C">
      <w:pPr>
        <w:pStyle w:val="SingleTxtGC"/>
        <w:rPr>
          <w:lang w:val="en-GB"/>
        </w:rPr>
      </w:pPr>
      <w:r>
        <w:rPr>
          <w:lang w:val="en-GB"/>
        </w:rPr>
        <w:t xml:space="preserve">92.  </w:t>
      </w:r>
      <w:r>
        <w:t>《患者权利保护法》</w:t>
      </w:r>
      <w:r>
        <w:rPr>
          <w:lang w:val="en-GB"/>
        </w:rPr>
        <w:t>(2004</w:t>
      </w:r>
      <w:r>
        <w:t>年</w:t>
      </w:r>
      <w:r>
        <w:rPr>
          <w:lang w:val="en-GB"/>
        </w:rPr>
        <w:t>)</w:t>
      </w:r>
      <w:r>
        <w:t>规定</w:t>
      </w:r>
      <w:r>
        <w:rPr>
          <w:lang w:val="en-GB"/>
        </w:rPr>
        <w:t>，</w:t>
      </w:r>
      <w:r>
        <w:t>所有患者有权</w:t>
      </w:r>
      <w:r>
        <w:rPr>
          <w:lang w:val="en-GB"/>
        </w:rPr>
        <w:t>：</w:t>
      </w:r>
      <w:r>
        <w:t>参与决策</w:t>
      </w:r>
      <w:r>
        <w:rPr>
          <w:lang w:val="en-GB"/>
        </w:rPr>
        <w:t>；</w:t>
      </w:r>
      <w:r>
        <w:t>知悉、接受或拒绝诊断或治疗程序</w:t>
      </w:r>
      <w:r>
        <w:rPr>
          <w:lang w:val="en-GB"/>
        </w:rPr>
        <w:t>；</w:t>
      </w:r>
      <w:r>
        <w:t>查阅病历</w:t>
      </w:r>
      <w:r>
        <w:rPr>
          <w:lang w:val="en-GB"/>
        </w:rPr>
        <w:t>；</w:t>
      </w:r>
      <w:r>
        <w:t>保密</w:t>
      </w:r>
      <w:r>
        <w:rPr>
          <w:lang w:val="en-GB"/>
        </w:rPr>
        <w:t>；</w:t>
      </w:r>
      <w:r>
        <w:t>保持个人联系</w:t>
      </w:r>
      <w:r>
        <w:rPr>
          <w:lang w:val="en-GB"/>
        </w:rPr>
        <w:t>；</w:t>
      </w:r>
      <w:r>
        <w:t>随时离开医疗保健机构</w:t>
      </w:r>
      <w:r>
        <w:rPr>
          <w:lang w:val="en-GB"/>
        </w:rPr>
        <w:t>；</w:t>
      </w:r>
      <w:r>
        <w:t>任意离开医疗机构</w:t>
      </w:r>
      <w:r>
        <w:rPr>
          <w:lang w:val="en-GB"/>
        </w:rPr>
        <w:t>；保留</w:t>
      </w:r>
      <w:r>
        <w:t>隐私和获得赔偿。对于无法就实施某一医疗程序作出同意决定的患者、对于精神障碍较为严重的患者和对于丧失劳动能力者，除需要进行紧急医疗干预的情况外，未经患者法律代理人或监护人签字同意，不得进行任何危及患者生命和健康或对其健康造成永久性损伤的治疗。盲人、无阅读能力的聋人、无书写能力的哑人和聋盲人可通过两种方式来接受诊断或治疗程序：一是公证行为形式的声明，二是在两位证人面前发表声明，委任具有劳动能力者代表他</w:t>
      </w:r>
      <w:r>
        <w:t>(</w:t>
      </w:r>
      <w:r>
        <w:t>她</w:t>
      </w:r>
      <w:r>
        <w:t>)</w:t>
      </w:r>
      <w:r>
        <w:t>接受或拒绝这类程序。可随时签署一份声明，撤回同意书。如果此类患者及其法律代理人或监护人的利益存在冲突，医疗保健人员有义务立即将此告知社会福利中心。</w:t>
      </w:r>
    </w:p>
    <w:p w:rsidR="0064252C" w:rsidRDefault="0064252C">
      <w:pPr>
        <w:pStyle w:val="SingleTxtGC"/>
        <w:rPr>
          <w:lang w:val="en-GB"/>
        </w:rPr>
      </w:pPr>
      <w:r>
        <w:rPr>
          <w:lang w:val="en-GB"/>
        </w:rPr>
        <w:t xml:space="preserve">93.  </w:t>
      </w:r>
      <w:r>
        <w:t>按照《精神障碍者保护法》</w:t>
      </w:r>
      <w:r>
        <w:rPr>
          <w:lang w:val="en-GB"/>
        </w:rPr>
        <w:t>(1997</w:t>
      </w:r>
      <w:r>
        <w:rPr>
          <w:rFonts w:hint="eastAsia"/>
          <w:lang w:val="en-GB"/>
        </w:rPr>
        <w:t>年</w:t>
      </w:r>
      <w:r>
        <w:t>、</w:t>
      </w:r>
      <w:r>
        <w:rPr>
          <w:lang w:val="en-GB"/>
        </w:rPr>
        <w:t>1998</w:t>
      </w:r>
      <w:r>
        <w:rPr>
          <w:rFonts w:hint="eastAsia"/>
          <w:lang w:val="en-GB"/>
        </w:rPr>
        <w:t>年</w:t>
      </w:r>
      <w:r>
        <w:t>、</w:t>
      </w:r>
      <w:r>
        <w:rPr>
          <w:lang w:val="en-GB"/>
        </w:rPr>
        <w:t>1999</w:t>
      </w:r>
      <w:r>
        <w:rPr>
          <w:rFonts w:hint="eastAsia"/>
          <w:lang w:val="en-GB"/>
        </w:rPr>
        <w:t>年</w:t>
      </w:r>
      <w:r>
        <w:t>、</w:t>
      </w:r>
      <w:r>
        <w:rPr>
          <w:lang w:val="en-GB"/>
        </w:rPr>
        <w:t>2002</w:t>
      </w:r>
      <w:r>
        <w:t>年</w:t>
      </w:r>
      <w:r>
        <w:rPr>
          <w:lang w:val="en-GB"/>
        </w:rPr>
        <w:t>)</w:t>
      </w:r>
      <w:r>
        <w:rPr>
          <w:lang w:val="en-GB"/>
        </w:rPr>
        <w:t>，</w:t>
      </w:r>
      <w:r>
        <w:t>出于保护精神障碍者健康或安全或保护他人健康和安全的需要</w:t>
      </w:r>
      <w:r>
        <w:rPr>
          <w:lang w:val="en-GB"/>
        </w:rPr>
        <w:t>，</w:t>
      </w:r>
      <w:r>
        <w:t>可在未经严重精神障碍者同意的情况下将其安置在精神病院</w:t>
      </w:r>
      <w:r>
        <w:rPr>
          <w:lang w:val="en-GB"/>
        </w:rPr>
        <w:t>，</w:t>
      </w:r>
      <w:r>
        <w:t>如果精神障碍者是儿童、未成年人或丧失劳动能力的</w:t>
      </w:r>
      <w:r>
        <w:rPr>
          <w:lang w:val="en-GB"/>
        </w:rPr>
        <w:t>，</w:t>
      </w:r>
      <w:r>
        <w:t>可在未经其法律代理人同意的情况下对其进行关押。精神障碍者是继续留在精神病院还是出院，由法院根据精神科医生和非受雇于该人所在精神病院的专家的观点作出裁决。</w:t>
      </w:r>
    </w:p>
    <w:p w:rsidR="0064252C" w:rsidRDefault="0064252C">
      <w:pPr>
        <w:pStyle w:val="SingleTxtGC"/>
        <w:rPr>
          <w:lang w:val="en-GB"/>
        </w:rPr>
      </w:pPr>
      <w:r>
        <w:rPr>
          <w:lang w:val="en-GB"/>
        </w:rPr>
        <w:t xml:space="preserve">94.  </w:t>
      </w:r>
      <w:r>
        <w:t>《行使自由决定生育权的医疗保健措施法》</w:t>
      </w:r>
      <w:r>
        <w:rPr>
          <w:lang w:val="en-GB"/>
        </w:rPr>
        <w:t>(1978</w:t>
      </w:r>
      <w:r>
        <w:t>年</w:t>
      </w:r>
      <w:r>
        <w:rPr>
          <w:lang w:val="en-GB"/>
        </w:rPr>
        <w:t>)</w:t>
      </w:r>
      <w:r>
        <w:t>规定</w:t>
      </w:r>
      <w:r>
        <w:rPr>
          <w:lang w:val="en-GB"/>
        </w:rPr>
        <w:t>，</w:t>
      </w:r>
      <w:r>
        <w:t>实行绝育手术须满足以下条件</w:t>
      </w:r>
      <w:r>
        <w:rPr>
          <w:lang w:val="en-GB"/>
        </w:rPr>
        <w:t>：</w:t>
      </w:r>
      <w:r>
        <w:t>想进行绝育手术者提出请求</w:t>
      </w:r>
      <w:r>
        <w:rPr>
          <w:lang w:val="en-GB"/>
        </w:rPr>
        <w:t>，</w:t>
      </w:r>
      <w:r>
        <w:t>且年龄满</w:t>
      </w:r>
      <w:r>
        <w:rPr>
          <w:lang w:val="en-GB"/>
        </w:rPr>
        <w:t>35</w:t>
      </w:r>
      <w:r>
        <w:t>周岁</w:t>
      </w:r>
      <w:r>
        <w:rPr>
          <w:lang w:val="en-GB"/>
        </w:rPr>
        <w:t>。</w:t>
      </w:r>
      <w:r>
        <w:t>由此可见</w:t>
      </w:r>
      <w:r>
        <w:rPr>
          <w:lang w:val="en-GB"/>
        </w:rPr>
        <w:t>，</w:t>
      </w:r>
      <w:r>
        <w:t>禁止女孩做绝育手术。在妊娠或分娩危及其生命，以及根据医学知识断定孩子在出生时会患有严重的先天性身体或精神疾病的情况下，妇女可进行绝育手术，不受年龄限制。不具备劳动能力的，经社会福利中心同意后，可由其法律代理人或监护人提交绝育请求。</w:t>
      </w:r>
    </w:p>
    <w:p w:rsidR="0064252C" w:rsidRDefault="0064252C">
      <w:pPr>
        <w:pStyle w:val="SingleTxtGC"/>
        <w:rPr>
          <w:lang w:val="en-GB"/>
        </w:rPr>
      </w:pPr>
      <w:r>
        <w:rPr>
          <w:lang w:val="en-GB"/>
        </w:rPr>
        <w:t xml:space="preserve">95.  </w:t>
      </w:r>
      <w:r>
        <w:t>隶属于卫生和社会福利部的保护和促进患者权利委员会负责监测患者权利落实工作的执行情况和区域自治机构各委员会的工作</w:t>
      </w:r>
      <w:r>
        <w:rPr>
          <w:lang w:val="en-GB"/>
        </w:rPr>
        <w:t>，</w:t>
      </w:r>
      <w:r>
        <w:t>向主管机构提出意见、建议和提案</w:t>
      </w:r>
      <w:r>
        <w:rPr>
          <w:lang w:val="en-GB"/>
        </w:rPr>
        <w:t>，</w:t>
      </w:r>
      <w:r>
        <w:t>并提议采取措施以在克罗地亚共和国创建完善的患者权利保护和促进系统。该委员由</w:t>
      </w:r>
      <w:r>
        <w:t>7</w:t>
      </w:r>
      <w:r>
        <w:t>名成员组成</w:t>
      </w:r>
      <w:r>
        <w:t>(</w:t>
      </w:r>
      <w:r>
        <w:t>患者权利保护协会、媒体</w:t>
      </w:r>
      <w:r>
        <w:rPr>
          <w:rFonts w:hint="eastAsia"/>
        </w:rPr>
        <w:t>及</w:t>
      </w:r>
      <w:r>
        <w:t>卫生和社会福利部的代表</w:t>
      </w:r>
      <w:r>
        <w:t>)</w:t>
      </w:r>
      <w:r>
        <w:t>。现已在区域自治单位内成立患者权利保护委员会，共设有</w:t>
      </w:r>
      <w:r>
        <w:t>5</w:t>
      </w:r>
      <w:r>
        <w:t>名成员</w:t>
      </w:r>
      <w:r>
        <w:t>(</w:t>
      </w:r>
      <w:r>
        <w:t>患者和民间社会组织的代表和患者权利保护领域的专家</w:t>
      </w:r>
      <w:r>
        <w:t>)</w:t>
      </w:r>
      <w:r>
        <w:t>。</w:t>
      </w:r>
    </w:p>
    <w:p w:rsidR="0064252C" w:rsidRDefault="0064252C">
      <w:pPr>
        <w:pStyle w:val="H1GC"/>
      </w:pPr>
      <w:r>
        <w:tab/>
      </w:r>
      <w:r>
        <w:tab/>
      </w:r>
      <w:r>
        <w:t>第十八条</w:t>
      </w:r>
      <w:r>
        <w:br/>
      </w:r>
      <w:r>
        <w:t>迁徙自由和国籍</w:t>
      </w:r>
    </w:p>
    <w:p w:rsidR="0064252C" w:rsidRDefault="0064252C">
      <w:pPr>
        <w:pStyle w:val="SingleTxtGC"/>
        <w:rPr>
          <w:lang w:val="en-GB"/>
        </w:rPr>
      </w:pPr>
      <w:r>
        <w:rPr>
          <w:lang w:val="en-GB"/>
        </w:rPr>
        <w:t xml:space="preserve">96.  </w:t>
      </w:r>
      <w:r>
        <w:t>《克罗地亚公民身份法》</w:t>
      </w:r>
      <w:r>
        <w:rPr>
          <w:lang w:val="en-GB"/>
        </w:rPr>
        <w:t>(1991</w:t>
      </w:r>
      <w:r>
        <w:t>年</w:t>
      </w:r>
      <w:r>
        <w:rPr>
          <w:lang w:val="en-GB"/>
        </w:rPr>
        <w:t>)</w:t>
      </w:r>
      <w:r>
        <w:t>系基于公民权的法律连续性原则、克罗地亚公民身份的排他性原则、婚生、非婚生和被领养儿童平等原则与防止无国籍状态</w:t>
      </w:r>
      <w:r>
        <w:rPr>
          <w:rFonts w:hint="eastAsia"/>
        </w:rPr>
        <w:t>等</w:t>
      </w:r>
      <w:r>
        <w:t>原则之上。残疾人在保护和实现其权利方面与其他公民完全平等，且在下列相同条件下，均有机会取得克罗地亚公民身份：按照出生；在克罗地亚共和国境内出生；通过归化和按照国际协定。且在就残疾人所提请求作出决定时，仅以是否符合法律条件为准绳。残疾人取得和终止克罗地亚公民身份的请求享有优先解决权，而且，在行政诉讼程序中，特别重视提供法律和其他专业协助事宜，旨在更轻松和更高效地实现残疾人身份权。</w:t>
      </w:r>
    </w:p>
    <w:p w:rsidR="0064252C" w:rsidRDefault="0064252C">
      <w:pPr>
        <w:pStyle w:val="SingleTxtGC"/>
        <w:rPr>
          <w:lang w:val="en-GB"/>
        </w:rPr>
      </w:pPr>
      <w:r>
        <w:rPr>
          <w:lang w:val="en-GB"/>
        </w:rPr>
        <w:t xml:space="preserve">97.  </w:t>
      </w:r>
      <w:r>
        <w:t>为防止发育障碍未成年人和儿童遇到无国籍情况</w:t>
      </w:r>
      <w:r>
        <w:rPr>
          <w:lang w:val="en-GB"/>
        </w:rPr>
        <w:t>，</w:t>
      </w:r>
      <w:r>
        <w:t>克罗地亚共和国展开承认</w:t>
      </w:r>
      <w:r>
        <w:rPr>
          <w:lang w:val="en-GB"/>
        </w:rPr>
        <w:t>1961</w:t>
      </w:r>
      <w:r>
        <w:t>年《减少无国籍状态公约》的预备行动</w:t>
      </w:r>
      <w:r>
        <w:rPr>
          <w:lang w:val="en-GB"/>
        </w:rPr>
        <w:t>，</w:t>
      </w:r>
      <w:r>
        <w:t>该《公约》将由此成为克罗地亚国家法律系统的一部分。</w:t>
      </w:r>
    </w:p>
    <w:p w:rsidR="0064252C" w:rsidRDefault="0064252C">
      <w:pPr>
        <w:pStyle w:val="SingleTxtGC"/>
        <w:rPr>
          <w:lang w:val="en-GB"/>
        </w:rPr>
      </w:pPr>
      <w:r>
        <w:rPr>
          <w:lang w:val="en-GB"/>
        </w:rPr>
        <w:t xml:space="preserve">98.  </w:t>
      </w:r>
      <w:bookmarkStart w:id="3" w:name="b"/>
      <w:r>
        <w:t>根据《国家登记册法》</w:t>
      </w:r>
      <w:r>
        <w:rPr>
          <w:lang w:val="en-GB"/>
        </w:rPr>
        <w:t>(1993</w:t>
      </w:r>
      <w:r>
        <w:t>年</w:t>
      </w:r>
      <w:r>
        <w:rPr>
          <w:lang w:val="en-GB"/>
        </w:rPr>
        <w:t>)</w:t>
      </w:r>
      <w:r>
        <w:rPr>
          <w:lang w:val="en-GB"/>
        </w:rPr>
        <w:t>，</w:t>
      </w:r>
      <w:r>
        <w:t>儿童出生后</w:t>
      </w:r>
      <w:r>
        <w:rPr>
          <w:lang w:val="en-GB"/>
        </w:rPr>
        <w:t>，</w:t>
      </w:r>
      <w:r>
        <w:t>无论是活产还是死产</w:t>
      </w:r>
      <w:r>
        <w:rPr>
          <w:lang w:val="en-GB"/>
        </w:rPr>
        <w:t>，</w:t>
      </w:r>
      <w:r>
        <w:t>应向主管登记处进行报告。该法规定了登记截至时间，并明确了登记责任人。通过出生取得克罗地亚公民身份的儿童，一经载入出生登记册，便载入国民花名册。</w:t>
      </w:r>
      <w:bookmarkEnd w:id="3"/>
    </w:p>
    <w:p w:rsidR="0064252C" w:rsidRDefault="0064252C">
      <w:pPr>
        <w:pStyle w:val="SingleTxtGC"/>
        <w:rPr>
          <w:lang w:val="en-GB"/>
        </w:rPr>
      </w:pPr>
      <w:r>
        <w:rPr>
          <w:lang w:val="en-GB"/>
        </w:rPr>
        <w:t xml:space="preserve">99.  </w:t>
      </w:r>
      <w:r>
        <w:t>根据《个人姓名法》</w:t>
      </w:r>
      <w:r>
        <w:rPr>
          <w:lang w:val="en-GB"/>
        </w:rPr>
        <w:t>(1992</w:t>
      </w:r>
      <w:r>
        <w:t>年</w:t>
      </w:r>
      <w:r>
        <w:rPr>
          <w:lang w:val="en-GB"/>
        </w:rPr>
        <w:t>)</w:t>
      </w:r>
      <w:r>
        <w:rPr>
          <w:lang w:val="en-GB"/>
        </w:rPr>
        <w:t>，</w:t>
      </w:r>
      <w:r>
        <w:t>儿童的名字由家长商定</w:t>
      </w:r>
      <w:r>
        <w:rPr>
          <w:lang w:val="en-GB"/>
        </w:rPr>
        <w:t>，</w:t>
      </w:r>
      <w:r>
        <w:t>且必须在自出生之日起</w:t>
      </w:r>
      <w:r>
        <w:rPr>
          <w:lang w:val="en-GB"/>
        </w:rPr>
        <w:t>2</w:t>
      </w:r>
      <w:r>
        <w:t>个月内确定。该法还就何人可获得儿童名字及姓氏决定权的授权做了规定，以防出现因父母一方或双方去世或可能无法行使父母权，或者父母身份不明而导致父母无法商定儿童个人姓名的情况。</w:t>
      </w:r>
    </w:p>
    <w:p w:rsidR="0064252C" w:rsidRDefault="0064252C">
      <w:pPr>
        <w:pStyle w:val="H1GC"/>
      </w:pPr>
      <w:r>
        <w:tab/>
      </w:r>
      <w:r>
        <w:tab/>
      </w:r>
      <w:r>
        <w:t>第十九条</w:t>
      </w:r>
      <w:r>
        <w:br/>
      </w:r>
      <w:r>
        <w:t>独立生活和融入社区</w:t>
      </w:r>
    </w:p>
    <w:p w:rsidR="0064252C" w:rsidRDefault="0064252C">
      <w:pPr>
        <w:pStyle w:val="SingleTxtGC"/>
        <w:rPr>
          <w:lang w:val="en-GB"/>
        </w:rPr>
      </w:pPr>
      <w:r>
        <w:rPr>
          <w:lang w:val="en-GB"/>
        </w:rPr>
        <w:t xml:space="preserve">100.  </w:t>
      </w:r>
      <w:r>
        <w:t>自</w:t>
      </w:r>
      <w:r>
        <w:t>2006</w:t>
      </w:r>
      <w:r>
        <w:t>年以来，家庭、退伍军人事务和代际团结部与各残疾人协会合作，共同实施确保向残疾类型和程度最严重的残疾人提供私人助理服务的项目。通过分析前一阶段确保在</w:t>
      </w:r>
      <w:r>
        <w:t>20</w:t>
      </w:r>
      <w:r>
        <w:t>个县提供私人助理服务的民间组织的数据，现已查明，在确保该项服务后，服务使用者的就业比例增加，使用者中学生所占百分比提高，即，确保该项服务后，</w:t>
      </w:r>
      <w:r>
        <w:t>18</w:t>
      </w:r>
      <w:r>
        <w:t>名使用该项服务者进入大学就读，大约</w:t>
      </w:r>
      <w:r>
        <w:t>70%</w:t>
      </w:r>
      <w:r>
        <w:t>的使用者正在积极从事民间社会组织的工作。</w:t>
      </w:r>
      <w:r>
        <w:t>(</w:t>
      </w:r>
      <w:r>
        <w:t>附件二表</w:t>
      </w:r>
      <w:r>
        <w:t>1</w:t>
      </w:r>
      <w:r>
        <w:t>；附件四所载项目评价报告。</w:t>
      </w:r>
      <w:r>
        <w:t>)</w:t>
      </w:r>
    </w:p>
    <w:p w:rsidR="0064252C" w:rsidRDefault="0064252C">
      <w:pPr>
        <w:pStyle w:val="SingleTxtGC"/>
        <w:rPr>
          <w:lang w:val="en-GB"/>
        </w:rPr>
      </w:pPr>
      <w:r>
        <w:rPr>
          <w:lang w:val="en-GB"/>
        </w:rPr>
        <w:t xml:space="preserve">101.  </w:t>
      </w:r>
      <w:r>
        <w:t>按照《克罗地亚卫国战争退伍军人及其家庭成员权利法》</w:t>
      </w:r>
      <w:r>
        <w:rPr>
          <w:lang w:val="en-GB"/>
        </w:rPr>
        <w:t>(2004</w:t>
      </w:r>
      <w:r>
        <w:t>年</w:t>
      </w:r>
      <w:r>
        <w:rPr>
          <w:lang w:val="en-GB"/>
        </w:rPr>
        <w:t>)</w:t>
      </w:r>
      <w:r>
        <w:rPr>
          <w:lang w:val="en-GB"/>
        </w:rPr>
        <w:t>，</w:t>
      </w:r>
      <w:r>
        <w:t>第</w:t>
      </w:r>
      <w:r>
        <w:rPr>
          <w:lang w:val="en-GB"/>
        </w:rPr>
        <w:t>一</w:t>
      </w:r>
      <w:r>
        <w:t>组克罗地亚卫国战争伤残退伍军人有权获得他人照料和援助服务。按照具体法规，提供照料者可与就业人员一样实现薪金补偿，用以实现其在失业期间的养老保险和医疗保险权利、子女补助金和其他权利。</w:t>
      </w:r>
      <w:r>
        <w:t>2008</w:t>
      </w:r>
      <w:r>
        <w:t>至</w:t>
      </w:r>
      <w:r>
        <w:t>2010</w:t>
      </w:r>
      <w:r>
        <w:t>年期间，每月平均有</w:t>
      </w:r>
      <w:r>
        <w:t>445</w:t>
      </w:r>
      <w:r>
        <w:t>名克罗地亚卫国战争伤残退伍军人</w:t>
      </w:r>
      <w:r>
        <w:rPr>
          <w:rFonts w:ascii="SimSun" w:hAnsi="SimSun" w:cs="SimSun" w:hint="eastAsia"/>
          <w:spacing w:val="-60"/>
        </w:rPr>
        <w:t>―</w:t>
      </w:r>
      <w:r>
        <w:rPr>
          <w:rFonts w:ascii="SimSun" w:hAnsi="SimSun" w:cs="SimSun" w:hint="eastAsia"/>
          <w:spacing w:val="10"/>
        </w:rPr>
        <w:t>―</w:t>
      </w:r>
      <w:r>
        <w:t>第一组全部人员</w:t>
      </w:r>
      <w:r>
        <w:rPr>
          <w:rFonts w:ascii="SimSun" w:hAnsi="SimSun" w:cs="SimSun" w:hint="eastAsia"/>
          <w:spacing w:val="-60"/>
        </w:rPr>
        <w:t>―</w:t>
      </w:r>
      <w:r>
        <w:rPr>
          <w:rFonts w:ascii="SimSun" w:hAnsi="SimSun" w:cs="SimSun" w:hint="eastAsia"/>
          <w:spacing w:val="10"/>
        </w:rPr>
        <w:t>―</w:t>
      </w:r>
      <w:r>
        <w:t>使用该项权利，此项目支出共计</w:t>
      </w:r>
      <w:r>
        <w:t>90,030,342.12</w:t>
      </w:r>
      <w:r>
        <w:t>库纳</w:t>
      </w:r>
      <w:r>
        <w:t>(</w:t>
      </w:r>
      <w:r>
        <w:t>附件二表</w:t>
      </w:r>
      <w:r>
        <w:t>2)</w:t>
      </w:r>
      <w:r>
        <w:t>。</w:t>
      </w:r>
    </w:p>
    <w:p w:rsidR="0064252C" w:rsidRDefault="0064252C">
      <w:pPr>
        <w:pStyle w:val="SingleTxtGC"/>
        <w:rPr>
          <w:lang w:val="en-GB"/>
        </w:rPr>
      </w:pPr>
      <w:r>
        <w:rPr>
          <w:lang w:val="en-GB"/>
        </w:rPr>
        <w:t xml:space="preserve">102.  </w:t>
      </w:r>
      <w:r>
        <w:t>为响应公开呼吁书</w:t>
      </w:r>
      <w:r>
        <w:rPr>
          <w:lang w:val="en-GB"/>
        </w:rPr>
        <w:t>，</w:t>
      </w:r>
      <w:r>
        <w:rPr>
          <w:rFonts w:hint="eastAsia"/>
          <w:lang w:val="en-GB"/>
        </w:rPr>
        <w:t>及</w:t>
      </w:r>
      <w:r>
        <w:t>根据《</w:t>
      </w:r>
      <w:r>
        <w:rPr>
          <w:lang w:val="en-GB"/>
        </w:rPr>
        <w:t>2008-2011</w:t>
      </w:r>
      <w:r>
        <w:t>年代际团结系统老年人服务发展方案》</w:t>
      </w:r>
      <w:r>
        <w:rPr>
          <w:lang w:val="en-GB"/>
        </w:rPr>
        <w:t>(2007</w:t>
      </w:r>
      <w:r>
        <w:t>年</w:t>
      </w:r>
      <w:r>
        <w:rPr>
          <w:lang w:val="en-GB"/>
        </w:rPr>
        <w:t>)</w:t>
      </w:r>
      <w:r>
        <w:rPr>
          <w:lang w:val="en-GB"/>
        </w:rPr>
        <w:t>，将</w:t>
      </w:r>
      <w:r>
        <w:t>地方自治单位和区域自治单位纳入家庭、退伍军人事务和代际团结部开展的</w:t>
      </w:r>
      <w:r>
        <w:rPr>
          <w:rFonts w:ascii="SimSun" w:hAnsi="SimSun" w:cs="SimSun" w:hint="eastAsia"/>
          <w:lang w:val="en-GB"/>
        </w:rPr>
        <w:t>“</w:t>
      </w:r>
      <w:r>
        <w:t>老年人家庭照料</w:t>
      </w:r>
      <w:r>
        <w:rPr>
          <w:rFonts w:ascii="SimSun" w:hAnsi="SimSun" w:cs="SimSun" w:hint="eastAsia"/>
          <w:lang w:val="en-GB"/>
        </w:rPr>
        <w:t>”</w:t>
      </w:r>
      <w:r>
        <w:t>或</w:t>
      </w:r>
      <w:r>
        <w:rPr>
          <w:rFonts w:ascii="SimSun" w:hAnsi="SimSun" w:cs="SimSun" w:hint="eastAsia"/>
          <w:lang w:val="en-GB"/>
        </w:rPr>
        <w:t>“</w:t>
      </w:r>
      <w:r>
        <w:t>老年人日常照料和家庭照料</w:t>
      </w:r>
      <w:r>
        <w:rPr>
          <w:rFonts w:ascii="SimSun" w:hAnsi="SimSun" w:cs="SimSun" w:hint="eastAsia"/>
          <w:lang w:val="en-GB"/>
        </w:rPr>
        <w:t>”</w:t>
      </w:r>
      <w:r>
        <w:t>方案。方案受益人为年龄在</w:t>
      </w:r>
      <w:r>
        <w:t>65</w:t>
      </w:r>
      <w:r>
        <w:t>周岁以上的老人，主要是单身独居老年人、未纳入现有照料形式且健康状况较差或社会经济地位较低的老年人和在日常活动方面需要协助的老年人。两个方案提供以下服务：准备饭菜、协助家务、协助个人卫生和基本医疗服务、以排解孤独和社会排斥为目的的聊天和陪伴、在老年人和社会机构之间提供调解服务以行使各种权利和组织休闲活动</w:t>
      </w:r>
      <w:r>
        <w:rPr>
          <w:rFonts w:ascii="SimSun" w:hAnsi="SimSun" w:cs="SimSun" w:hint="eastAsia"/>
          <w:spacing w:val="-60"/>
        </w:rPr>
        <w:t>―</w:t>
      </w:r>
      <w:r>
        <w:rPr>
          <w:rFonts w:ascii="SimSun" w:hAnsi="SimSun" w:cs="SimSun" w:hint="eastAsia"/>
          <w:spacing w:val="10"/>
        </w:rPr>
        <w:t>―</w:t>
      </w:r>
      <w:r>
        <w:rPr>
          <w:rFonts w:ascii="SimSun" w:hAnsi="SimSun" w:cs="SimSun" w:hint="eastAsia"/>
        </w:rPr>
        <w:t>“</w:t>
      </w:r>
      <w:r>
        <w:t>老年人日常照料</w:t>
      </w:r>
      <w:r>
        <w:rPr>
          <w:rFonts w:ascii="SimSun" w:hAnsi="SimSun" w:cs="SimSun" w:hint="eastAsia"/>
        </w:rPr>
        <w:t>”</w:t>
      </w:r>
      <w:r>
        <w:t>方案的一项独立服务。该方案向受益人提供的所有服务一律免费</w:t>
      </w:r>
      <w:r>
        <w:rPr>
          <w:lang w:val="en-GB"/>
        </w:rPr>
        <w:t>(</w:t>
      </w:r>
      <w:r>
        <w:t>附件二表</w:t>
      </w:r>
      <w:r>
        <w:rPr>
          <w:lang w:val="en-GB"/>
        </w:rPr>
        <w:t>3</w:t>
      </w:r>
      <w:r>
        <w:t>和表</w:t>
      </w:r>
      <w:r>
        <w:rPr>
          <w:lang w:val="en-GB"/>
        </w:rPr>
        <w:t>4)</w:t>
      </w:r>
      <w:r>
        <w:t>。</w:t>
      </w:r>
    </w:p>
    <w:p w:rsidR="0064252C" w:rsidRDefault="0064252C">
      <w:pPr>
        <w:pStyle w:val="SingleTxtGC"/>
        <w:rPr>
          <w:lang w:val="en-GB"/>
        </w:rPr>
      </w:pPr>
      <w:r>
        <w:rPr>
          <w:lang w:val="en-GB"/>
        </w:rPr>
        <w:t>103.  2009</w:t>
      </w:r>
      <w:r>
        <w:t>年底</w:t>
      </w:r>
      <w:r>
        <w:rPr>
          <w:lang w:val="en-GB"/>
        </w:rPr>
        <w:t>，</w:t>
      </w:r>
      <w:r>
        <w:t>出台了《关于社会服务质量标准的决定》</w:t>
      </w:r>
      <w:r>
        <w:rPr>
          <w:lang w:val="en-GB"/>
        </w:rPr>
        <w:t>，</w:t>
      </w:r>
      <w:r>
        <w:t>对此</w:t>
      </w:r>
      <w:r>
        <w:rPr>
          <w:lang w:val="en-GB"/>
        </w:rPr>
        <w:t>，</w:t>
      </w:r>
      <w:r>
        <w:t>更详细的报告请参阅第七条。</w:t>
      </w:r>
    </w:p>
    <w:p w:rsidR="0064252C" w:rsidRDefault="0064252C">
      <w:pPr>
        <w:pStyle w:val="SingleTxtGC"/>
        <w:rPr>
          <w:lang w:val="en-GB"/>
        </w:rPr>
      </w:pPr>
      <w:r>
        <w:rPr>
          <w:lang w:val="en-GB"/>
        </w:rPr>
        <w:t xml:space="preserve">104.  </w:t>
      </w:r>
      <w:r>
        <w:t>为了防止将发育障碍儿童和残疾人送至教养机构和加强其非机构化过程</w:t>
      </w:r>
      <w:r>
        <w:rPr>
          <w:lang w:val="en-GB"/>
        </w:rPr>
        <w:t>，</w:t>
      </w:r>
      <w:r>
        <w:t>《社会福利法》</w:t>
      </w:r>
      <w:r>
        <w:rPr>
          <w:lang w:val="en-GB"/>
        </w:rPr>
        <w:t>(2007</w:t>
      </w:r>
      <w:r>
        <w:t>和</w:t>
      </w:r>
      <w:r>
        <w:rPr>
          <w:lang w:val="en-GB"/>
        </w:rPr>
        <w:t>2011</w:t>
      </w:r>
      <w:r>
        <w:t>年</w:t>
      </w:r>
      <w:r>
        <w:rPr>
          <w:lang w:val="en-GB"/>
        </w:rPr>
        <w:t>)</w:t>
      </w:r>
      <w:r>
        <w:t>规定</w:t>
      </w:r>
      <w:r>
        <w:rPr>
          <w:lang w:val="en-GB"/>
        </w:rPr>
        <w:t>，</w:t>
      </w:r>
      <w:r>
        <w:t>确保提供某些服务</w:t>
      </w:r>
      <w:r>
        <w:rPr>
          <w:lang w:val="en-GB"/>
        </w:rPr>
        <w:t>，</w:t>
      </w:r>
      <w:r>
        <w:t>用以改善他们的社区生活质量</w:t>
      </w:r>
      <w:r>
        <w:rPr>
          <w:lang w:val="en-GB"/>
        </w:rPr>
        <w:t>，</w:t>
      </w:r>
      <w:r>
        <w:t>除克罗地亚共和国国立机构外</w:t>
      </w:r>
      <w:r>
        <w:rPr>
          <w:lang w:val="en-GB"/>
        </w:rPr>
        <w:t>，</w:t>
      </w:r>
      <w:r>
        <w:t>这些服务还可由非国立机构和宗教团体和协会等其他法人提供。我们强调以下权力和服务</w:t>
      </w:r>
      <w:r>
        <w:rPr>
          <w:lang w:val="en-GB"/>
        </w:rPr>
        <w:t>：</w:t>
      </w:r>
    </w:p>
    <w:p w:rsidR="0064252C" w:rsidRDefault="0064252C">
      <w:pPr>
        <w:pStyle w:val="SingleTxtGC"/>
        <w:numPr>
          <w:ilvl w:val="0"/>
          <w:numId w:val="15"/>
        </w:numPr>
        <w:tabs>
          <w:tab w:val="clear" w:pos="2427"/>
          <w:tab w:val="clear" w:pos="3560"/>
          <w:tab w:val="left" w:pos="431"/>
          <w:tab w:val="left" w:pos="1134"/>
          <w:tab w:val="left" w:pos="1565"/>
          <w:tab w:val="left" w:pos="1996"/>
        </w:tabs>
        <w:ind w:left="1134"/>
        <w:rPr>
          <w:lang w:val="en-GB"/>
        </w:rPr>
      </w:pPr>
      <w:r>
        <w:t>家长照料人地位的权利</w:t>
      </w:r>
      <w:r>
        <w:rPr>
          <w:rFonts w:ascii="SimSun" w:hAnsi="SimSun" w:cs="SimSun" w:hint="eastAsia"/>
          <w:spacing w:val="-60"/>
          <w:lang w:val="en-GB"/>
        </w:rPr>
        <w:t>―</w:t>
      </w:r>
      <w:r>
        <w:rPr>
          <w:rFonts w:ascii="SimSun" w:hAnsi="SimSun" w:cs="SimSun" w:hint="eastAsia"/>
          <w:spacing w:val="10"/>
          <w:lang w:val="en-GB"/>
        </w:rPr>
        <w:t>―</w:t>
      </w:r>
      <w:r>
        <w:t>需要通过医疗和技术干预获得特殊照料以维持生活质量的儿童的家长</w:t>
      </w:r>
      <w:r>
        <w:rPr>
          <w:lang w:val="en-GB"/>
        </w:rPr>
        <w:t>，</w:t>
      </w:r>
      <w:r>
        <w:rPr>
          <w:rFonts w:hint="eastAsia"/>
          <w:lang w:val="en-GB"/>
        </w:rPr>
        <w:t>及</w:t>
      </w:r>
      <w:r>
        <w:t>作为完全丧失行动能力或因多重损伤完全依赖父母照料的儿童的家长</w:t>
      </w:r>
      <w:r>
        <w:rPr>
          <w:lang w:val="en-GB"/>
        </w:rPr>
        <w:t>，</w:t>
      </w:r>
      <w:r>
        <w:t>享有该项权利。按照具体法规，具有家长照料人地位的家长有权与就业人员一样获得额度相当于其失业期间养老保险和医疗保险权利、子女补助金和其他权利等五项基数的薪金补偿</w:t>
      </w:r>
      <w:r>
        <w:rPr>
          <w:rStyle w:val="FootnoteReference"/>
        </w:rPr>
        <w:footnoteReference w:id="14"/>
      </w:r>
      <w:r>
        <w:t>，即</w:t>
      </w:r>
      <w:r>
        <w:t>2,500</w:t>
      </w:r>
      <w:r>
        <w:t>库纳</w:t>
      </w:r>
      <w:r>
        <w:t>/</w:t>
      </w:r>
      <w:r>
        <w:t>每月。如果子女成年后仍需要照料的，可继续享有该项权利。与此同时，新的《社会福利法》</w:t>
      </w:r>
      <w:r>
        <w:t>(2011</w:t>
      </w:r>
      <w:r>
        <w:t>年</w:t>
      </w:r>
      <w:r>
        <w:t>)</w:t>
      </w:r>
      <w:r>
        <w:t>扩大了可行使此项权利的受益人范围，因此，目前除家长外，非为儿童生父</w:t>
      </w:r>
      <w:r>
        <w:t>(</w:t>
      </w:r>
      <w:r>
        <w:t>母</w:t>
      </w:r>
      <w:r>
        <w:t>)</w:t>
      </w:r>
      <w:r>
        <w:t>但与该名儿童在同一家庭中生活的婚姻或婚外伴侣也可享有该项权利。如果家庭中发育障碍儿童或残疾人数量达</w:t>
      </w:r>
      <w:r>
        <w:t>2</w:t>
      </w:r>
      <w:r>
        <w:t>人及以上，父母双方均可取得家长照料人地位，或者，如果该名儿童没有父母或不与父母共同生活，一名家庭成员则可取得家长照料人地位。</w:t>
      </w:r>
    </w:p>
    <w:p w:rsidR="0064252C" w:rsidRDefault="0064252C">
      <w:pPr>
        <w:pStyle w:val="SingleTxtGC"/>
        <w:numPr>
          <w:ilvl w:val="0"/>
          <w:numId w:val="15"/>
        </w:numPr>
        <w:tabs>
          <w:tab w:val="clear" w:pos="2427"/>
          <w:tab w:val="clear" w:pos="3560"/>
          <w:tab w:val="left" w:pos="431"/>
          <w:tab w:val="left" w:pos="1134"/>
          <w:tab w:val="left" w:pos="1565"/>
          <w:tab w:val="left" w:pos="1996"/>
        </w:tabs>
        <w:ind w:left="1134"/>
        <w:rPr>
          <w:lang w:val="en-GB"/>
        </w:rPr>
      </w:pPr>
      <w:r>
        <w:t>融合</w:t>
      </w:r>
      <w:r>
        <w:rPr>
          <w:rFonts w:ascii="SimSun" w:hAnsi="SimSun" w:cs="SimSun" w:hint="eastAsia"/>
          <w:spacing w:val="-60"/>
          <w:lang w:val="en-GB"/>
        </w:rPr>
        <w:t>―</w:t>
      </w:r>
      <w:r>
        <w:rPr>
          <w:rFonts w:ascii="SimSun" w:hAnsi="SimSun" w:cs="SimSun" w:hint="eastAsia"/>
          <w:spacing w:val="10"/>
          <w:lang w:val="en-GB"/>
        </w:rPr>
        <w:t>―</w:t>
      </w:r>
      <w:r>
        <w:t>协助将患有肢体或精神损伤的儿童和年轻成人纳入正规的学前或学校教育机构</w:t>
      </w:r>
      <w:r>
        <w:rPr>
          <w:lang w:val="en-GB"/>
        </w:rPr>
        <w:t>(</w:t>
      </w:r>
      <w:r>
        <w:t>融合</w:t>
      </w:r>
      <w:r>
        <w:rPr>
          <w:lang w:val="en-GB"/>
        </w:rPr>
        <w:t>)</w:t>
      </w:r>
      <w:r>
        <w:t>。这样，教师便能调整教学内容，适应患有肢体或精神损伤的儿童的需求，以让他们尽可能地熟悉教学内容，从而获得必要的知识和技能，并通过这一方式让他们能够在其居住地接受学前和学校教育。</w:t>
      </w:r>
    </w:p>
    <w:p w:rsidR="0064252C" w:rsidRDefault="0064252C">
      <w:pPr>
        <w:pStyle w:val="SingleTxtGC"/>
        <w:numPr>
          <w:ilvl w:val="0"/>
          <w:numId w:val="15"/>
        </w:numPr>
        <w:tabs>
          <w:tab w:val="clear" w:pos="2427"/>
          <w:tab w:val="clear" w:pos="3560"/>
          <w:tab w:val="left" w:pos="431"/>
          <w:tab w:val="left" w:pos="1134"/>
          <w:tab w:val="left" w:pos="1565"/>
          <w:tab w:val="left" w:pos="1996"/>
        </w:tabs>
        <w:ind w:left="1134"/>
        <w:rPr>
          <w:rFonts w:hint="eastAsia"/>
        </w:rPr>
      </w:pPr>
      <w:r>
        <w:t>临时便利</w:t>
      </w:r>
      <w:r>
        <w:rPr>
          <w:rFonts w:ascii="SimSun" w:hAnsi="SimSun" w:cs="SimSun" w:hint="eastAsia"/>
          <w:spacing w:val="-60"/>
          <w:lang w:val="en-GB"/>
        </w:rPr>
        <w:t>―</w:t>
      </w:r>
      <w:r>
        <w:rPr>
          <w:rFonts w:ascii="SimSun" w:hAnsi="SimSun" w:cs="SimSun" w:hint="eastAsia"/>
          <w:spacing w:val="10"/>
          <w:lang w:val="en-GB"/>
        </w:rPr>
        <w:t>―</w:t>
      </w:r>
      <w:r>
        <w:t>向患有肢体或精神损伤者提供可尽可能待在家中的机会</w:t>
      </w:r>
      <w:r>
        <w:rPr>
          <w:lang w:val="en-GB"/>
        </w:rPr>
        <w:t>，</w:t>
      </w:r>
      <w:r>
        <w:t>同时确保他们在最适合其需求的范围内的相关机构获得个人康复。</w:t>
      </w:r>
    </w:p>
    <w:p w:rsidR="0064252C" w:rsidRDefault="0064252C">
      <w:pPr>
        <w:pStyle w:val="SingleTxtGC"/>
        <w:numPr>
          <w:ilvl w:val="0"/>
          <w:numId w:val="15"/>
        </w:numPr>
        <w:tabs>
          <w:tab w:val="clear" w:pos="2427"/>
          <w:tab w:val="clear" w:pos="3560"/>
          <w:tab w:val="left" w:pos="431"/>
          <w:tab w:val="left" w:pos="1134"/>
          <w:tab w:val="left" w:pos="1565"/>
          <w:tab w:val="left" w:pos="1996"/>
        </w:tabs>
        <w:ind w:left="1134"/>
        <w:rPr>
          <w:lang w:val="en-GB"/>
        </w:rPr>
      </w:pPr>
      <w:r>
        <w:rPr>
          <w:rFonts w:hint="eastAsia"/>
        </w:rPr>
        <w:t>保护</w:t>
      </w:r>
      <w:r>
        <w:rPr>
          <w:rFonts w:ascii="SimSun" w:hAnsi="SimSun" w:cs="SimSun" w:hint="eastAsia"/>
          <w:spacing w:val="-60"/>
          <w:lang w:val="en-GB"/>
        </w:rPr>
        <w:t>―</w:t>
      </w:r>
      <w:r>
        <w:rPr>
          <w:rFonts w:ascii="SimSun" w:hAnsi="SimSun" w:cs="SimSun" w:hint="eastAsia"/>
          <w:spacing w:val="10"/>
          <w:lang w:val="en-GB"/>
        </w:rPr>
        <w:t>―</w:t>
      </w:r>
      <w:r>
        <w:t>在家获得援助和照料权利的新内容</w:t>
      </w:r>
      <w:r>
        <w:rPr>
          <w:rFonts w:ascii="SimSun" w:hAnsi="SimSun" w:cs="SimSun" w:hint="eastAsia"/>
          <w:spacing w:val="-60"/>
          <w:lang w:val="en-GB"/>
        </w:rPr>
        <w:t>―</w:t>
      </w:r>
      <w:r>
        <w:rPr>
          <w:rFonts w:ascii="SimSun" w:hAnsi="SimSun" w:cs="SimSun" w:hint="eastAsia"/>
          <w:spacing w:val="10"/>
          <w:lang w:val="en-GB"/>
        </w:rPr>
        <w:t>―</w:t>
      </w:r>
      <w:r>
        <w:t>在家获得专业协助</w:t>
      </w:r>
      <w:r>
        <w:rPr>
          <w:lang w:val="en-GB"/>
        </w:rPr>
        <w:t>，</w:t>
      </w:r>
      <w:r>
        <w:t>社会福利院专业人员在机构外提供照料的形式。该项服务包括提供心理社会康复服务，以协助家属培养使用者的能力，以便他们获得必要的知识、技能并养成必要的习惯。推出此种形式照料的意图是确保使用者在自家能够获得专业协助，以防止他们被送至教养机构。</w:t>
      </w:r>
    </w:p>
    <w:p w:rsidR="0064252C" w:rsidRDefault="0064252C">
      <w:pPr>
        <w:pStyle w:val="SingleTxtGC"/>
        <w:rPr>
          <w:lang w:val="en-GB"/>
        </w:rPr>
      </w:pPr>
      <w:r>
        <w:rPr>
          <w:lang w:val="en-GB"/>
        </w:rPr>
        <w:t xml:space="preserve">105.  </w:t>
      </w:r>
      <w:r>
        <w:t>其他活动涉及提议出台新的、重新界定各项基于残疾的权利的法律解决方案</w:t>
      </w:r>
      <w:r>
        <w:rPr>
          <w:lang w:val="en-GB"/>
        </w:rPr>
        <w:t>，</w:t>
      </w:r>
      <w:r>
        <w:t>以期确保发展障碍儿童和残疾人能够根据其功能能力程度</w:t>
      </w:r>
      <w:r>
        <w:rPr>
          <w:lang w:val="en-GB"/>
        </w:rPr>
        <w:t>，</w:t>
      </w:r>
      <w:r>
        <w:t>获得其实际需要范围内</w:t>
      </w:r>
      <w:r>
        <w:rPr>
          <w:lang w:val="en-GB"/>
        </w:rPr>
        <w:t>的</w:t>
      </w:r>
      <w:r>
        <w:t>协助和服务。为向相关家庭提供支持，上述新《社会福利法》</w:t>
      </w:r>
      <w:r>
        <w:t>(2011</w:t>
      </w:r>
      <w:r>
        <w:t>年</w:t>
      </w:r>
      <w:r>
        <w:t>)</w:t>
      </w:r>
      <w:r>
        <w:t>推出了新的机构外服务：第一社会服务、咨询和援助，家庭调解、早期干预</w:t>
      </w:r>
      <w:r>
        <w:rPr>
          <w:rFonts w:hint="eastAsia"/>
        </w:rPr>
        <w:t>及</w:t>
      </w:r>
      <w:r>
        <w:t>工作和就业方面的专业支持。此外，还推出了新的临时住宿便利服务，这意味着以开展较短期康复方案为目的的短期住宿便利得到落实，它包括某些旨在让发育障碍儿童和成年残疾人获得和发展社会技能的心理社会康复服务，其中，发育障碍儿童的家长还可获得以下两种住宿便利，一是旨在让儿童积极参与开展心理社会方案的儿童临时住宿便利服务，二是发育障碍儿童和成年残疾人可在个别情况下获得的以提供假期短期照料或满足父母和家长照料人</w:t>
      </w:r>
      <w:r>
        <w:t>/</w:t>
      </w:r>
      <w:r>
        <w:t>照料员其他重要需求为目的的周末住宿便利。</w:t>
      </w:r>
    </w:p>
    <w:p w:rsidR="0064252C" w:rsidRDefault="0064252C">
      <w:pPr>
        <w:pStyle w:val="SingleTxtGC"/>
        <w:rPr>
          <w:lang w:val="en-GB"/>
        </w:rPr>
      </w:pPr>
      <w:r>
        <w:rPr>
          <w:lang w:val="en-GB"/>
        </w:rPr>
        <w:t xml:space="preserve">106.  </w:t>
      </w:r>
      <w:r>
        <w:t>为保护孕产妇、照料和抚育新生儿和维持家庭和工作之间的平衡</w:t>
      </w:r>
      <w:r>
        <w:rPr>
          <w:lang w:val="en-GB"/>
        </w:rPr>
        <w:t>，</w:t>
      </w:r>
      <w:r>
        <w:t>《孕产和父母福利法》</w:t>
      </w:r>
      <w:r>
        <w:rPr>
          <w:lang w:val="en-GB"/>
        </w:rPr>
        <w:t>(2008</w:t>
      </w:r>
      <w:r>
        <w:t>和</w:t>
      </w:r>
      <w:r>
        <w:t>2</w:t>
      </w:r>
      <w:r>
        <w:rPr>
          <w:lang w:val="en-GB"/>
        </w:rPr>
        <w:t>011</w:t>
      </w:r>
      <w:r>
        <w:t>年</w:t>
      </w:r>
      <w:r>
        <w:rPr>
          <w:lang w:val="en-GB"/>
        </w:rPr>
        <w:t>)</w:t>
      </w:r>
      <w:r>
        <w:t>保障父母的时间和现金补助</w:t>
      </w:r>
      <w:r>
        <w:rPr>
          <w:rFonts w:ascii="SimSun" w:hAnsi="SimSun" w:cs="SimSun" w:hint="eastAsia"/>
          <w:spacing w:val="-60"/>
          <w:lang w:val="en-GB"/>
        </w:rPr>
        <w:t>―</w:t>
      </w:r>
      <w:r>
        <w:rPr>
          <w:rFonts w:ascii="SimSun" w:hAnsi="SimSun" w:cs="SimSun" w:hint="eastAsia"/>
          <w:spacing w:val="10"/>
          <w:lang w:val="en-GB"/>
        </w:rPr>
        <w:t>―</w:t>
      </w:r>
      <w:r>
        <w:t>产假、育儿假、半工半休、哺乳假、在职孕妇和哺乳期妇女假期和暂停工作直至孩子满</w:t>
      </w:r>
      <w:r>
        <w:rPr>
          <w:lang w:val="en-GB"/>
        </w:rPr>
        <w:t>3</w:t>
      </w:r>
      <w:r>
        <w:t>周岁的可能性。除这些权利外，为孩子健康和发展目的需要增加照料时间的家长有权缩短工作时间，直至孩子满</w:t>
      </w:r>
      <w:r>
        <w:t>3</w:t>
      </w:r>
      <w:r>
        <w:t>周岁，还确保发育障碍较严重儿童的家长有权请假照料子女，直至孩子满</w:t>
      </w:r>
      <w:r>
        <w:t>8</w:t>
      </w:r>
      <w:r>
        <w:t>周岁，并有权缩短工作时间，直至孩子不再需要照料。在本项法律生效之前，《劳动法》</w:t>
      </w:r>
      <w:r>
        <w:t>(1995</w:t>
      </w:r>
      <w:r>
        <w:t>年</w:t>
      </w:r>
      <w:r>
        <w:t>)</w:t>
      </w:r>
      <w:r>
        <w:t>规定，发育障碍较严重儿童的父母有权请假照料子女或有权半工半休，直至孩子满</w:t>
      </w:r>
      <w:r>
        <w:t>7</w:t>
      </w:r>
      <w:r>
        <w:t>周岁。《孕产和父母福利法修正案》</w:t>
      </w:r>
      <w:r>
        <w:t>(2011</w:t>
      </w:r>
      <w:r>
        <w:t>年</w:t>
      </w:r>
      <w:r>
        <w:t>3</w:t>
      </w:r>
      <w:r>
        <w:t>月</w:t>
      </w:r>
      <w:r>
        <w:t>31</w:t>
      </w:r>
      <w:r>
        <w:t>日生效</w:t>
      </w:r>
      <w:r>
        <w:t>)</w:t>
      </w:r>
      <w:r>
        <w:t>更加明确地规定，发育障碍较严重儿童的父母有权请假照料子女，直至孩子满</w:t>
      </w:r>
      <w:r>
        <w:t>8</w:t>
      </w:r>
      <w:r>
        <w:t>周岁，或有权半工半休，以照料发育障碍较严重的儿童</w:t>
      </w:r>
      <w:r>
        <w:t>(</w:t>
      </w:r>
      <w:r>
        <w:t>肢体或精神损伤或精神疾病更为严重的儿童</w:t>
      </w:r>
      <w:r>
        <w:t>)</w:t>
      </w:r>
      <w:r>
        <w:t>，完善了法律框架。在行使请假权期间，受益人有权获得相当于全职工作的现金补偿，每月额度为预算基数的</w:t>
      </w:r>
      <w:r>
        <w:t>65%(2,161.90</w:t>
      </w:r>
      <w:r>
        <w:t>库纳</w:t>
      </w:r>
      <w:r>
        <w:t>)</w:t>
      </w:r>
      <w:r>
        <w:t>。职业或自营职业父母中的一方还可有权请假以照料发育障碍较严重的子女，以及有权半工半休并在子女满</w:t>
      </w:r>
      <w:r>
        <w:t>8</w:t>
      </w:r>
      <w:r>
        <w:t>周岁后继续行使该项权利，直至子女不再需要照料。</w:t>
      </w:r>
      <w:r>
        <w:rPr>
          <w:lang w:val="fr-FR"/>
        </w:rPr>
        <w:t>(</w:t>
      </w:r>
      <w:r>
        <w:t>附件二表</w:t>
      </w:r>
      <w:r>
        <w:rPr>
          <w:lang w:val="fr-FR"/>
        </w:rPr>
        <w:t>5</w:t>
      </w:r>
      <w:r>
        <w:rPr>
          <w:lang w:val="fr-FR"/>
        </w:rPr>
        <w:t>至表</w:t>
      </w:r>
      <w:r>
        <w:rPr>
          <w:lang w:val="fr-FR"/>
        </w:rPr>
        <w:t>18</w:t>
      </w:r>
      <w:r>
        <w:t>。</w:t>
      </w:r>
      <w:r>
        <w:rPr>
          <w:lang w:val="fr-FR"/>
        </w:rPr>
        <w:t>)</w:t>
      </w:r>
    </w:p>
    <w:p w:rsidR="0064252C" w:rsidRDefault="0064252C">
      <w:pPr>
        <w:pStyle w:val="SingleTxtGC"/>
        <w:rPr>
          <w:lang w:val="en-GB"/>
        </w:rPr>
      </w:pPr>
      <w:r>
        <w:rPr>
          <w:lang w:val="en-GB"/>
        </w:rPr>
        <w:t xml:space="preserve">107.  </w:t>
      </w:r>
      <w:r>
        <w:t>为强化改革和非机构化改革进程</w:t>
      </w:r>
      <w:r>
        <w:rPr>
          <w:lang w:val="en-GB"/>
        </w:rPr>
        <w:t>，</w:t>
      </w:r>
      <w:r>
        <w:t>通过了《</w:t>
      </w:r>
      <w:r>
        <w:rPr>
          <w:lang w:val="en-GB"/>
        </w:rPr>
        <w:t>2011-2018</w:t>
      </w:r>
      <w:r>
        <w:t>年克罗地亚共和国社会福利机构和其他提供社会福利的法人非机构化和改革国家计划》</w:t>
      </w:r>
      <w:r>
        <w:rPr>
          <w:lang w:val="en-GB"/>
        </w:rPr>
        <w:t>，</w:t>
      </w:r>
      <w:r>
        <w:t>为进行社会福利机构和活动网络规划奠定了基础。该《国家计划》的宗旨是减少社会福利机构入院人数和提高从各机构出院转入新的照料形式的人次，特别是通过促进重返家庭</w:t>
      </w:r>
      <w:r>
        <w:t>(</w:t>
      </w:r>
      <w:r>
        <w:t>保证地方社区内有一项或多项家庭支助服务</w:t>
      </w:r>
      <w:r>
        <w:t>)</w:t>
      </w:r>
      <w:r>
        <w:t>，这应与地方一级发展服务网络的优先事项相一致，同时考虑到区域平衡。将在该《国家计划》的基础上，界定对区域自治单位内服务网络发展的优先财政投入，并可确保从国家预算和地方自治单位和区域自治单位预算中拨付资金，特别强调确保从加入欧盟前基金以及各欧盟结构基金和其他融资工具中拨付资金的可能性。该《国家计划》包括关于使用者组别的机构照料容纳力</w:t>
      </w:r>
      <w:r>
        <w:t>(</w:t>
      </w:r>
      <w:r>
        <w:t>福利院和其他法人的永久性或每周安置人次</w:t>
      </w:r>
      <w:r>
        <w:t>)</w:t>
      </w:r>
      <w:r>
        <w:t>必要缩减幅度的框架量化和时间预测，和对于机构外安置形式容纳力增强幅度的原定预测，同时确保所有地区，即区域自治单位管辖区域内服务无障碍尽量保持平等。按照规定，缺乏适当父母照料的儿童和青少年之家、行为失常儿童和青少年之家和发育障碍儿童和成年残疾人之家的实施期限为</w:t>
      </w:r>
      <w:r>
        <w:t>2011</w:t>
      </w:r>
      <w:r>
        <w:rPr>
          <w:lang w:val="en-GB"/>
        </w:rPr>
        <w:t>-</w:t>
      </w:r>
      <w:r>
        <w:t>2016</w:t>
      </w:r>
      <w:r>
        <w:t>年。因预计患有精神病的成年人非机构化和精神病院改革进程持续时间较长，为该使用者组别设定的目标和预测截至</w:t>
      </w:r>
      <w:r>
        <w:t>2018</w:t>
      </w:r>
      <w:r>
        <w:t>年。</w:t>
      </w:r>
    </w:p>
    <w:p w:rsidR="0064252C" w:rsidRDefault="0064252C">
      <w:pPr>
        <w:pStyle w:val="H1GC"/>
      </w:pPr>
      <w:r>
        <w:tab/>
      </w:r>
      <w:r>
        <w:tab/>
      </w:r>
      <w:r>
        <w:t>第二十条</w:t>
      </w:r>
      <w:r>
        <w:rPr>
          <w:rFonts w:hint="eastAsia"/>
        </w:rPr>
        <w:br/>
      </w:r>
      <w:r>
        <w:t>个人行动能力</w:t>
      </w:r>
    </w:p>
    <w:p w:rsidR="0064252C" w:rsidRDefault="0064252C">
      <w:pPr>
        <w:pStyle w:val="SingleTxtGC"/>
        <w:rPr>
          <w:lang w:val="en-GB"/>
        </w:rPr>
      </w:pPr>
      <w:r>
        <w:rPr>
          <w:lang w:val="en-GB"/>
        </w:rPr>
        <w:t xml:space="preserve">108.  </w:t>
      </w:r>
      <w:r>
        <w:t>《社会福利法》</w:t>
      </w:r>
      <w:r>
        <w:rPr>
          <w:lang w:val="en-GB"/>
        </w:rPr>
        <w:t>(1997</w:t>
      </w:r>
      <w:r>
        <w:t>年、</w:t>
      </w:r>
      <w:r>
        <w:rPr>
          <w:lang w:val="en-GB"/>
        </w:rPr>
        <w:t>2011</w:t>
      </w:r>
      <w:r>
        <w:t>年</w:t>
      </w:r>
      <w:r>
        <w:rPr>
          <w:lang w:val="en-GB"/>
        </w:rPr>
        <w:t>)</w:t>
      </w:r>
      <w:r>
        <w:t>确保残疾人通过特殊康复方案</w:t>
      </w:r>
      <w:r>
        <w:rPr>
          <w:lang w:val="en-GB"/>
        </w:rPr>
        <w:t>(</w:t>
      </w:r>
      <w:r>
        <w:t>例如</w:t>
      </w:r>
      <w:r>
        <w:rPr>
          <w:lang w:val="en-GB"/>
        </w:rPr>
        <w:t>，</w:t>
      </w:r>
      <w:r>
        <w:t>盲人使用白手杖或导盲犬等助行的训练</w:t>
      </w:r>
      <w:r>
        <w:rPr>
          <w:lang w:val="en-GB"/>
        </w:rPr>
        <w:t>)</w:t>
      </w:r>
      <w:r>
        <w:t>获得自我照料培训。如有必要，为开展培训目的，将向该人提供住宿便利或用以支付交通费用的现金援助。</w:t>
      </w:r>
    </w:p>
    <w:p w:rsidR="0064252C" w:rsidRDefault="0064252C">
      <w:pPr>
        <w:pStyle w:val="SingleTxtGC"/>
        <w:rPr>
          <w:lang w:val="en-GB"/>
        </w:rPr>
      </w:pPr>
      <w:r>
        <w:rPr>
          <w:lang w:val="en-GB"/>
        </w:rPr>
        <w:t xml:space="preserve">109.  </w:t>
      </w:r>
      <w:r>
        <w:t>《盲人使用导盲犬助行法》</w:t>
      </w:r>
      <w:r>
        <w:t>(1998</w:t>
      </w:r>
      <w:r>
        <w:t>年</w:t>
      </w:r>
      <w:r>
        <w:t>)</w:t>
      </w:r>
      <w:r>
        <w:t>规定，盲人有权使用导盲犬乘坐公共交通工具和自由出入公共场所。</w:t>
      </w:r>
    </w:p>
    <w:p w:rsidR="0064252C" w:rsidRDefault="0064252C">
      <w:pPr>
        <w:pStyle w:val="SingleTxtGC"/>
        <w:rPr>
          <w:lang w:val="en-GB"/>
        </w:rPr>
      </w:pPr>
      <w:r>
        <w:rPr>
          <w:lang w:val="en-GB"/>
        </w:rPr>
        <w:t xml:space="preserve">110.  </w:t>
      </w:r>
      <w:r>
        <w:t>最大限度地实现残疾人自主权和独立性的一个重要方面是</w:t>
      </w:r>
      <w:r>
        <w:rPr>
          <w:lang w:val="en-GB"/>
        </w:rPr>
        <w:t>，</w:t>
      </w:r>
      <w:r>
        <w:t>根据《矫形器和其他辅助器具权利的实现条件和方式规则手册》</w:t>
      </w:r>
      <w:r>
        <w:rPr>
          <w:lang w:val="en-GB"/>
        </w:rPr>
        <w:t>(2009</w:t>
      </w:r>
      <w:r>
        <w:t>年、</w:t>
      </w:r>
      <w:r>
        <w:rPr>
          <w:lang w:val="en-GB"/>
        </w:rPr>
        <w:t>2010</w:t>
      </w:r>
      <w:r>
        <w:t>年</w:t>
      </w:r>
      <w:r>
        <w:rPr>
          <w:lang w:val="en-GB"/>
        </w:rPr>
        <w:t>)</w:t>
      </w:r>
      <w:r>
        <w:t>确保残疾人获得矫形器和其他辅助器具的权利。《规则手册》包括矫形、视力、听力、盲人技术、聋人技术和牙科辅助器具，用以改善受损功能，减轻或消除肢体损伤或器官和器官系统缺失，和补充因生病或受伤而损伤的人体或生理功能。克罗地亚医疗保险局下设矫形器具委员会，就专业人员和民间社会组织关于将新的矫形器具纳入上述《规则手册》的提案提出意见和建议。</w:t>
      </w:r>
    </w:p>
    <w:p w:rsidR="0064252C" w:rsidRDefault="0064252C">
      <w:pPr>
        <w:pStyle w:val="SingleTxtGC"/>
        <w:rPr>
          <w:lang w:val="en-GB"/>
        </w:rPr>
      </w:pPr>
      <w:r>
        <w:rPr>
          <w:lang w:val="en-GB"/>
        </w:rPr>
        <w:t xml:space="preserve">111.  </w:t>
      </w:r>
      <w:r>
        <w:t>地方自治单位有责任确保公共交通对残疾人无障碍</w:t>
      </w:r>
      <w:r>
        <w:rPr>
          <w:lang w:val="en-GB"/>
        </w:rPr>
        <w:t>，</w:t>
      </w:r>
      <w:r>
        <w:t>这些单位采取大量便利残疾人行动的措施</w:t>
      </w:r>
      <w:r>
        <w:rPr>
          <w:rFonts w:ascii="SimSun" w:hAnsi="SimSun" w:cs="SimSun" w:hint="eastAsia"/>
          <w:spacing w:val="-60"/>
          <w:lang w:val="en-GB"/>
        </w:rPr>
        <w:t>―</w:t>
      </w:r>
      <w:r>
        <w:rPr>
          <w:rFonts w:ascii="SimSun" w:hAnsi="SimSun" w:cs="SimSun" w:hint="eastAsia"/>
          <w:spacing w:val="10"/>
          <w:lang w:val="en-GB"/>
        </w:rPr>
        <w:t>―</w:t>
      </w:r>
      <w:r>
        <w:t>为盲人和视力受损者在十字路口和行人地下通道平台升降机内安装发声信号设备、建造触觉警示带和引导线、降低路缘石高度等等。</w:t>
      </w:r>
    </w:p>
    <w:p w:rsidR="0064252C" w:rsidRDefault="0064252C">
      <w:pPr>
        <w:pStyle w:val="SingleTxtGC"/>
        <w:rPr>
          <w:bCs/>
          <w:lang w:val="en-GB"/>
        </w:rPr>
      </w:pPr>
      <w:r>
        <w:rPr>
          <w:lang w:val="en-GB"/>
        </w:rPr>
        <w:t>112.  2009</w:t>
      </w:r>
      <w:r>
        <w:t>年</w:t>
      </w:r>
      <w:r>
        <w:rPr>
          <w:lang w:val="en-GB"/>
        </w:rPr>
        <w:t>，</w:t>
      </w:r>
      <w:r>
        <w:t>e-Croatia</w:t>
      </w:r>
      <w:r>
        <w:t>中央国家行政办公室与残疾人监察员办公室和里耶卡大学工程学院合作</w:t>
      </w:r>
      <w:r>
        <w:rPr>
          <w:lang w:val="en-GB"/>
        </w:rPr>
        <w:t>，</w:t>
      </w:r>
      <w:r>
        <w:t>启动了名为</w:t>
      </w:r>
      <w:r>
        <w:rPr>
          <w:rFonts w:ascii="SimSun" w:hAnsi="SimSun" w:cs="SimSun" w:hint="eastAsia"/>
          <w:lang w:val="en-GB"/>
        </w:rPr>
        <w:t>“</w:t>
      </w:r>
      <w:r>
        <w:t>电子包容性克罗地亚</w:t>
      </w:r>
      <w:r>
        <w:rPr>
          <w:rFonts w:ascii="SimSun" w:hAnsi="SimSun" w:cs="SimSun" w:hint="eastAsia"/>
        </w:rPr>
        <w:t>”</w:t>
      </w:r>
      <w:r>
        <w:t>的试点项目</w:t>
      </w:r>
      <w:r>
        <w:rPr>
          <w:lang w:val="en-GB"/>
        </w:rPr>
        <w:t>，</w:t>
      </w:r>
      <w:r>
        <w:t>宣传</w:t>
      </w:r>
      <w:r>
        <w:rPr>
          <w:rFonts w:ascii="SimSun" w:hAnsi="SimSun" w:cs="SimSun" w:hint="eastAsia"/>
          <w:lang w:val="en-GB"/>
        </w:rPr>
        <w:t>“</w:t>
      </w:r>
      <w:r>
        <w:rPr>
          <w:lang w:val="en-GB"/>
        </w:rPr>
        <w:t>S</w:t>
      </w:r>
      <w:r>
        <w:rPr>
          <w:rFonts w:hint="eastAsia"/>
          <w:lang w:val="en-GB"/>
        </w:rPr>
        <w:t>servus</w:t>
      </w:r>
      <w:r>
        <w:rPr>
          <w:rFonts w:ascii="SimSun" w:hAnsi="SimSun" w:cs="SimSun" w:hint="eastAsia"/>
          <w:lang w:val="en-GB"/>
        </w:rPr>
        <w:t>”</w:t>
      </w:r>
      <w:r>
        <w:rPr>
          <w:rFonts w:hint="eastAsia"/>
          <w:spacing w:val="-50"/>
          <w:lang w:val="en-GB"/>
        </w:rPr>
        <w:t>―</w:t>
      </w:r>
      <w:r>
        <w:rPr>
          <w:rFonts w:hint="eastAsia"/>
          <w:lang w:val="en-GB"/>
        </w:rPr>
        <w:t>―</w:t>
      </w:r>
      <w:r>
        <w:t>首个可通过克罗地亚语进行家居语音管理的智能住宅系统。该系统适应使用者的特定需要，还有可能进行功能升级。将该系统安装在</w:t>
      </w:r>
      <w:r>
        <w:t>4</w:t>
      </w:r>
      <w:r>
        <w:t>个联机通信驱动器</w:t>
      </w:r>
      <w:r>
        <w:t>(OCDs)</w:t>
      </w:r>
      <w:r>
        <w:t>内，便能向所有感兴趣的人进行演示。现已成立了进一步开发、安装和分销</w:t>
      </w:r>
      <w:r>
        <w:t>SERVUS</w:t>
      </w:r>
      <w:r>
        <w:t>系统的公司。目前已有</w:t>
      </w:r>
      <w:r>
        <w:t>10</w:t>
      </w:r>
      <w:r>
        <w:t>名残疾人在自己家中安装使用该系统。</w:t>
      </w:r>
    </w:p>
    <w:p w:rsidR="0064252C" w:rsidRDefault="0064252C">
      <w:pPr>
        <w:pStyle w:val="SingleTxtGC"/>
        <w:rPr>
          <w:lang w:val="en-GB"/>
        </w:rPr>
      </w:pPr>
      <w:r>
        <w:rPr>
          <w:lang w:val="en-GB"/>
        </w:rPr>
        <w:t xml:space="preserve">113.  </w:t>
      </w:r>
      <w:r>
        <w:rPr>
          <w:lang w:val="en-GB"/>
        </w:rPr>
        <w:t>第一</w:t>
      </w:r>
      <w:r>
        <w:t>组中机体损伤程度为</w:t>
      </w:r>
      <w:r>
        <w:rPr>
          <w:lang w:val="en-GB"/>
        </w:rPr>
        <w:t>100%</w:t>
      </w:r>
      <w:r>
        <w:t>的克罗地亚卫国战争伤残退伍军人有权获得家庭、退伍军人事务和代际团结部每</w:t>
      </w:r>
      <w:r>
        <w:rPr>
          <w:lang w:val="en-GB"/>
        </w:rPr>
        <w:t>7</w:t>
      </w:r>
      <w:r>
        <w:t>年一次为其分发的</w:t>
      </w:r>
      <w:r>
        <w:rPr>
          <w:lang w:val="en-GB"/>
        </w:rPr>
        <w:t>(</w:t>
      </w:r>
      <w:r>
        <w:t>作为其财产</w:t>
      </w:r>
      <w:r>
        <w:rPr>
          <w:lang w:val="en-GB"/>
        </w:rPr>
        <w:t>)</w:t>
      </w:r>
      <w:r>
        <w:t>安装有适当调节设备的个人车辆。</w:t>
      </w:r>
      <w:r>
        <w:rPr>
          <w:lang w:val="en-GB"/>
        </w:rPr>
        <w:t>(</w:t>
      </w:r>
      <w:r>
        <w:t>附件二表</w:t>
      </w:r>
      <w:r>
        <w:rPr>
          <w:lang w:val="en-GB"/>
        </w:rPr>
        <w:t>1</w:t>
      </w:r>
      <w:r>
        <w:t>。</w:t>
      </w:r>
      <w:r>
        <w:rPr>
          <w:lang w:val="en-GB"/>
        </w:rPr>
        <w:t>)</w:t>
      </w:r>
    </w:p>
    <w:p w:rsidR="0064252C" w:rsidRDefault="0064252C">
      <w:pPr>
        <w:pStyle w:val="H1GC"/>
      </w:pPr>
      <w:r>
        <w:tab/>
      </w:r>
      <w:r>
        <w:tab/>
      </w:r>
      <w:r>
        <w:t>第二十一条</w:t>
      </w:r>
      <w:r>
        <w:rPr>
          <w:rFonts w:hint="eastAsia"/>
        </w:rPr>
        <w:br/>
      </w:r>
      <w:r>
        <w:t>表达意见的自由和获得信息的自由</w:t>
      </w:r>
    </w:p>
    <w:p w:rsidR="0064252C" w:rsidRDefault="0064252C">
      <w:pPr>
        <w:pStyle w:val="SingleTxtGC"/>
        <w:rPr>
          <w:lang w:val="en-GB"/>
        </w:rPr>
      </w:pPr>
      <w:r>
        <w:rPr>
          <w:lang w:val="en-GB"/>
        </w:rPr>
        <w:t xml:space="preserve">114.  </w:t>
      </w:r>
      <w:r>
        <w:t>《获得信息权利法》</w:t>
      </w:r>
      <w:r>
        <w:rPr>
          <w:lang w:val="en-GB"/>
        </w:rPr>
        <w:t>(2003</w:t>
      </w:r>
      <w:r>
        <w:t>年</w:t>
      </w:r>
      <w:r>
        <w:rPr>
          <w:lang w:val="en-GB"/>
        </w:rPr>
        <w:t>)</w:t>
      </w:r>
      <w:r>
        <w:rPr>
          <w:lang w:val="en-GB"/>
        </w:rPr>
        <w:t>规定，</w:t>
      </w:r>
      <w:r>
        <w:t>自然人和法人享有获得信息的权利</w:t>
      </w:r>
      <w:r>
        <w:rPr>
          <w:lang w:val="en-GB"/>
        </w:rPr>
        <w:t>，</w:t>
      </w:r>
      <w:r>
        <w:t>该法保障本国和外国所有自然人或法人有权获得公共机关自有的、可使用的和监督下的信息</w:t>
      </w:r>
      <w:r>
        <w:rPr>
          <w:lang w:val="en-GB"/>
        </w:rPr>
        <w:t>，</w:t>
      </w:r>
      <w:r>
        <w:t>且不以提前向某一使用者透露信息的方式将任何使用者置于较为有利的地位。公共机关有责任让申请者至迟在其提交请求之日起</w:t>
      </w:r>
      <w:r>
        <w:t>15</w:t>
      </w:r>
      <w:r>
        <w:t>日内获得信息。</w:t>
      </w:r>
    </w:p>
    <w:p w:rsidR="0064252C" w:rsidRDefault="0064252C">
      <w:pPr>
        <w:pStyle w:val="SingleTxtGC"/>
        <w:rPr>
          <w:lang w:val="en-GB"/>
        </w:rPr>
      </w:pPr>
      <w:r>
        <w:rPr>
          <w:lang w:val="en-GB"/>
        </w:rPr>
        <w:t xml:space="preserve">115.  </w:t>
      </w:r>
      <w:r>
        <w:rPr>
          <w:spacing w:val="-4"/>
        </w:rPr>
        <w:t>通过各类残疾人均可自由访问的门户网站</w:t>
      </w:r>
      <w:r>
        <w:rPr>
          <w:rFonts w:cs="SimSun" w:hint="eastAsia"/>
          <w:spacing w:val="-4"/>
          <w:lang w:val="en-GB"/>
        </w:rPr>
        <w:t>“</w:t>
      </w:r>
      <w:r>
        <w:rPr>
          <w:spacing w:val="-4"/>
        </w:rPr>
        <w:t>我的管理</w:t>
      </w:r>
      <w:r>
        <w:rPr>
          <w:rFonts w:cs="SimSun" w:hint="eastAsia"/>
          <w:spacing w:val="-4"/>
          <w:lang w:val="en-GB"/>
        </w:rPr>
        <w:t>”</w:t>
      </w:r>
      <w:r>
        <w:rPr>
          <w:lang w:val="en-GB"/>
        </w:rPr>
        <w:t>(www.mojauprava.hr)</w:t>
      </w:r>
      <w:r>
        <w:t>可确保来自生活各个方面的官方信息无障碍</w:t>
      </w:r>
      <w:r>
        <w:rPr>
          <w:lang w:val="en-GB"/>
        </w:rPr>
        <w:t>，</w:t>
      </w:r>
      <w:r>
        <w:t>无论使用何种办法、获取何种知识和使用者可能受到何种限制</w:t>
      </w:r>
      <w:r>
        <w:rPr>
          <w:lang w:val="en-GB"/>
        </w:rPr>
        <w:t>；</w:t>
      </w:r>
      <w:r>
        <w:t>通过若干显示调整方式和适用能够让视力有障碍者和盲人进行机器辅助阅读的标准</w:t>
      </w:r>
      <w:r>
        <w:rPr>
          <w:lang w:val="en-GB"/>
        </w:rPr>
        <w:t>，</w:t>
      </w:r>
      <w:r>
        <w:t>确保残疾人能够在与他人平等的基础上获得信息。此外，还通过了《电子通信法》</w:t>
      </w:r>
      <w:r>
        <w:t>(2008</w:t>
      </w:r>
      <w:r>
        <w:t>年</w:t>
      </w:r>
      <w:r>
        <w:t>)</w:t>
      </w:r>
      <w:r>
        <w:t>，该法除在通信服务选择、价格和质量方面提供便利外，还确保公共电子通信服务的无障碍性和可用性。</w:t>
      </w:r>
    </w:p>
    <w:p w:rsidR="0064252C" w:rsidRDefault="0064252C">
      <w:pPr>
        <w:pStyle w:val="SingleTxtGC"/>
        <w:rPr>
          <w:lang w:val="en-GB"/>
        </w:rPr>
      </w:pPr>
      <w:r>
        <w:rPr>
          <w:lang w:val="en-GB"/>
        </w:rPr>
        <w:t xml:space="preserve">116.  </w:t>
      </w:r>
      <w:r>
        <w:t>《社会福利法》</w:t>
      </w:r>
      <w:r>
        <w:rPr>
          <w:lang w:val="en-GB"/>
        </w:rPr>
        <w:t>(1997</w:t>
      </w:r>
      <w:r>
        <w:t>年、</w:t>
      </w:r>
      <w:r>
        <w:rPr>
          <w:lang w:val="en-GB"/>
        </w:rPr>
        <w:t>2011</w:t>
      </w:r>
      <w:r>
        <w:t>年</w:t>
      </w:r>
      <w:r>
        <w:rPr>
          <w:lang w:val="en-GB"/>
        </w:rPr>
        <w:t>)</w:t>
      </w:r>
      <w:r>
        <w:t>规定</w:t>
      </w:r>
      <w:r>
        <w:rPr>
          <w:lang w:val="en-GB"/>
        </w:rPr>
        <w:t>，</w:t>
      </w:r>
      <w:r>
        <w:t>聋人和聋盲人在实现与法律事务有关的社会福利权利的过程中</w:t>
      </w:r>
      <w:r>
        <w:rPr>
          <w:lang w:val="en-GB"/>
        </w:rPr>
        <w:t>，</w:t>
      </w:r>
      <w:r>
        <w:t>有权免费获得专家翻译服务。</w:t>
      </w:r>
      <w:r>
        <w:t>2008</w:t>
      </w:r>
      <w:r>
        <w:t>年，行使该项权利者为</w:t>
      </w:r>
      <w:r>
        <w:t>186</w:t>
      </w:r>
      <w:r>
        <w:t>人，</w:t>
      </w:r>
      <w:r>
        <w:t>2009</w:t>
      </w:r>
      <w:r>
        <w:t>年，为</w:t>
      </w:r>
      <w:r>
        <w:t>256</w:t>
      </w:r>
      <w:r>
        <w:t>人。</w:t>
      </w:r>
      <w:r>
        <w:t>2008</w:t>
      </w:r>
      <w:r>
        <w:t>、</w:t>
      </w:r>
      <w:r>
        <w:t>2009</w:t>
      </w:r>
      <w:r>
        <w:t>和</w:t>
      </w:r>
      <w:r>
        <w:t>2010</w:t>
      </w:r>
      <w:r>
        <w:t>年期间，卫生和社会福利部</w:t>
      </w:r>
      <w:r>
        <w:rPr>
          <w:rFonts w:hint="eastAsia"/>
        </w:rPr>
        <w:t>及</w:t>
      </w:r>
      <w:r>
        <w:t>家庭、退伍军人事务和代际团结部与各聋人和重听人协会合作，向不断确保提供克罗地亚手语翻译</w:t>
      </w:r>
      <w:r>
        <w:t>/</w:t>
      </w:r>
      <w:r>
        <w:t>笔译员服务及其教育的项目提供财政支持。通过家庭、退伍军人事务和代际团结部开展的各个项目，已有</w:t>
      </w:r>
      <w:r>
        <w:t>32</w:t>
      </w:r>
      <w:r>
        <w:t>名翻译</w:t>
      </w:r>
      <w:r>
        <w:t>/</w:t>
      </w:r>
      <w:r>
        <w:t>笔译员获得就业，服务使用者共计</w:t>
      </w:r>
      <w:r>
        <w:t>1,300</w:t>
      </w:r>
      <w:r>
        <w:t>多人，覆盖人次约为基于需求覆盖人次的</w:t>
      </w:r>
      <w:r>
        <w:t>30%</w:t>
      </w:r>
      <w:r>
        <w:t>。这一方式为听力有障碍者获得所有必要的日常生活信息提供了便利，特别是在教育系统、医疗保健和社区中的所有其他领域。与此同时，还面向从事公共服务的雇员和所有有兴趣学习手语的市民开展教育。</w:t>
      </w:r>
    </w:p>
    <w:p w:rsidR="0064252C" w:rsidRDefault="0064252C">
      <w:pPr>
        <w:pStyle w:val="SingleTxtGC"/>
        <w:rPr>
          <w:lang w:val="en-GB"/>
        </w:rPr>
      </w:pPr>
      <w:r>
        <w:rPr>
          <w:lang w:val="en-GB"/>
        </w:rPr>
        <w:t xml:space="preserve">117.  </w:t>
      </w:r>
      <w:r>
        <w:t>聋人和重听人可在克罗地亚手语翻译</w:t>
      </w:r>
      <w:r>
        <w:rPr>
          <w:lang w:val="en-GB"/>
        </w:rPr>
        <w:t>/</w:t>
      </w:r>
      <w:r>
        <w:t>笔译员的帮助下</w:t>
      </w:r>
      <w:r>
        <w:rPr>
          <w:lang w:val="en-GB"/>
        </w:rPr>
        <w:t>，</w:t>
      </w:r>
      <w:r>
        <w:t>或在能以字幕形式显示所读信息</w:t>
      </w:r>
      <w:r>
        <w:rPr>
          <w:lang w:val="en-GB"/>
        </w:rPr>
        <w:t>/</w:t>
      </w:r>
      <w:r>
        <w:t>新闻的电传文本服务的协助下</w:t>
      </w:r>
      <w:r>
        <w:rPr>
          <w:lang w:val="en-GB"/>
        </w:rPr>
        <w:t>，</w:t>
      </w:r>
      <w:r>
        <w:t>每天收看三条新闻广播。</w:t>
      </w:r>
    </w:p>
    <w:p w:rsidR="0064252C" w:rsidRDefault="0064252C">
      <w:pPr>
        <w:pStyle w:val="SingleTxtGC"/>
        <w:rPr>
          <w:lang w:val="en-GB"/>
        </w:rPr>
      </w:pPr>
      <w:r>
        <w:rPr>
          <w:lang w:val="en-GB"/>
        </w:rPr>
        <w:t xml:space="preserve">118.  </w:t>
      </w:r>
      <w:r>
        <w:t>《一般行政程序法》</w:t>
      </w:r>
      <w:r>
        <w:rPr>
          <w:lang w:val="en-GB"/>
        </w:rPr>
        <w:t>(2009</w:t>
      </w:r>
      <w:r>
        <w:t>年</w:t>
      </w:r>
      <w:r>
        <w:rPr>
          <w:lang w:val="en-GB"/>
        </w:rPr>
        <w:t>)</w:t>
      </w:r>
      <w:r>
        <w:t>亦规定</w:t>
      </w:r>
      <w:r>
        <w:rPr>
          <w:lang w:val="en-GB"/>
        </w:rPr>
        <w:t>，</w:t>
      </w:r>
      <w:r>
        <w:t>残疾人士享有使用适当交流形式的权利</w:t>
      </w:r>
      <w:r>
        <w:rPr>
          <w:lang w:val="en-GB"/>
        </w:rPr>
        <w:t>，</w:t>
      </w:r>
      <w:r>
        <w:t>该法规定</w:t>
      </w:r>
      <w:r>
        <w:rPr>
          <w:lang w:val="en-GB"/>
        </w:rPr>
        <w:t>，</w:t>
      </w:r>
      <w:r>
        <w:t>须以书面形式向失聪证人提</w:t>
      </w:r>
      <w:r>
        <w:rPr>
          <w:rFonts w:hint="eastAsia"/>
        </w:rPr>
        <w:t>出</w:t>
      </w:r>
      <w:r>
        <w:t>问题</w:t>
      </w:r>
      <w:r>
        <w:rPr>
          <w:lang w:val="en-GB"/>
        </w:rPr>
        <w:t>，</w:t>
      </w:r>
      <w:r>
        <w:t>如果该证人为哑人</w:t>
      </w:r>
      <w:r>
        <w:rPr>
          <w:lang w:val="en-GB"/>
        </w:rPr>
        <w:t>，</w:t>
      </w:r>
      <w:r>
        <w:t>则可通过书面形式进行回答</w:t>
      </w:r>
      <w:r>
        <w:rPr>
          <w:lang w:val="en-GB"/>
        </w:rPr>
        <w:t>，</w:t>
      </w:r>
      <w:r>
        <w:t>若书面形式不可行</w:t>
      </w:r>
      <w:r>
        <w:rPr>
          <w:lang w:val="en-GB"/>
        </w:rPr>
        <w:t>，</w:t>
      </w:r>
      <w:r>
        <w:t>则邀请能够与证人进行交流者担任翻译。《患者权利保护法》还规定，残疾患者享有收到无障碍模式通知的权利。而关于《通过法律、其他法规和法令过程中与相关公众协商的行为守则》适用的《准则》则规定，在可能的情况下，应以无障碍模式</w:t>
      </w:r>
      <w:r>
        <w:t>(</w:t>
      </w:r>
      <w:r>
        <w:t>例如，在盲文</w:t>
      </w:r>
      <w:r>
        <w:t>)</w:t>
      </w:r>
      <w:r>
        <w:t>编制供协商的材料，具体模式视目标群体而定，必要时，应考虑通过直接讨论等其他方式与适当团体进行磋商。</w:t>
      </w:r>
    </w:p>
    <w:p w:rsidR="0064252C" w:rsidRDefault="0064252C">
      <w:pPr>
        <w:pStyle w:val="SingleTxtGC"/>
        <w:rPr>
          <w:lang w:val="en-GB"/>
        </w:rPr>
      </w:pPr>
      <w:r>
        <w:rPr>
          <w:lang w:val="en-GB"/>
        </w:rPr>
        <w:t xml:space="preserve">119.  </w:t>
      </w:r>
      <w:r>
        <w:t>国家行政机关力求向市民提供无障碍服务</w:t>
      </w:r>
      <w:r>
        <w:rPr>
          <w:lang w:val="en-GB"/>
        </w:rPr>
        <w:t>，对于</w:t>
      </w:r>
      <w:r>
        <w:t>残疾人而言</w:t>
      </w:r>
      <w:r>
        <w:rPr>
          <w:lang w:val="en-GB"/>
        </w:rPr>
        <w:t>，</w:t>
      </w:r>
      <w:r>
        <w:t>互动性内容和电子服务尤为有用</w:t>
      </w:r>
      <w:r>
        <w:rPr>
          <w:lang w:val="en-GB"/>
        </w:rPr>
        <w:t>，</w:t>
      </w:r>
      <w:r>
        <w:t>他们可在家通过因特网执行一系列任务。关于这一做法的一个很好的例子是受到保护的克罗地亚养老保险局</w:t>
      </w:r>
      <w:r>
        <w:rPr>
          <w:rFonts w:ascii="SimSun" w:hAnsi="SimSun" w:cs="SimSun" w:hint="eastAsia"/>
        </w:rPr>
        <w:t>“</w:t>
      </w:r>
      <w:r>
        <w:t>用户网站</w:t>
      </w:r>
      <w:r>
        <w:rPr>
          <w:rFonts w:ascii="SimSun" w:hAnsi="SimSun" w:cs="SimSun" w:hint="eastAsia"/>
        </w:rPr>
        <w:t>”</w:t>
      </w:r>
      <w:r>
        <w:t>。</w:t>
      </w:r>
    </w:p>
    <w:p w:rsidR="0064252C" w:rsidRDefault="0064252C">
      <w:pPr>
        <w:pStyle w:val="SingleTxtGC"/>
        <w:rPr>
          <w:lang w:val="en-GB"/>
        </w:rPr>
      </w:pPr>
      <w:r>
        <w:rPr>
          <w:lang w:val="en-GB"/>
        </w:rPr>
        <w:t>120.  2010</w:t>
      </w:r>
      <w:r>
        <w:t>年</w:t>
      </w:r>
      <w:r>
        <w:rPr>
          <w:lang w:val="en-GB"/>
        </w:rPr>
        <w:t>，</w:t>
      </w:r>
      <w:r>
        <w:t>克罗地亚共和国拥有一台电脑的家庭占到</w:t>
      </w:r>
      <w:r>
        <w:rPr>
          <w:lang w:val="en-GB"/>
        </w:rPr>
        <w:t>60%</w:t>
      </w:r>
      <w:r>
        <w:rPr>
          <w:lang w:val="en-GB"/>
        </w:rPr>
        <w:t>，</w:t>
      </w:r>
      <w:r>
        <w:t>能够使用因特网的家庭占</w:t>
      </w:r>
      <w:r>
        <w:rPr>
          <w:lang w:val="en-GB"/>
        </w:rPr>
        <w:t>57%</w:t>
      </w:r>
      <w:r>
        <w:rPr>
          <w:lang w:val="en-GB"/>
        </w:rPr>
        <w:t>，</w:t>
      </w:r>
      <w:r>
        <w:rPr>
          <w:rFonts w:hint="eastAsia"/>
        </w:rPr>
        <w:t>与</w:t>
      </w:r>
      <w:r>
        <w:rPr>
          <w:rFonts w:hint="eastAsia"/>
        </w:rPr>
        <w:t>2009</w:t>
      </w:r>
      <w:r>
        <w:rPr>
          <w:rFonts w:hint="eastAsia"/>
        </w:rPr>
        <w:t>年相</w:t>
      </w:r>
      <w:r>
        <w:t>比增幅分别为</w:t>
      </w:r>
      <w:r>
        <w:rPr>
          <w:lang w:val="en-GB"/>
        </w:rPr>
        <w:t>5%</w:t>
      </w:r>
      <w:r>
        <w:t>和</w:t>
      </w:r>
      <w:r>
        <w:rPr>
          <w:lang w:val="en-GB"/>
        </w:rPr>
        <w:t>7%</w:t>
      </w:r>
      <w:r>
        <w:t>。</w:t>
      </w:r>
    </w:p>
    <w:p w:rsidR="0064252C" w:rsidRDefault="0064252C">
      <w:pPr>
        <w:pStyle w:val="SingleTxtGC"/>
        <w:rPr>
          <w:lang w:val="en-GB"/>
        </w:rPr>
      </w:pPr>
      <w:r>
        <w:rPr>
          <w:lang w:val="en-GB"/>
        </w:rPr>
        <w:t>121.  2009</w:t>
      </w:r>
      <w:r>
        <w:t>年</w:t>
      </w:r>
      <w:r>
        <w:rPr>
          <w:lang w:val="en-GB"/>
        </w:rPr>
        <w:t>，</w:t>
      </w:r>
      <w:r>
        <w:t>就残疾人电子学习系统的无障碍性开展了研究</w:t>
      </w:r>
      <w:r>
        <w:rPr>
          <w:lang w:val="en-GB"/>
        </w:rPr>
        <w:t>，</w:t>
      </w:r>
      <w:r>
        <w:t>并对公共行政部门访问量最高的网站进行了分析。研究和分析表明，残疾人对使用这类系统很感兴趣，但是，他们使用这类系统的资质能力尚有待提高，且有必要提高公共服务的无障碍性。</w:t>
      </w:r>
    </w:p>
    <w:p w:rsidR="0064252C" w:rsidRDefault="0064252C">
      <w:pPr>
        <w:pStyle w:val="SingleTxtGC"/>
        <w:rPr>
          <w:lang w:val="en-GB"/>
        </w:rPr>
      </w:pPr>
      <w:r>
        <w:rPr>
          <w:lang w:val="en-GB"/>
        </w:rPr>
        <w:t>122.  2005</w:t>
      </w:r>
      <w:r>
        <w:t>年</w:t>
      </w:r>
      <w:r>
        <w:rPr>
          <w:lang w:val="en-GB"/>
        </w:rPr>
        <w:t>，</w:t>
      </w:r>
      <w:r>
        <w:t>推出了可发送短信至内务部通信中心的专用电话号码</w:t>
      </w:r>
      <w:r>
        <w:rPr>
          <w:lang w:val="en-GB"/>
        </w:rPr>
        <w:t>，</w:t>
      </w:r>
      <w:r>
        <w:t>确保在需要警方介入或其他公共服务协助</w:t>
      </w:r>
      <w:r>
        <w:rPr>
          <w:lang w:val="en-GB"/>
        </w:rPr>
        <w:t>(</w:t>
      </w:r>
      <w:r>
        <w:t>消防员、紧急医疗援助</w:t>
      </w:r>
      <w:r>
        <w:rPr>
          <w:lang w:val="en-GB"/>
        </w:rPr>
        <w:t>)</w:t>
      </w:r>
      <w:r>
        <w:t>的紧急情况下向聋人和重听人提供电话求助服务。自</w:t>
      </w:r>
      <w:r>
        <w:t>2003</w:t>
      </w:r>
      <w:r>
        <w:t>年起，一条专门的传真线也开始投入使用，聋人和重听人可通过该传真线传输对</w:t>
      </w:r>
      <w:r>
        <w:t>18</w:t>
      </w:r>
      <w:r>
        <w:t>种可能出现的紧急情况中的一种或几种进行标记的填充式表格。</w:t>
      </w:r>
    </w:p>
    <w:p w:rsidR="0064252C" w:rsidRDefault="0064252C">
      <w:pPr>
        <w:pStyle w:val="H1GC"/>
      </w:pPr>
      <w:r>
        <w:tab/>
      </w:r>
      <w:r>
        <w:tab/>
      </w:r>
      <w:r>
        <w:t>第二十二条</w:t>
      </w:r>
      <w:r>
        <w:br/>
      </w:r>
      <w:r>
        <w:t>尊重隐私</w:t>
      </w:r>
    </w:p>
    <w:p w:rsidR="0064252C" w:rsidRDefault="0064252C">
      <w:pPr>
        <w:pStyle w:val="SingleTxtGC"/>
        <w:rPr>
          <w:lang w:val="en-GB"/>
        </w:rPr>
      </w:pPr>
      <w:r>
        <w:rPr>
          <w:lang w:val="en-GB"/>
        </w:rPr>
        <w:t xml:space="preserve">123.  </w:t>
      </w:r>
      <w:r>
        <w:t>《个人数据保护法》</w:t>
      </w:r>
      <w:r>
        <w:rPr>
          <w:lang w:val="en-GB"/>
        </w:rPr>
        <w:t>(2003</w:t>
      </w:r>
      <w:r>
        <w:t>年</w:t>
      </w:r>
      <w:r>
        <w:rPr>
          <w:lang w:val="en-GB"/>
        </w:rPr>
        <w:t>)</w:t>
      </w:r>
      <w:r>
        <w:t>确保向每个自然人提供保护</w:t>
      </w:r>
      <w:r>
        <w:rPr>
          <w:lang w:val="en-GB"/>
        </w:rPr>
        <w:t>，</w:t>
      </w:r>
      <w:r>
        <w:t>无论其公民身份和居所地为何</w:t>
      </w:r>
      <w:r>
        <w:rPr>
          <w:lang w:val="en-GB"/>
        </w:rPr>
        <w:t>，</w:t>
      </w:r>
      <w:r>
        <w:t>不分种族、肤色、性别、语言、宗教、政治或其他见解、民族本源或社会出身、财产、出生、教育、社会地位或其他属性。禁止收集和进一步处理有关种族或民族本源、政治见解、宗教或其他信仰、团体成员身份、健康或性生活的个人数据和有关刑事和轻罪诉讼程序的个人数据</w:t>
      </w:r>
      <w:r>
        <w:t>(</w:t>
      </w:r>
      <w:r>
        <w:t>所谓的特殊类别个人数据</w:t>
      </w:r>
      <w:r>
        <w:t>)</w:t>
      </w:r>
      <w:r>
        <w:t>。作为例外，可在法律规定的条件下收集和进一步处理这类数据，但其处理必须按照《特殊类别个人数据存储方式和技术保护特别措施法令》</w:t>
      </w:r>
      <w:r>
        <w:t>(2004</w:t>
      </w:r>
      <w:r>
        <w:t>年</w:t>
      </w:r>
      <w:r>
        <w:t>)</w:t>
      </w:r>
      <w:r>
        <w:t>的规定予以特别标识和保护。</w:t>
      </w:r>
    </w:p>
    <w:p w:rsidR="0064252C" w:rsidRDefault="0064252C">
      <w:pPr>
        <w:pStyle w:val="SingleTxtGC"/>
        <w:rPr>
          <w:lang w:val="en-GB"/>
        </w:rPr>
      </w:pPr>
      <w:r>
        <w:rPr>
          <w:lang w:val="en-GB"/>
        </w:rPr>
        <w:t xml:space="preserve">124.  </w:t>
      </w:r>
      <w:r>
        <w:t>《患者权利法》</w:t>
      </w:r>
      <w:r>
        <w:rPr>
          <w:lang w:val="en-GB"/>
        </w:rPr>
        <w:t>(2004</w:t>
      </w:r>
      <w:r>
        <w:t>年</w:t>
      </w:r>
      <w:r>
        <w:rPr>
          <w:lang w:val="en-GB"/>
        </w:rPr>
        <w:t>)</w:t>
      </w:r>
      <w:r>
        <w:t>确保残疾人医疗和康复数据得到保护</w:t>
      </w:r>
      <w:r>
        <w:rPr>
          <w:lang w:val="en-GB"/>
        </w:rPr>
        <w:t>，</w:t>
      </w:r>
      <w:r>
        <w:t>该法规定</w:t>
      </w:r>
      <w:r>
        <w:rPr>
          <w:lang w:val="en-GB"/>
        </w:rPr>
        <w:t>，</w:t>
      </w:r>
      <w:r>
        <w:t>根据保守职业秘密和保护个人数据的法规</w:t>
      </w:r>
      <w:r>
        <w:rPr>
          <w:lang w:val="en-GB"/>
        </w:rPr>
        <w:t>，</w:t>
      </w:r>
      <w:r>
        <w:t>患者有权对与其健康状况有关的数据实行保密</w:t>
      </w:r>
      <w:r>
        <w:rPr>
          <w:lang w:val="en-GB"/>
        </w:rPr>
        <w:t>，</w:t>
      </w:r>
      <w:r>
        <w:t>且在检查和治疗过程中</w:t>
      </w:r>
      <w:r>
        <w:rPr>
          <w:lang w:val="en-GB"/>
        </w:rPr>
        <w:t>，</w:t>
      </w:r>
      <w:r>
        <w:t>特别是在接受个人护理期间享有保留隐</w:t>
      </w:r>
      <w:r>
        <w:rPr>
          <w:spacing w:val="-6"/>
        </w:rPr>
        <w:t>私的权利。此外，该项权利还受到与开展各专业领域活动有关的法律法规的保护</w:t>
      </w:r>
      <w:r>
        <w:rPr>
          <w:rStyle w:val="FootnoteReference"/>
          <w:spacing w:val="-6"/>
        </w:rPr>
        <w:footnoteReference w:id="15"/>
      </w:r>
      <w:r>
        <w:rPr>
          <w:spacing w:val="-6"/>
        </w:rPr>
        <w:t>。</w:t>
      </w:r>
    </w:p>
    <w:p w:rsidR="0064252C" w:rsidRDefault="0064252C">
      <w:pPr>
        <w:pStyle w:val="H1GC"/>
      </w:pPr>
      <w:r>
        <w:tab/>
      </w:r>
      <w:r>
        <w:tab/>
      </w:r>
      <w:r>
        <w:t>第二十三条</w:t>
      </w:r>
      <w:r>
        <w:br/>
      </w:r>
      <w:r>
        <w:t>尊重家居和家庭</w:t>
      </w:r>
    </w:p>
    <w:p w:rsidR="0064252C" w:rsidRDefault="0064252C">
      <w:pPr>
        <w:pStyle w:val="SingleTxtGC"/>
        <w:rPr>
          <w:lang w:val="en-GB"/>
        </w:rPr>
      </w:pPr>
      <w:r>
        <w:rPr>
          <w:lang w:val="en-GB"/>
        </w:rPr>
        <w:t xml:space="preserve">125.  </w:t>
      </w:r>
      <w:r>
        <w:t>残疾人有能力实现其在与他人平等基础上缔结婚姻和建立家庭的权利。《家庭法》</w:t>
      </w:r>
      <w:r>
        <w:t>(2003</w:t>
      </w:r>
      <w:r>
        <w:t>年</w:t>
      </w:r>
      <w:r>
        <w:t>)</w:t>
      </w:r>
      <w:r>
        <w:t>规定，禁止丧失劳动能力者和无判断能力者缔结婚姻。这一规定的例外情况是，如果经鉴定，丧失劳动能力者能够理解婚姻的意义和由此衍生出的义务，且婚姻显然符合其利益，经其请求，法院可在法外程序中准其缔结婚姻。我们还将提到，除咨询服务外，家庭中心还开展面向伴侣、家长和未来家长、儿童和青少年的项目和方案，</w:t>
      </w:r>
      <w:r>
        <w:rPr>
          <w:rFonts w:hint="eastAsia"/>
        </w:rPr>
        <w:t>及</w:t>
      </w:r>
      <w:r>
        <w:t>面向弱势群体的项目和方案，其中包括面向发育障碍儿童、残疾人及其家属的项目和方案，约占家庭中心方案</w:t>
      </w:r>
      <w:r>
        <w:t>/</w:t>
      </w:r>
      <w:r>
        <w:t>项目</w:t>
      </w:r>
      <w:r>
        <w:t>(</w:t>
      </w:r>
      <w:r>
        <w:t>例如，讲习班</w:t>
      </w:r>
      <w:r>
        <w:t>)</w:t>
      </w:r>
      <w:r>
        <w:t>总数的</w:t>
      </w:r>
      <w:r>
        <w:t>13</w:t>
      </w:r>
      <w:r>
        <w:rPr>
          <w:rFonts w:hint="eastAsia"/>
        </w:rPr>
        <w:t>%</w:t>
      </w:r>
      <w:r>
        <w:t>(</w:t>
      </w:r>
      <w:r>
        <w:t>例如，讲习班，其目的是促进个人成长和发展；鼓励发育障碍儿童融入；向发育障碍儿童和残疾人的家庭提供支持；发育障碍儿童家长咨询和支助小组；发育障碍儿童和残疾人咨询等</w:t>
      </w:r>
      <w:r>
        <w:t>)</w:t>
      </w:r>
      <w:r>
        <w:t>。</w:t>
      </w:r>
    </w:p>
    <w:p w:rsidR="0064252C" w:rsidRDefault="0064252C">
      <w:pPr>
        <w:pStyle w:val="SingleTxtGC"/>
        <w:rPr>
          <w:lang w:val="en-GB"/>
        </w:rPr>
      </w:pPr>
      <w:r>
        <w:rPr>
          <w:lang w:val="en-GB"/>
        </w:rPr>
        <w:t xml:space="preserve">126.  </w:t>
      </w:r>
      <w:r>
        <w:t>《人工受精法》</w:t>
      </w:r>
      <w:r>
        <w:rPr>
          <w:lang w:val="en-GB"/>
        </w:rPr>
        <w:t>(2009</w:t>
      </w:r>
      <w:r>
        <w:t>年</w:t>
      </w:r>
      <w:r>
        <w:rPr>
          <w:lang w:val="en-GB"/>
        </w:rPr>
        <w:t>)</w:t>
      </w:r>
      <w:r>
        <w:t>规定</w:t>
      </w:r>
      <w:r>
        <w:rPr>
          <w:lang w:val="en-GB"/>
        </w:rPr>
        <w:t>，</w:t>
      </w:r>
      <w:r>
        <w:t>所有妇女和男子</w:t>
      </w:r>
      <w:r>
        <w:rPr>
          <w:lang w:val="en-GB"/>
        </w:rPr>
        <w:t>，</w:t>
      </w:r>
      <w:r>
        <w:t>只要已成年、具备劳动能力、已结婚且有能力对孩子进行家长照料的</w:t>
      </w:r>
      <w:r>
        <w:rPr>
          <w:lang w:val="en-GB"/>
        </w:rPr>
        <w:t>，</w:t>
      </w:r>
      <w:r>
        <w:t>无论其年龄和整体健康状况为何</w:t>
      </w:r>
      <w:r>
        <w:rPr>
          <w:lang w:val="en-GB"/>
        </w:rPr>
        <w:t>，</w:t>
      </w:r>
      <w:r>
        <w:t>均享有进行人工受精的权利。只有在不孕不育治疗不成功或徒然无益，</w:t>
      </w:r>
      <w:r>
        <w:rPr>
          <w:rFonts w:hint="eastAsia"/>
        </w:rPr>
        <w:t>及</w:t>
      </w:r>
      <w:r>
        <w:t>经遗传学专业人员鉴定，自然受孕会不可避免地将严重遗传性疾病传播给孩子时，方能实施这一程序。</w:t>
      </w:r>
    </w:p>
    <w:p w:rsidR="0064252C" w:rsidRDefault="0064252C">
      <w:pPr>
        <w:pStyle w:val="SingleTxtGC"/>
        <w:rPr>
          <w:bCs/>
          <w:lang w:val="en-GB"/>
        </w:rPr>
      </w:pPr>
      <w:r>
        <w:rPr>
          <w:lang w:val="en-GB"/>
        </w:rPr>
        <w:t xml:space="preserve">127.  </w:t>
      </w:r>
      <w:r>
        <w:t>根据《家庭法》</w:t>
      </w:r>
      <w:r>
        <w:rPr>
          <w:lang w:val="en-GB"/>
        </w:rPr>
        <w:t>(2003</w:t>
      </w:r>
      <w:r>
        <w:t>年</w:t>
      </w:r>
      <w:r>
        <w:rPr>
          <w:lang w:val="en-GB"/>
        </w:rPr>
        <w:t>)</w:t>
      </w:r>
      <w:r>
        <w:rPr>
          <w:lang w:val="en-GB"/>
        </w:rPr>
        <w:t>，</w:t>
      </w:r>
      <w:r>
        <w:t>未成年人</w:t>
      </w:r>
      <w:r>
        <w:rPr>
          <w:lang w:val="en-GB"/>
        </w:rPr>
        <w:t>，</w:t>
      </w:r>
      <w:r>
        <w:t>其父母死亡、失踪或身份不明的</w:t>
      </w:r>
      <w:r>
        <w:rPr>
          <w:lang w:val="en-GB"/>
        </w:rPr>
        <w:t>，</w:t>
      </w:r>
      <w:r>
        <w:t>或者至少一个月居所地不明、丧失劳动能力或不能对尚不具备劳动能力的未成年人进行家长照料、缺席或受阻和没有能力照料自己子女的</w:t>
      </w:r>
      <w:r>
        <w:rPr>
          <w:lang w:val="en-GB"/>
        </w:rPr>
        <w:t>，</w:t>
      </w:r>
      <w:r>
        <w:t>将置于监护之下。</w:t>
      </w:r>
    </w:p>
    <w:p w:rsidR="0064252C" w:rsidRDefault="0064252C">
      <w:pPr>
        <w:pStyle w:val="SingleTxtGC"/>
        <w:rPr>
          <w:lang w:val="en-GB"/>
        </w:rPr>
      </w:pPr>
      <w:r>
        <w:rPr>
          <w:lang w:val="en-GB"/>
        </w:rPr>
        <w:t xml:space="preserve">128.  </w:t>
      </w:r>
      <w:r>
        <w:t>《社会福利法》规定</w:t>
      </w:r>
      <w:r>
        <w:rPr>
          <w:lang w:val="en-GB"/>
        </w:rPr>
        <w:t>，有权</w:t>
      </w:r>
      <w:r>
        <w:t>通过系统的专业帮助</w:t>
      </w:r>
      <w:r>
        <w:rPr>
          <w:lang w:val="en-GB"/>
        </w:rPr>
        <w:t>，</w:t>
      </w:r>
      <w:r>
        <w:t>在克服特殊困难方面获得咨询和协助服务</w:t>
      </w:r>
      <w:r>
        <w:rPr>
          <w:lang w:val="en-GB"/>
        </w:rPr>
        <w:t>，</w:t>
      </w:r>
      <w:r>
        <w:t>除其他外</w:t>
      </w:r>
      <w:r>
        <w:rPr>
          <w:lang w:val="en-GB"/>
        </w:rPr>
        <w:t>，</w:t>
      </w:r>
      <w:r>
        <w:t>包括向残疾父母和发育障碍儿童的父母提供支助等</w:t>
      </w:r>
      <w:r>
        <w:rPr>
          <w:lang w:val="en-GB"/>
        </w:rPr>
        <w:t>，</w:t>
      </w:r>
      <w:r>
        <w:t>以克服一名家庭成员生病、年老和死亡所致的问题和困难和在培养孩子、残疾和在社会福利机构停留时间较长或接受较长时间治疗和在其他不利环境中停留较长时间后融入日常生活方面的问题。</w:t>
      </w:r>
    </w:p>
    <w:p w:rsidR="0064252C" w:rsidRDefault="0064252C">
      <w:pPr>
        <w:pStyle w:val="SingleTxtGC"/>
        <w:rPr>
          <w:lang w:val="en-GB"/>
        </w:rPr>
      </w:pPr>
      <w:r>
        <w:rPr>
          <w:lang w:val="en-GB"/>
        </w:rPr>
        <w:t xml:space="preserve">129.  </w:t>
      </w:r>
      <w:r>
        <w:t>虽然克罗地亚共和国境内寄养做法由来已久</w:t>
      </w:r>
      <w:r>
        <w:rPr>
          <w:lang w:val="en-GB"/>
        </w:rPr>
        <w:t>，</w:t>
      </w:r>
      <w:r>
        <w:t>但</w:t>
      </w:r>
      <w:r>
        <w:rPr>
          <w:lang w:val="en-GB"/>
        </w:rPr>
        <w:t>2003</w:t>
      </w:r>
      <w:r>
        <w:t>年对《社会福利法》所作的修正引入了成立家庭型养育院的可能性</w:t>
      </w:r>
      <w:r>
        <w:rPr>
          <w:lang w:val="en-GB"/>
        </w:rPr>
        <w:t>，</w:t>
      </w:r>
      <w:r>
        <w:t>对更为有效的儿童和成人照料作出推定</w:t>
      </w:r>
      <w:r>
        <w:rPr>
          <w:lang w:val="en-GB"/>
        </w:rPr>
        <w:t>，</w:t>
      </w:r>
      <w:r>
        <w:t>并就通过采用适当的合法行为将残疾人安置在寄养家庭作了更详细的阐述。</w:t>
      </w:r>
      <w:r>
        <w:t>2007</w:t>
      </w:r>
      <w:r>
        <w:t>年，通过了《寄养法》，该法对寄养领域问题做了单独规定。该法还规定了亲属寄养形式</w:t>
      </w:r>
      <w:r>
        <w:rPr>
          <w:rFonts w:ascii="SimSun" w:hAnsi="SimSun" w:cs="SimSun" w:hint="eastAsia"/>
          <w:spacing w:val="-60"/>
        </w:rPr>
        <w:t>―</w:t>
      </w:r>
      <w:r>
        <w:rPr>
          <w:rFonts w:ascii="SimSun" w:hAnsi="SimSun" w:cs="SimSun" w:hint="eastAsia"/>
          <w:spacing w:val="10"/>
        </w:rPr>
        <w:t>―</w:t>
      </w:r>
      <w:r>
        <w:t>将儿童安置在亲属家中。这一寄养形式的手续比非亲属寄养简单，这也是各机构就替代性照料形式作出决定的做法，以便在各项条件得到满足，即符合儿童本人最佳利益的情况下，争取首先将儿童在大家庭范围内进行安置。对将残疾人和</w:t>
      </w:r>
      <w:r>
        <w:t>(</w:t>
      </w:r>
      <w:r>
        <w:t>或</w:t>
      </w:r>
      <w:r>
        <w:t>)</w:t>
      </w:r>
      <w:r>
        <w:t>发育障碍儿童安置在寄养家庭的补偿高于将其他儿童和成人安置在寄养家庭的补偿，补偿额度增加的百分比视被寄养人的具体需求而定。此外，《寄养家庭培训和教育的内容和期限规则手册》</w:t>
      </w:r>
      <w:r>
        <w:t>(2008</w:t>
      </w:r>
      <w:r>
        <w:t>年</w:t>
      </w:r>
      <w:r>
        <w:t>)</w:t>
      </w:r>
      <w:r>
        <w:t>规定了培训和教育的内容和期限，培训和教育中存在一个面向所有寄养家庭</w:t>
      </w:r>
      <w:r>
        <w:t>(</w:t>
      </w:r>
      <w:r>
        <w:t>无论使用者类型为何</w:t>
      </w:r>
      <w:r>
        <w:t>)</w:t>
      </w:r>
      <w:r>
        <w:t>的共同部分和适合不同使用者类型的一般性和特殊性部分</w:t>
      </w:r>
      <w:r>
        <w:rPr>
          <w:rStyle w:val="FootnoteReference"/>
        </w:rPr>
        <w:footnoteReference w:id="16"/>
      </w:r>
      <w:r>
        <w:t>。</w:t>
      </w:r>
    </w:p>
    <w:p w:rsidR="0064252C" w:rsidRDefault="0064252C">
      <w:pPr>
        <w:pStyle w:val="SingleTxtGC"/>
        <w:rPr>
          <w:lang w:val="en-GB"/>
        </w:rPr>
      </w:pPr>
      <w:r>
        <w:rPr>
          <w:lang w:val="en-GB"/>
        </w:rPr>
        <w:t xml:space="preserve">130.  </w:t>
      </w:r>
      <w:r>
        <w:t>关于有关绝育的法律规定的报告</w:t>
      </w:r>
      <w:r>
        <w:rPr>
          <w:lang w:val="en-GB"/>
        </w:rPr>
        <w:t>，</w:t>
      </w:r>
      <w:r>
        <w:t>请参阅第十七条。</w:t>
      </w:r>
    </w:p>
    <w:p w:rsidR="0064252C" w:rsidRDefault="0064252C">
      <w:pPr>
        <w:pStyle w:val="SingleTxtGC"/>
        <w:rPr>
          <w:lang w:val="en-GB"/>
        </w:rPr>
      </w:pPr>
      <w:r>
        <w:rPr>
          <w:lang w:val="en-GB"/>
        </w:rPr>
        <w:t xml:space="preserve">131.  </w:t>
      </w:r>
      <w:r>
        <w:t>得益于发育障碍儿童照料系统</w:t>
      </w:r>
      <w:r>
        <w:rPr>
          <w:lang w:val="en-GB"/>
        </w:rPr>
        <w:t>，</w:t>
      </w:r>
      <w:r>
        <w:t>现能够采取各类措施</w:t>
      </w:r>
      <w:r>
        <w:rPr>
          <w:lang w:val="en-GB"/>
        </w:rPr>
        <w:t>(</w:t>
      </w:r>
      <w:r>
        <w:t>缩短工作时间的权利和请假照料发育障碍儿童的权利、取得家长照料人地位的权利、发育障碍儿童的日常便利和康复形式、在家获得援助的权利等等</w:t>
      </w:r>
      <w:r>
        <w:rPr>
          <w:lang w:val="en-GB"/>
        </w:rPr>
        <w:t>)</w:t>
      </w:r>
      <w:r>
        <w:rPr>
          <w:lang w:val="en-GB"/>
        </w:rPr>
        <w:t>防止</w:t>
      </w:r>
      <w:r>
        <w:t>将儿童与父母分离</w:t>
      </w:r>
      <w:r>
        <w:rPr>
          <w:lang w:val="en-GB"/>
        </w:rPr>
        <w:t>。</w:t>
      </w:r>
      <w:r>
        <w:t>家庭司法保护领域的法规禁止隐藏、遗弃、忽视和其他危害发育障碍儿童的行为。</w:t>
      </w:r>
    </w:p>
    <w:p w:rsidR="0064252C" w:rsidRDefault="0064252C">
      <w:pPr>
        <w:pStyle w:val="H1GC"/>
      </w:pPr>
      <w:r>
        <w:tab/>
      </w:r>
      <w:r>
        <w:tab/>
      </w:r>
      <w:r>
        <w:t>第二十四条</w:t>
      </w:r>
      <w:r>
        <w:br/>
      </w:r>
      <w:r>
        <w:t>教育</w:t>
      </w:r>
    </w:p>
    <w:p w:rsidR="0064252C" w:rsidRDefault="0064252C">
      <w:pPr>
        <w:pStyle w:val="SingleTxtGC"/>
        <w:rPr>
          <w:lang w:val="en-GB"/>
        </w:rPr>
      </w:pPr>
      <w:r>
        <w:rPr>
          <w:lang w:val="en-GB"/>
        </w:rPr>
        <w:t xml:space="preserve">132.  </w:t>
      </w:r>
      <w:r>
        <w:t>在</w:t>
      </w:r>
      <w:r>
        <w:rPr>
          <w:lang w:val="en-GB"/>
        </w:rPr>
        <w:t>2008</w:t>
      </w:r>
      <w:r>
        <w:t>年通过《初等和中等教育法》之前</w:t>
      </w:r>
      <w:r>
        <w:rPr>
          <w:lang w:val="en-GB"/>
        </w:rPr>
        <w:t>，</w:t>
      </w:r>
      <w:r>
        <w:t>发育障碍较严重的儿童仅能在特殊教育机构接受教育</w:t>
      </w:r>
      <w:r>
        <w:rPr>
          <w:lang w:val="en-GB"/>
        </w:rPr>
        <w:t>，</w:t>
      </w:r>
      <w:r>
        <w:t>而这些机构主要设在较大城市和县中心</w:t>
      </w:r>
      <w:r>
        <w:rPr>
          <w:lang w:val="en-GB"/>
        </w:rPr>
        <w:t>，在</w:t>
      </w:r>
      <w:r>
        <w:t>大多数情况下</w:t>
      </w:r>
      <w:r>
        <w:rPr>
          <w:lang w:val="en-GB"/>
        </w:rPr>
        <w:t>，</w:t>
      </w:r>
      <w:r>
        <w:t>学生需要与其家人分离。随着新的法律的出台和《国家教学标准》</w:t>
      </w:r>
      <w:r>
        <w:t>(2008</w:t>
      </w:r>
      <w:r>
        <w:t>年、</w:t>
      </w:r>
      <w:r>
        <w:t>2010</w:t>
      </w:r>
      <w:r>
        <w:t>年</w:t>
      </w:r>
      <w:r>
        <w:t>)</w:t>
      </w:r>
      <w:r>
        <w:t>的通过，学生在特殊教育机构接受教育仅为极个别现象，以防学生还需要额外的健康和社会照料。因此，在小学和中学开设实行特殊教育方案的班级，以便学生，无论其发育障碍类型和程度为何，能够在原来的生活环境中获得初等和中等教育。</w:t>
      </w:r>
    </w:p>
    <w:p w:rsidR="0064252C" w:rsidRDefault="0064252C">
      <w:pPr>
        <w:pStyle w:val="SingleTxtGC"/>
        <w:rPr>
          <w:lang w:val="en-GB"/>
        </w:rPr>
      </w:pPr>
      <w:r>
        <w:rPr>
          <w:lang w:val="en-GB"/>
        </w:rPr>
        <w:t xml:space="preserve">133.  </w:t>
      </w:r>
      <w:r>
        <w:t>对于患有发育障碍的学生</w:t>
      </w:r>
      <w:r>
        <w:rPr>
          <w:lang w:val="en-GB"/>
        </w:rPr>
        <w:t>，</w:t>
      </w:r>
      <w:r>
        <w:t>立法和其他措施确保上学无障碍</w:t>
      </w:r>
      <w:r>
        <w:rPr>
          <w:lang w:val="en-GB"/>
        </w:rPr>
        <w:t>(</w:t>
      </w:r>
      <w:r>
        <w:t>空间调整、实施特殊方案的班级</w:t>
      </w:r>
      <w:r>
        <w:rPr>
          <w:lang w:val="en-GB"/>
        </w:rPr>
        <w:t>)</w:t>
      </w:r>
      <w:r>
        <w:t>和学校课程做出合理调整</w:t>
      </w:r>
      <w:r>
        <w:rPr>
          <w:lang w:val="en-GB"/>
        </w:rPr>
        <w:t>(</w:t>
      </w:r>
      <w:r>
        <w:t>从因材施教方法到各项特殊方案</w:t>
      </w:r>
      <w:r>
        <w:rPr>
          <w:lang w:val="en-GB"/>
        </w:rPr>
        <w:t>)</w:t>
      </w:r>
      <w:r>
        <w:rPr>
          <w:lang w:val="en-GB"/>
        </w:rPr>
        <w:t>，</w:t>
      </w:r>
      <w:r>
        <w:t>以及在家中或在保健机构中开设教育性课程的可能</w:t>
      </w:r>
      <w:r>
        <w:rPr>
          <w:lang w:val="en-GB"/>
        </w:rPr>
        <w:t>性</w:t>
      </w:r>
      <w:r>
        <w:t>。《国家教学标准》还规定</w:t>
      </w:r>
      <w:r>
        <w:rPr>
          <w:lang w:val="en-GB"/>
        </w:rPr>
        <w:t>，</w:t>
      </w:r>
      <w:r>
        <w:t>聋人儿童享有在课堂上获得口语翻译协助的权利。</w:t>
      </w:r>
    </w:p>
    <w:p w:rsidR="0064252C" w:rsidRDefault="0064252C">
      <w:pPr>
        <w:pStyle w:val="SingleTxtGC"/>
        <w:rPr>
          <w:lang w:val="en-GB"/>
        </w:rPr>
      </w:pPr>
      <w:r>
        <w:rPr>
          <w:lang w:val="en-GB"/>
        </w:rPr>
        <w:t xml:space="preserve">134.  </w:t>
      </w:r>
      <w:r>
        <w:t>确保下列计划、战略和法令所载发育障碍儿童包容性教育具有特别重要的战略作用</w:t>
      </w:r>
      <w:r>
        <w:rPr>
          <w:lang w:val="en-GB"/>
        </w:rPr>
        <w:t>：</w:t>
      </w:r>
      <w:r>
        <w:t>《</w:t>
      </w:r>
      <w:r>
        <w:rPr>
          <w:lang w:val="en-GB"/>
        </w:rPr>
        <w:t>2005-2010</w:t>
      </w:r>
      <w:r>
        <w:t>年教育系统发展计划》</w:t>
      </w:r>
      <w:r>
        <w:rPr>
          <w:lang w:val="en-GB"/>
        </w:rPr>
        <w:t>；</w:t>
      </w:r>
      <w:r>
        <w:t>《</w:t>
      </w:r>
      <w:r>
        <w:rPr>
          <w:lang w:val="en-GB"/>
        </w:rPr>
        <w:t>2006-2012</w:t>
      </w:r>
      <w:r>
        <w:t>年儿童权益国家行动计划》</w:t>
      </w:r>
      <w:r>
        <w:rPr>
          <w:lang w:val="en-GB"/>
        </w:rPr>
        <w:t>；</w:t>
      </w:r>
      <w:r>
        <w:t>《残疾人机会均等国家战略》</w:t>
      </w:r>
      <w:r>
        <w:rPr>
          <w:lang w:val="en-GB"/>
        </w:rPr>
        <w:t>；</w:t>
      </w:r>
      <w:r>
        <w:t>《初等和中等教育法》</w:t>
      </w:r>
      <w:r>
        <w:rPr>
          <w:lang w:val="en-GB"/>
        </w:rPr>
        <w:t>(2008</w:t>
      </w:r>
      <w:r>
        <w:t>年</w:t>
      </w:r>
      <w:r>
        <w:rPr>
          <w:lang w:val="en-GB"/>
        </w:rPr>
        <w:t>)</w:t>
      </w:r>
      <w:r>
        <w:t>和《反歧视法》</w:t>
      </w:r>
      <w:r>
        <w:rPr>
          <w:lang w:val="en-GB"/>
        </w:rPr>
        <w:t>(2008</w:t>
      </w:r>
      <w:r>
        <w:t>年</w:t>
      </w:r>
      <w:r>
        <w:rPr>
          <w:lang w:val="en-GB"/>
        </w:rPr>
        <w:t>)</w:t>
      </w:r>
      <w:r>
        <w:t>。</w:t>
      </w:r>
    </w:p>
    <w:p w:rsidR="0064252C" w:rsidRDefault="0064252C">
      <w:pPr>
        <w:pStyle w:val="SingleTxtGC"/>
        <w:rPr>
          <w:lang w:val="en-GB"/>
        </w:rPr>
      </w:pPr>
      <w:r>
        <w:rPr>
          <w:lang w:val="en-GB"/>
        </w:rPr>
        <w:t xml:space="preserve">135.  </w:t>
      </w:r>
      <w:r>
        <w:t>《学前教育法》</w:t>
      </w:r>
      <w:r>
        <w:rPr>
          <w:lang w:val="en-GB"/>
        </w:rPr>
        <w:t>(1997</w:t>
      </w:r>
      <w:r>
        <w:t>年</w:t>
      </w:r>
      <w:r>
        <w:rPr>
          <w:lang w:val="en-GB"/>
        </w:rPr>
        <w:t>)</w:t>
      </w:r>
      <w:r>
        <w:t>规定</w:t>
      </w:r>
      <w:r>
        <w:rPr>
          <w:lang w:val="en-GB"/>
        </w:rPr>
        <w:t>，</w:t>
      </w:r>
      <w:r>
        <w:t>发育障碍儿童在学前教育中享有优先入学的权利。学前教育覆盖的儿童数量占学前年龄儿童总数的</w:t>
      </w:r>
      <w:r>
        <w:t>58%</w:t>
      </w:r>
      <w:r>
        <w:t>，而</w:t>
      </w:r>
      <w:r>
        <w:t>28%</w:t>
      </w:r>
      <w:r>
        <w:t>的儿童学前教育时间较短。接受学前教育的所有儿童中，发育障碍儿童占</w:t>
      </w:r>
      <w:r>
        <w:t>3.67%</w:t>
      </w:r>
      <w:r>
        <w:t>。</w:t>
      </w:r>
    </w:p>
    <w:p w:rsidR="0064252C" w:rsidRDefault="0064252C">
      <w:pPr>
        <w:pStyle w:val="SingleTxtGC"/>
        <w:rPr>
          <w:lang w:val="en-GB"/>
        </w:rPr>
      </w:pPr>
      <w:r>
        <w:rPr>
          <w:lang w:val="en-GB"/>
        </w:rPr>
        <w:t xml:space="preserve">136.  </w:t>
      </w:r>
      <w:r>
        <w:t>《初等和中等教育法》</w:t>
      </w:r>
      <w:r>
        <w:rPr>
          <w:lang w:val="en-GB"/>
        </w:rPr>
        <w:t>(2008</w:t>
      </w:r>
      <w:r>
        <w:t>年、</w:t>
      </w:r>
      <w:r>
        <w:rPr>
          <w:lang w:val="en-GB"/>
        </w:rPr>
        <w:t>2009</w:t>
      </w:r>
      <w:r>
        <w:t>年、</w:t>
      </w:r>
      <w:r>
        <w:rPr>
          <w:lang w:val="en-GB"/>
        </w:rPr>
        <w:t>2010</w:t>
      </w:r>
      <w:r>
        <w:t>年</w:t>
      </w:r>
      <w:r>
        <w:rPr>
          <w:lang w:val="en-GB"/>
        </w:rPr>
        <w:t>)</w:t>
      </w:r>
      <w:r>
        <w:t>规定</w:t>
      </w:r>
      <w:r>
        <w:rPr>
          <w:lang w:val="en-GB"/>
        </w:rPr>
        <w:t>，</w:t>
      </w:r>
      <w:r>
        <w:t>所有就读小学一年级的儿童</w:t>
      </w:r>
      <w:r>
        <w:rPr>
          <w:lang w:val="en-GB"/>
        </w:rPr>
        <w:t>，</w:t>
      </w:r>
      <w:r>
        <w:t>由专家委员会对其心理和生理状况进行强制性鉴定</w:t>
      </w:r>
      <w:r>
        <w:rPr>
          <w:lang w:val="en-GB"/>
        </w:rPr>
        <w:t>，</w:t>
      </w:r>
      <w:r>
        <w:t>经该委员会提出意见</w:t>
      </w:r>
      <w:r>
        <w:rPr>
          <w:lang w:val="en-GB"/>
        </w:rPr>
        <w:t>，</w:t>
      </w:r>
      <w:r>
        <w:t>学生可自接受教育之日起在教育系统实现接受适当教育方案和适当援助形式的权利。</w:t>
      </w:r>
    </w:p>
    <w:p w:rsidR="0064252C" w:rsidRDefault="0064252C">
      <w:pPr>
        <w:pStyle w:val="SingleTxtGC"/>
        <w:rPr>
          <w:lang w:val="en-GB"/>
        </w:rPr>
      </w:pPr>
      <w:r>
        <w:rPr>
          <w:lang w:val="en-GB"/>
        </w:rPr>
        <w:t xml:space="preserve">137.  </w:t>
      </w:r>
      <w:r>
        <w:t>如委员会已就学生适合何种教育形式作出决定</w:t>
      </w:r>
      <w:r>
        <w:rPr>
          <w:lang w:val="en-GB"/>
        </w:rPr>
        <w:t>，</w:t>
      </w:r>
      <w:r>
        <w:t>该学生可进入小学就读</w:t>
      </w:r>
      <w:r>
        <w:rPr>
          <w:lang w:val="en-GB"/>
        </w:rPr>
        <w:t>，</w:t>
      </w:r>
      <w:r>
        <w:t>并按照所有具有这一需求的学校中按照规定标准适用因材施教程序的调整方案或普通方案展开学习。对于患有慢性疾病或身处状况需要在医疗保健机构内住宿或安置的学生，按照普通或特殊条件组织开展小学教育。对这类学生的教育工作由学生本人所在机构或距离最近的小学负责。</w:t>
      </w:r>
    </w:p>
    <w:p w:rsidR="0064252C" w:rsidRDefault="0064252C">
      <w:pPr>
        <w:pStyle w:val="SingleTxtGC"/>
        <w:rPr>
          <w:lang w:val="en-GB"/>
        </w:rPr>
      </w:pPr>
      <w:r>
        <w:rPr>
          <w:lang w:val="en-GB"/>
        </w:rPr>
        <w:t xml:space="preserve">138.  </w:t>
      </w:r>
      <w:r>
        <w:t>根据逐年通过的关于中等学校考生筛选要素和标准的决定</w:t>
      </w:r>
      <w:r>
        <w:rPr>
          <w:lang w:val="en-GB"/>
        </w:rPr>
        <w:t>，</w:t>
      </w:r>
      <w:r>
        <w:t>发育障碍学生享有直接入读中等学校的权利。健康问题较严重的学生享有优先入学权，这意味着他们可以较低的分数升入适当的中学就读。经克罗地亚就业局职业指导部出具关于最合适的方案选择的意见，健康问题尤为严重的学生可直接入学。</w:t>
      </w:r>
    </w:p>
    <w:p w:rsidR="0064252C" w:rsidRDefault="0064252C">
      <w:pPr>
        <w:pStyle w:val="SingleTxtGC"/>
        <w:rPr>
          <w:lang w:val="en-GB"/>
        </w:rPr>
      </w:pPr>
      <w:r>
        <w:rPr>
          <w:lang w:val="en-GB"/>
        </w:rPr>
        <w:t xml:space="preserve">139.  </w:t>
      </w:r>
      <w:r>
        <w:t>按照因材施教的普通课程方案完</w:t>
      </w:r>
      <w:r>
        <w:rPr>
          <w:rFonts w:hint="eastAsia"/>
        </w:rPr>
        <w:t>成</w:t>
      </w:r>
      <w:r>
        <w:t>小学教育的学生</w:t>
      </w:r>
      <w:r>
        <w:rPr>
          <w:lang w:val="en-GB"/>
        </w:rPr>
        <w:t>，</w:t>
      </w:r>
      <w:r>
        <w:t>以及按照经调整的课程方案完成小学教育的学生</w:t>
      </w:r>
      <w:r>
        <w:rPr>
          <w:lang w:val="en-GB"/>
        </w:rPr>
        <w:t>，</w:t>
      </w:r>
      <w:r>
        <w:t>可以通过以下三种方式继续接受中等教育</w:t>
      </w:r>
      <w:r>
        <w:rPr>
          <w:lang w:val="en-GB"/>
        </w:rPr>
        <w:t>：</w:t>
      </w:r>
      <w:r>
        <w:t>因材施教的普通中学教育方案</w:t>
      </w:r>
      <w:r>
        <w:rPr>
          <w:lang w:val="en-GB"/>
        </w:rPr>
        <w:t>；</w:t>
      </w:r>
      <w:r>
        <w:t>经调整的教育方案</w:t>
      </w:r>
      <w:r>
        <w:rPr>
          <w:lang w:val="en-GB"/>
        </w:rPr>
        <w:t>，</w:t>
      </w:r>
      <w:r>
        <w:t>或者</w:t>
      </w:r>
      <w:r>
        <w:rPr>
          <w:lang w:val="en-GB"/>
        </w:rPr>
        <w:t>，</w:t>
      </w:r>
      <w:r>
        <w:t>在特殊情况下</w:t>
      </w:r>
      <w:r>
        <w:rPr>
          <w:lang w:val="en-GB"/>
        </w:rPr>
        <w:t>的</w:t>
      </w:r>
      <w:r>
        <w:t>中等教育特殊方案。按照特殊方案完成小学教育的学生，继续按照特殊中学教育方案，或在特殊教育机构，或在经审批有资格开展发育障碍学生中等教育方案的社会福利机构内接受中等教育。</w:t>
      </w:r>
    </w:p>
    <w:p w:rsidR="0064252C" w:rsidRDefault="0064252C">
      <w:pPr>
        <w:pStyle w:val="SingleTxtGC"/>
        <w:rPr>
          <w:lang w:val="en-GB"/>
        </w:rPr>
      </w:pPr>
      <w:r>
        <w:rPr>
          <w:lang w:val="en-GB"/>
        </w:rPr>
        <w:t xml:space="preserve">140.  </w:t>
      </w:r>
      <w:r>
        <w:t>由欧洲联盟委员会资助、萨格勒布大学承办的</w:t>
      </w:r>
      <w:r>
        <w:rPr>
          <w:lang w:val="en-GB"/>
        </w:rPr>
        <w:t>Tempus</w:t>
      </w:r>
      <w:r>
        <w:t>项目</w:t>
      </w:r>
      <w:r>
        <w:rPr>
          <w:rFonts w:ascii="SimSun" w:hAnsi="SimSun" w:cs="SimSun" w:hint="eastAsia"/>
          <w:lang w:val="en-GB"/>
        </w:rPr>
        <w:t>“</w:t>
      </w:r>
      <w:r>
        <w:t>克罗地亚大学机会均等教育</w:t>
      </w:r>
      <w:r>
        <w:rPr>
          <w:rFonts w:hint="eastAsia"/>
          <w:spacing w:val="-60"/>
          <w:lang w:val="en-GB"/>
        </w:rPr>
        <w:t>―</w:t>
      </w:r>
      <w:r>
        <w:rPr>
          <w:rFonts w:hint="eastAsia"/>
          <w:spacing w:val="10"/>
          <w:lang w:val="en-GB"/>
        </w:rPr>
        <w:t>―</w:t>
      </w:r>
      <w:r>
        <w:rPr>
          <w:lang w:val="en-GB"/>
        </w:rPr>
        <w:t>EduQuality</w:t>
      </w:r>
      <w:r>
        <w:rPr>
          <w:rFonts w:ascii="SimSun" w:hAnsi="SimSun" w:cs="SimSun" w:hint="eastAsia"/>
          <w:lang w:val="en-GB"/>
        </w:rPr>
        <w:t>”</w:t>
      </w:r>
      <w:r>
        <w:rPr>
          <w:lang w:val="en-GB"/>
        </w:rPr>
        <w:t>，</w:t>
      </w:r>
      <w:r>
        <w:t>旨在完善促进残疾学生机会均等方面的现有支助形式和开发新的支助形式</w:t>
      </w:r>
      <w:r>
        <w:rPr>
          <w:lang w:val="en-GB"/>
        </w:rPr>
        <w:t>，</w:t>
      </w:r>
      <w:r>
        <w:t>制定关于发展高等教育对残疾学生无障碍的国家标准和准则</w:t>
      </w:r>
      <w:r>
        <w:rPr>
          <w:lang w:val="en-GB"/>
        </w:rPr>
        <w:t>(</w:t>
      </w:r>
      <w:r>
        <w:t>国家文件所载意见</w:t>
      </w:r>
      <w:r>
        <w:rPr>
          <w:lang w:val="en-GB"/>
        </w:rPr>
        <w:t>)</w:t>
      </w:r>
      <w:r>
        <w:rPr>
          <w:lang w:val="en-GB"/>
        </w:rPr>
        <w:t>，</w:t>
      </w:r>
      <w:r>
        <w:t>并确保克罗地亚共和国高等教育残疾学生支助系统的无障碍性、可持续性和质量。在高等教育方面，</w:t>
      </w:r>
      <w:r>
        <w:t>Tempus</w:t>
      </w:r>
      <w:r>
        <w:t>项目</w:t>
      </w:r>
      <w:r>
        <w:rPr>
          <w:rFonts w:hint="eastAsia"/>
        </w:rPr>
        <w:t>“</w:t>
      </w:r>
      <w:r>
        <w:t>查明和支助高等教育中的诵读困难学生</w:t>
      </w:r>
      <w:r>
        <w:rPr>
          <w:rFonts w:hint="eastAsia"/>
        </w:rPr>
        <w:t>”</w:t>
      </w:r>
      <w:r>
        <w:t>开启了在大学一级识别诵读困难学生的先例，旨在实现其权利和对学术课程进行调整。</w:t>
      </w:r>
    </w:p>
    <w:p w:rsidR="0064252C" w:rsidRDefault="0064252C">
      <w:pPr>
        <w:pStyle w:val="SingleTxtGC"/>
        <w:rPr>
          <w:lang w:val="en-GB"/>
        </w:rPr>
      </w:pPr>
      <w:r>
        <w:rPr>
          <w:lang w:val="en-GB"/>
        </w:rPr>
        <w:t xml:space="preserve">141.  </w:t>
      </w:r>
      <w:r>
        <w:t>在教育系统中</w:t>
      </w:r>
      <w:r>
        <w:rPr>
          <w:lang w:val="en-GB"/>
        </w:rPr>
        <w:t>，</w:t>
      </w:r>
      <w:r>
        <w:t>所有学生和获得学位的学生在性别方面并不存在教育条件差异</w:t>
      </w:r>
      <w:r>
        <w:rPr>
          <w:lang w:val="en-GB"/>
        </w:rPr>
        <w:t>，</w:t>
      </w:r>
      <w:r>
        <w:t>因此</w:t>
      </w:r>
      <w:r>
        <w:rPr>
          <w:lang w:val="en-GB"/>
        </w:rPr>
        <w:t>，</w:t>
      </w:r>
      <w:r>
        <w:t>发展障碍学生和残疾学生的教育条件也不存在差异。</w:t>
      </w:r>
    </w:p>
    <w:p w:rsidR="0064252C" w:rsidRDefault="0064252C">
      <w:pPr>
        <w:pStyle w:val="SingleTxtGC"/>
        <w:rPr>
          <w:lang w:val="en-GB"/>
        </w:rPr>
      </w:pPr>
      <w:r>
        <w:rPr>
          <w:lang w:val="en-GB"/>
        </w:rPr>
        <w:t xml:space="preserve">142.  </w:t>
      </w:r>
      <w:r>
        <w:t>为确保发育障碍学生获得高效教育和实现完全融入</w:t>
      </w:r>
      <w:r>
        <w:rPr>
          <w:lang w:val="en-GB"/>
        </w:rPr>
        <w:t>，</w:t>
      </w:r>
      <w:r>
        <w:t>确保提供其他适当的特殊援助形式</w:t>
      </w:r>
      <w:r>
        <w:rPr>
          <w:lang w:val="en-GB"/>
        </w:rPr>
        <w:t>，</w:t>
      </w:r>
      <w:r>
        <w:t>确保教育和康复专业人员开展额外工作</w:t>
      </w:r>
      <w:r>
        <w:rPr>
          <w:lang w:val="en-GB"/>
        </w:rPr>
        <w:t>，</w:t>
      </w:r>
      <w:r>
        <w:t>实施长期的专家程序</w:t>
      </w:r>
      <w:r>
        <w:rPr>
          <w:lang w:val="en-GB"/>
        </w:rPr>
        <w:t>，</w:t>
      </w:r>
      <w:r>
        <w:t>不断加大私人助理或课堂助理和手语翻译的支持力度</w:t>
      </w:r>
      <w:r>
        <w:rPr>
          <w:lang w:val="en-GB"/>
        </w:rPr>
        <w:t>，</w:t>
      </w:r>
      <w:r>
        <w:t>还确保学生交通无虞</w:t>
      </w:r>
      <w:r>
        <w:rPr>
          <w:lang w:val="en-GB"/>
        </w:rPr>
        <w:t>(</w:t>
      </w:r>
      <w:r>
        <w:t>校车、公共汽车、家长驾驶自己的车辆或出租车</w:t>
      </w:r>
      <w:r>
        <w:rPr>
          <w:lang w:val="en-GB"/>
        </w:rPr>
        <w:t>)</w:t>
      </w:r>
      <w:r>
        <w:rPr>
          <w:lang w:val="en-GB"/>
        </w:rPr>
        <w:t>，</w:t>
      </w:r>
      <w:r>
        <w:t>以及使用教学辅助器具以适应发育障碍学生的各类需求。</w:t>
      </w:r>
    </w:p>
    <w:p w:rsidR="0064252C" w:rsidRDefault="0064252C">
      <w:pPr>
        <w:pStyle w:val="SingleTxtGC"/>
        <w:rPr>
          <w:lang w:val="en-GB"/>
        </w:rPr>
      </w:pPr>
      <w:r>
        <w:rPr>
          <w:lang w:val="en-GB"/>
        </w:rPr>
        <w:t xml:space="preserve">143.  </w:t>
      </w:r>
      <w:r>
        <w:t>经与教育与教师培训机构和职业培训与成人教育机构合作</w:t>
      </w:r>
      <w:r>
        <w:rPr>
          <w:lang w:val="en-GB"/>
        </w:rPr>
        <w:t>，</w:t>
      </w:r>
      <w:r>
        <w:t>组织小学和中学教师参加关于如何面向患有障碍学生开展工作的专业培训。如有需要，确保向某一特定学生和学校提供这类教育。萨勒格布大学教育和康复科学系，除培训专业的言语治疗师、教育康复人员和社会教育家外，还面向小学和中学教师开设关于教师能力和培训的研究生课程，以帮助他们获得在包容性班级开展工作所需的能力。</w:t>
      </w:r>
    </w:p>
    <w:p w:rsidR="0064252C" w:rsidRDefault="0064252C">
      <w:pPr>
        <w:pStyle w:val="SingleTxtGC"/>
        <w:rPr>
          <w:lang w:val="en-GB"/>
        </w:rPr>
      </w:pPr>
      <w:r>
        <w:rPr>
          <w:lang w:val="en-GB"/>
        </w:rPr>
        <w:t xml:space="preserve">144.  </w:t>
      </w:r>
      <w:r>
        <w:t>专门的残疾人机构和残疾人协会为儿童、成人和教师提供具体服务。例如，视力有障碍者教育机构面向教师和学生开设盲文班。</w:t>
      </w:r>
    </w:p>
    <w:p w:rsidR="0064252C" w:rsidRDefault="0064252C">
      <w:pPr>
        <w:pStyle w:val="SingleTxtGC"/>
        <w:rPr>
          <w:lang w:val="en-GB"/>
        </w:rPr>
      </w:pPr>
      <w:r>
        <w:rPr>
          <w:lang w:val="en-GB"/>
        </w:rPr>
        <w:t xml:space="preserve">145.  </w:t>
      </w:r>
      <w:r>
        <w:t>萨勒格布大学教育和康复科学系和美国普渡大学合作实施了旨在发展克罗地亚手语的双边项目</w:t>
      </w:r>
      <w:r>
        <w:rPr>
          <w:rFonts w:ascii="SimSun" w:hAnsi="SimSun" w:cs="SimSun" w:hint="eastAsia"/>
        </w:rPr>
        <w:t>“</w:t>
      </w:r>
      <w:r>
        <w:t>克罗地亚手语基本语法</w:t>
      </w:r>
      <w:r>
        <w:rPr>
          <w:rFonts w:ascii="SimSun" w:hAnsi="SimSun" w:cs="SimSun" w:hint="eastAsia"/>
        </w:rPr>
        <w:t>”</w:t>
      </w:r>
      <w:r>
        <w:rPr>
          <w:lang w:val="en-GB"/>
        </w:rPr>
        <w:t>，</w:t>
      </w:r>
      <w:r>
        <w:t>以此增强聋人的语言特性。</w:t>
      </w:r>
    </w:p>
    <w:p w:rsidR="0064252C" w:rsidRDefault="0064252C">
      <w:pPr>
        <w:pStyle w:val="SingleTxtGC"/>
        <w:rPr>
          <w:lang w:val="en-GB"/>
        </w:rPr>
      </w:pPr>
      <w:r>
        <w:rPr>
          <w:lang w:val="en-GB"/>
        </w:rPr>
        <w:t xml:space="preserve">146.  </w:t>
      </w:r>
      <w:r>
        <w:t>将专门机构改组为支持中心的进程现已启动</w:t>
      </w:r>
      <w:r>
        <w:rPr>
          <w:lang w:val="en-GB"/>
        </w:rPr>
        <w:t>，</w:t>
      </w:r>
      <w:r>
        <w:t>在过去两年中</w:t>
      </w:r>
      <w:r>
        <w:rPr>
          <w:lang w:val="en-GB"/>
        </w:rPr>
        <w:t>，</w:t>
      </w:r>
      <w:r>
        <w:t>智力障碍儿童特殊学校纷纷参与这一进程。它们组织成立流动小分队，向普通学校中存在障碍的学生提供支持。一家自闭症儿童和成人机构也正准备这样做。</w:t>
      </w:r>
    </w:p>
    <w:p w:rsidR="0064252C" w:rsidRDefault="0064252C">
      <w:pPr>
        <w:pStyle w:val="SingleTxtGC"/>
        <w:rPr>
          <w:bCs/>
          <w:lang w:val="en-GB"/>
        </w:rPr>
      </w:pPr>
      <w:r>
        <w:rPr>
          <w:lang w:val="en-GB"/>
        </w:rPr>
        <w:t xml:space="preserve">147.  </w:t>
      </w:r>
      <w:r>
        <w:t>通过克罗地亚特殊需要儿童专业救助协会</w:t>
      </w:r>
      <w:r>
        <w:rPr>
          <w:rFonts w:ascii="SimSun" w:hAnsi="SimSun" w:cs="SimSun" w:hint="eastAsia"/>
        </w:rPr>
        <w:t>“</w:t>
      </w:r>
      <w:r>
        <w:rPr>
          <w:lang w:val="en-GB"/>
        </w:rPr>
        <w:t>IDEM</w:t>
      </w:r>
      <w:r>
        <w:rPr>
          <w:rFonts w:ascii="SimSun" w:hAnsi="SimSun" w:cs="SimSun" w:hint="eastAsia"/>
          <w:lang w:val="en-GB"/>
        </w:rPr>
        <w:t>”</w:t>
      </w:r>
      <w:r>
        <w:t>开展的项目</w:t>
      </w:r>
      <w:r>
        <w:rPr>
          <w:lang w:val="en-GB"/>
        </w:rPr>
        <w:t>(</w:t>
      </w:r>
      <w:r>
        <w:t>由科学、教育和体育部、世界银行和欧盟提供资金支持</w:t>
      </w:r>
      <w:r>
        <w:rPr>
          <w:lang w:val="en-GB"/>
        </w:rPr>
        <w:t>)</w:t>
      </w:r>
      <w:r>
        <w:rPr>
          <w:lang w:val="en-GB"/>
        </w:rPr>
        <w:t>，已在</w:t>
      </w:r>
      <w:r>
        <w:t>克罗地亚</w:t>
      </w:r>
      <w:r>
        <w:rPr>
          <w:lang w:val="en-GB"/>
        </w:rPr>
        <w:t>11</w:t>
      </w:r>
      <w:r>
        <w:t>个市镇成立了特别流动小分队</w:t>
      </w:r>
      <w:r>
        <w:rPr>
          <w:lang w:val="en-GB"/>
        </w:rPr>
        <w:t>，</w:t>
      </w:r>
      <w:r>
        <w:t>以期增强当地社区开展包容性教育的能力。经家长和学校请求，地方自治单位更为经常地为课堂助手和普通班级教师辅助提供财政支持。特殊机构中教育和康复专业人员的态度发生明显转变，这些机构还愿意发展成为当地学校的支助服务机构。</w:t>
      </w:r>
    </w:p>
    <w:p w:rsidR="0064252C" w:rsidRDefault="0064252C">
      <w:pPr>
        <w:pStyle w:val="SingleTxtGC"/>
        <w:rPr>
          <w:lang w:val="en-GB"/>
        </w:rPr>
      </w:pPr>
      <w:r>
        <w:rPr>
          <w:lang w:val="en-GB"/>
        </w:rPr>
        <w:t xml:space="preserve">148.  </w:t>
      </w:r>
      <w:r>
        <w:rPr>
          <w:rFonts w:ascii="SimSun" w:hAnsi="SimSun" w:cs="SimSun" w:hint="eastAsia"/>
        </w:rPr>
        <w:t>“</w:t>
      </w:r>
      <w:r>
        <w:rPr>
          <w:lang w:val="en-GB"/>
        </w:rPr>
        <w:t>IDEM</w:t>
      </w:r>
      <w:r>
        <w:rPr>
          <w:rFonts w:ascii="SimSun" w:hAnsi="SimSun" w:cs="SimSun" w:hint="eastAsia"/>
          <w:lang w:val="en-GB"/>
        </w:rPr>
        <w:t>”</w:t>
      </w:r>
      <w:r>
        <w:t>自</w:t>
      </w:r>
      <w:r>
        <w:rPr>
          <w:lang w:val="en-GB"/>
        </w:rPr>
        <w:t>2010</w:t>
      </w:r>
      <w:r>
        <w:t>年</w:t>
      </w:r>
      <w:r>
        <w:rPr>
          <w:lang w:val="en-GB"/>
        </w:rPr>
        <w:t>9</w:t>
      </w:r>
      <w:r>
        <w:t>月以来</w:t>
      </w:r>
      <w:r>
        <w:rPr>
          <w:lang w:val="en-GB"/>
        </w:rPr>
        <w:t>，</w:t>
      </w:r>
      <w:r>
        <w:t>克罗地亚特殊需要儿童专业救助协会一直在开展题为</w:t>
      </w:r>
      <w:r>
        <w:rPr>
          <w:rFonts w:hint="eastAsia"/>
        </w:rPr>
        <w:t>“</w:t>
      </w:r>
      <w:r>
        <w:t>通过教师终身教育实现学校有教无类</w:t>
      </w:r>
      <w:r>
        <w:rPr>
          <w:rFonts w:hint="eastAsia"/>
          <w:lang w:val="en-GB"/>
        </w:rPr>
        <w:t>”</w:t>
      </w:r>
      <w:r>
        <w:t>的项目。该项目的目标和宗旨是增强中等教育对有障碍学生的教育包容性，这一目标和宗旨通过提高普通学校对学生所患障碍的敏感认识和提高中等职业学校教师面向发育障碍学生开展工作的能力来实现。此外，该项目还旨在将特殊学校的专业人员培训成为专业人员流动小分队的成员，以此推进普通学校的包容进程。</w:t>
      </w:r>
    </w:p>
    <w:p w:rsidR="0064252C" w:rsidRDefault="0064252C">
      <w:pPr>
        <w:pStyle w:val="SingleTxtGC"/>
        <w:rPr>
          <w:lang w:val="en-GB"/>
        </w:rPr>
      </w:pPr>
      <w:r>
        <w:rPr>
          <w:lang w:val="en-GB"/>
        </w:rPr>
        <w:t xml:space="preserve">149.  </w:t>
      </w:r>
      <w:r>
        <w:t>《科学和高等教育法》</w:t>
      </w:r>
      <w:r>
        <w:rPr>
          <w:lang w:val="en-GB"/>
        </w:rPr>
        <w:t>(2009</w:t>
      </w:r>
      <w:r>
        <w:t>年</w:t>
      </w:r>
      <w:r>
        <w:rPr>
          <w:lang w:val="en-GB"/>
        </w:rPr>
        <w:t>)</w:t>
      </w:r>
      <w:r>
        <w:t>未就残疾学生的权利做出特殊规定</w:t>
      </w:r>
      <w:r>
        <w:rPr>
          <w:lang w:val="en-GB"/>
        </w:rPr>
        <w:t>；</w:t>
      </w:r>
      <w:r>
        <w:t>将该领域的机动自主权留</w:t>
      </w:r>
      <w:r>
        <w:rPr>
          <w:rFonts w:hint="eastAsia"/>
        </w:rPr>
        <w:t>给</w:t>
      </w:r>
      <w:r>
        <w:t>大学</w:t>
      </w:r>
      <w:r>
        <w:rPr>
          <w:lang w:val="en-GB"/>
        </w:rPr>
        <w:t>，</w:t>
      </w:r>
      <w:r>
        <w:t>但对立法框架所作的修正</w:t>
      </w:r>
      <w:r>
        <w:rPr>
          <w:lang w:val="en-GB"/>
        </w:rPr>
        <w:t>(</w:t>
      </w:r>
      <w:r>
        <w:t>关于相关规则手册</w:t>
      </w:r>
      <w:r>
        <w:rPr>
          <w:lang w:val="en-GB"/>
        </w:rPr>
        <w:t>)</w:t>
      </w:r>
      <w:r>
        <w:t>表明</w:t>
      </w:r>
      <w:r>
        <w:rPr>
          <w:lang w:val="en-GB"/>
        </w:rPr>
        <w:t>，</w:t>
      </w:r>
      <w:r>
        <w:t>在建立一个系统化的组织以确保教育和科学系统中儿童、学生和发育障碍学生的社会权利方面已经取得进展。在高等教育中，</w:t>
      </w:r>
      <w:r>
        <w:t>2008/2009</w:t>
      </w:r>
      <w:r>
        <w:t>学年共有残疾学生</w:t>
      </w:r>
      <w:r>
        <w:t>219</w:t>
      </w:r>
      <w:r>
        <w:t>名，</w:t>
      </w:r>
      <w:r>
        <w:t>2009/2010</w:t>
      </w:r>
      <w:r>
        <w:t>学年共有</w:t>
      </w:r>
      <w:r>
        <w:t>272</w:t>
      </w:r>
      <w:r>
        <w:t>名，</w:t>
      </w:r>
      <w:r>
        <w:t>2010/2011</w:t>
      </w:r>
      <w:r>
        <w:t>学年共有</w:t>
      </w:r>
      <w:r>
        <w:t>254</w:t>
      </w:r>
      <w:r>
        <w:t>名。</w:t>
      </w:r>
      <w:r>
        <w:t>2010/2011</w:t>
      </w:r>
      <w:r>
        <w:t>学年，在校残疾学生占就读学生总人数</w:t>
      </w:r>
      <w:r>
        <w:t>(194,187</w:t>
      </w:r>
      <w:r>
        <w:t>人</w:t>
      </w:r>
      <w:r>
        <w:t>)</w:t>
      </w:r>
      <w:r>
        <w:t>的比重为</w:t>
      </w:r>
      <w:r>
        <w:t>0.13%</w:t>
      </w:r>
      <w:r>
        <w:t>。如果我们将外国公民和非正规学生排除在外，仅考虑经科学、教育和体育部支助入学就读的学生和出于个人需求入学就读的学生</w:t>
      </w:r>
      <w:r>
        <w:t>(138,207</w:t>
      </w:r>
      <w:r>
        <w:t>人</w:t>
      </w:r>
      <w:r>
        <w:t>)</w:t>
      </w:r>
      <w:r>
        <w:t>，残疾学生所占比重则为</w:t>
      </w:r>
      <w:r>
        <w:t>0.18%</w:t>
      </w:r>
      <w:r>
        <w:t>。科学、教育和体育部并不保存按照性别和研究领域分列的关于残疾学生人数和所占比例的记录，而是仅由各个高等教育机构保管。</w:t>
      </w:r>
    </w:p>
    <w:p w:rsidR="0064252C" w:rsidRDefault="0064252C">
      <w:pPr>
        <w:pStyle w:val="SingleTxtGC"/>
        <w:rPr>
          <w:lang w:val="en-GB"/>
        </w:rPr>
      </w:pPr>
      <w:r>
        <w:rPr>
          <w:lang w:val="en-GB"/>
        </w:rPr>
        <w:t xml:space="preserve">150.  </w:t>
      </w:r>
      <w:r>
        <w:t>每学年</w:t>
      </w:r>
      <w:r>
        <w:rPr>
          <w:lang w:val="en-GB"/>
        </w:rPr>
        <w:t>，</w:t>
      </w:r>
      <w:r>
        <w:t>领取补助金的残疾学生大约有</w:t>
      </w:r>
      <w:r>
        <w:rPr>
          <w:lang w:val="en-GB"/>
        </w:rPr>
        <w:t>100</w:t>
      </w:r>
      <w:r>
        <w:t>名</w:t>
      </w:r>
      <w:r>
        <w:rPr>
          <w:lang w:val="en-GB"/>
        </w:rPr>
        <w:t>，</w:t>
      </w:r>
      <w:r>
        <w:t>获得公共交通费用部分报销支助的残疾学生也大约有</w:t>
      </w:r>
      <w:r>
        <w:rPr>
          <w:lang w:val="en-GB"/>
        </w:rPr>
        <w:t>100</w:t>
      </w:r>
      <w:r>
        <w:t>名</w:t>
      </w:r>
      <w:r>
        <w:rPr>
          <w:lang w:val="en-GB"/>
        </w:rPr>
        <w:t>，</w:t>
      </w:r>
      <w:r>
        <w:t>获得研究生奖学金支助的残疾学生大约有</w:t>
      </w:r>
      <w:r>
        <w:rPr>
          <w:lang w:val="en-GB"/>
        </w:rPr>
        <w:t>10</w:t>
      </w:r>
      <w:r>
        <w:t>名。</w:t>
      </w:r>
    </w:p>
    <w:p w:rsidR="0064252C" w:rsidRDefault="0064252C">
      <w:pPr>
        <w:pStyle w:val="SingleTxtGC"/>
        <w:rPr>
          <w:lang w:val="en-GB"/>
        </w:rPr>
      </w:pPr>
      <w:r>
        <w:rPr>
          <w:lang w:val="en-GB"/>
        </w:rPr>
        <w:t>151.  2010</w:t>
      </w:r>
      <w:r>
        <w:t>年</w:t>
      </w:r>
      <w:r>
        <w:rPr>
          <w:lang w:val="en-GB"/>
        </w:rPr>
        <w:t>，</w:t>
      </w:r>
      <w:r>
        <w:t>萨勒格布大学教育和康复科学系与美国宾夕法尼亚州立大学预防研究中心合作</w:t>
      </w:r>
      <w:r>
        <w:rPr>
          <w:lang w:val="en-GB"/>
        </w:rPr>
        <w:t>，</w:t>
      </w:r>
      <w:r>
        <w:t>开始实施</w:t>
      </w:r>
      <w:r>
        <w:rPr>
          <w:rFonts w:hint="eastAsia"/>
          <w:lang w:val="en-GB"/>
        </w:rPr>
        <w:t>“</w:t>
      </w:r>
      <w:r>
        <w:t>通过科学评价实施循证社会情感学习预防方案及其在克罗地亚幼儿园和小学中的应用</w:t>
      </w:r>
      <w:r>
        <w:rPr>
          <w:rFonts w:hint="eastAsia"/>
          <w:lang w:val="en-GB"/>
        </w:rPr>
        <w:t>”</w:t>
      </w:r>
      <w:r>
        <w:rPr>
          <w:lang w:val="en-GB"/>
        </w:rPr>
        <w:t>(PATHS-RASTEM)</w:t>
      </w:r>
      <w:r>
        <w:t>项目。该项目的主要目标是增强儿童和青少年的社会情感能力并降低其行为和精神失常的风险。</w:t>
      </w:r>
    </w:p>
    <w:p w:rsidR="0064252C" w:rsidRDefault="0064252C">
      <w:pPr>
        <w:pStyle w:val="SingleTxtGC"/>
        <w:rPr>
          <w:lang w:val="en-GB"/>
        </w:rPr>
      </w:pPr>
      <w:r>
        <w:rPr>
          <w:lang w:val="en-GB"/>
        </w:rPr>
        <w:t>152.  2006</w:t>
      </w:r>
      <w:r>
        <w:t>年</w:t>
      </w:r>
      <w:r>
        <w:rPr>
          <w:lang w:val="en-GB"/>
        </w:rPr>
        <w:t>，</w:t>
      </w:r>
      <w:r>
        <w:t>科学、教育和体育部启动了</w:t>
      </w:r>
      <w:r>
        <w:rPr>
          <w:rFonts w:hint="eastAsia"/>
          <w:lang w:val="en-GB"/>
        </w:rPr>
        <w:t>“</w:t>
      </w:r>
      <w:r>
        <w:t>无建筑障碍学校网络</w:t>
      </w:r>
      <w:r>
        <w:rPr>
          <w:rFonts w:hint="eastAsia"/>
          <w:lang w:val="en-GB"/>
        </w:rPr>
        <w:t>”</w:t>
      </w:r>
      <w:r>
        <w:t>项目</w:t>
      </w:r>
      <w:r>
        <w:rPr>
          <w:lang w:val="en-GB"/>
        </w:rPr>
        <w:t>，</w:t>
      </w:r>
      <w:r>
        <w:t>旨在消除学校设施中的建筑障碍</w:t>
      </w:r>
      <w:r>
        <w:rPr>
          <w:lang w:val="en-GB"/>
        </w:rPr>
        <w:t>，</w:t>
      </w:r>
      <w:r>
        <w:rPr>
          <w:rFonts w:hint="eastAsia"/>
          <w:lang w:val="en-GB"/>
        </w:rPr>
        <w:t>及</w:t>
      </w:r>
      <w:r>
        <w:t>就近向小学和中学中患有肢体障碍的学生提供无障碍教育。该项目确保每年从国家预算中拨付</w:t>
      </w:r>
      <w:r>
        <w:t>100</w:t>
      </w:r>
      <w:r>
        <w:t>万库纳，用以进行学校空间调整。通过这种方式，现已筹集资金到位，可在</w:t>
      </w:r>
      <w:r>
        <w:t>2011</w:t>
      </w:r>
      <w:r>
        <w:t>年底之前对</w:t>
      </w:r>
      <w:r>
        <w:t>1</w:t>
      </w:r>
      <w:r>
        <w:t>所学前教育机构</w:t>
      </w:r>
      <w:r>
        <w:t>(</w:t>
      </w:r>
      <w:r>
        <w:t>所花费资金占资金总额的</w:t>
      </w:r>
      <w:r>
        <w:t>1.16%)</w:t>
      </w:r>
      <w:r>
        <w:t>、</w:t>
      </w:r>
      <w:r>
        <w:t>63</w:t>
      </w:r>
      <w:r>
        <w:t>所小学</w:t>
      </w:r>
      <w:r>
        <w:t>(73.26%)</w:t>
      </w:r>
      <w:r>
        <w:t>和</w:t>
      </w:r>
      <w:r>
        <w:t>23</w:t>
      </w:r>
      <w:r>
        <w:t>所中学</w:t>
      </w:r>
      <w:r>
        <w:t>(25.58%)</w:t>
      </w:r>
      <w:r>
        <w:t>进行整体或部分调整。</w:t>
      </w:r>
    </w:p>
    <w:p w:rsidR="0064252C" w:rsidRDefault="0064252C">
      <w:pPr>
        <w:pStyle w:val="SingleTxtGC"/>
        <w:rPr>
          <w:lang w:val="en-GB"/>
        </w:rPr>
      </w:pPr>
      <w:r>
        <w:rPr>
          <w:lang w:val="en-GB"/>
        </w:rPr>
        <w:t xml:space="preserve">153.  </w:t>
      </w:r>
      <w:r>
        <w:t>自</w:t>
      </w:r>
      <w:r>
        <w:rPr>
          <w:lang w:val="en-GB"/>
        </w:rPr>
        <w:t>2008</w:t>
      </w:r>
      <w:r>
        <w:t>年起</w:t>
      </w:r>
      <w:r>
        <w:rPr>
          <w:lang w:val="en-GB"/>
        </w:rPr>
        <w:t>，</w:t>
      </w:r>
      <w:r>
        <w:t>国家行政机关和地方自治单位与联合国儿童基金会</w:t>
      </w:r>
      <w:r>
        <w:rPr>
          <w:lang w:val="en-GB"/>
        </w:rPr>
        <w:t>(</w:t>
      </w:r>
      <w:r>
        <w:t>儿基会</w:t>
      </w:r>
      <w:r>
        <w:rPr>
          <w:lang w:val="en-GB"/>
        </w:rPr>
        <w:t>)</w:t>
      </w:r>
      <w:r>
        <w:t>、科研机构、专业人员和民间社会组织合作</w:t>
      </w:r>
      <w:r>
        <w:rPr>
          <w:lang w:val="en-GB"/>
        </w:rPr>
        <w:t>，</w:t>
      </w:r>
      <w:r>
        <w:t>开发儿童早期干预方案</w:t>
      </w:r>
      <w:r>
        <w:rPr>
          <w:lang w:val="en-GB"/>
        </w:rPr>
        <w:t>，</w:t>
      </w:r>
      <w:r>
        <w:t>目的是向发育障碍儿童及其父母提供支助</w:t>
      </w:r>
      <w:r>
        <w:rPr>
          <w:lang w:val="en-GB"/>
        </w:rPr>
        <w:t>，</w:t>
      </w:r>
      <w:r>
        <w:t>从而开发儿童的全部潜能。现已开展多项公共运动，以提高社会各阶层对于向发育障碍儿童及其家属提供早期支助之重要性的认识，目的是在尽量靠近他们居所地的地点提供早期支助方案。还与各科研机构一道举行了专题讨论会。现已查明有必要采取提供早期干预服务的区域和地方计划和通过良好做法实例鼓励服务供应者多元化。通过确保向民间社会组织提供财政支持，正在创建儿童早期干预服务供应者网络，以此作为提高儿童素质和发展儿童教育的基础。</w:t>
      </w:r>
    </w:p>
    <w:p w:rsidR="0064252C" w:rsidRDefault="0064252C">
      <w:pPr>
        <w:pStyle w:val="SingleTxtGC"/>
        <w:rPr>
          <w:lang w:val="en-GB"/>
        </w:rPr>
      </w:pPr>
      <w:r>
        <w:rPr>
          <w:lang w:val="en-GB"/>
        </w:rPr>
        <w:t xml:space="preserve">154.  </w:t>
      </w:r>
      <w:r>
        <w:t>欲了解关于上述内容的更多信息</w:t>
      </w:r>
      <w:r>
        <w:rPr>
          <w:lang w:val="en-GB"/>
        </w:rPr>
        <w:t>，</w:t>
      </w:r>
      <w:r>
        <w:t>请参阅附件二表</w:t>
      </w:r>
      <w:r>
        <w:rPr>
          <w:lang w:val="en-GB"/>
        </w:rPr>
        <w:t>1</w:t>
      </w:r>
      <w:r>
        <w:rPr>
          <w:lang w:val="en-GB"/>
        </w:rPr>
        <w:t>至</w:t>
      </w:r>
      <w:r>
        <w:t>表</w:t>
      </w:r>
      <w:r>
        <w:rPr>
          <w:lang w:val="en-GB"/>
        </w:rPr>
        <w:t>8</w:t>
      </w:r>
      <w:r>
        <w:t>。</w:t>
      </w:r>
    </w:p>
    <w:p w:rsidR="0064252C" w:rsidRDefault="0064252C">
      <w:pPr>
        <w:pStyle w:val="H1GC"/>
      </w:pPr>
      <w:r>
        <w:tab/>
      </w:r>
      <w:r>
        <w:tab/>
      </w:r>
      <w:r>
        <w:t>第二十五条</w:t>
      </w:r>
      <w:r>
        <w:rPr>
          <w:rFonts w:eastAsia="SimSun" w:cs="SimSun"/>
          <w:spacing w:val="-60"/>
        </w:rPr>
        <w:br/>
      </w:r>
      <w:r>
        <w:t>健康</w:t>
      </w:r>
    </w:p>
    <w:p w:rsidR="0064252C" w:rsidRDefault="0064252C">
      <w:pPr>
        <w:pStyle w:val="SingleTxtGC"/>
        <w:rPr>
          <w:lang w:val="en-GB"/>
        </w:rPr>
      </w:pPr>
      <w:r>
        <w:rPr>
          <w:lang w:val="en-GB"/>
        </w:rPr>
        <w:t xml:space="preserve">155.  </w:t>
      </w:r>
      <w:r>
        <w:t>《健康保护法》</w:t>
      </w:r>
      <w:r>
        <w:rPr>
          <w:lang w:val="en-GB"/>
        </w:rPr>
        <w:t>(2008</w:t>
      </w:r>
      <w:r>
        <w:t>年</w:t>
      </w:r>
      <w:r>
        <w:rPr>
          <w:lang w:val="en-GB"/>
        </w:rPr>
        <w:t>)</w:t>
      </w:r>
      <w:r>
        <w:t>和《强制医疗保险法》</w:t>
      </w:r>
      <w:r>
        <w:rPr>
          <w:lang w:val="en-GB"/>
        </w:rPr>
        <w:t>(2008</w:t>
      </w:r>
      <w:r>
        <w:t>年</w:t>
      </w:r>
      <w:r>
        <w:rPr>
          <w:lang w:val="en-GB"/>
        </w:rPr>
        <w:t>)</w:t>
      </w:r>
      <w:r>
        <w:t>规定</w:t>
      </w:r>
      <w:r>
        <w:rPr>
          <w:lang w:val="en-GB"/>
        </w:rPr>
        <w:t>，</w:t>
      </w:r>
      <w:r>
        <w:t>民众享有获得健康保护的权利。已规定的一项健康保护措施便是生病、肢体损伤和精神障碍和受伤残疾人的治疗和康复。</w:t>
      </w:r>
    </w:p>
    <w:p w:rsidR="0064252C" w:rsidRDefault="0064252C">
      <w:pPr>
        <w:pStyle w:val="SingleTxtGC"/>
        <w:rPr>
          <w:lang w:val="en-GB"/>
        </w:rPr>
      </w:pPr>
      <w:r>
        <w:rPr>
          <w:lang w:val="en-GB"/>
        </w:rPr>
        <w:t xml:space="preserve">156.  </w:t>
      </w:r>
      <w:r>
        <w:t>克罗地亚医疗保险局负责克罗地亚共和国境内医学界的组织工作</w:t>
      </w:r>
      <w:r>
        <w:rPr>
          <w:lang w:val="en-GB"/>
        </w:rPr>
        <w:t>，</w:t>
      </w:r>
      <w:r>
        <w:t>并确保落实各项强制健康保险权利。克罗地亚医疗保险局投保人，包括残疾人在内，有权享受可达到的较高健康保护标准，不受基于包括残疾在内的任何理由的歧视。</w:t>
      </w:r>
    </w:p>
    <w:p w:rsidR="0064252C" w:rsidRDefault="0064252C">
      <w:pPr>
        <w:pStyle w:val="SingleTxtGC"/>
        <w:rPr>
          <w:lang w:val="en-GB"/>
        </w:rPr>
      </w:pPr>
      <w:r>
        <w:rPr>
          <w:lang w:val="en-GB"/>
        </w:rPr>
        <w:t xml:space="preserve">157.  </w:t>
      </w:r>
      <w:r>
        <w:t>克罗地亚共和国医疗保险采取强制和自愿相结合的形式。强制医疗保险根据互惠、团结和平等三项原则确保所有投保人的基本医疗保险权利和义务，意即，所有投保人，不分性别、年龄和宗教，可平等获得医疗卫生服务。自愿性保险具有补充性、额外性和私人性。在补充保险中，健康保护权全部价格和基本医疗保险之间的差额是由投保人支付，而残疾人的补充医疗保险的保险费则由国家预算承担。</w:t>
      </w:r>
    </w:p>
    <w:p w:rsidR="0064252C" w:rsidRDefault="0064252C">
      <w:pPr>
        <w:pStyle w:val="SingleTxtGC"/>
        <w:rPr>
          <w:lang w:val="en-GB"/>
        </w:rPr>
      </w:pPr>
      <w:r>
        <w:rPr>
          <w:lang w:val="en-GB"/>
        </w:rPr>
        <w:t xml:space="preserve">158.  </w:t>
      </w:r>
      <w:r>
        <w:t>在强制医疗保险权利范围内</w:t>
      </w:r>
      <w:r>
        <w:rPr>
          <w:lang w:val="en-GB"/>
        </w:rPr>
        <w:t>，</w:t>
      </w:r>
      <w:r>
        <w:t>残疾人在与其他投保人平等的条件下享有获得健康保护的权利</w:t>
      </w:r>
      <w:r>
        <w:rPr>
          <w:lang w:val="en-GB"/>
        </w:rPr>
        <w:t>，</w:t>
      </w:r>
      <w:r>
        <w:t>这意味着享有初级健康保护、专家和公众健康保护、医院健康保护的权利、使用根据克罗地亚医疗保险局基本和补充报销清单所规定药品的权利、进行牙齿修复和假牙置换的权利、使用矫形器和其他辅助器具的权利和在国外享受健康保护的权利。</w:t>
      </w:r>
    </w:p>
    <w:p w:rsidR="0064252C" w:rsidRDefault="0064252C">
      <w:pPr>
        <w:pStyle w:val="SingleTxtGC"/>
        <w:rPr>
          <w:lang w:val="en-GB"/>
        </w:rPr>
      </w:pPr>
      <w:r>
        <w:rPr>
          <w:lang w:val="en-GB"/>
        </w:rPr>
        <w:t xml:space="preserve">159.  </w:t>
      </w:r>
      <w:r>
        <w:t>所有投保人</w:t>
      </w:r>
      <w:r>
        <w:rPr>
          <w:lang w:val="en-GB"/>
        </w:rPr>
        <w:t>，</w:t>
      </w:r>
      <w:r>
        <w:t>包括残疾人在内</w:t>
      </w:r>
      <w:r>
        <w:rPr>
          <w:lang w:val="en-GB"/>
        </w:rPr>
        <w:t>，</w:t>
      </w:r>
      <w:r>
        <w:t>均享有在所有初级领域内自由选择医生的权利</w:t>
      </w:r>
      <w:r>
        <w:rPr>
          <w:lang w:val="en-GB"/>
        </w:rPr>
        <w:t>，</w:t>
      </w:r>
      <w:r>
        <w:t>同时</w:t>
      </w:r>
      <w:r>
        <w:rPr>
          <w:lang w:val="en-GB"/>
        </w:rPr>
        <w:t>，根据</w:t>
      </w:r>
      <w:r>
        <w:t>基于医疗卫生行业原则和医学道德操守的实施条例</w:t>
      </w:r>
      <w:r>
        <w:rPr>
          <w:lang w:val="en-GB"/>
        </w:rPr>
        <w:t>，</w:t>
      </w:r>
      <w:r>
        <w:t>还有可能实现获得药品和疫苗的权利。</w:t>
      </w:r>
    </w:p>
    <w:p w:rsidR="0064252C" w:rsidRDefault="0064252C">
      <w:pPr>
        <w:pStyle w:val="SingleTxtGC"/>
        <w:rPr>
          <w:lang w:val="en-GB"/>
        </w:rPr>
      </w:pPr>
      <w:r>
        <w:rPr>
          <w:lang w:val="en-GB"/>
        </w:rPr>
        <w:t xml:space="preserve">160.  </w:t>
      </w:r>
      <w:r>
        <w:t>儿童早期干预电子信息和咨询中心</w:t>
      </w:r>
      <w:r>
        <w:rPr>
          <w:rFonts w:hint="eastAsia"/>
        </w:rPr>
        <w:t>于</w:t>
      </w:r>
      <w:r>
        <w:t>2010</w:t>
      </w:r>
      <w:r>
        <w:t>年开始投入运作。该项目由克罗地亚儿童早期干预协会开展实施，其目的是让发育障碍幼儿或可能患上发育障碍的儿童的家长快速获得必要的专业信息和建议，并让业界人士能够彼此联系起来和提高其专业知识和技能水平。</w:t>
      </w:r>
      <w:r>
        <w:t>2010</w:t>
      </w:r>
      <w:r>
        <w:t>年，儿基会驻克罗地亚办事处与萨格勒布市和儿童和青少年康复日间护理中心合作，启动了</w:t>
      </w:r>
      <w:r>
        <w:rPr>
          <w:rFonts w:hint="eastAsia"/>
        </w:rPr>
        <w:t>“</w:t>
      </w:r>
      <w:r>
        <w:t>儿童早期干预：向发育偏离</w:t>
      </w:r>
      <w:r>
        <w:t>/</w:t>
      </w:r>
      <w:r>
        <w:t>障碍儿童</w:t>
      </w:r>
      <w:r>
        <w:t>(0-3)</w:t>
      </w:r>
      <w:r>
        <w:t>的家庭提供专业支持</w:t>
      </w:r>
      <w:r>
        <w:rPr>
          <w:rFonts w:hint="eastAsia"/>
        </w:rPr>
        <w:t>”</w:t>
      </w:r>
      <w:r>
        <w:t>项目。该项目旨在开发出一个综合性、</w:t>
      </w:r>
      <w:r>
        <w:rPr>
          <w:spacing w:val="-2"/>
        </w:rPr>
        <w:t>无障碍和适当的专业家庭支助模式，以此作为框架和国家范例，建立向发育偏离</w:t>
      </w:r>
      <w:r>
        <w:rPr>
          <w:spacing w:val="-2"/>
        </w:rPr>
        <w:t>/</w:t>
      </w:r>
      <w:r>
        <w:t>障碍儿童</w:t>
      </w:r>
      <w:r>
        <w:t>(0-3)</w:t>
      </w:r>
      <w:r>
        <w:t>及其家属提供统一社区服务的系统。</w:t>
      </w:r>
    </w:p>
    <w:p w:rsidR="0064252C" w:rsidRDefault="0064252C">
      <w:pPr>
        <w:pStyle w:val="SingleTxtGC"/>
      </w:pPr>
      <w:r>
        <w:rPr>
          <w:lang w:val="en-GB"/>
        </w:rPr>
        <w:t xml:space="preserve">161.  </w:t>
      </w:r>
      <w:r>
        <w:t>残疾人已被纳入并参与各项预防性国家方案</w:t>
      </w:r>
      <w:r>
        <w:t>(</w:t>
      </w:r>
      <w:r>
        <w:t>例如，大肠癌早期检测国家方案、乳腺癌早期检测国家方案、防治艾滋病毒</w:t>
      </w:r>
      <w:r>
        <w:t>/</w:t>
      </w:r>
      <w:r>
        <w:t>艾滋病国家方案等</w:t>
      </w:r>
      <w:r>
        <w:t>)</w:t>
      </w:r>
      <w:r>
        <w:t>的实施进程。</w:t>
      </w:r>
    </w:p>
    <w:p w:rsidR="0064252C" w:rsidRDefault="0064252C">
      <w:pPr>
        <w:pStyle w:val="SingleTxtGC"/>
        <w:rPr>
          <w:lang w:val="en-GB"/>
        </w:rPr>
      </w:pPr>
      <w:r>
        <w:rPr>
          <w:lang w:val="en-GB"/>
        </w:rPr>
        <w:t xml:space="preserve">162.  </w:t>
      </w:r>
      <w:r>
        <w:t>关于确保在征得残疾人自由表示的知情同意的基础上对其进行医学治疗的立法和其他措施的报告</w:t>
      </w:r>
      <w:r>
        <w:rPr>
          <w:lang w:val="en-GB"/>
        </w:rPr>
        <w:t>，</w:t>
      </w:r>
      <w:r>
        <w:t>请参阅第十七条。</w:t>
      </w:r>
    </w:p>
    <w:p w:rsidR="0064252C" w:rsidRDefault="0064252C">
      <w:pPr>
        <w:pStyle w:val="H1GC"/>
      </w:pPr>
      <w:r>
        <w:tab/>
      </w:r>
      <w:r>
        <w:tab/>
      </w:r>
      <w:r>
        <w:t>第二十六条</w:t>
      </w:r>
      <w:r>
        <w:br/>
      </w:r>
      <w:r>
        <w:t>适应训练和康复</w:t>
      </w:r>
    </w:p>
    <w:p w:rsidR="0064252C" w:rsidRDefault="0064252C">
      <w:pPr>
        <w:pStyle w:val="SingleTxtGC"/>
        <w:rPr>
          <w:lang w:val="en-GB"/>
        </w:rPr>
      </w:pPr>
      <w:r>
        <w:rPr>
          <w:lang w:val="en-GB"/>
        </w:rPr>
        <w:t xml:space="preserve">163.  </w:t>
      </w:r>
      <w:r>
        <w:t>残疾人享有获得在范围、质量和标准方面与投保人相同的一切形式健康保</w:t>
      </w:r>
      <w:r>
        <w:rPr>
          <w:spacing w:val="-2"/>
        </w:rPr>
        <w:t>护的权利</w:t>
      </w:r>
      <w:r>
        <w:rPr>
          <w:spacing w:val="-2"/>
          <w:lang w:val="en-GB"/>
        </w:rPr>
        <w:t>，</w:t>
      </w:r>
      <w:r>
        <w:rPr>
          <w:spacing w:val="-2"/>
        </w:rPr>
        <w:t>不受基于任何理由的歧视。多项法案和实施条例规定了医疗康复权</w:t>
      </w:r>
      <w:r>
        <w:rPr>
          <w:rStyle w:val="FootnoteReference"/>
          <w:spacing w:val="-2"/>
        </w:rPr>
        <w:footnoteReference w:id="17"/>
      </w:r>
      <w:r>
        <w:rPr>
          <w:spacing w:val="-2"/>
        </w:rPr>
        <w:t>，</w:t>
      </w:r>
      <w:r>
        <w:t>其实现形式为静养康复、医务室物理治疗和患者居家物理治疗。医疗康复方案具有多学科性质，涉及各类专业人员，其中除医疗保健工作人员外，还包括众多相关从业人员，例如，言语治疗师、心理学家、社会工作者、职业心理咨询顾问、物理治疗师，由此可确保最大限度调集一切可能的患者资源取得最佳康复结果，康复结果根据可脱离他人帮助的自主性和独立性程度加以评估。现有的医疗康复中心主要建立在满足以下条件的地方：除必要的专业人员和技术装备外，还确保具备可能无法在克罗地亚所有地区得到满足的其他条件；在疗法纳入气候、海洋和矿泉因素等自然疗法因素，这些因素和传统医疗康复相比具有诸多优势。静养医疗康复由提供重症监护服务的医院</w:t>
      </w:r>
      <w:r>
        <w:t>(</w:t>
      </w:r>
      <w:r>
        <w:t>临床中心、临床医院、诊所和综合医院</w:t>
      </w:r>
      <w:r>
        <w:t>)</w:t>
      </w:r>
      <w:r>
        <w:t>、</w:t>
      </w:r>
      <w:r>
        <w:t>11</w:t>
      </w:r>
      <w:r>
        <w:t>所专科医疗机构和</w:t>
      </w:r>
      <w:r>
        <w:t>2</w:t>
      </w:r>
      <w:r>
        <w:t>个疗养院实施。居家物理治疗由医疗保健机构和在患者居家提供物理治疗的私人诊所负责实施。药物物理治疗和患者居家物理治疗根据公共健康服务网络所确定的需要在县一级实施，该网络确保所有投保人享受到这一健康保护形式的最高水平，不论其自主性、行动能力和独立性水平为何。一些机构专门负责实施特殊的康复方案</w:t>
      </w:r>
      <w:r>
        <w:rPr>
          <w:lang w:val="en-GB"/>
        </w:rPr>
        <w:t>，</w:t>
      </w:r>
      <w:r>
        <w:t>例如</w:t>
      </w:r>
      <w:r>
        <w:rPr>
          <w:lang w:val="en-GB"/>
        </w:rPr>
        <w:t>，</w:t>
      </w:r>
      <w:r>
        <w:t>脊髓康复和截肢后康复</w:t>
      </w:r>
      <w:r>
        <w:rPr>
          <w:lang w:val="en-GB"/>
        </w:rPr>
        <w:t>(</w:t>
      </w:r>
      <w:r>
        <w:t>克罗亚卫国战争伤残退伍军人康复权</w:t>
      </w:r>
      <w:r>
        <w:rPr>
          <w:lang w:val="en-GB"/>
        </w:rPr>
        <w:t>，</w:t>
      </w:r>
      <w:r>
        <w:t>附件二表</w:t>
      </w:r>
      <w:r>
        <w:rPr>
          <w:lang w:val="en-GB"/>
        </w:rPr>
        <w:t>1)</w:t>
      </w:r>
      <w:r>
        <w:t>。</w:t>
      </w:r>
    </w:p>
    <w:p w:rsidR="0064252C" w:rsidRDefault="0064252C">
      <w:pPr>
        <w:pStyle w:val="SingleTxtGC"/>
        <w:rPr>
          <w:lang w:val="en-GB"/>
        </w:rPr>
      </w:pPr>
      <w:r>
        <w:rPr>
          <w:lang w:val="en-GB"/>
        </w:rPr>
        <w:t xml:space="preserve">164.  </w:t>
      </w:r>
      <w:r>
        <w:t>《矫形器和其他辅助器具权利的实现条件和方式规则手册》</w:t>
      </w:r>
      <w:r>
        <w:rPr>
          <w:lang w:val="en-GB"/>
        </w:rPr>
        <w:t>(2009</w:t>
      </w:r>
      <w:r>
        <w:t>年、</w:t>
      </w:r>
      <w:r>
        <w:rPr>
          <w:lang w:val="en-GB"/>
        </w:rPr>
        <w:t>2010</w:t>
      </w:r>
      <w:r>
        <w:t>年、</w:t>
      </w:r>
      <w:r>
        <w:rPr>
          <w:lang w:val="en-GB"/>
        </w:rPr>
        <w:t>2011</w:t>
      </w:r>
      <w:r>
        <w:t>年</w:t>
      </w:r>
      <w:r>
        <w:rPr>
          <w:lang w:val="en-GB"/>
        </w:rPr>
        <w:t>)</w:t>
      </w:r>
      <w:r>
        <w:t>规定</w:t>
      </w:r>
      <w:r>
        <w:rPr>
          <w:lang w:val="en-GB"/>
        </w:rPr>
        <w:t>，</w:t>
      </w:r>
      <w:r>
        <w:t>残疾人享有获得和使用矫形器和其他辅助器具的权利。这类器具供应者有责任确保持续供应、维护和维修矫形器和其他辅助器具，从而确保这一医疗保健形式保持适当品质。按照上述《规则手册》，克罗地亚医疗保险局确保投保人获得标准、质量和价值适当的辅助器具。如果投保人所购辅助器具的价值高于先前与官方供应商所订合同载明的价值，辅助器价格及其维修费用方面的差价则由投保人自行支付。专门医疗机构提供的医疗康复援助还包括辅助器具的申请和使用活动。</w:t>
      </w:r>
      <w:r>
        <w:t>(</w:t>
      </w:r>
      <w:r>
        <w:t>克罗地亚卫国战争伤残退伍军人，共同担负辅助器具权利，附件二表</w:t>
      </w:r>
      <w:r>
        <w:t>2)</w:t>
      </w:r>
      <w:r>
        <w:t>。</w:t>
      </w:r>
    </w:p>
    <w:p w:rsidR="0064252C" w:rsidRDefault="0064252C">
      <w:pPr>
        <w:pStyle w:val="SingleTxtGC"/>
        <w:rPr>
          <w:lang w:val="en-GB"/>
        </w:rPr>
      </w:pPr>
      <w:r>
        <w:rPr>
          <w:lang w:val="en-GB"/>
        </w:rPr>
        <w:t xml:space="preserve">165.  </w:t>
      </w:r>
      <w:r>
        <w:t>根据《社会福利法》的规定</w:t>
      </w:r>
      <w:r>
        <w:rPr>
          <w:lang w:val="en-GB"/>
        </w:rPr>
        <w:t>，</w:t>
      </w:r>
      <w:r>
        <w:t>社会福利机构也有可能会开展教育活动</w:t>
      </w:r>
      <w:r>
        <w:rPr>
          <w:lang w:val="en-GB"/>
        </w:rPr>
        <w:t>，</w:t>
      </w:r>
      <w:r>
        <w:t>其中包括适应训练和康复。目前在克罗地亚共和国共有</w:t>
      </w:r>
      <w:r>
        <w:t>12</w:t>
      </w:r>
      <w:r>
        <w:t>家发育障碍儿童和青少年社会福利机构，它们除日常活动外，还实施初等和中等教育方案。</w:t>
      </w:r>
      <w:r>
        <w:rPr>
          <w:lang w:val="en-GB"/>
        </w:rPr>
        <w:t>(</w:t>
      </w:r>
      <w:r>
        <w:t>附件二表</w:t>
      </w:r>
      <w:r>
        <w:rPr>
          <w:lang w:val="en-GB"/>
        </w:rPr>
        <w:t>3</w:t>
      </w:r>
      <w:r>
        <w:rPr>
          <w:lang w:val="en-GB"/>
        </w:rPr>
        <w:t>至</w:t>
      </w:r>
      <w:r>
        <w:t>表</w:t>
      </w:r>
      <w:r>
        <w:rPr>
          <w:lang w:val="en-GB"/>
        </w:rPr>
        <w:t>9</w:t>
      </w:r>
      <w:r>
        <w:t>。</w:t>
      </w:r>
      <w:r>
        <w:rPr>
          <w:lang w:val="en-GB"/>
        </w:rPr>
        <w:t>)</w:t>
      </w:r>
    </w:p>
    <w:p w:rsidR="0064252C" w:rsidRDefault="0064252C">
      <w:pPr>
        <w:pStyle w:val="SingleTxtGC"/>
        <w:rPr>
          <w:lang w:val="en-GB"/>
        </w:rPr>
      </w:pPr>
      <w:r>
        <w:rPr>
          <w:lang w:val="en-GB"/>
        </w:rPr>
        <w:t xml:space="preserve">166.  </w:t>
      </w:r>
      <w:r>
        <w:t>综合康复包括残疾人职业指导、专业培训和就业</w:t>
      </w:r>
      <w:r>
        <w:rPr>
          <w:lang w:val="en-GB"/>
        </w:rPr>
        <w:t>，</w:t>
      </w:r>
      <w:r>
        <w:t>专业康复是其中一个连续的部分。其目的是让残疾人尽可能快速地融入各行各业的工作，以在尽可能不对其剩余工作能力和综合能力造成进一步损害的情况下取得最佳工作效果。专业康复由专业康复、中等学校或其他符合条件的法人组织和实施。</w:t>
      </w:r>
    </w:p>
    <w:p w:rsidR="0064252C" w:rsidRDefault="0064252C">
      <w:pPr>
        <w:pStyle w:val="SingleTxtGC"/>
        <w:rPr>
          <w:lang w:val="en-GB"/>
        </w:rPr>
      </w:pPr>
      <w:r>
        <w:rPr>
          <w:lang w:val="en-GB"/>
        </w:rPr>
        <w:t xml:space="preserve">167.  </w:t>
      </w:r>
      <w:r>
        <w:t>根据《残疾人专业康复和就业法》</w:t>
      </w:r>
      <w:r>
        <w:rPr>
          <w:lang w:val="en-GB"/>
        </w:rPr>
        <w:t>(2002</w:t>
      </w:r>
      <w:r>
        <w:t>年、</w:t>
      </w:r>
      <w:r>
        <w:rPr>
          <w:lang w:val="en-GB"/>
        </w:rPr>
        <w:t>2005</w:t>
      </w:r>
      <w:r>
        <w:t>年</w:t>
      </w:r>
      <w:r>
        <w:rPr>
          <w:lang w:val="en-GB"/>
        </w:rPr>
        <w:t>)</w:t>
      </w:r>
      <w:r>
        <w:rPr>
          <w:lang w:val="en-GB"/>
        </w:rPr>
        <w:t>，</w:t>
      </w:r>
      <w:r>
        <w:t>克罗地亚就业局开展各类促进残疾人融入劳动力大军的活动。失业残疾人职业康复权的实现方式由克罗地亚就业局决定，而其组织和实施工作则由专业康复机构、中学或其他符合开展培训条件的法人进行。专业康复包括以下活动：确定剩余工作能力和综合能力；提供专业信息、咨询和专业机会评估、劳动力市场分析、就业可能性和融入劳动力队伍；专业培训方案制定和完善可能性评估；工作适应训练、额外培训、再培训和在就业前维持和改进工作和工作</w:t>
      </w:r>
      <w:r>
        <w:rPr>
          <w:rFonts w:hint="eastAsia"/>
          <w:spacing w:val="-60"/>
        </w:rPr>
        <w:t>―</w:t>
      </w:r>
      <w:r>
        <w:rPr>
          <w:rFonts w:hint="eastAsia"/>
          <w:spacing w:val="10"/>
        </w:rPr>
        <w:t>―</w:t>
      </w:r>
      <w:r>
        <w:t>社交技能和能力方案。</w:t>
      </w:r>
    </w:p>
    <w:p w:rsidR="0064252C" w:rsidRDefault="0064252C">
      <w:pPr>
        <w:pStyle w:val="SingleTxtGC"/>
        <w:rPr>
          <w:lang w:val="en-GB"/>
        </w:rPr>
      </w:pPr>
      <w:r>
        <w:rPr>
          <w:lang w:val="en-GB"/>
        </w:rPr>
        <w:t xml:space="preserve">168.  </w:t>
      </w:r>
      <w:r>
        <w:t>为找到解决残疾人就业问题的系统性办法，克罗地亚就业局下设残疾人专业康复和就业部。</w:t>
      </w:r>
    </w:p>
    <w:p w:rsidR="0064252C" w:rsidRDefault="0064252C">
      <w:pPr>
        <w:pStyle w:val="SingleTxtGC"/>
        <w:rPr>
          <w:lang w:val="en-GB"/>
        </w:rPr>
      </w:pPr>
      <w:r>
        <w:rPr>
          <w:lang w:val="en-GB"/>
        </w:rPr>
        <w:t xml:space="preserve">169.  </w:t>
      </w:r>
      <w:r>
        <w:t>克罗地亚就业局开展的与专业康复有关的活动现已作出调整</w:t>
      </w:r>
      <w:r>
        <w:rPr>
          <w:lang w:val="en-GB"/>
        </w:rPr>
        <w:t>，</w:t>
      </w:r>
      <w:r>
        <w:t>以适应残疾人士的需要和可能出现的情况。例如，已开展将听力有障碍者专业信息提供和咨询小组的活动翻译成手语的活动。</w:t>
      </w:r>
      <w:r>
        <w:rPr>
          <w:lang w:val="en-GB"/>
        </w:rPr>
        <w:t>(</w:t>
      </w:r>
      <w:r>
        <w:t>附件二表</w:t>
      </w:r>
      <w:r>
        <w:rPr>
          <w:lang w:val="en-GB"/>
        </w:rPr>
        <w:t>11</w:t>
      </w:r>
      <w:r>
        <w:t>。</w:t>
      </w:r>
      <w:r>
        <w:rPr>
          <w:lang w:val="en-GB"/>
        </w:rPr>
        <w:t>)</w:t>
      </w:r>
    </w:p>
    <w:p w:rsidR="0064252C" w:rsidRDefault="0064252C">
      <w:pPr>
        <w:pStyle w:val="SingleTxtGC"/>
        <w:rPr>
          <w:lang w:val="en-GB"/>
        </w:rPr>
      </w:pPr>
      <w:r>
        <w:rPr>
          <w:lang w:val="en-GB"/>
        </w:rPr>
        <w:t xml:space="preserve">170.  </w:t>
      </w:r>
      <w:r>
        <w:t>克罗地亚就业局与残疾人专业康复领域的所有相关利益攸关方展开大力合作</w:t>
      </w:r>
      <w:r>
        <w:rPr>
          <w:lang w:val="en-GB"/>
        </w:rPr>
        <w:t>，</w:t>
      </w:r>
      <w:r>
        <w:t>其中特别包括残疾人专业康复和就业基金和众多民间社会组织</w:t>
      </w:r>
      <w:r>
        <w:rPr>
          <w:lang w:val="en-GB"/>
        </w:rPr>
        <w:t>，</w:t>
      </w:r>
      <w:r>
        <w:t>它们不仅关注残疾人问题</w:t>
      </w:r>
      <w:r>
        <w:rPr>
          <w:lang w:val="en-GB"/>
        </w:rPr>
        <w:t>，</w:t>
      </w:r>
      <w:r>
        <w:t>还是扩大残疾人机会的强有力推动者。</w:t>
      </w:r>
    </w:p>
    <w:p w:rsidR="0064252C" w:rsidRDefault="0064252C">
      <w:pPr>
        <w:pStyle w:val="SingleTxtGC"/>
        <w:rPr>
          <w:lang w:val="en-GB"/>
        </w:rPr>
      </w:pPr>
      <w:r>
        <w:rPr>
          <w:lang w:val="en-GB"/>
        </w:rPr>
        <w:t xml:space="preserve">171.  </w:t>
      </w:r>
      <w:r>
        <w:t>考虑到法律法规欠充分</w:t>
      </w:r>
      <w:r>
        <w:rPr>
          <w:lang w:val="en-GB"/>
        </w:rPr>
        <w:t>，</w:t>
      </w:r>
      <w:r>
        <w:t>缺乏发达的专业康复模式</w:t>
      </w:r>
      <w:r>
        <w:rPr>
          <w:lang w:val="en-GB"/>
        </w:rPr>
        <w:t>，</w:t>
      </w:r>
      <w:r>
        <w:t>且尚无设定专业康复的标准和参数</w:t>
      </w:r>
      <w:r>
        <w:rPr>
          <w:lang w:val="en-GB"/>
        </w:rPr>
        <w:t>，</w:t>
      </w:r>
      <w:r>
        <w:t>专业康复无法按照法律规定的方式进行。基于上述限制因素，在克罗地亚共和国境内，专业康复仅在一定程度上展开或尚未展开。为实施《残疾人机会均等国家战略》所载各项措施，成立了一个工作组，以拟定一份统一的损伤清单、设立独家专业鉴定机构和制定实施专业康复的方式，这将是发展专业康复模式和建立专业康复中心网络的基础。关于制定一份统一的功能能力清单的提案为形成社会性残疾医疗模式奠定了基础，该模式除肢体损伤外，还将通过运用专业知识涵盖残疾人机能运作及其环境因素。计划在跨部门工作组完成关于制定一份统一的功能能力清单和设立独家专业鉴定机构的工作后，成立区域性专业康复中心。</w:t>
      </w:r>
    </w:p>
    <w:p w:rsidR="0064252C" w:rsidRDefault="0064252C">
      <w:pPr>
        <w:pStyle w:val="SingleTxtGC"/>
        <w:rPr>
          <w:lang w:val="en-GB"/>
        </w:rPr>
      </w:pPr>
      <w:r>
        <w:rPr>
          <w:lang w:val="en-GB"/>
        </w:rPr>
        <w:t xml:space="preserve">172.  </w:t>
      </w:r>
      <w:r>
        <w:t>克罗地亚就业局向小学和中学最高年级学生和在选择或更改教育方案</w:t>
      </w:r>
      <w:r>
        <w:rPr>
          <w:lang w:val="en-GB"/>
        </w:rPr>
        <w:t>/</w:t>
      </w:r>
      <w:r>
        <w:t>职业方面需要协助者提供职业指导。职业指导包括学生专业意向测试、专业信息和专业咨询</w:t>
      </w:r>
      <w:r>
        <w:t>(</w:t>
      </w:r>
      <w:r>
        <w:t>包括团队处理</w:t>
      </w:r>
      <w:r>
        <w:rPr>
          <w:rFonts w:ascii="SimSun" w:hAnsi="SimSun" w:cs="SimSun" w:hint="eastAsia"/>
          <w:spacing w:val="-60"/>
        </w:rPr>
        <w:t>―</w:t>
      </w:r>
      <w:r>
        <w:rPr>
          <w:rFonts w:ascii="SimSun" w:hAnsi="SimSun" w:cs="SimSun" w:hint="eastAsia"/>
          <w:spacing w:val="10"/>
        </w:rPr>
        <w:t>―</w:t>
      </w:r>
      <w:r>
        <w:t>心理学家、医生和</w:t>
      </w:r>
      <w:r>
        <w:rPr>
          <w:rFonts w:hint="eastAsia"/>
        </w:rPr>
        <w:t>(</w:t>
      </w:r>
      <w:r>
        <w:t>必要时</w:t>
      </w:r>
      <w:r>
        <w:rPr>
          <w:rFonts w:hint="eastAsia"/>
        </w:rPr>
        <w:t>)</w:t>
      </w:r>
      <w:r>
        <w:t>其他专业人员</w:t>
      </w:r>
      <w:r>
        <w:t>)</w:t>
      </w:r>
      <w:r>
        <w:t>。专家意见尊重学生的个人需求和劳动力市场需求和教育可能性。以调查方式进行的学生专业意向测试能显示出学生在选择未来职业时的专业意向趋势，可用以向教育和就业领域的其他利益攸关方提供信息</w:t>
      </w:r>
      <w:r>
        <w:t>(</w:t>
      </w:r>
      <w:r>
        <w:t>用以确定升学配额的建议</w:t>
      </w:r>
      <w:r>
        <w:t>)</w:t>
      </w:r>
      <w:r>
        <w:t>。有两类学生受到特别关注：一类是考虑到其经鉴定的心理状态，在完成学业后可能会难以进入劳动力市场的学生；另一类是患有发育障碍和健康问题的学生。此外，现正面向学生开展专业咨询</w:t>
      </w:r>
      <w:r>
        <w:t>(</w:t>
      </w:r>
      <w:r>
        <w:t>附件二表</w:t>
      </w:r>
      <w:r>
        <w:t>10)</w:t>
      </w:r>
      <w:r>
        <w:t>。</w:t>
      </w:r>
    </w:p>
    <w:p w:rsidR="0064252C" w:rsidRDefault="0064252C">
      <w:pPr>
        <w:pStyle w:val="SingleTxtGC"/>
        <w:rPr>
          <w:lang w:val="en-GB"/>
        </w:rPr>
      </w:pPr>
      <w:r>
        <w:rPr>
          <w:lang w:val="en-GB"/>
        </w:rPr>
        <w:t xml:space="preserve">173.  </w:t>
      </w:r>
      <w:r>
        <w:t>为确保所有学生和未就业人员在平等基础上获得职业指导服务</w:t>
      </w:r>
      <w:r>
        <w:rPr>
          <w:lang w:val="en-GB"/>
        </w:rPr>
        <w:t>，</w:t>
      </w:r>
      <w:r>
        <w:t>克罗地亚就业局自</w:t>
      </w:r>
      <w:r>
        <w:rPr>
          <w:lang w:val="en-GB"/>
        </w:rPr>
        <w:t>2007</w:t>
      </w:r>
      <w:r>
        <w:t>年起</w:t>
      </w:r>
      <w:r>
        <w:rPr>
          <w:lang w:val="en-GB"/>
        </w:rPr>
        <w:t>开始</w:t>
      </w:r>
      <w:r>
        <w:t>使用职业指导计算机程序</w:t>
      </w:r>
      <w:r>
        <w:rPr>
          <w:rFonts w:ascii="SimSun" w:hAnsi="SimSun" w:cs="SimSun" w:hint="eastAsia"/>
          <w:lang w:val="en-GB"/>
        </w:rPr>
        <w:t>“</w:t>
      </w:r>
      <w:r>
        <w:rPr>
          <w:lang w:val="en-GB"/>
        </w:rPr>
        <w:t>Moj izbor</w:t>
      </w:r>
      <w:r>
        <w:rPr>
          <w:rFonts w:ascii="SimSun" w:hAnsi="SimSun" w:cs="SimSun" w:hint="eastAsia"/>
          <w:lang w:val="en-GB"/>
        </w:rPr>
        <w:t>”</w:t>
      </w:r>
      <w:r>
        <w:rPr>
          <w:lang w:val="en-GB"/>
        </w:rPr>
        <w:t>(</w:t>
      </w:r>
      <w:r>
        <w:rPr>
          <w:rFonts w:ascii="SimSun" w:hAnsi="SimSun" w:cs="SimSun" w:hint="eastAsia"/>
          <w:lang w:val="en-GB"/>
        </w:rPr>
        <w:t>“</w:t>
      </w:r>
      <w:r>
        <w:t>我的选择</w:t>
      </w:r>
      <w:r>
        <w:rPr>
          <w:rFonts w:ascii="SimSun" w:hAnsi="SimSun" w:cs="SimSun" w:hint="eastAsia"/>
          <w:lang w:val="en-GB"/>
        </w:rPr>
        <w:t>”</w:t>
      </w:r>
      <w:r>
        <w:rPr>
          <w:lang w:val="en-GB"/>
        </w:rPr>
        <w:t>)</w:t>
      </w:r>
      <w:r>
        <w:rPr>
          <w:lang w:val="en-GB"/>
        </w:rPr>
        <w:t>，</w:t>
      </w:r>
      <w:r>
        <w:t>其中包含对各行各业的</w:t>
      </w:r>
      <w:r>
        <w:rPr>
          <w:lang w:val="en-GB"/>
        </w:rPr>
        <w:t>307</w:t>
      </w:r>
      <w:r>
        <w:t>份描述、关于教育与就业的更新数据和关于专业选择和职业发展的其他相关信息。所有未就业人员，包括残疾人均可使用该程序。</w:t>
      </w:r>
      <w:r>
        <w:t>2009</w:t>
      </w:r>
      <w:r>
        <w:t>年，该程序在</w:t>
      </w:r>
      <w:r>
        <w:t>110</w:t>
      </w:r>
      <w:r>
        <w:t>个特许地点得到应用</w:t>
      </w:r>
      <w:r>
        <w:rPr>
          <w:rFonts w:ascii="SimSun" w:hAnsi="SimSun" w:cs="SimSun" w:hint="eastAsia"/>
          <w:spacing w:val="-60"/>
        </w:rPr>
        <w:t>―</w:t>
      </w:r>
      <w:r>
        <w:rPr>
          <w:rFonts w:ascii="SimSun" w:hAnsi="SimSun" w:cs="SimSun" w:hint="eastAsia"/>
          <w:spacing w:val="10"/>
        </w:rPr>
        <w:t>―</w:t>
      </w:r>
      <w:r>
        <w:t>克罗地亚就业局各分局、</w:t>
      </w:r>
      <w:r>
        <w:t>66</w:t>
      </w:r>
      <w:r>
        <w:t>所小学和中学、成人教育机构和其他劳动力市场机构。在克罗地亚就业局各分局，该程序用户</w:t>
      </w:r>
      <w:r>
        <w:rPr>
          <w:rFonts w:hint="eastAsia"/>
        </w:rPr>
        <w:t>共</w:t>
      </w:r>
      <w:r>
        <w:t>达</w:t>
      </w:r>
      <w:r>
        <w:t>8,340</w:t>
      </w:r>
      <w:r>
        <w:t>人，其中</w:t>
      </w:r>
      <w:r>
        <w:t>6,584</w:t>
      </w:r>
      <w:r>
        <w:t>人是学生。</w:t>
      </w:r>
      <w:r>
        <w:t>2009</w:t>
      </w:r>
      <w:r>
        <w:t>年程序评价结果表明，用户满意度极高，并根据这些结果对该程序做了修改和进一步完善。</w:t>
      </w:r>
    </w:p>
    <w:p w:rsidR="0064252C" w:rsidRDefault="0064252C">
      <w:pPr>
        <w:pStyle w:val="SingleTxtGC"/>
        <w:rPr>
          <w:lang w:val="en-GB"/>
        </w:rPr>
      </w:pPr>
      <w:r>
        <w:rPr>
          <w:lang w:val="en-GB"/>
        </w:rPr>
        <w:t xml:space="preserve">174.  </w:t>
      </w:r>
      <w:r>
        <w:t>为提高开展残疾人工作的能力</w:t>
      </w:r>
      <w:r>
        <w:rPr>
          <w:lang w:val="en-GB"/>
        </w:rPr>
        <w:t>，</w:t>
      </w:r>
      <w:r>
        <w:t>克罗地亚就业局咨询顾问不断参加专业培训</w:t>
      </w:r>
      <w:r>
        <w:rPr>
          <w:lang w:val="en-GB"/>
        </w:rPr>
        <w:t>，</w:t>
      </w:r>
      <w:r>
        <w:t>例如</w:t>
      </w:r>
      <w:r>
        <w:rPr>
          <w:lang w:val="en-GB"/>
        </w:rPr>
        <w:t>，</w:t>
      </w:r>
      <w:r>
        <w:t>通过参加旨在找到解决用户问题和充分照料其生活需要的整体办法的讨论会和讲习班。例如，</w:t>
      </w:r>
      <w:r>
        <w:t>2010</w:t>
      </w:r>
      <w:r>
        <w:t>年，在《加入欧盟前援助文书》项目</w:t>
      </w:r>
      <w:r>
        <w:rPr>
          <w:rFonts w:ascii="SimSun" w:hAnsi="SimSun" w:cs="SimSun" w:hint="eastAsia"/>
          <w:lang w:val="en-GB"/>
        </w:rPr>
        <w:t>“</w:t>
      </w:r>
      <w:r>
        <w:t>鼓励进一步增强残疾人在劳动力市场的活跃性</w:t>
      </w:r>
      <w:r>
        <w:rPr>
          <w:rFonts w:ascii="SimSun" w:hAnsi="SimSun" w:cs="SimSun" w:hint="eastAsia"/>
        </w:rPr>
        <w:t>”</w:t>
      </w:r>
      <w:r>
        <w:t>中，</w:t>
      </w:r>
      <w:r>
        <w:t>89</w:t>
      </w:r>
      <w:r>
        <w:t>名参与者和所有有关机构和民间社会组织代表</w:t>
      </w:r>
      <w:r>
        <w:t>(</w:t>
      </w:r>
      <w:r>
        <w:t>其中</w:t>
      </w:r>
      <w:r>
        <w:t>68</w:t>
      </w:r>
      <w:r>
        <w:t>人为克罗地亚就业局咨询顾问</w:t>
      </w:r>
      <w:r>
        <w:t>)</w:t>
      </w:r>
      <w:r>
        <w:t>参加了为期四天的培训，了解了该领域相关法律的规定和解释，以及在残疾人就业调解过程中与雇主工作的方法和技巧。</w:t>
      </w:r>
    </w:p>
    <w:p w:rsidR="0064252C" w:rsidRDefault="0064252C">
      <w:pPr>
        <w:pStyle w:val="SingleTxtGC"/>
        <w:rPr>
          <w:lang w:val="en-GB"/>
        </w:rPr>
      </w:pPr>
      <w:r>
        <w:rPr>
          <w:lang w:val="en-GB"/>
        </w:rPr>
        <w:t>175.  2009</w:t>
      </w:r>
      <w:r>
        <w:t>和</w:t>
      </w:r>
      <w:r>
        <w:t>2</w:t>
      </w:r>
      <w:r>
        <w:rPr>
          <w:lang w:val="en-GB"/>
        </w:rPr>
        <w:t>010</w:t>
      </w:r>
      <w:r>
        <w:t>年期间</w:t>
      </w:r>
      <w:r>
        <w:rPr>
          <w:lang w:val="en-GB"/>
        </w:rPr>
        <w:t>，</w:t>
      </w:r>
      <w:r>
        <w:t>克罗地亚就业局与</w:t>
      </w:r>
      <w:r>
        <w:rPr>
          <w:lang w:val="en-GB"/>
        </w:rPr>
        <w:t>ZaMirNET</w:t>
      </w:r>
      <w:r>
        <w:t>协会合作</w:t>
      </w:r>
      <w:r>
        <w:rPr>
          <w:lang w:val="en-GB"/>
        </w:rPr>
        <w:t>，</w:t>
      </w:r>
      <w:r>
        <w:t>共同实施</w:t>
      </w:r>
      <w:r>
        <w:rPr>
          <w:rFonts w:ascii="SimSun" w:hAnsi="SimSun" w:cs="SimSun" w:hint="eastAsia"/>
          <w:lang w:val="en-GB"/>
        </w:rPr>
        <w:t>“</w:t>
      </w:r>
      <w:r>
        <w:t>残疾人电子化包容</w:t>
      </w:r>
      <w:r>
        <w:rPr>
          <w:rFonts w:ascii="SimSun" w:hAnsi="SimSun" w:cs="SimSun" w:hint="eastAsia"/>
          <w:lang w:val="en-GB"/>
        </w:rPr>
        <w:t>”</w:t>
      </w:r>
      <w:r>
        <w:t>项目。该项目的活动之一是评定克罗地亚就业局网页以及其他公共机构网页的电子无障碍水平，评定结果显示，克罗地亚就业局网页系按照万维网联盟</w:t>
      </w:r>
      <w:r>
        <w:t>(W3C)</w:t>
      </w:r>
      <w:r>
        <w:t>标准创建，因此不对残疾人构成障碍。</w:t>
      </w:r>
    </w:p>
    <w:p w:rsidR="0064252C" w:rsidRDefault="0064252C">
      <w:pPr>
        <w:pStyle w:val="SingleTxtGC"/>
        <w:rPr>
          <w:lang w:val="en-GB"/>
        </w:rPr>
      </w:pPr>
      <w:r>
        <w:rPr>
          <w:lang w:val="en-GB"/>
        </w:rPr>
        <w:t>176.  2008</w:t>
      </w:r>
      <w:r>
        <w:t>年、</w:t>
      </w:r>
      <w:r>
        <w:rPr>
          <w:lang w:val="en-GB"/>
        </w:rPr>
        <w:t>2009</w:t>
      </w:r>
      <w:r>
        <w:t>年和</w:t>
      </w:r>
      <w:r>
        <w:rPr>
          <w:lang w:val="en-GB"/>
        </w:rPr>
        <w:t>2010</w:t>
      </w:r>
      <w:r>
        <w:t>年期间</w:t>
      </w:r>
      <w:r>
        <w:rPr>
          <w:lang w:val="en-GB"/>
        </w:rPr>
        <w:t>，</w:t>
      </w:r>
      <w:r>
        <w:t>克罗地亚就业局与奥地利共和国林茨</w:t>
      </w:r>
      <w:r>
        <w:rPr>
          <w:lang w:val="en-GB"/>
        </w:rPr>
        <w:t>BBRZ</w:t>
      </w:r>
      <w:r>
        <w:t>专业康复中心展开大力合作</w:t>
      </w:r>
      <w:r>
        <w:rPr>
          <w:lang w:val="en-GB"/>
        </w:rPr>
        <w:t>，</w:t>
      </w:r>
      <w:r>
        <w:t>在若干项目内进行了为数众多的考察访问</w:t>
      </w:r>
      <w:r>
        <w:rPr>
          <w:lang w:val="en-GB"/>
        </w:rPr>
        <w:t>，</w:t>
      </w:r>
      <w:r>
        <w:t>其间</w:t>
      </w:r>
      <w:r>
        <w:rPr>
          <w:lang w:val="en-GB"/>
        </w:rPr>
        <w:t>，</w:t>
      </w:r>
      <w:r>
        <w:t>克罗地亚就业局专业人员了解了残疾人心理诊断和医疗处理模式</w:t>
      </w:r>
      <w:r>
        <w:rPr>
          <w:lang w:val="en-GB"/>
        </w:rPr>
        <w:t>，</w:t>
      </w:r>
      <w:r>
        <w:t>以及通过精心设计并依据残疾人个人能力应用于成年残疾人教育的分级教育模块对成年残疾人进行专业培训的方案。与此同时，克罗地亚就业局的专业人员还了解了</w:t>
      </w:r>
      <w:r>
        <w:t>BBRZ</w:t>
      </w:r>
      <w:r>
        <w:t>、奥地利就业服务局</w:t>
      </w:r>
      <w:r>
        <w:t>(AMS)</w:t>
      </w:r>
      <w:r>
        <w:t>和雇主在创造条件以促进残疾人进一步密切融入劳动力市场方面的各种合作模式和形式。</w:t>
      </w:r>
    </w:p>
    <w:p w:rsidR="0064252C" w:rsidRDefault="0064252C">
      <w:pPr>
        <w:pStyle w:val="SingleTxtGC"/>
        <w:rPr>
          <w:lang w:val="en-GB"/>
        </w:rPr>
      </w:pPr>
      <w:r>
        <w:rPr>
          <w:lang w:val="en-GB"/>
        </w:rPr>
        <w:t xml:space="preserve">177.  </w:t>
      </w:r>
      <w:r>
        <w:t>克罗地亚就业局还参与实施</w:t>
      </w:r>
      <w:r>
        <w:rPr>
          <w:lang w:val="en-GB"/>
        </w:rPr>
        <w:t>2007-2009</w:t>
      </w:r>
      <w:r>
        <w:t>年《加入欧盟前援助文书》各个项目和</w:t>
      </w:r>
      <w:r>
        <w:rPr>
          <w:lang w:val="en-GB"/>
        </w:rPr>
        <w:t>2010-2011</w:t>
      </w:r>
      <w:r>
        <w:t>年《加入欧盟前援助文书》各个方案</w:t>
      </w:r>
      <w:r>
        <w:rPr>
          <w:lang w:val="en-GB"/>
        </w:rPr>
        <w:t>，</w:t>
      </w:r>
      <w:r>
        <w:t>它还为欧洲社会基金等欧盟结构基金的未来方案提出了项目建议。克罗地亚就业局在《加入欧盟前援助文书》方案</w:t>
      </w:r>
      <w:r>
        <w:rPr>
          <w:rFonts w:hint="eastAsia"/>
          <w:lang w:val="en-GB"/>
        </w:rPr>
        <w:t>“</w:t>
      </w:r>
      <w:r>
        <w:t>第</w:t>
      </w:r>
      <w:r>
        <w:rPr>
          <w:lang w:val="en-GB"/>
        </w:rPr>
        <w:t>四</w:t>
      </w:r>
      <w:r>
        <w:t>组成部分</w:t>
      </w:r>
      <w:r>
        <w:rPr>
          <w:lang w:val="en-GB"/>
        </w:rPr>
        <w:t>：</w:t>
      </w:r>
      <w:r>
        <w:t>人力资源开发</w:t>
      </w:r>
      <w:r>
        <w:rPr>
          <w:rFonts w:hint="eastAsia"/>
          <w:lang w:val="en-GB"/>
        </w:rPr>
        <w:t>”</w:t>
      </w:r>
      <w:r>
        <w:t>范围内</w:t>
      </w:r>
      <w:r>
        <w:rPr>
          <w:lang w:val="en-GB"/>
        </w:rPr>
        <w:t>，</w:t>
      </w:r>
      <w:r>
        <w:t>于</w:t>
      </w:r>
      <w:r>
        <w:rPr>
          <w:lang w:val="en-GB"/>
        </w:rPr>
        <w:t>2010</w:t>
      </w:r>
      <w:r>
        <w:t>年</w:t>
      </w:r>
      <w:r>
        <w:rPr>
          <w:lang w:val="en-GB"/>
        </w:rPr>
        <w:t>1</w:t>
      </w:r>
      <w:r>
        <w:t>月至</w:t>
      </w:r>
      <w:r>
        <w:rPr>
          <w:lang w:val="en-GB"/>
        </w:rPr>
        <w:t>2011</w:t>
      </w:r>
      <w:r>
        <w:t>年</w:t>
      </w:r>
      <w:r>
        <w:rPr>
          <w:lang w:val="en-GB"/>
        </w:rPr>
        <w:t>3</w:t>
      </w:r>
      <w:r>
        <w:t>月期间实施了名为</w:t>
      </w:r>
      <w:r>
        <w:rPr>
          <w:rFonts w:hint="eastAsia"/>
          <w:lang w:val="en-GB"/>
        </w:rPr>
        <w:t>“</w:t>
      </w:r>
      <w:r>
        <w:t>鼓励进一步增强残疾人在劳动力市场的活跃性</w:t>
      </w:r>
      <w:r>
        <w:rPr>
          <w:rFonts w:hint="eastAsia"/>
          <w:lang w:val="en-GB"/>
        </w:rPr>
        <w:t>”</w:t>
      </w:r>
      <w:r>
        <w:t>的项目。该项目的宗旨是增强残疾人的可雇用性，便利他们进入劳动力市场，</w:t>
      </w:r>
      <w:r>
        <w:rPr>
          <w:rFonts w:hint="eastAsia"/>
        </w:rPr>
        <w:t>及</w:t>
      </w:r>
      <w:r>
        <w:t>在区域一级制定和实施积极雇佣政策措施。在该项目中，展开了</w:t>
      </w:r>
      <w:r>
        <w:rPr>
          <w:rFonts w:ascii="SimSun" w:hAnsi="SimSun" w:cs="SimSun" w:hint="eastAsia"/>
        </w:rPr>
        <w:t>“</w:t>
      </w:r>
      <w:r>
        <w:t>残疾人在劳动力市场的状况和需求</w:t>
      </w:r>
      <w:r>
        <w:rPr>
          <w:rFonts w:ascii="SimSun" w:hAnsi="SimSun" w:cs="SimSun" w:hint="eastAsia"/>
        </w:rPr>
        <w:t>”</w:t>
      </w:r>
      <w:r>
        <w:t>研究。该项研究的结论和建议为</w:t>
      </w:r>
      <w:r>
        <w:t>8</w:t>
      </w:r>
      <w:r>
        <w:t>个区域自治制定残疾人就业行动计划提供了指导方针。向劳动力市场</w:t>
      </w:r>
      <w:r>
        <w:t>89</w:t>
      </w:r>
      <w:r>
        <w:t>位咨询顾问</w:t>
      </w:r>
      <w:r>
        <w:rPr>
          <w:rFonts w:hint="eastAsia"/>
          <w:spacing w:val="-50"/>
        </w:rPr>
        <w:t>―</w:t>
      </w:r>
      <w:r>
        <w:rPr>
          <w:rFonts w:hint="eastAsia"/>
        </w:rPr>
        <w:t>―</w:t>
      </w:r>
      <w:r>
        <w:t>调解人开展了关于残疾人就业和与雇主高效开展工作领域立法框架的培训。现已编写了</w:t>
      </w:r>
      <w:r>
        <w:t>3</w:t>
      </w:r>
      <w:r>
        <w:t>本教材：一本是为劳动力市场咨询顾问编写的关于面向残疾人开展工作时可用方法和技巧的教材，一本是为雇主编写的关于残疾人筛选、雇用、工作地点调整和充分监测的教材，还有一本是为残疾人编写的关于主动求职的教材。在残疾人专业康复和就业基金实施的第三个项目组成部分内，完成了面向残疾人、雇主和更广范围内公众的门户网站</w:t>
      </w:r>
      <w:r>
        <w:rPr>
          <w:rFonts w:ascii="SimSun" w:hAnsi="SimSun" w:cs="SimSun" w:hint="eastAsia"/>
        </w:rPr>
        <w:t>“</w:t>
      </w:r>
      <w:r>
        <w:t>都在一处</w:t>
      </w:r>
      <w:r>
        <w:rPr>
          <w:rFonts w:ascii="SimSun" w:hAnsi="SimSun" w:cs="SimSun" w:hint="eastAsia"/>
        </w:rPr>
        <w:t>”</w:t>
      </w:r>
      <w:r>
        <w:t>的创建工作，并开展了一项公共运动，旨在提高公众对于雇用残疾人的必要性和有利条件的认识。在该项目内，共向来自克罗地亚共和国全国的各类项目活动承办机构</w:t>
      </w:r>
      <w:r>
        <w:t>(</w:t>
      </w:r>
      <w:r>
        <w:t>公共、私营或民间部门</w:t>
      </w:r>
      <w:r>
        <w:t>)</w:t>
      </w:r>
      <w:r>
        <w:t>提供</w:t>
      </w:r>
      <w:r>
        <w:t>14</w:t>
      </w:r>
      <w:r>
        <w:t>项捐助。项目总价值达</w:t>
      </w:r>
      <w:r>
        <w:t>223.5</w:t>
      </w:r>
      <w:r>
        <w:t>万欧元。</w:t>
      </w:r>
    </w:p>
    <w:p w:rsidR="0064252C" w:rsidRDefault="0064252C">
      <w:pPr>
        <w:pStyle w:val="SingleTxtGC"/>
        <w:rPr>
          <w:lang w:val="en-GB"/>
        </w:rPr>
      </w:pPr>
      <w:r>
        <w:rPr>
          <w:lang w:val="en-GB"/>
        </w:rPr>
        <w:t xml:space="preserve">178.  </w:t>
      </w:r>
      <w:r>
        <w:t>《养老保险法》</w:t>
      </w:r>
      <w:r>
        <w:rPr>
          <w:lang w:val="en-GB"/>
        </w:rPr>
        <w:t>(1998</w:t>
      </w:r>
      <w:r>
        <w:rPr>
          <w:rFonts w:hint="eastAsia"/>
          <w:lang w:val="en-GB"/>
        </w:rPr>
        <w:t>年</w:t>
      </w:r>
      <w:r>
        <w:t>、</w:t>
      </w:r>
      <w:r>
        <w:rPr>
          <w:lang w:val="en-GB"/>
        </w:rPr>
        <w:t>2000</w:t>
      </w:r>
      <w:r>
        <w:rPr>
          <w:rFonts w:hint="eastAsia"/>
          <w:lang w:val="en-GB"/>
        </w:rPr>
        <w:t>年</w:t>
      </w:r>
      <w:r>
        <w:t>、</w:t>
      </w:r>
      <w:r>
        <w:rPr>
          <w:lang w:val="en-GB"/>
        </w:rPr>
        <w:t>2001</w:t>
      </w:r>
      <w:r>
        <w:rPr>
          <w:rFonts w:hint="eastAsia"/>
          <w:lang w:val="en-GB"/>
        </w:rPr>
        <w:t>年</w:t>
      </w:r>
      <w:r>
        <w:t>、</w:t>
      </w:r>
      <w:r>
        <w:rPr>
          <w:lang w:val="en-GB"/>
        </w:rPr>
        <w:t>2002</w:t>
      </w:r>
      <w:r>
        <w:rPr>
          <w:rFonts w:hint="eastAsia"/>
          <w:lang w:val="en-GB"/>
        </w:rPr>
        <w:t>年</w:t>
      </w:r>
      <w:r>
        <w:t>、</w:t>
      </w:r>
      <w:r>
        <w:rPr>
          <w:lang w:val="en-GB"/>
        </w:rPr>
        <w:t>2003</w:t>
      </w:r>
      <w:r>
        <w:rPr>
          <w:rFonts w:hint="eastAsia"/>
          <w:lang w:val="en-GB"/>
        </w:rPr>
        <w:t>年</w:t>
      </w:r>
      <w:r>
        <w:t>、</w:t>
      </w:r>
      <w:r>
        <w:rPr>
          <w:lang w:val="en-GB"/>
        </w:rPr>
        <w:t>2004</w:t>
      </w:r>
      <w:r>
        <w:rPr>
          <w:rFonts w:hint="eastAsia"/>
          <w:lang w:val="en-GB"/>
        </w:rPr>
        <w:t>年</w:t>
      </w:r>
      <w:r>
        <w:rPr>
          <w:lang w:val="en-GB"/>
        </w:rPr>
        <w:t>、</w:t>
      </w:r>
      <w:r>
        <w:rPr>
          <w:lang w:val="en-GB"/>
        </w:rPr>
        <w:t>2005</w:t>
      </w:r>
      <w:r>
        <w:rPr>
          <w:rFonts w:hint="eastAsia"/>
          <w:lang w:val="en-GB"/>
        </w:rPr>
        <w:t>年</w:t>
      </w:r>
      <w:r>
        <w:t>、</w:t>
      </w:r>
      <w:r>
        <w:rPr>
          <w:lang w:val="en-GB"/>
        </w:rPr>
        <w:t>2007</w:t>
      </w:r>
      <w:r>
        <w:rPr>
          <w:rFonts w:hint="eastAsia"/>
          <w:lang w:val="en-GB"/>
        </w:rPr>
        <w:t>年</w:t>
      </w:r>
      <w:r>
        <w:t>、</w:t>
      </w:r>
      <w:r>
        <w:rPr>
          <w:lang w:val="en-GB"/>
        </w:rPr>
        <w:t>2008</w:t>
      </w:r>
      <w:r>
        <w:rPr>
          <w:rFonts w:hint="eastAsia"/>
          <w:lang w:val="en-GB"/>
        </w:rPr>
        <w:t>年</w:t>
      </w:r>
      <w:r>
        <w:t>、</w:t>
      </w:r>
      <w:r>
        <w:rPr>
          <w:lang w:val="en-GB"/>
        </w:rPr>
        <w:t>2010</w:t>
      </w:r>
      <w:r>
        <w:t>年</w:t>
      </w:r>
      <w:r>
        <w:rPr>
          <w:lang w:val="en-GB"/>
        </w:rPr>
        <w:t>)</w:t>
      </w:r>
      <w:r>
        <w:t>规定了确保已经残疾的和具有残存工作能力的克罗地亚养老保险局投保人和养老金受益人</w:t>
      </w:r>
      <w:r>
        <w:rPr>
          <w:rStyle w:val="FootnoteReference"/>
        </w:rPr>
        <w:footnoteReference w:id="18"/>
      </w:r>
      <w:r>
        <w:rPr>
          <w:rStyle w:val="FootnoteReference"/>
        </w:rPr>
        <w:t xml:space="preserve"> </w:t>
      </w:r>
      <w:r>
        <w:t>享有专业康复权利的条件和方式。该法保障适应训练和专业康复权，但仅限于养老保险系统的投保人，而不适用于社会福利系统的残疾人。</w:t>
      </w:r>
    </w:p>
    <w:p w:rsidR="0064252C" w:rsidRDefault="0064252C">
      <w:pPr>
        <w:pStyle w:val="SingleTxtGC"/>
        <w:rPr>
          <w:lang w:val="en-GB"/>
        </w:rPr>
      </w:pPr>
      <w:r>
        <w:rPr>
          <w:lang w:val="en-GB"/>
        </w:rPr>
        <w:t xml:space="preserve">179.  </w:t>
      </w:r>
      <w:r>
        <w:t>克罗地亚养老保险局主管组织单位根据克罗地亚养老保险局授权专家所做的分析和所提意见承认专业康复权利。取得专业康复权利的，须先行接受培训，方能从事要求具备与其致残前通过教育取得的学历学位具有同等</w:t>
      </w:r>
      <w:r>
        <w:rPr>
          <w:rFonts w:hint="eastAsia"/>
        </w:rPr>
        <w:t>学历</w:t>
      </w:r>
      <w:r>
        <w:t>资格的职位。在特殊情况下，如果无法接受从事须具备同等教育水平的工作的培训，可接受资格要求较低的职位工作培训。克罗地亚养老保险局和雇主之间签订的协议对工作期间致残者进行专业康复的条件和方式做了规定。该法还规定了等待进行职业康复期间、康复期间和在技术职业康复后等待就业期间的薪金补偿的额度和期限。</w:t>
      </w:r>
    </w:p>
    <w:p w:rsidR="0064252C" w:rsidRDefault="0064252C">
      <w:pPr>
        <w:pStyle w:val="SingleTxtGC"/>
        <w:rPr>
          <w:lang w:val="en-GB"/>
        </w:rPr>
      </w:pPr>
      <w:r>
        <w:rPr>
          <w:lang w:val="en-GB"/>
        </w:rPr>
        <w:t xml:space="preserve">180.  </w:t>
      </w:r>
      <w:r>
        <w:t>《军事和平民战争伤残人员保护法》</w:t>
      </w:r>
      <w:r>
        <w:rPr>
          <w:lang w:val="en-GB"/>
        </w:rPr>
        <w:t>(1992</w:t>
      </w:r>
      <w:r>
        <w:t>年</w:t>
      </w:r>
      <w:r>
        <w:rPr>
          <w:lang w:val="en-GB"/>
        </w:rPr>
        <w:t>)</w:t>
      </w:r>
      <w:r>
        <w:t>规定</w:t>
      </w:r>
      <w:r>
        <w:rPr>
          <w:lang w:val="en-GB"/>
        </w:rPr>
        <w:t>，</w:t>
      </w:r>
      <w:r>
        <w:t>军事致残、和平时期军事致残和平民战争伤残人员享有获得职业康复的权利。</w:t>
      </w:r>
    </w:p>
    <w:p w:rsidR="0064252C" w:rsidRDefault="0064252C">
      <w:pPr>
        <w:pStyle w:val="H1GC"/>
      </w:pPr>
      <w:r>
        <w:tab/>
      </w:r>
      <w:r>
        <w:tab/>
      </w:r>
      <w:r>
        <w:t>第二十七条</w:t>
      </w:r>
      <w:r>
        <w:br/>
      </w:r>
      <w:r>
        <w:t>工作和就业</w:t>
      </w:r>
    </w:p>
    <w:p w:rsidR="0064252C" w:rsidRDefault="0064252C">
      <w:pPr>
        <w:pStyle w:val="SingleTxtGC"/>
        <w:rPr>
          <w:lang w:val="en-GB"/>
        </w:rPr>
      </w:pPr>
      <w:r>
        <w:rPr>
          <w:lang w:val="en-GB"/>
        </w:rPr>
        <w:t xml:space="preserve">181.  </w:t>
      </w:r>
      <w:r>
        <w:t>《劳动法》</w:t>
      </w:r>
      <w:r>
        <w:rPr>
          <w:lang w:val="en-GB"/>
        </w:rPr>
        <w:t>(2009</w:t>
      </w:r>
      <w:r>
        <w:t>年</w:t>
      </w:r>
      <w:r>
        <w:rPr>
          <w:lang w:val="en-GB"/>
        </w:rPr>
        <w:t>)</w:t>
      </w:r>
      <w:r>
        <w:t>和《反歧视法》</w:t>
      </w:r>
      <w:r>
        <w:rPr>
          <w:lang w:val="en-GB"/>
        </w:rPr>
        <w:t>(2008</w:t>
      </w:r>
      <w:r>
        <w:t>年</w:t>
      </w:r>
      <w:r>
        <w:rPr>
          <w:lang w:val="en-GB"/>
        </w:rPr>
        <w:t>)</w:t>
      </w:r>
      <w:r>
        <w:t>根据专门法律规定</w:t>
      </w:r>
      <w:r>
        <w:rPr>
          <w:lang w:val="en-GB"/>
        </w:rPr>
        <w:t>，</w:t>
      </w:r>
      <w:r>
        <w:t>禁止在工作领域和工作条件上</w:t>
      </w:r>
      <w:r>
        <w:rPr>
          <w:lang w:val="en-GB"/>
        </w:rPr>
        <w:t>，</w:t>
      </w:r>
      <w:r>
        <w:t>包括在选择、征聘、晋升、职业指导、专业适应训练和培训与再培训方面进行直接或间接的歧视。此外，《反歧视法》还禁止怂恿歧视和不做出合理调整。</w:t>
      </w:r>
    </w:p>
    <w:p w:rsidR="0064252C" w:rsidRDefault="0064252C">
      <w:pPr>
        <w:pStyle w:val="SingleTxtGC"/>
        <w:rPr>
          <w:lang w:val="en-GB"/>
        </w:rPr>
      </w:pPr>
      <w:r>
        <w:rPr>
          <w:lang w:val="en-GB"/>
        </w:rPr>
        <w:t xml:space="preserve">182.  </w:t>
      </w:r>
      <w:r>
        <w:t>规范残疾人专业康复和就业权利领域最重要的法律法规和法案如下</w:t>
      </w:r>
      <w:r>
        <w:rPr>
          <w:lang w:val="en-GB"/>
        </w:rPr>
        <w:t>：</w:t>
      </w:r>
      <w:r>
        <w:t>《残疾人专业康复和就业法》</w:t>
      </w:r>
      <w:r>
        <w:rPr>
          <w:lang w:val="en-GB"/>
        </w:rPr>
        <w:t>(2002</w:t>
      </w:r>
      <w:r>
        <w:t>年</w:t>
      </w:r>
      <w:r>
        <w:rPr>
          <w:lang w:val="en-GB"/>
        </w:rPr>
        <w:t>)</w:t>
      </w:r>
      <w:r>
        <w:t>《就业调节和失业期间权利法》</w:t>
      </w:r>
      <w:r>
        <w:rPr>
          <w:lang w:val="en-GB"/>
        </w:rPr>
        <w:t>(2008</w:t>
      </w:r>
      <w:r>
        <w:t>年、</w:t>
      </w:r>
      <w:r>
        <w:rPr>
          <w:lang w:val="en-GB"/>
        </w:rPr>
        <w:t>2009</w:t>
      </w:r>
      <w:r>
        <w:t>年、</w:t>
      </w:r>
      <w:r>
        <w:rPr>
          <w:lang w:val="en-GB"/>
        </w:rPr>
        <w:t>2010</w:t>
      </w:r>
      <w:r>
        <w:t>年</w:t>
      </w:r>
      <w:r>
        <w:rPr>
          <w:lang w:val="en-GB"/>
        </w:rPr>
        <w:t>)</w:t>
      </w:r>
      <w:r>
        <w:t>和《主动求职及工作可取得性规则手册》</w:t>
      </w:r>
      <w:r>
        <w:rPr>
          <w:lang w:val="en-GB"/>
        </w:rPr>
        <w:t>(2009</w:t>
      </w:r>
      <w:r>
        <w:t>年</w:t>
      </w:r>
      <w:r>
        <w:rPr>
          <w:lang w:val="en-GB"/>
        </w:rPr>
        <w:t>)</w:t>
      </w:r>
      <w:r>
        <w:t>。</w:t>
      </w:r>
    </w:p>
    <w:p w:rsidR="0064252C" w:rsidRDefault="0064252C">
      <w:pPr>
        <w:pStyle w:val="SingleTxtGC"/>
        <w:rPr>
          <w:lang w:val="en-GB"/>
        </w:rPr>
      </w:pPr>
      <w:r>
        <w:rPr>
          <w:lang w:val="en-GB"/>
        </w:rPr>
        <w:t xml:space="preserve">183.  </w:t>
      </w:r>
      <w:r>
        <w:t>残疾人就业分为一般条件下就业和特殊条件下就业。一般就业条件下就业是指残疾人根据规范工作和就业领域的一般性法规就业。特殊条件下就业是指残疾人在以雇用残疾人为目的而成立的机构或公司</w:t>
      </w:r>
      <w:r>
        <w:t>(</w:t>
      </w:r>
      <w:r>
        <w:t>保护性工场</w:t>
      </w:r>
      <w:r>
        <w:rPr>
          <w:rStyle w:val="FootnoteReference"/>
        </w:rPr>
        <w:footnoteReference w:id="19"/>
      </w:r>
      <w:r>
        <w:t>)</w:t>
      </w:r>
      <w:r>
        <w:t>就业，以及残疾人自营职业。依靠自身工作能力和综合能力不能获得或保住适用一般条件下各项福利就业的，按照特殊条件就业。在特殊条件下依靠自身工作能力和综合能力仍无法在雇主或保护性工场获得或保住就业的残疾人，可确保他们在工作中心就业。</w:t>
      </w:r>
      <w:r>
        <w:rPr>
          <w:rStyle w:val="FootnoteReference"/>
        </w:rPr>
        <w:footnoteReference w:id="20"/>
      </w:r>
      <w:r>
        <w:rPr>
          <w:rStyle w:val="FootnoteReference"/>
        </w:rPr>
        <w:t xml:space="preserve"> </w:t>
      </w:r>
      <w:r>
        <w:t>《个人所得税法》</w:t>
      </w:r>
      <w:r>
        <w:t>(2004</w:t>
      </w:r>
      <w:r>
        <w:t>年</w:t>
      </w:r>
      <w:r>
        <w:t>)</w:t>
      </w:r>
      <w:r>
        <w:t>规定，残疾人在从事同值工作时可获得比非残疾人更高的薪酬</w:t>
      </w:r>
      <w:r>
        <w:rPr>
          <w:rStyle w:val="FootnoteReference"/>
        </w:rPr>
        <w:footnoteReference w:id="21"/>
      </w:r>
      <w:r>
        <w:t>。</w:t>
      </w:r>
    </w:p>
    <w:p w:rsidR="0064252C" w:rsidRDefault="0064252C">
      <w:pPr>
        <w:pStyle w:val="SingleTxtGC"/>
        <w:rPr>
          <w:lang w:val="en-GB"/>
        </w:rPr>
      </w:pPr>
      <w:r>
        <w:rPr>
          <w:lang w:val="en-GB"/>
        </w:rPr>
        <w:t xml:space="preserve">184.  </w:t>
      </w:r>
      <w:r>
        <w:t>已就业残疾人数据库数据显示，克罗地亚共和国已就业</w:t>
      </w:r>
      <w:r>
        <w:t>(</w:t>
      </w:r>
      <w:r>
        <w:t>已就业和暂时不具备工作能力</w:t>
      </w:r>
      <w:r>
        <w:t>)</w:t>
      </w:r>
      <w:r>
        <w:t>残疾人共计</w:t>
      </w:r>
      <w:r>
        <w:t>12,032</w:t>
      </w:r>
      <w:r>
        <w:t>人，其中</w:t>
      </w:r>
      <w:r>
        <w:t>62%</w:t>
      </w:r>
      <w:r>
        <w:t>为男性，</w:t>
      </w:r>
      <w:r>
        <w:t>38%</w:t>
      </w:r>
      <w:r>
        <w:t>为女性。已就业残疾人士最常见的职业是无限制条件的工人、售货员、服务员、汽车修理工、经济技师、厨师、司机和裁缝。克罗地亚就业局记录显示，</w:t>
      </w:r>
      <w:r>
        <w:t>2008</w:t>
      </w:r>
      <w:r>
        <w:t>至</w:t>
      </w:r>
      <w:r>
        <w:t>2010</w:t>
      </w:r>
      <w:r>
        <w:t>年期间，失业残疾人人数不断增加，而同期新就业人数却在下降。</w:t>
      </w:r>
    </w:p>
    <w:p w:rsidR="0064252C" w:rsidRDefault="0064252C">
      <w:pPr>
        <w:pStyle w:val="SingleTxtGC"/>
        <w:rPr>
          <w:lang w:val="en-GB"/>
        </w:rPr>
      </w:pPr>
      <w:r>
        <w:rPr>
          <w:lang w:val="en-GB"/>
        </w:rPr>
        <w:t xml:space="preserve">185.  </w:t>
      </w:r>
      <w:r>
        <w:t>克罗地亚就业局记录显示，上述期间，失业残疾人人数增加，但其占总失业人数的比重却在下降，这过去几年经济危机期间失业人数上升的趋势相一致。另一方面，新就业残疾人人数减少，反映出了</w:t>
      </w:r>
      <w:r>
        <w:t>2008</w:t>
      </w:r>
      <w:r>
        <w:t>年</w:t>
      </w:r>
      <w:r>
        <w:rPr>
          <w:rFonts w:hint="eastAsia"/>
        </w:rPr>
        <w:t>至</w:t>
      </w:r>
      <w:r>
        <w:t>2010</w:t>
      </w:r>
      <w:r>
        <w:t>年期间总就业人数不断减少这一动向。</w:t>
      </w:r>
    </w:p>
    <w:p w:rsidR="0064252C" w:rsidRDefault="0064252C">
      <w:pPr>
        <w:pStyle w:val="SingleTxtGC"/>
        <w:rPr>
          <w:rFonts w:eastAsia="SimHei"/>
          <w:lang w:val="en-GB"/>
        </w:rPr>
      </w:pPr>
      <w:r>
        <w:rPr>
          <w:rFonts w:eastAsia="SimHei"/>
          <w:lang w:val="en-GB"/>
        </w:rPr>
        <w:t>2010</w:t>
      </w:r>
      <w:r>
        <w:rPr>
          <w:rFonts w:eastAsia="SimHei"/>
        </w:rPr>
        <w:t>年按残疾类型分列的就业和失业残疾人人数</w:t>
      </w:r>
    </w:p>
    <w:tbl>
      <w:tblPr>
        <w:tblW w:w="7370" w:type="dxa"/>
        <w:tblInd w:w="1134" w:type="dxa"/>
        <w:tblLayout w:type="fixed"/>
        <w:tblCellMar>
          <w:left w:w="0" w:type="dxa"/>
          <w:right w:w="0" w:type="dxa"/>
        </w:tblCellMar>
        <w:tblLook w:val="01E0"/>
      </w:tblPr>
      <w:tblGrid>
        <w:gridCol w:w="2835"/>
        <w:gridCol w:w="1133"/>
        <w:gridCol w:w="1134"/>
        <w:gridCol w:w="1134"/>
        <w:gridCol w:w="1134"/>
      </w:tblGrid>
      <w:tr w:rsidR="0064252C">
        <w:tc>
          <w:tcPr>
            <w:tcW w:w="2835" w:type="dxa"/>
            <w:tcBorders>
              <w:top w:val="single" w:sz="4" w:space="0" w:color="auto"/>
              <w:bottom w:val="single" w:sz="12" w:space="0" w:color="auto"/>
            </w:tcBorders>
            <w:shd w:val="clear" w:color="auto" w:fill="auto"/>
            <w:vAlign w:val="bottom"/>
          </w:tcPr>
          <w:p w:rsidR="0064252C" w:rsidRDefault="0064252C">
            <w:pPr>
              <w:pStyle w:val="a0"/>
              <w:ind w:right="0"/>
            </w:pPr>
            <w:r>
              <w:t>损伤</w:t>
            </w:r>
            <w:r>
              <w:t>/</w:t>
            </w:r>
            <w:r>
              <w:t>残疾类型</w:t>
            </w:r>
          </w:p>
        </w:tc>
        <w:tc>
          <w:tcPr>
            <w:tcW w:w="1133" w:type="dxa"/>
            <w:tcBorders>
              <w:top w:val="single" w:sz="4" w:space="0" w:color="auto"/>
              <w:bottom w:val="single" w:sz="12" w:space="0" w:color="auto"/>
            </w:tcBorders>
            <w:shd w:val="clear" w:color="auto" w:fill="auto"/>
            <w:vAlign w:val="bottom"/>
          </w:tcPr>
          <w:p w:rsidR="0064252C" w:rsidRDefault="0064252C">
            <w:pPr>
              <w:pStyle w:val="a0"/>
              <w:ind w:right="0"/>
              <w:jc w:val="right"/>
            </w:pPr>
            <w:r>
              <w:t>就业人数</w:t>
            </w:r>
          </w:p>
        </w:tc>
        <w:tc>
          <w:tcPr>
            <w:tcW w:w="1134" w:type="dxa"/>
            <w:tcBorders>
              <w:top w:val="single" w:sz="4" w:space="0" w:color="auto"/>
              <w:bottom w:val="single" w:sz="12" w:space="0" w:color="auto"/>
            </w:tcBorders>
            <w:shd w:val="clear" w:color="auto" w:fill="auto"/>
            <w:vAlign w:val="bottom"/>
          </w:tcPr>
          <w:p w:rsidR="0064252C" w:rsidRDefault="0064252C">
            <w:pPr>
              <w:pStyle w:val="a0"/>
              <w:ind w:right="0"/>
              <w:jc w:val="right"/>
            </w:pPr>
            <w:r>
              <w:t>比重</w:t>
            </w:r>
          </w:p>
        </w:tc>
        <w:tc>
          <w:tcPr>
            <w:tcW w:w="1134" w:type="dxa"/>
            <w:tcBorders>
              <w:top w:val="single" w:sz="4" w:space="0" w:color="auto"/>
              <w:bottom w:val="single" w:sz="12" w:space="0" w:color="auto"/>
            </w:tcBorders>
            <w:shd w:val="clear" w:color="auto" w:fill="auto"/>
            <w:vAlign w:val="bottom"/>
          </w:tcPr>
          <w:p w:rsidR="0064252C" w:rsidRDefault="0064252C">
            <w:pPr>
              <w:pStyle w:val="a0"/>
              <w:ind w:right="0"/>
              <w:jc w:val="right"/>
            </w:pPr>
            <w:r>
              <w:t>失业人数</w:t>
            </w:r>
          </w:p>
        </w:tc>
        <w:tc>
          <w:tcPr>
            <w:tcW w:w="1134" w:type="dxa"/>
            <w:tcBorders>
              <w:top w:val="single" w:sz="4" w:space="0" w:color="auto"/>
              <w:bottom w:val="single" w:sz="12" w:space="0" w:color="auto"/>
            </w:tcBorders>
            <w:shd w:val="clear" w:color="auto" w:fill="auto"/>
            <w:vAlign w:val="bottom"/>
          </w:tcPr>
          <w:p w:rsidR="0064252C" w:rsidRDefault="0064252C">
            <w:pPr>
              <w:pStyle w:val="a0"/>
              <w:ind w:right="0"/>
              <w:jc w:val="right"/>
            </w:pPr>
            <w:r>
              <w:t>比重</w:t>
            </w:r>
          </w:p>
        </w:tc>
      </w:tr>
      <w:tr w:rsidR="0064252C">
        <w:tc>
          <w:tcPr>
            <w:tcW w:w="2835" w:type="dxa"/>
            <w:tcBorders>
              <w:top w:val="single" w:sz="12" w:space="0" w:color="auto"/>
            </w:tcBorders>
            <w:shd w:val="clear" w:color="auto" w:fill="auto"/>
          </w:tcPr>
          <w:p w:rsidR="0064252C" w:rsidRDefault="0064252C">
            <w:pPr>
              <w:pStyle w:val="a5"/>
            </w:pPr>
            <w:r>
              <w:t>智力障碍</w:t>
            </w:r>
          </w:p>
        </w:tc>
        <w:tc>
          <w:tcPr>
            <w:tcW w:w="1133" w:type="dxa"/>
            <w:tcBorders>
              <w:top w:val="single" w:sz="12" w:space="0" w:color="auto"/>
            </w:tcBorders>
            <w:shd w:val="clear" w:color="auto" w:fill="auto"/>
          </w:tcPr>
          <w:p w:rsidR="0064252C" w:rsidRDefault="0064252C">
            <w:pPr>
              <w:pStyle w:val="a5"/>
              <w:ind w:right="0"/>
              <w:jc w:val="right"/>
            </w:pPr>
            <w:r>
              <w:t>402</w:t>
            </w:r>
          </w:p>
        </w:tc>
        <w:tc>
          <w:tcPr>
            <w:tcW w:w="1134" w:type="dxa"/>
            <w:tcBorders>
              <w:top w:val="single" w:sz="12" w:space="0" w:color="auto"/>
            </w:tcBorders>
            <w:shd w:val="clear" w:color="auto" w:fill="auto"/>
          </w:tcPr>
          <w:p w:rsidR="0064252C" w:rsidRDefault="0064252C">
            <w:pPr>
              <w:pStyle w:val="a5"/>
              <w:ind w:right="0"/>
              <w:jc w:val="right"/>
            </w:pPr>
            <w:r>
              <w:t>37.22%</w:t>
            </w:r>
          </w:p>
        </w:tc>
        <w:tc>
          <w:tcPr>
            <w:tcW w:w="1134" w:type="dxa"/>
            <w:tcBorders>
              <w:top w:val="single" w:sz="12" w:space="0" w:color="auto"/>
            </w:tcBorders>
            <w:shd w:val="clear" w:color="auto" w:fill="auto"/>
          </w:tcPr>
          <w:p w:rsidR="0064252C" w:rsidRDefault="0064252C">
            <w:pPr>
              <w:pStyle w:val="a5"/>
              <w:ind w:right="0"/>
              <w:jc w:val="right"/>
            </w:pPr>
            <w:r>
              <w:t>2 165</w:t>
            </w:r>
          </w:p>
        </w:tc>
        <w:tc>
          <w:tcPr>
            <w:tcW w:w="1134" w:type="dxa"/>
            <w:tcBorders>
              <w:top w:val="single" w:sz="12" w:space="0" w:color="auto"/>
            </w:tcBorders>
            <w:shd w:val="clear" w:color="auto" w:fill="auto"/>
          </w:tcPr>
          <w:p w:rsidR="0064252C" w:rsidRDefault="0064252C">
            <w:pPr>
              <w:pStyle w:val="a5"/>
              <w:ind w:right="0"/>
              <w:jc w:val="right"/>
            </w:pPr>
            <w:r>
              <w:t>34.61%</w:t>
            </w:r>
          </w:p>
        </w:tc>
      </w:tr>
      <w:tr w:rsidR="0064252C">
        <w:tc>
          <w:tcPr>
            <w:tcW w:w="2835" w:type="dxa"/>
            <w:shd w:val="clear" w:color="auto" w:fill="auto"/>
          </w:tcPr>
          <w:p w:rsidR="0064252C" w:rsidRDefault="0064252C">
            <w:pPr>
              <w:pStyle w:val="a5"/>
            </w:pPr>
            <w:r>
              <w:t>身体残疾</w:t>
            </w:r>
          </w:p>
        </w:tc>
        <w:tc>
          <w:tcPr>
            <w:tcW w:w="1133" w:type="dxa"/>
            <w:shd w:val="clear" w:color="auto" w:fill="auto"/>
          </w:tcPr>
          <w:p w:rsidR="0064252C" w:rsidRDefault="0064252C">
            <w:pPr>
              <w:pStyle w:val="a5"/>
              <w:ind w:right="0"/>
              <w:jc w:val="right"/>
            </w:pPr>
            <w:r>
              <w:t>204</w:t>
            </w:r>
          </w:p>
        </w:tc>
        <w:tc>
          <w:tcPr>
            <w:tcW w:w="1134" w:type="dxa"/>
            <w:shd w:val="clear" w:color="auto" w:fill="auto"/>
          </w:tcPr>
          <w:p w:rsidR="0064252C" w:rsidRDefault="0064252C">
            <w:pPr>
              <w:pStyle w:val="a5"/>
              <w:ind w:right="0"/>
              <w:jc w:val="right"/>
            </w:pPr>
            <w:r>
              <w:t>18.88%</w:t>
            </w:r>
          </w:p>
        </w:tc>
        <w:tc>
          <w:tcPr>
            <w:tcW w:w="1134" w:type="dxa"/>
            <w:shd w:val="clear" w:color="auto" w:fill="auto"/>
          </w:tcPr>
          <w:p w:rsidR="0064252C" w:rsidRDefault="0064252C">
            <w:pPr>
              <w:pStyle w:val="a5"/>
              <w:ind w:right="0"/>
              <w:jc w:val="right"/>
            </w:pPr>
            <w:r>
              <w:t>1 317</w:t>
            </w:r>
          </w:p>
        </w:tc>
        <w:tc>
          <w:tcPr>
            <w:tcW w:w="1134" w:type="dxa"/>
            <w:shd w:val="clear" w:color="auto" w:fill="auto"/>
          </w:tcPr>
          <w:p w:rsidR="0064252C" w:rsidRDefault="0064252C">
            <w:pPr>
              <w:pStyle w:val="a5"/>
              <w:ind w:right="0"/>
              <w:jc w:val="right"/>
            </w:pPr>
            <w:r>
              <w:t>21.06%</w:t>
            </w:r>
          </w:p>
        </w:tc>
      </w:tr>
      <w:tr w:rsidR="0064252C">
        <w:tc>
          <w:tcPr>
            <w:tcW w:w="2835" w:type="dxa"/>
            <w:shd w:val="clear" w:color="auto" w:fill="auto"/>
          </w:tcPr>
          <w:p w:rsidR="0064252C" w:rsidRDefault="0064252C">
            <w:pPr>
              <w:pStyle w:val="a5"/>
            </w:pPr>
            <w:r>
              <w:t>多重损伤</w:t>
            </w:r>
          </w:p>
        </w:tc>
        <w:tc>
          <w:tcPr>
            <w:tcW w:w="1133" w:type="dxa"/>
            <w:shd w:val="clear" w:color="auto" w:fill="auto"/>
          </w:tcPr>
          <w:p w:rsidR="0064252C" w:rsidRDefault="0064252C">
            <w:pPr>
              <w:pStyle w:val="a5"/>
              <w:ind w:right="0"/>
              <w:jc w:val="right"/>
            </w:pPr>
            <w:r>
              <w:t>221</w:t>
            </w:r>
          </w:p>
        </w:tc>
        <w:tc>
          <w:tcPr>
            <w:tcW w:w="1134" w:type="dxa"/>
            <w:shd w:val="clear" w:color="auto" w:fill="auto"/>
          </w:tcPr>
          <w:p w:rsidR="0064252C" w:rsidRDefault="0064252C">
            <w:pPr>
              <w:pStyle w:val="a5"/>
              <w:ind w:right="0"/>
              <w:jc w:val="right"/>
            </w:pPr>
            <w:r>
              <w:t>20.46%</w:t>
            </w:r>
          </w:p>
        </w:tc>
        <w:tc>
          <w:tcPr>
            <w:tcW w:w="1134" w:type="dxa"/>
            <w:shd w:val="clear" w:color="auto" w:fill="auto"/>
          </w:tcPr>
          <w:p w:rsidR="0064252C" w:rsidRDefault="0064252C">
            <w:pPr>
              <w:pStyle w:val="a5"/>
              <w:ind w:right="0"/>
              <w:jc w:val="right"/>
            </w:pPr>
            <w:r>
              <w:t>1 273</w:t>
            </w:r>
          </w:p>
        </w:tc>
        <w:tc>
          <w:tcPr>
            <w:tcW w:w="1134" w:type="dxa"/>
            <w:shd w:val="clear" w:color="auto" w:fill="auto"/>
          </w:tcPr>
          <w:p w:rsidR="0064252C" w:rsidRDefault="0064252C">
            <w:pPr>
              <w:pStyle w:val="a5"/>
              <w:ind w:right="0"/>
              <w:jc w:val="right"/>
            </w:pPr>
            <w:r>
              <w:t>20.35%</w:t>
            </w:r>
          </w:p>
        </w:tc>
      </w:tr>
      <w:tr w:rsidR="0064252C">
        <w:tc>
          <w:tcPr>
            <w:tcW w:w="2835" w:type="dxa"/>
            <w:tcBorders>
              <w:bottom w:val="single" w:sz="12" w:space="0" w:color="auto"/>
            </w:tcBorders>
            <w:shd w:val="clear" w:color="auto" w:fill="auto"/>
          </w:tcPr>
          <w:p w:rsidR="0064252C" w:rsidRDefault="0064252C">
            <w:pPr>
              <w:pStyle w:val="a5"/>
            </w:pPr>
            <w:r>
              <w:t>其他</w:t>
            </w:r>
            <w:r>
              <w:t>(</w:t>
            </w:r>
            <w:r>
              <w:t>听力障碍、视力障碍、语音和言语交流障碍、心理或器质性异常者和慢性疾病患者</w:t>
            </w:r>
            <w:r>
              <w:t>)</w:t>
            </w:r>
          </w:p>
        </w:tc>
        <w:tc>
          <w:tcPr>
            <w:tcW w:w="1133" w:type="dxa"/>
            <w:tcBorders>
              <w:bottom w:val="single" w:sz="12" w:space="0" w:color="auto"/>
            </w:tcBorders>
            <w:shd w:val="clear" w:color="auto" w:fill="auto"/>
          </w:tcPr>
          <w:p w:rsidR="0064252C" w:rsidRDefault="0064252C">
            <w:pPr>
              <w:pStyle w:val="a5"/>
              <w:ind w:right="0"/>
              <w:jc w:val="right"/>
            </w:pPr>
            <w:r>
              <w:t>253</w:t>
            </w:r>
          </w:p>
        </w:tc>
        <w:tc>
          <w:tcPr>
            <w:tcW w:w="1134" w:type="dxa"/>
            <w:tcBorders>
              <w:bottom w:val="single" w:sz="12" w:space="0" w:color="auto"/>
            </w:tcBorders>
            <w:shd w:val="clear" w:color="auto" w:fill="auto"/>
          </w:tcPr>
          <w:p w:rsidR="0064252C" w:rsidRDefault="0064252C">
            <w:pPr>
              <w:pStyle w:val="a5"/>
              <w:ind w:right="0"/>
              <w:jc w:val="right"/>
            </w:pPr>
            <w:r>
              <w:t>23.44%</w:t>
            </w:r>
          </w:p>
        </w:tc>
        <w:tc>
          <w:tcPr>
            <w:tcW w:w="1134" w:type="dxa"/>
            <w:tcBorders>
              <w:bottom w:val="single" w:sz="12" w:space="0" w:color="auto"/>
            </w:tcBorders>
            <w:shd w:val="clear" w:color="auto" w:fill="auto"/>
          </w:tcPr>
          <w:p w:rsidR="0064252C" w:rsidRDefault="0064252C">
            <w:pPr>
              <w:pStyle w:val="a5"/>
              <w:ind w:right="0"/>
              <w:jc w:val="right"/>
            </w:pPr>
            <w:r>
              <w:t>1 500</w:t>
            </w:r>
          </w:p>
        </w:tc>
        <w:tc>
          <w:tcPr>
            <w:tcW w:w="1134" w:type="dxa"/>
            <w:tcBorders>
              <w:bottom w:val="single" w:sz="12" w:space="0" w:color="auto"/>
            </w:tcBorders>
            <w:shd w:val="clear" w:color="auto" w:fill="auto"/>
          </w:tcPr>
          <w:p w:rsidR="0064252C" w:rsidRDefault="0064252C">
            <w:pPr>
              <w:pStyle w:val="a5"/>
              <w:ind w:right="0"/>
              <w:jc w:val="right"/>
            </w:pPr>
            <w:r>
              <w:t>23.98%</w:t>
            </w:r>
          </w:p>
        </w:tc>
      </w:tr>
    </w:tbl>
    <w:p w:rsidR="0064252C" w:rsidRDefault="0064252C">
      <w:pPr>
        <w:pStyle w:val="SingleTxtGC"/>
        <w:spacing w:after="0" w:line="200" w:lineRule="exact"/>
        <w:rPr>
          <w:lang w:val="en-GB"/>
        </w:rPr>
      </w:pPr>
    </w:p>
    <w:p w:rsidR="0064252C" w:rsidRDefault="0064252C">
      <w:pPr>
        <w:pStyle w:val="SingleTxtGC"/>
        <w:rPr>
          <w:lang w:val="en-GB"/>
        </w:rPr>
      </w:pPr>
      <w:r>
        <w:rPr>
          <w:lang w:val="en-GB"/>
        </w:rPr>
        <w:t>186.</w:t>
      </w:r>
      <w:r>
        <w:rPr>
          <w:rFonts w:ascii="SimSun" w:hAnsi="SimSun" w:cs="SimSun" w:hint="eastAsia"/>
          <w:lang w:val="en-GB"/>
        </w:rPr>
        <w:t xml:space="preserve"> </w:t>
      </w:r>
      <w:r>
        <w:rPr>
          <w:rFonts w:ascii="SimSun" w:hAnsi="SimSun" w:cs="SimSun"/>
          <w:lang w:val="en-GB"/>
        </w:rPr>
        <w:t xml:space="preserve"> </w:t>
      </w:r>
      <w:r>
        <w:t>与</w:t>
      </w:r>
      <w:r>
        <w:rPr>
          <w:lang w:val="en-GB"/>
        </w:rPr>
        <w:t>2009</w:t>
      </w:r>
      <w:r>
        <w:t>年</w:t>
      </w:r>
      <w:r>
        <w:rPr>
          <w:lang w:val="en-GB"/>
        </w:rPr>
        <w:t>1</w:t>
      </w:r>
      <w:r>
        <w:t>月相比</w:t>
      </w:r>
      <w:r>
        <w:rPr>
          <w:lang w:val="en-GB"/>
        </w:rPr>
        <w:t>，</w:t>
      </w:r>
      <w:r>
        <w:t>同年</w:t>
      </w:r>
      <w:r>
        <w:rPr>
          <w:lang w:val="en-GB"/>
        </w:rPr>
        <w:t>12</w:t>
      </w:r>
      <w:r>
        <w:t>月获得赔偿的残疾人数增加</w:t>
      </w:r>
      <w:r>
        <w:rPr>
          <w:lang w:val="en-GB"/>
        </w:rPr>
        <w:t>7.80%</w:t>
      </w:r>
      <w:r>
        <w:rPr>
          <w:lang w:val="en-GB"/>
        </w:rPr>
        <w:t>，</w:t>
      </w:r>
      <w:r>
        <w:rPr>
          <w:lang w:val="en-GB"/>
        </w:rPr>
        <w:t>2010</w:t>
      </w:r>
      <w:r>
        <w:t>年增加</w:t>
      </w:r>
      <w:r>
        <w:rPr>
          <w:lang w:val="en-GB"/>
        </w:rPr>
        <w:t>7.3%</w:t>
      </w:r>
      <w:r>
        <w:t>。</w:t>
      </w:r>
    </w:p>
    <w:p w:rsidR="0064252C" w:rsidRDefault="0064252C">
      <w:pPr>
        <w:pStyle w:val="SingleTxtGC"/>
        <w:rPr>
          <w:lang w:val="en-GB"/>
        </w:rPr>
      </w:pPr>
      <w:r>
        <w:rPr>
          <w:lang w:val="en-GB"/>
        </w:rPr>
        <w:t xml:space="preserve">187.  </w:t>
      </w:r>
      <w:r>
        <w:t>《残疾人专业康复和就业法》</w:t>
      </w:r>
      <w:r>
        <w:rPr>
          <w:lang w:val="en-GB"/>
        </w:rPr>
        <w:t>(2002</w:t>
      </w:r>
      <w:r>
        <w:t>年、</w:t>
      </w:r>
      <w:r>
        <w:rPr>
          <w:lang w:val="en-GB"/>
        </w:rPr>
        <w:t>2005</w:t>
      </w:r>
      <w:r>
        <w:t>年</w:t>
      </w:r>
      <w:r>
        <w:rPr>
          <w:lang w:val="en-GB"/>
        </w:rPr>
        <w:t>)</w:t>
      </w:r>
      <w:r>
        <w:t>将残疾人专业康复、工作和就业中出现的问题统一为一体。该法规定了下列权利：</w:t>
      </w:r>
    </w:p>
    <w:p w:rsidR="0064252C" w:rsidRDefault="0064252C">
      <w:pPr>
        <w:pStyle w:val="Bullet1GC"/>
        <w:rPr>
          <w:lang w:val="en-GB"/>
        </w:rPr>
      </w:pPr>
      <w:r>
        <w:t>一般或特殊条件下残疾人在劳动力市场上就业和工作的权利</w:t>
      </w:r>
      <w:r>
        <w:rPr>
          <w:lang w:val="en-GB"/>
        </w:rPr>
        <w:t>，</w:t>
      </w:r>
      <w:r>
        <w:t>和在开放性劳动力市场上或在为雇用残疾人而成立的机构或公司</w:t>
      </w:r>
      <w:r>
        <w:rPr>
          <w:lang w:val="en-GB"/>
        </w:rPr>
        <w:t>(</w:t>
      </w:r>
      <w:r>
        <w:t>防护性车间</w:t>
      </w:r>
      <w:r>
        <w:rPr>
          <w:lang w:val="en-GB"/>
        </w:rPr>
        <w:t>，</w:t>
      </w:r>
      <w:r>
        <w:t>面向依靠自身工作能力和综合能力无法在开放性劳动力市场获得或保住适用法律规定相关福利的就业的残疾人</w:t>
      </w:r>
      <w:r>
        <w:rPr>
          <w:lang w:val="en-GB"/>
        </w:rPr>
        <w:t>)</w:t>
      </w:r>
      <w:r>
        <w:t>就业的权利</w:t>
      </w:r>
      <w:r>
        <w:rPr>
          <w:lang w:val="en-GB"/>
        </w:rPr>
        <w:t>；</w:t>
      </w:r>
    </w:p>
    <w:p w:rsidR="0064252C" w:rsidRDefault="0064252C">
      <w:pPr>
        <w:pStyle w:val="Bullet1GC"/>
        <w:rPr>
          <w:lang w:val="en-GB"/>
        </w:rPr>
      </w:pPr>
      <w:r>
        <w:t>自营职业</w:t>
      </w:r>
      <w:r>
        <w:rPr>
          <w:lang w:val="en-GB"/>
        </w:rPr>
        <w:t>(</w:t>
      </w:r>
      <w:r>
        <w:t>个体开业、成立自己的公司和开展独立活动</w:t>
      </w:r>
      <w:r>
        <w:rPr>
          <w:lang w:val="en-GB"/>
        </w:rPr>
        <w:t>)</w:t>
      </w:r>
      <w:r>
        <w:t>和在家庭农场就业的权利</w:t>
      </w:r>
      <w:r>
        <w:rPr>
          <w:lang w:val="en-GB"/>
        </w:rPr>
        <w:t>；</w:t>
      </w:r>
    </w:p>
    <w:p w:rsidR="0064252C" w:rsidRDefault="0064252C">
      <w:pPr>
        <w:pStyle w:val="Bullet1GC"/>
        <w:rPr>
          <w:rFonts w:hint="eastAsia"/>
          <w:lang w:val="en-GB"/>
        </w:rPr>
      </w:pPr>
      <w:r>
        <w:t>国家行政机关、司法权力机构和其他国家机构、地方自治单位和区域自治单位、公共服务部门、预算外资金和资产全部或主要归克罗地亚共和国所有的法人有义务根据残疾雇员的个人选择让其在适当的工作条件下担任适当的职位</w:t>
      </w:r>
      <w:r>
        <w:rPr>
          <w:lang w:val="en-GB"/>
        </w:rPr>
        <w:t>(</w:t>
      </w:r>
      <w:r>
        <w:t>视雇员总人数而定</w:t>
      </w:r>
      <w:r>
        <w:rPr>
          <w:lang w:val="en-GB"/>
        </w:rPr>
        <w:t>)</w:t>
      </w:r>
      <w:r>
        <w:rPr>
          <w:rFonts w:hint="eastAsia"/>
          <w:lang w:val="en-GB"/>
        </w:rPr>
        <w:t>。</w:t>
      </w:r>
      <w:r>
        <w:rPr>
          <w:rStyle w:val="FootnoteReference"/>
        </w:rPr>
        <w:footnoteReference w:id="22"/>
      </w:r>
    </w:p>
    <w:p w:rsidR="0064252C" w:rsidRDefault="0064252C">
      <w:pPr>
        <w:pStyle w:val="SingleTxtGC"/>
        <w:rPr>
          <w:lang w:val="en-GB"/>
        </w:rPr>
      </w:pPr>
      <w:r>
        <w:rPr>
          <w:lang w:val="en-GB"/>
        </w:rPr>
        <w:t xml:space="preserve">188.  </w:t>
      </w:r>
      <w:r>
        <w:t>该部法律的通过为设立残疾人专业康复和就业基金创造了前提条件</w:t>
      </w:r>
      <w:r>
        <w:rPr>
          <w:lang w:val="en-GB"/>
        </w:rPr>
        <w:t>，</w:t>
      </w:r>
      <w:r>
        <w:t>该基金于</w:t>
      </w:r>
      <w:r>
        <w:rPr>
          <w:lang w:val="en-GB"/>
        </w:rPr>
        <w:t>2003</w:t>
      </w:r>
      <w:r>
        <w:t>年设立。残疾人专业康复和就业基金的活动，除其他外，包括执行残疾人专业康复和就业发展和改进政策；资助或共同资助残疾人专业康复机构和工作中心；支付现金奖励；共同资助现有方案的发展和引进旨在促进残疾人就业的新的技术和方案；共同资助残疾人就业维持方案；共同资助和资助专业康复领域内的专业人士教育方案；以及，共同资助和资助专业康复研究和发展方案。《关于残疾人就业奖励实现方式的决定》</w:t>
      </w:r>
      <w:r>
        <w:t>(2008</w:t>
      </w:r>
      <w:r>
        <w:t>年、</w:t>
      </w:r>
      <w:r>
        <w:t>2009</w:t>
      </w:r>
      <w:r>
        <w:t>年、</w:t>
      </w:r>
      <w:r>
        <w:t>2010</w:t>
      </w:r>
      <w:r>
        <w:t>年</w:t>
      </w:r>
      <w:r>
        <w:t>)</w:t>
      </w:r>
      <w:r>
        <w:t>规定，残疾人雇主和自营职业残疾人享有获得就业奖励的权利，并对实现该奖励权利的条件和方式做了规定。根据规定，奖励分为以下两种类型：</w:t>
      </w:r>
    </w:p>
    <w:p w:rsidR="0064252C" w:rsidRDefault="0064252C">
      <w:pPr>
        <w:pStyle w:val="Bullet1GC"/>
        <w:rPr>
          <w:lang w:val="en-GB"/>
        </w:rPr>
      </w:pPr>
      <w:r>
        <w:t>普通奖励</w:t>
      </w:r>
      <w:r>
        <w:rPr>
          <w:lang w:val="en-GB"/>
        </w:rPr>
        <w:t>：</w:t>
      </w:r>
      <w:r>
        <w:t>与所作缴费等量的报酬</w:t>
      </w:r>
      <w:r>
        <w:rPr>
          <w:lang w:val="en-GB"/>
        </w:rPr>
        <w:t>；</w:t>
      </w:r>
      <w:r>
        <w:t>工作成效降低所致差额和共同资助私人助理费用的报酬</w:t>
      </w:r>
      <w:r>
        <w:rPr>
          <w:rFonts w:hint="eastAsia"/>
          <w:lang w:val="en-GB"/>
        </w:rPr>
        <w:t>；以及</w:t>
      </w:r>
    </w:p>
    <w:p w:rsidR="0064252C" w:rsidRDefault="0064252C">
      <w:pPr>
        <w:pStyle w:val="Bullet1GC"/>
        <w:rPr>
          <w:lang w:val="en-GB"/>
        </w:rPr>
      </w:pPr>
      <w:r>
        <w:t>特殊奖励</w:t>
      </w:r>
      <w:r>
        <w:rPr>
          <w:lang w:val="en-GB"/>
        </w:rPr>
        <w:t>：</w:t>
      </w:r>
      <w:r>
        <w:t>单一实质性条款</w:t>
      </w:r>
      <w:r>
        <w:rPr>
          <w:rFonts w:cs="SimSun" w:hint="eastAsia"/>
          <w:spacing w:val="-60"/>
          <w:lang w:val="en-GB"/>
        </w:rPr>
        <w:t>―</w:t>
      </w:r>
      <w:r>
        <w:rPr>
          <w:rFonts w:cs="SimSun" w:hint="eastAsia"/>
          <w:spacing w:val="10"/>
          <w:lang w:val="en-GB"/>
        </w:rPr>
        <w:t>―</w:t>
      </w:r>
      <w:r>
        <w:t>残疾人教育</w:t>
      </w:r>
      <w:r>
        <w:rPr>
          <w:lang w:val="en-GB"/>
        </w:rPr>
        <w:t>；</w:t>
      </w:r>
      <w:r>
        <w:t>工作场所调整</w:t>
      </w:r>
      <w:r>
        <w:rPr>
          <w:rFonts w:cs="SimSun" w:hint="eastAsia"/>
          <w:spacing w:val="-60"/>
          <w:lang w:val="en-GB"/>
        </w:rPr>
        <w:t>―</w:t>
      </w:r>
      <w:r>
        <w:rPr>
          <w:rFonts w:cs="SimSun" w:hint="eastAsia"/>
          <w:spacing w:val="10"/>
          <w:lang w:val="en-GB"/>
        </w:rPr>
        <w:t>―</w:t>
      </w:r>
      <w:r>
        <w:t>建筑调整</w:t>
      </w:r>
      <w:r>
        <w:rPr>
          <w:rFonts w:cs="SimSun" w:hint="eastAsia"/>
          <w:spacing w:val="-60"/>
          <w:lang w:val="en-GB"/>
        </w:rPr>
        <w:t>―</w:t>
      </w:r>
      <w:r>
        <w:rPr>
          <w:rFonts w:cs="SimSun" w:hint="eastAsia"/>
          <w:spacing w:val="10"/>
          <w:lang w:val="en-GB"/>
        </w:rPr>
        <w:t>―</w:t>
      </w:r>
      <w:r>
        <w:t>资金</w:t>
      </w:r>
      <w:r>
        <w:rPr>
          <w:lang w:val="en-GB"/>
        </w:rPr>
        <w:t>；</w:t>
      </w:r>
      <w:r>
        <w:t>工作场所调整</w:t>
      </w:r>
      <w:r>
        <w:rPr>
          <w:rFonts w:cs="SimSun" w:hint="eastAsia"/>
          <w:spacing w:val="-60"/>
          <w:lang w:val="en-GB"/>
        </w:rPr>
        <w:t>―</w:t>
      </w:r>
      <w:r>
        <w:rPr>
          <w:rFonts w:cs="SimSun" w:hint="eastAsia"/>
          <w:spacing w:val="10"/>
          <w:lang w:val="en-GB"/>
        </w:rPr>
        <w:t>―</w:t>
      </w:r>
      <w:r>
        <w:t>技术调整</w:t>
      </w:r>
      <w:r>
        <w:rPr>
          <w:rFonts w:cs="SimSun" w:hint="eastAsia"/>
          <w:spacing w:val="-60"/>
          <w:lang w:val="en-GB"/>
        </w:rPr>
        <w:t>―</w:t>
      </w:r>
      <w:r>
        <w:rPr>
          <w:rFonts w:cs="SimSun" w:hint="eastAsia"/>
          <w:spacing w:val="10"/>
          <w:lang w:val="en-GB"/>
        </w:rPr>
        <w:t>―</w:t>
      </w:r>
      <w:r>
        <w:t>资金</w:t>
      </w:r>
      <w:r>
        <w:rPr>
          <w:lang w:val="en-GB"/>
        </w:rPr>
        <w:t>；</w:t>
      </w:r>
      <w:r>
        <w:t>优惠信贷资金利息共同筹资和工作治疗师费用共同筹资。</w:t>
      </w:r>
    </w:p>
    <w:p w:rsidR="0064252C" w:rsidRDefault="0064252C">
      <w:pPr>
        <w:pStyle w:val="SingleTxtGC"/>
        <w:rPr>
          <w:lang w:val="en-GB"/>
        </w:rPr>
      </w:pPr>
      <w:r>
        <w:rPr>
          <w:lang w:val="en-GB"/>
        </w:rPr>
        <w:t xml:space="preserve">189.  </w:t>
      </w:r>
      <w:r>
        <w:t>实现残疾人就业奖励的权利与在工作期间致残还是在工作之前致残并不相关</w:t>
      </w:r>
      <w:r>
        <w:rPr>
          <w:lang w:val="en-GB"/>
        </w:rPr>
        <w:t>，</w:t>
      </w:r>
      <w:r>
        <w:t>因此</w:t>
      </w:r>
      <w:r>
        <w:rPr>
          <w:lang w:val="en-GB"/>
        </w:rPr>
        <w:t>，</w:t>
      </w:r>
      <w:r>
        <w:t>对于领取残疾人专业康复和就业基金奖励的权利而言</w:t>
      </w:r>
      <w:r>
        <w:rPr>
          <w:lang w:val="en-GB"/>
        </w:rPr>
        <w:t>，</w:t>
      </w:r>
      <w:r>
        <w:t>一切类型的残疾和致残方式一律平等。支付的奖励包括返还基本医疗保险缴费和就业缴费。</w:t>
      </w:r>
      <w:r>
        <w:t>2006</w:t>
      </w:r>
      <w:r>
        <w:t>至</w:t>
      </w:r>
      <w:r>
        <w:t>2010</w:t>
      </w:r>
      <w:r>
        <w:t>年期间，为针对残疾人调整工作场所和工作条件，共向雇主支付</w:t>
      </w:r>
      <w:r>
        <w:t>40,706,438.00</w:t>
      </w:r>
      <w:r>
        <w:t>库纳。对于以雇用和教育就业残疾为目的的失业残疾人教育奖励，残疾人专业康复和就业基金承担</w:t>
      </w:r>
      <w:r>
        <w:t>60%</w:t>
      </w:r>
      <w:r>
        <w:t>的资金，用人单位承担剩余部分的费用。</w:t>
      </w:r>
      <w:r>
        <w:t>2006</w:t>
      </w:r>
      <w:r>
        <w:t>至</w:t>
      </w:r>
      <w:r>
        <w:t>2010</w:t>
      </w:r>
      <w:r>
        <w:t>年期间，共为此目的花费</w:t>
      </w:r>
      <w:r>
        <w:t>409,753.00</w:t>
      </w:r>
      <w:r>
        <w:t>库纳。</w:t>
      </w:r>
    </w:p>
    <w:p w:rsidR="0064252C" w:rsidRDefault="0064252C">
      <w:pPr>
        <w:pStyle w:val="SingleTxtGC"/>
        <w:rPr>
          <w:lang w:val="en-GB"/>
        </w:rPr>
      </w:pPr>
      <w:r>
        <w:rPr>
          <w:lang w:val="en-GB"/>
        </w:rPr>
        <w:t xml:space="preserve">190.  </w:t>
      </w:r>
      <w:r>
        <w:t>按照《入盟伙伴关系》的规定</w:t>
      </w:r>
      <w:r>
        <w:rPr>
          <w:lang w:val="en-GB"/>
        </w:rPr>
        <w:t>，</w:t>
      </w:r>
      <w:r>
        <w:t>克罗地亚共和国政府和欧洲联盟委员会签署了《克罗地亚共和国社会包容联合备忘录》</w:t>
      </w:r>
      <w:r>
        <w:rPr>
          <w:lang w:val="en-GB"/>
        </w:rPr>
        <w:t>(JIM</w:t>
      </w:r>
      <w:r>
        <w:rPr>
          <w:lang w:val="en-GB"/>
        </w:rPr>
        <w:t>，</w:t>
      </w:r>
      <w:r>
        <w:rPr>
          <w:lang w:val="en-GB"/>
        </w:rPr>
        <w:t>2007</w:t>
      </w:r>
      <w:r>
        <w:t>年</w:t>
      </w:r>
      <w:r>
        <w:rPr>
          <w:lang w:val="en-GB"/>
        </w:rPr>
        <w:t>)</w:t>
      </w:r>
      <w:r>
        <w:t>和《就业政策优先事项联合评估》</w:t>
      </w:r>
      <w:r>
        <w:rPr>
          <w:lang w:val="en-GB"/>
        </w:rPr>
        <w:t>(JAP</w:t>
      </w:r>
      <w:r>
        <w:rPr>
          <w:lang w:val="en-GB"/>
        </w:rPr>
        <w:t>，</w:t>
      </w:r>
      <w:r>
        <w:rPr>
          <w:lang w:val="en-GB"/>
        </w:rPr>
        <w:t>2008</w:t>
      </w:r>
      <w:r>
        <w:rPr>
          <w:rFonts w:hint="eastAsia"/>
          <w:lang w:val="en-GB"/>
        </w:rPr>
        <w:t>年</w:t>
      </w:r>
      <w:r>
        <w:rPr>
          <w:lang w:val="en-GB"/>
        </w:rPr>
        <w:t>)</w:t>
      </w:r>
      <w:r>
        <w:rPr>
          <w:lang w:val="en-GB"/>
        </w:rPr>
        <w:t>，</w:t>
      </w:r>
      <w:r>
        <w:t>随着两份文件的通过</w:t>
      </w:r>
      <w:r>
        <w:rPr>
          <w:lang w:val="en-GB"/>
        </w:rPr>
        <w:t>，</w:t>
      </w:r>
      <w:r>
        <w:t>克罗地亚共和国启动了新一轮的积极就业措施。这些文件之间的纽带是某些共同的目标和优先事项，在其实施进程中，优先行动领域、实施措施和活动的协调统一极其重要，另外，通过主管部门的良好协调实现实施进程的协调统一也极其重要。</w:t>
      </w:r>
    </w:p>
    <w:p w:rsidR="0064252C" w:rsidRDefault="0064252C">
      <w:pPr>
        <w:pStyle w:val="SingleTxtGC"/>
        <w:rPr>
          <w:lang w:val="en-GB"/>
        </w:rPr>
      </w:pPr>
      <w:r>
        <w:rPr>
          <w:lang w:val="en-GB"/>
        </w:rPr>
        <w:t xml:space="preserve">191.  </w:t>
      </w:r>
      <w:r>
        <w:t>为解决《</w:t>
      </w:r>
      <w:r>
        <w:rPr>
          <w:lang w:val="en-GB"/>
        </w:rPr>
        <w:t>2009-2010</w:t>
      </w:r>
      <w:r>
        <w:t>年促进就业国家计划》所列之长期失业问题</w:t>
      </w:r>
      <w:r>
        <w:rPr>
          <w:lang w:val="en-GB"/>
        </w:rPr>
        <w:t>，</w:t>
      </w:r>
      <w:r>
        <w:t>专门为那些面临被劳动力市场排斥风险且根据社会标准属于弱势群体</w:t>
      </w:r>
      <w:r>
        <w:rPr>
          <w:lang w:val="en-GB"/>
        </w:rPr>
        <w:t>(</w:t>
      </w:r>
      <w:r>
        <w:t>残疾人、受教育程度低者、老年人、塞尔维亚少数民族、罗姆少数民族、克罗地亚卫国战争退伍军人</w:t>
      </w:r>
      <w:r>
        <w:rPr>
          <w:lang w:val="en-GB"/>
        </w:rPr>
        <w:t>)</w:t>
      </w:r>
      <w:r>
        <w:t>的长期失业的残疾人出台了一项特别措施。《国家计划》所载措施包括就业共同筹资、旨在满足劳动力市场需求的教育共同筹资和</w:t>
      </w:r>
      <w:r>
        <w:rPr>
          <w:rFonts w:hint="eastAsia"/>
        </w:rPr>
        <w:t>融</w:t>
      </w:r>
      <w:r>
        <w:t>资</w:t>
      </w:r>
      <w:r>
        <w:rPr>
          <w:rFonts w:hint="eastAsia"/>
        </w:rPr>
        <w:t>以及</w:t>
      </w:r>
      <w:r>
        <w:t>纳入公共工程。经克罗地亚就业局进行调解，</w:t>
      </w:r>
      <w:r>
        <w:t>2008</w:t>
      </w:r>
      <w:r>
        <w:t>年共有</w:t>
      </w:r>
      <w:r>
        <w:t>88</w:t>
      </w:r>
      <w:r>
        <w:t>名残疾人因积极的政策措施获得就业，</w:t>
      </w:r>
      <w:r>
        <w:t>2009</w:t>
      </w:r>
      <w:r>
        <w:t>年有</w:t>
      </w:r>
      <w:r>
        <w:t>16</w:t>
      </w:r>
      <w:r>
        <w:t>名残疾人在就业共同筹资的支持下获得就业。</w:t>
      </w:r>
      <w:r>
        <w:t>2009</w:t>
      </w:r>
      <w:r>
        <w:t>年，</w:t>
      </w:r>
      <w:r>
        <w:t>23</w:t>
      </w:r>
      <w:r>
        <w:t>名残疾人获得旨在满足劳动力市场需求的教育，</w:t>
      </w:r>
      <w:r>
        <w:t>107</w:t>
      </w:r>
      <w:r>
        <w:t>名残疾人被纳入公共工程各个方案。</w:t>
      </w:r>
      <w:r>
        <w:t>2010</w:t>
      </w:r>
      <w:r>
        <w:t>年，经克罗地亚就业局进行调解，有</w:t>
      </w:r>
      <w:r>
        <w:t>40</w:t>
      </w:r>
      <w:r>
        <w:t>名残疾人在就业共同筹资的支持下获得就业，同时还资助</w:t>
      </w:r>
      <w:r>
        <w:t>3</w:t>
      </w:r>
      <w:r>
        <w:t>名残疾人获得针对特定雇主的教育。有</w:t>
      </w:r>
      <w:r>
        <w:t>71</w:t>
      </w:r>
      <w:r>
        <w:t>名残疾人被纳入旨在满足劳动力市场需求教育的筹资支助，有</w:t>
      </w:r>
      <w:r>
        <w:t>2</w:t>
      </w:r>
      <w:r>
        <w:t>名残疾人被纳入以工作为目的的专业康复。</w:t>
      </w:r>
      <w:r>
        <w:t>2010</w:t>
      </w:r>
      <w:r>
        <w:t>年，有</w:t>
      </w:r>
      <w:r>
        <w:t>228</w:t>
      </w:r>
      <w:r>
        <w:t>名残疾人通过公共工程方案获得就业，有</w:t>
      </w:r>
      <w:r>
        <w:t>5</w:t>
      </w:r>
      <w:r>
        <w:t>名残疾人获得自营职业支助。最后，在</w:t>
      </w:r>
      <w:r>
        <w:t>2010</w:t>
      </w:r>
      <w:r>
        <w:t>年，克罗地亚就业局推行的积极的政策措施共涵盖</w:t>
      </w:r>
      <w:r>
        <w:t>349</w:t>
      </w:r>
      <w:r>
        <w:t>名残疾人，而</w:t>
      </w:r>
      <w:r>
        <w:t>2009</w:t>
      </w:r>
      <w:r>
        <w:t>年，使用这些奖励的残疾人人数显著减少</w:t>
      </w:r>
      <w:r>
        <w:t>(146)</w:t>
      </w:r>
      <w:r>
        <w:t>。这是实施《克罗地亚共和国政府经济复苏方案》所载措施之一的结果。该项措施将劳动力市场政策的重点放在培训、教育、再培训和获得关键能力上，特别是针对失业人口和适合就业人口中的不主动就业类别。这样，</w:t>
      </w:r>
      <w:r>
        <w:t>2010</w:t>
      </w:r>
      <w:r>
        <w:t>年，被纳入教育和纳入公共工程资助措施的残疾人数量</w:t>
      </w:r>
      <w:r>
        <w:rPr>
          <w:rFonts w:hint="eastAsia"/>
        </w:rPr>
        <w:t>与</w:t>
      </w:r>
      <w:r>
        <w:t>2008</w:t>
      </w:r>
      <w:r>
        <w:t>和</w:t>
      </w:r>
      <w:r>
        <w:t>2009</w:t>
      </w:r>
      <w:r>
        <w:t>年相比，显著增加。</w:t>
      </w:r>
    </w:p>
    <w:p w:rsidR="0064252C" w:rsidRDefault="0064252C">
      <w:pPr>
        <w:pStyle w:val="SingleTxtG"/>
        <w:tabs>
          <w:tab w:val="left" w:pos="558"/>
        </w:tabs>
        <w:spacing w:line="240" w:lineRule="auto"/>
        <w:rPr>
          <w:rFonts w:hint="eastAsia"/>
          <w:sz w:val="21"/>
          <w:szCs w:val="21"/>
          <w:lang w:eastAsia="zh-CN"/>
        </w:rPr>
      </w:pPr>
      <w:r>
        <w:rPr>
          <w:noProof/>
          <w:sz w:val="21"/>
          <w:szCs w:val="21"/>
          <w:lang w:val="en-US" w:eastAsia="zh-CN"/>
        </w:rPr>
        <w:pict>
          <v:group id="_x0000_s1092" style="position:absolute;left:0;text-align:left;margin-left:96.3pt;margin-top:11.55pt;width:297.8pt;height:205.25pt;z-index:1" coordorigin="3060,7920" coordsize="5956,4105">
            <v:rect id="_x0000_s1093" style="position:absolute;left:3060;top:7920;width:5956;height:774" stroked="f">
              <v:textbox style="mso-next-textbox:#_x0000_s1093" inset="0,0,0,0">
                <w:txbxContent>
                  <w:p w:rsidR="0064252C" w:rsidRDefault="0064252C">
                    <w:pPr>
                      <w:jc w:val="center"/>
                      <w:rPr>
                        <w:sz w:val="18"/>
                      </w:rPr>
                    </w:pPr>
                    <w:r>
                      <w:rPr>
                        <w:rFonts w:ascii="SimSun" w:eastAsia="SimHei" w:cs="SimSun" w:hint="eastAsia"/>
                        <w:bCs/>
                        <w:noProof/>
                        <w:color w:val="000000"/>
                      </w:rPr>
                      <w:t>将残疾人纳入克罗地亚就业局职权范围内</w:t>
                    </w:r>
                    <w:r>
                      <w:rPr>
                        <w:rFonts w:ascii="SimSun" w:eastAsia="SimHei" w:cs="SimSun" w:hint="eastAsia"/>
                        <w:bCs/>
                        <w:color w:val="000000"/>
                      </w:rPr>
                      <w:t>积极的就业政策措施</w:t>
                    </w:r>
                  </w:p>
                </w:txbxContent>
              </v:textbox>
            </v:rect>
            <v:shapetype id="_x0000_t202" coordsize="21600,21600" o:spt="202" path="m,l,21600r21600,l21600,xe">
              <v:stroke joinstyle="miter"/>
              <v:path gradientshapeok="t" o:connecttype="rect"/>
            </v:shapetype>
            <v:shape id="_x0000_s1094" type="#_x0000_t202" style="position:absolute;left:3060;top:10520;width:692;height:1312;mso-width-relative:margin;mso-height-relative:margin" stroked="f">
              <v:textbox inset="0,0,0,0">
                <w:txbxContent>
                  <w:p w:rsidR="0064252C" w:rsidRDefault="0064252C">
                    <w:pPr>
                      <w:spacing w:line="240" w:lineRule="auto"/>
                      <w:jc w:val="center"/>
                      <w:rPr>
                        <w:sz w:val="15"/>
                      </w:rPr>
                    </w:pPr>
                    <w:r>
                      <w:rPr>
                        <w:rFonts w:hint="eastAsia"/>
                        <w:sz w:val="15"/>
                      </w:rPr>
                      <w:t>就业共同筹资</w:t>
                    </w:r>
                  </w:p>
                </w:txbxContent>
              </v:textbox>
            </v:shape>
            <v:shape id="_x0000_s1095" type="#_x0000_t202" style="position:absolute;left:4260;top:10520;width:692;height:1312;mso-width-relative:margin;mso-height-relative:margin" stroked="f">
              <v:textbox inset="0,0,0,0">
                <w:txbxContent>
                  <w:p w:rsidR="0064252C" w:rsidRDefault="0064252C">
                    <w:pPr>
                      <w:spacing w:line="240" w:lineRule="auto"/>
                      <w:jc w:val="center"/>
                      <w:rPr>
                        <w:rFonts w:ascii="SimSun" w:hAnsi="SimSun"/>
                        <w:sz w:val="15"/>
                      </w:rPr>
                    </w:pPr>
                    <w:r>
                      <w:rPr>
                        <w:rFonts w:ascii="SimSun" w:hAnsi="SimSun" w:cs="SimSun" w:hint="eastAsia"/>
                        <w:bCs/>
                        <w:color w:val="000000"/>
                        <w:sz w:val="16"/>
                        <w:szCs w:val="22"/>
                      </w:rPr>
                      <w:t>教育</w:t>
                    </w:r>
                    <w:r>
                      <w:rPr>
                        <w:rFonts w:ascii="SimSun" w:hAnsi="SimSun" w:hint="eastAsia"/>
                        <w:sz w:val="15"/>
                      </w:rPr>
                      <w:t>共同筹资</w:t>
                    </w:r>
                  </w:p>
                </w:txbxContent>
              </v:textbox>
            </v:shape>
            <v:shape id="_x0000_s1096" type="#_x0000_t202" style="position:absolute;left:5437;top:10520;width:692;height:1387;mso-width-relative:margin;mso-height-relative:margin" stroked="f">
              <v:textbox inset="0,0,0,0">
                <w:txbxContent>
                  <w:p w:rsidR="0064252C" w:rsidRDefault="0064252C">
                    <w:pPr>
                      <w:spacing w:line="240" w:lineRule="auto"/>
                      <w:jc w:val="center"/>
                      <w:rPr>
                        <w:rFonts w:ascii="SimSun" w:hAnsi="SimSun"/>
                        <w:sz w:val="15"/>
                      </w:rPr>
                    </w:pPr>
                    <w:r>
                      <w:rPr>
                        <w:rFonts w:ascii="SimSun" w:hAnsi="SimSun" w:cs="SimSun" w:hint="eastAsia"/>
                        <w:bCs/>
                        <w:color w:val="000000"/>
                        <w:sz w:val="16"/>
                        <w:szCs w:val="22"/>
                      </w:rPr>
                      <w:t>自营职业补贴</w:t>
                    </w:r>
                  </w:p>
                </w:txbxContent>
              </v:textbox>
            </v:shape>
            <v:shape id="_x0000_s1097" type="#_x0000_t202" style="position:absolute;left:6503;top:10520;width:1107;height:1505;mso-width-relative:margin;mso-height-relative:margin" stroked="f">
              <v:textbox inset="0,0,0,0">
                <w:txbxContent>
                  <w:p w:rsidR="0064252C" w:rsidRDefault="0064252C">
                    <w:pPr>
                      <w:spacing w:line="240" w:lineRule="auto"/>
                      <w:jc w:val="center"/>
                      <w:rPr>
                        <w:rFonts w:ascii="SimSun" w:hAnsi="SimSun" w:cs="SimSun" w:hint="eastAsia"/>
                        <w:bCs/>
                        <w:color w:val="000000"/>
                        <w:sz w:val="16"/>
                        <w:szCs w:val="22"/>
                      </w:rPr>
                    </w:pPr>
                    <w:r>
                      <w:rPr>
                        <w:rFonts w:ascii="SimSun" w:hAnsi="SimSun" w:cs="SimSun" w:hint="eastAsia"/>
                        <w:bCs/>
                        <w:color w:val="000000"/>
                        <w:sz w:val="16"/>
                        <w:szCs w:val="22"/>
                      </w:rPr>
                      <w:t>公共工程就业</w:t>
                    </w:r>
                  </w:p>
                  <w:p w:rsidR="0064252C" w:rsidRDefault="0064252C">
                    <w:pPr>
                      <w:spacing w:line="240" w:lineRule="auto"/>
                      <w:jc w:val="center"/>
                      <w:rPr>
                        <w:rFonts w:ascii="SimSun" w:hAnsi="SimSun"/>
                        <w:sz w:val="15"/>
                      </w:rPr>
                    </w:pPr>
                    <w:r>
                      <w:rPr>
                        <w:rFonts w:ascii="SimSun" w:hAnsi="SimSun" w:cs="SimSun" w:hint="eastAsia"/>
                        <w:bCs/>
                        <w:color w:val="000000"/>
                        <w:sz w:val="16"/>
                        <w:szCs w:val="22"/>
                      </w:rPr>
                      <w:t>共同筹资/筹资</w:t>
                    </w:r>
                  </w:p>
                </w:txbxContent>
              </v:textbox>
            </v:shape>
            <v:shape id="_x0000_s1098" type="#_x0000_t202" style="position:absolute;left:7940;top:10520;width:915;height:602;mso-width-relative:margin;mso-height-relative:margin" stroked="f">
              <v:textbox inset="0,0,0,0">
                <w:txbxContent>
                  <w:p w:rsidR="0064252C" w:rsidRDefault="0064252C">
                    <w:pPr>
                      <w:spacing w:line="240" w:lineRule="auto"/>
                      <w:rPr>
                        <w:rFonts w:ascii="SimSun" w:hAnsi="SimSun"/>
                        <w:sz w:val="15"/>
                      </w:rPr>
                    </w:pPr>
                    <w:r>
                      <w:rPr>
                        <w:rFonts w:ascii="SimSun" w:hAnsi="SimSun" w:cs="SimSun" w:hint="eastAsia"/>
                        <w:bCs/>
                        <w:color w:val="000000"/>
                        <w:sz w:val="16"/>
                        <w:szCs w:val="22"/>
                      </w:rPr>
                      <w:t>合计</w:t>
                    </w:r>
                  </w:p>
                </w:txbxContent>
              </v:textbox>
            </v:shape>
          </v:group>
        </w:pict>
      </w:r>
      <w:r>
        <w:rPr>
          <w:lang w:val="hr-HR"/>
        </w:rPr>
        <w:pict>
          <v:shape id="_x0000_i1026" type="#_x0000_t75" style="width:370.5pt;height:230.25pt">
            <v:imagedata r:id="rId8" o:title=""/>
          </v:shape>
        </w:pict>
      </w:r>
    </w:p>
    <w:p w:rsidR="0064252C" w:rsidRDefault="0064252C">
      <w:pPr>
        <w:pStyle w:val="SingleTxtGC"/>
        <w:spacing w:after="0" w:line="200" w:lineRule="exact"/>
        <w:rPr>
          <w:lang w:val="en-GB"/>
        </w:rPr>
      </w:pPr>
    </w:p>
    <w:p w:rsidR="0064252C" w:rsidRDefault="0064252C">
      <w:pPr>
        <w:pStyle w:val="SingleTxtGC"/>
        <w:rPr>
          <w:lang w:val="en-GB"/>
        </w:rPr>
      </w:pPr>
      <w:r>
        <w:rPr>
          <w:lang w:val="en-GB"/>
        </w:rPr>
        <w:t xml:space="preserve">192.  </w:t>
      </w:r>
      <w:r>
        <w:t>在</w:t>
      </w:r>
      <w:r>
        <w:rPr>
          <w:lang w:val="en-GB"/>
        </w:rPr>
        <w:t>2008</w:t>
      </w:r>
      <w:r>
        <w:t>至</w:t>
      </w:r>
      <w:r>
        <w:rPr>
          <w:lang w:val="en-GB"/>
        </w:rPr>
        <w:t>2011</w:t>
      </w:r>
      <w:r>
        <w:t>年克罗地亚退伍战争军人和克罗地亚牺牲、被俘或失踪战争退伍军人子女专业培训和就业方案中</w:t>
      </w:r>
      <w:r>
        <w:rPr>
          <w:lang w:val="en-GB"/>
        </w:rPr>
        <w:t>，</w:t>
      </w:r>
      <w:r>
        <w:t>克罗地亚卫国战争伤残退伍军人被纳入鼓励建立克罗地亚战争退伍军人合作社的措施和克罗地亚退伍军人合作社项目支助措施</w:t>
      </w:r>
      <w:r>
        <w:rPr>
          <w:lang w:val="en-GB"/>
        </w:rPr>
        <w:t>，</w:t>
      </w:r>
      <w:r>
        <w:t>他们作为成员参与合作社的工作</w:t>
      </w:r>
      <w:r>
        <w:rPr>
          <w:lang w:val="en-GB"/>
        </w:rPr>
        <w:t>，</w:t>
      </w:r>
      <w:r>
        <w:t>按照能力大小和技能高低分配工作。通过鼓励建立克罗地亚战争退伍军人合作社的措施，家庭、退伍军人事务和代际团结部为建立合作社提供现金及其他支助，将其作为一种特殊形式的小型创业，以便能够开展有组织、有专业领导的活动和获得联合市场准入。克罗地亚战争退伍军人合作社项目如果在前期运作中取得成功并盈利，将获得支持。可批准予以支助，用以购买机械、设备或土地以扩大现有规模或活动或开发新的合作项目。</w:t>
      </w:r>
    </w:p>
    <w:p w:rsidR="0064252C" w:rsidRDefault="0064252C">
      <w:pPr>
        <w:pStyle w:val="SingleTxtGC"/>
        <w:rPr>
          <w:lang w:val="en-GB"/>
        </w:rPr>
      </w:pPr>
      <w:r>
        <w:rPr>
          <w:lang w:val="en-GB"/>
        </w:rPr>
        <w:t xml:space="preserve">193.  </w:t>
      </w:r>
      <w:r>
        <w:t>为保护残疾工人免遭毫无根据的终止雇用</w:t>
      </w:r>
      <w:r>
        <w:rPr>
          <w:lang w:val="en-GB"/>
        </w:rPr>
        <w:t>，</w:t>
      </w:r>
      <w:r>
        <w:t>《劳动法》</w:t>
      </w:r>
      <w:r>
        <w:rPr>
          <w:lang w:val="en-GB"/>
        </w:rPr>
        <w:t>(2009</w:t>
      </w:r>
      <w:r>
        <w:t>年</w:t>
      </w:r>
      <w:r>
        <w:rPr>
          <w:lang w:val="en-GB"/>
        </w:rPr>
        <w:t>)</w:t>
      </w:r>
      <w:r>
        <w:t>通过以下方式保护暂时或永久丧失工作能力的工人</w:t>
      </w:r>
      <w:r>
        <w:rPr>
          <w:lang w:val="en-GB"/>
        </w:rPr>
        <w:t>：</w:t>
      </w:r>
      <w:r>
        <w:t>禁止终止雇用因工伤事故或职业疾病所致损伤而暂时丧失工作能力的工人</w:t>
      </w:r>
      <w:r>
        <w:rPr>
          <w:lang w:val="en-GB"/>
        </w:rPr>
        <w:t>，</w:t>
      </w:r>
      <w:r>
        <w:t>和禁止对其晋升或实现其他权利造成不利影响</w:t>
      </w:r>
      <w:r>
        <w:rPr>
          <w:lang w:val="en-GB"/>
        </w:rPr>
        <w:t>；</w:t>
      </w:r>
      <w:r>
        <w:t>规定暂时丧失工作能力的工人享有恢复原先岗位或从事适当工作职位的权利</w:t>
      </w:r>
      <w:r>
        <w:rPr>
          <w:lang w:val="en-GB"/>
        </w:rPr>
        <w:t>；</w:t>
      </w:r>
      <w:r>
        <w:t>规定工人享有从事其他职位的权利</w:t>
      </w:r>
      <w:r>
        <w:rPr>
          <w:lang w:val="en-GB"/>
        </w:rPr>
        <w:t>，</w:t>
      </w:r>
      <w:r>
        <w:t>禁止在工人丧失专业工作能力或当下面临残疾危险的情况下终止雇用</w:t>
      </w:r>
      <w:r>
        <w:rPr>
          <w:lang w:val="en-GB"/>
        </w:rPr>
        <w:t>，</w:t>
      </w:r>
      <w:r>
        <w:t>确定因工伤事故或职业疾病导致损伤情况下的终止雇用福利</w:t>
      </w:r>
      <w:r>
        <w:rPr>
          <w:lang w:val="en-GB"/>
        </w:rPr>
        <w:t>，</w:t>
      </w:r>
      <w:r>
        <w:t>并优先向其提供专业培训和教育。《劳动法》还保护残疾人免遭营运条件或个人条件所致的终止雇用，雇主必须考虑到工人的残疾状况，在工人丧失专业工作能力或当下面临残疾危险或工人身患残疾情况下，未经工人委员会事先同意，不得终止雇用。</w:t>
      </w:r>
    </w:p>
    <w:p w:rsidR="0064252C" w:rsidRDefault="0064252C">
      <w:pPr>
        <w:pStyle w:val="SingleTxtGC"/>
        <w:rPr>
          <w:lang w:val="en-GB"/>
        </w:rPr>
      </w:pPr>
      <w:r>
        <w:rPr>
          <w:lang w:val="en-GB"/>
        </w:rPr>
        <w:t xml:space="preserve">194.  </w:t>
      </w:r>
      <w:r>
        <w:t>正在不断查明患有残疾和存在其他就业困难因素、需要职业指导的失业人员。</w:t>
      </w:r>
      <w:r>
        <w:t>2009</w:t>
      </w:r>
      <w:r>
        <w:t>年期间，克罗地亚就业局共向</w:t>
      </w:r>
      <w:r>
        <w:t>1,644</w:t>
      </w:r>
      <w:r>
        <w:t>名残疾人展开专业咨询活动，其中</w:t>
      </w:r>
      <w:r>
        <w:t>412</w:t>
      </w:r>
      <w:r>
        <w:t>人是单独咨询，</w:t>
      </w:r>
      <w:r>
        <w:t>1,232</w:t>
      </w:r>
      <w:r>
        <w:t>人是小组咨询，即通过讲习班进行咨询。共举行了</w:t>
      </w:r>
      <w:r>
        <w:t>134</w:t>
      </w:r>
      <w:r>
        <w:t>期适应残疾人需要的讲习班</w:t>
      </w:r>
      <w:r>
        <w:t>(</w:t>
      </w:r>
      <w:r>
        <w:t>较之</w:t>
      </w:r>
      <w:r>
        <w:t>2008</w:t>
      </w:r>
      <w:r>
        <w:t>年，次数明显增加</w:t>
      </w:r>
      <w:r>
        <w:t>)</w:t>
      </w:r>
      <w:r>
        <w:t>。</w:t>
      </w:r>
    </w:p>
    <w:p w:rsidR="0064252C" w:rsidRDefault="0064252C">
      <w:pPr>
        <w:pStyle w:val="SingleTxtGC"/>
        <w:rPr>
          <w:lang w:val="en-GB"/>
        </w:rPr>
      </w:pPr>
      <w:r>
        <w:rPr>
          <w:lang w:val="en-GB"/>
        </w:rPr>
        <w:t xml:space="preserve">195.  </w:t>
      </w:r>
      <w:r>
        <w:t>为提高针对每一特定残疾人群体</w:t>
      </w:r>
      <w:r>
        <w:rPr>
          <w:lang w:val="en-GB"/>
        </w:rPr>
        <w:t>，</w:t>
      </w:r>
      <w:r>
        <w:t>尤其是遭受多重歧视和社会排斥威胁群体的服务标准和质量并发展个性化的做法</w:t>
      </w:r>
      <w:r>
        <w:rPr>
          <w:lang w:val="en-GB"/>
        </w:rPr>
        <w:t>，</w:t>
      </w:r>
      <w:r>
        <w:t>需要为以下特定群体保存相关记录和发展相关服务</w:t>
      </w:r>
      <w:r>
        <w:rPr>
          <w:lang w:val="en-GB"/>
        </w:rPr>
        <w:t>：</w:t>
      </w:r>
      <w:r>
        <w:t>残疾妇女、遭受家庭或社区暴力的残疾妇女、残疾老年人、残疾青年、少数民族残疾人、移民和寻求庇护者、地雷和爆炸物受害者等群体。在这方面，克罗地亚就业局各个分局</w:t>
      </w:r>
      <w:r>
        <w:t>(</w:t>
      </w:r>
      <w:r>
        <w:t>共</w:t>
      </w:r>
      <w:r>
        <w:t>22</w:t>
      </w:r>
      <w:r>
        <w:t>个分局</w:t>
      </w:r>
      <w:r>
        <w:t>)</w:t>
      </w:r>
      <w:r>
        <w:t>就业调解咨询顾问在开展日常工作时特别重视向就业困难人员，包括遭受家庭暴力的妇女提供就业准备和调解服务。</w:t>
      </w:r>
    </w:p>
    <w:p w:rsidR="0064252C" w:rsidRDefault="0064252C">
      <w:pPr>
        <w:pStyle w:val="SingleTxtGC"/>
        <w:rPr>
          <w:lang w:val="en-GB"/>
        </w:rPr>
      </w:pPr>
      <w:r>
        <w:rPr>
          <w:lang w:val="en-GB"/>
        </w:rPr>
        <w:t xml:space="preserve">196.  </w:t>
      </w:r>
      <w:r>
        <w:t>克罗地亚就业局与残疾人教育和就业领域的所有相关利益攸关方展开大力合作</w:t>
      </w:r>
      <w:r>
        <w:rPr>
          <w:lang w:val="en-GB"/>
        </w:rPr>
        <w:t>，</w:t>
      </w:r>
      <w:r>
        <w:t>特别是与残疾人专业康复和就业基金和诸多民间社会组织进行合作</w:t>
      </w:r>
      <w:r>
        <w:rPr>
          <w:lang w:val="en-GB"/>
        </w:rPr>
        <w:t>，</w:t>
      </w:r>
      <w:r>
        <w:t>这些组织不仅关注残疾人问题</w:t>
      </w:r>
      <w:r>
        <w:rPr>
          <w:lang w:val="en-GB"/>
        </w:rPr>
        <w:t>，</w:t>
      </w:r>
      <w:r>
        <w:t>还是实现残疾人社会融合和提高其生活质量的强有力推动者。卫生和社会福利部与克罗地亚残疾人协会联合会合作，成立了</w:t>
      </w:r>
      <w:r>
        <w:t>7</w:t>
      </w:r>
      <w:r>
        <w:t>家信息技术中心，向残疾人提供关于劳动力市场所需求的信息技术行业的培训。</w:t>
      </w:r>
    </w:p>
    <w:p w:rsidR="0064252C" w:rsidRDefault="0064252C">
      <w:pPr>
        <w:pStyle w:val="SingleTxtGC"/>
        <w:rPr>
          <w:lang w:val="en-GB"/>
        </w:rPr>
      </w:pPr>
      <w:r>
        <w:rPr>
          <w:lang w:val="en-GB"/>
        </w:rPr>
        <w:t xml:space="preserve">197.  </w:t>
      </w:r>
      <w:r>
        <w:t>高度重视增进雇主和公众对于残疾人就业和工作潜力的知识和敏感性。自</w:t>
      </w:r>
      <w:r>
        <w:t>2007</w:t>
      </w:r>
      <w:r>
        <w:t>年起，在开发署项目</w:t>
      </w:r>
      <w:r>
        <w:rPr>
          <w:rFonts w:hint="eastAsia"/>
        </w:rPr>
        <w:t>“</w:t>
      </w:r>
      <w:r>
        <w:t>在社区中生活的权利：社会包容与残疾人</w:t>
      </w:r>
      <w:r>
        <w:rPr>
          <w:rFonts w:hint="eastAsia"/>
        </w:rPr>
        <w:t>”</w:t>
      </w:r>
      <w:r>
        <w:t>框架内发起并实施</w:t>
      </w:r>
      <w:r>
        <w:rPr>
          <w:rFonts w:hint="eastAsia"/>
        </w:rPr>
        <w:t>“</w:t>
      </w:r>
      <w:r>
        <w:t>年度最佳残疾人雇主</w:t>
      </w:r>
      <w:r>
        <w:rPr>
          <w:rFonts w:hint="eastAsia"/>
        </w:rPr>
        <w:t>”</w:t>
      </w:r>
      <w:r>
        <w:t>项目</w:t>
      </w:r>
      <w:r>
        <w:t>(</w:t>
      </w:r>
      <w:r>
        <w:t>残疾人专业康复和就业基金，克罗地亚就业局</w:t>
      </w:r>
      <w:r>
        <w:t>)</w:t>
      </w:r>
      <w:r>
        <w:t>。向每年在残疾人就业和工作场所关系方面树立积极做法最佳榜样的雇主颁发奖励。此外，</w:t>
      </w:r>
      <w:r>
        <w:t>2009</w:t>
      </w:r>
      <w:r>
        <w:t>和</w:t>
      </w:r>
      <w:r>
        <w:t>2010</w:t>
      </w:r>
      <w:r>
        <w:t>年期间，机会均等促进协会与克罗地亚就业局合作，开展了旨在鼓励残疾人就业的国家运动</w:t>
      </w:r>
      <w:r>
        <w:rPr>
          <w:rFonts w:ascii="SimSun" w:hAnsi="SimSun" w:cs="SimSun" w:hint="eastAsia"/>
        </w:rPr>
        <w:t>“</w:t>
      </w:r>
      <w:r>
        <w:t>总有危机在等待着我们</w:t>
      </w:r>
      <w:r>
        <w:rPr>
          <w:rFonts w:ascii="SimSun" w:hAnsi="SimSun" w:cs="SimSun" w:hint="eastAsia"/>
        </w:rPr>
        <w:t>”</w:t>
      </w:r>
      <w:r>
        <w:t>。为着同一个目标，克罗地亚就业局参与关于残疾人就业的圆桌会议、论坛、教育和信息广播工作，并印发关于残疾人教育和就业领域相关活动和奖励的翔实材料</w:t>
      </w:r>
      <w:r>
        <w:t>(</w:t>
      </w:r>
      <w:r>
        <w:t>例如，传单和光盘</w:t>
      </w:r>
      <w:r>
        <w:t>)</w:t>
      </w:r>
      <w:r>
        <w:t>。</w:t>
      </w:r>
    </w:p>
    <w:p w:rsidR="0064252C" w:rsidRDefault="0064252C">
      <w:pPr>
        <w:pStyle w:val="SingleTxtGC"/>
        <w:rPr>
          <w:lang w:val="en-GB"/>
        </w:rPr>
      </w:pPr>
      <w:r>
        <w:rPr>
          <w:lang w:val="en-GB"/>
        </w:rPr>
        <w:t xml:space="preserve">198.  </w:t>
      </w:r>
      <w:r>
        <w:t>《残疾人专业康复和就业法》规定</w:t>
      </w:r>
      <w:r>
        <w:rPr>
          <w:lang w:val="en-GB"/>
        </w:rPr>
        <w:t>，</w:t>
      </w:r>
      <w:r>
        <w:t>国家行政机关、司法权力机构和其他国家机构、地方自治单位和区域自治单位、公共服务部门、预算外资金和资产全部和主要归克罗地亚共和国所有的法人负有让一定数量的残疾人根据自身选择在适当的工作条件下担任适当职位的义务。《公务员和国家雇员集体谈判协议》</w:t>
      </w:r>
      <w:r>
        <w:t>(2008</w:t>
      </w:r>
      <w:r>
        <w:t>年</w:t>
      </w:r>
      <w:r>
        <w:t>)</w:t>
      </w:r>
      <w:r>
        <w:t>规定，根据上述法律，国家机构在制定征聘和填补空缺的计划时，应考虑到残疾人就业问题，并为此目的确定适当的工作职位和工作条件。</w:t>
      </w:r>
    </w:p>
    <w:p w:rsidR="0064252C" w:rsidRDefault="0064252C">
      <w:pPr>
        <w:pStyle w:val="SingleTxtGC"/>
        <w:rPr>
          <w:lang w:val="en-GB"/>
        </w:rPr>
      </w:pPr>
      <w:r>
        <w:rPr>
          <w:lang w:val="en-GB"/>
        </w:rPr>
        <w:t xml:space="preserve">199.  </w:t>
      </w:r>
      <w:r>
        <w:t>根据《公务员法》</w:t>
      </w:r>
      <w:r>
        <w:rPr>
          <w:lang w:val="en-GB"/>
        </w:rPr>
        <w:t>(2005</w:t>
      </w:r>
      <w:r>
        <w:t>年、</w:t>
      </w:r>
      <w:r>
        <w:rPr>
          <w:lang w:val="en-GB"/>
        </w:rPr>
        <w:t>2007</w:t>
      </w:r>
      <w:r>
        <w:t>年、</w:t>
      </w:r>
      <w:r>
        <w:rPr>
          <w:lang w:val="en-GB"/>
        </w:rPr>
        <w:t>2008</w:t>
      </w:r>
      <w:r>
        <w:t>年、</w:t>
      </w:r>
      <w:r>
        <w:rPr>
          <w:lang w:val="en-GB"/>
        </w:rPr>
        <w:t>2011</w:t>
      </w:r>
      <w:r>
        <w:t>年</w:t>
      </w:r>
      <w:r>
        <w:rPr>
          <w:lang w:val="en-GB"/>
        </w:rPr>
        <w:t>)</w:t>
      </w:r>
      <w:r>
        <w:rPr>
          <w:lang w:val="en-GB"/>
        </w:rPr>
        <w:t>，</w:t>
      </w:r>
      <w:r>
        <w:t>严禁公务员在执行国家行政框架内的公务时歧视残疾人。《公务员道德守则》</w:t>
      </w:r>
      <w:r>
        <w:t>(2006</w:t>
      </w:r>
      <w:r>
        <w:t>年、</w:t>
      </w:r>
      <w:r>
        <w:t>2008</w:t>
      </w:r>
      <w:r>
        <w:t>年</w:t>
      </w:r>
      <w:r>
        <w:t>)</w:t>
      </w:r>
      <w:r>
        <w:t>规定，公务员在面向残疾人和其他有特殊需要者开展工作时，应特别小心行事。现已在公共行政部下设道德司，负责监察《道德守则》的应用情况，并让公民能够通过拨打免费电话就公务员行为提交投诉。</w:t>
      </w:r>
      <w:r>
        <w:t>2010</w:t>
      </w:r>
      <w:r>
        <w:t>年，未收到任何关于公务员对残疾人和其他有特殊需要者行动的投诉。</w:t>
      </w:r>
    </w:p>
    <w:p w:rsidR="0064252C" w:rsidRDefault="0064252C">
      <w:pPr>
        <w:pStyle w:val="SingleTxtGC"/>
        <w:rPr>
          <w:lang w:val="en-GB"/>
        </w:rPr>
      </w:pPr>
      <w:r>
        <w:rPr>
          <w:lang w:val="en-GB"/>
        </w:rPr>
        <w:t xml:space="preserve">200.  </w:t>
      </w:r>
      <w:r>
        <w:t>国家行政机构雇用残疾人人数由国家行政机关、专业服务部门、和克罗地亚共和国政府各办公室公务员征聘计划决定</w:t>
      </w:r>
      <w:r>
        <w:rPr>
          <w:lang w:val="en-GB"/>
        </w:rPr>
        <w:t>，</w:t>
      </w:r>
      <w:r>
        <w:t>且这些人员的雇用按照计划进行。此外，还已决定，不具备残疾人就业条件的机构将开始确保这类条件到位。在各部委、国家行政组织和中央国家办公室供职的残疾人共计</w:t>
      </w:r>
      <w:r>
        <w:t>534</w:t>
      </w:r>
      <w:r>
        <w:t>人，区域自治单位国家行政办公室共计</w:t>
      </w:r>
      <w:r>
        <w:t>92</w:t>
      </w:r>
      <w:r>
        <w:t>人，克罗地亚共和国政府各办公室有</w:t>
      </w:r>
      <w:r>
        <w:t>3</w:t>
      </w:r>
      <w:r>
        <w:t>人，其他国家机构内有</w:t>
      </w:r>
      <w:r>
        <w:t>9</w:t>
      </w:r>
      <w:r>
        <w:t>人。《残疾人专业康复和就业法》规定</w:t>
      </w:r>
      <w:r>
        <w:rPr>
          <w:lang w:val="en-GB"/>
        </w:rPr>
        <w:t>，</w:t>
      </w:r>
      <w:r>
        <w:t>国家机关负有每雇用</w:t>
      </w:r>
      <w:r>
        <w:rPr>
          <w:lang w:val="en-GB"/>
        </w:rPr>
        <w:t>35</w:t>
      </w:r>
      <w:r>
        <w:t>名员工</w:t>
      </w:r>
      <w:r>
        <w:rPr>
          <w:rFonts w:hint="eastAsia"/>
        </w:rPr>
        <w:t>就必须</w:t>
      </w:r>
      <w:r>
        <w:t>雇用</w:t>
      </w:r>
      <w:r>
        <w:rPr>
          <w:lang w:val="en-GB"/>
        </w:rPr>
        <w:t>1</w:t>
      </w:r>
      <w:r>
        <w:t>名残疾人的义务</w:t>
      </w:r>
      <w:r>
        <w:rPr>
          <w:lang w:val="en-GB"/>
        </w:rPr>
        <w:t>，</w:t>
      </w:r>
      <w:r>
        <w:t>直至</w:t>
      </w:r>
      <w:r>
        <w:rPr>
          <w:lang w:val="en-GB"/>
        </w:rPr>
        <w:t>2011</w:t>
      </w:r>
      <w:r>
        <w:t>年</w:t>
      </w:r>
      <w:r>
        <w:rPr>
          <w:lang w:val="en-GB"/>
        </w:rPr>
        <w:t>12</w:t>
      </w:r>
      <w:r>
        <w:t>月</w:t>
      </w:r>
      <w:r>
        <w:rPr>
          <w:lang w:val="en-GB"/>
        </w:rPr>
        <w:t>31</w:t>
      </w:r>
      <w:r>
        <w:t>日。为了鼓励残疾人就业，在公共行政部门网页上发布国家服务部门就业信息，其中还包括残疾人在国家行政机关优先就业权利的信息。残疾人和更多公众可通过这一方式了解到这一权利。</w:t>
      </w:r>
    </w:p>
    <w:p w:rsidR="0064252C" w:rsidRDefault="0064252C">
      <w:pPr>
        <w:pStyle w:val="SingleTxtGC"/>
        <w:rPr>
          <w:lang w:val="en-GB"/>
        </w:rPr>
      </w:pPr>
      <w:r>
        <w:rPr>
          <w:lang w:val="en-GB"/>
        </w:rPr>
        <w:t xml:space="preserve">201.  </w:t>
      </w:r>
      <w:r>
        <w:t>欲了解关于上述内容的更多信息</w:t>
      </w:r>
      <w:r>
        <w:rPr>
          <w:lang w:val="en-GB"/>
        </w:rPr>
        <w:t>，</w:t>
      </w:r>
      <w:r>
        <w:t>请参阅附件二表</w:t>
      </w:r>
      <w:r>
        <w:rPr>
          <w:lang w:val="en-GB"/>
        </w:rPr>
        <w:t>1</w:t>
      </w:r>
      <w:r>
        <w:rPr>
          <w:lang w:val="en-GB"/>
        </w:rPr>
        <w:t>至</w:t>
      </w:r>
      <w:r>
        <w:t>表</w:t>
      </w:r>
      <w:r>
        <w:rPr>
          <w:lang w:val="en-GB"/>
        </w:rPr>
        <w:t>14</w:t>
      </w:r>
      <w:r>
        <w:t>和图</w:t>
      </w:r>
      <w:r>
        <w:rPr>
          <w:lang w:val="en-GB"/>
        </w:rPr>
        <w:t>1</w:t>
      </w:r>
      <w:r>
        <w:rPr>
          <w:lang w:val="en-GB"/>
        </w:rPr>
        <w:t>至</w:t>
      </w:r>
      <w:r>
        <w:t>图</w:t>
      </w:r>
      <w:r>
        <w:rPr>
          <w:lang w:val="en-GB"/>
        </w:rPr>
        <w:t>10</w:t>
      </w:r>
      <w:r>
        <w:t>。</w:t>
      </w:r>
    </w:p>
    <w:p w:rsidR="0064252C" w:rsidRDefault="0064252C">
      <w:pPr>
        <w:pStyle w:val="H1GC"/>
      </w:pPr>
      <w:r>
        <w:tab/>
      </w:r>
      <w:r>
        <w:tab/>
      </w:r>
      <w:r>
        <w:t>第二十八条</w:t>
      </w:r>
      <w:r>
        <w:br/>
      </w:r>
      <w:r>
        <w:t>适足的生活水平和社会保护</w:t>
      </w:r>
    </w:p>
    <w:p w:rsidR="0064252C" w:rsidRDefault="0064252C">
      <w:pPr>
        <w:pStyle w:val="SingleTxtGC"/>
        <w:rPr>
          <w:lang w:val="en-GB"/>
        </w:rPr>
      </w:pPr>
      <w:r>
        <w:rPr>
          <w:lang w:val="en-GB"/>
        </w:rPr>
        <w:t xml:space="preserve">202.  </w:t>
      </w:r>
      <w:r>
        <w:t>社会福利是社会保障体系内最后一道社会保护网</w:t>
      </w:r>
      <w:r>
        <w:rPr>
          <w:lang w:val="en-GB"/>
        </w:rPr>
        <w:t>，</w:t>
      </w:r>
      <w:r>
        <w:t>旨在提供关怀</w:t>
      </w:r>
      <w:r>
        <w:rPr>
          <w:lang w:val="en-GB"/>
        </w:rPr>
        <w:t>，</w:t>
      </w:r>
      <w:r>
        <w:t>让社会最濒危人群和社会弱势群体融入社会。社会福利通过三个渠道提供：地域分布相当广泛的社会服务网络</w:t>
      </w:r>
      <w:r>
        <w:t>(</w:t>
      </w:r>
      <w:r>
        <w:t>社会福利中心</w:t>
      </w:r>
      <w:r>
        <w:t>)</w:t>
      </w:r>
      <w:r>
        <w:t>；提供长期、每周、临时、每天、半天和不定期住宿便利的机构和养育院；生活社区。在实现社会福利权利时，已提及的平等和公平原则对克罗地亚共和国所有公民有效。考虑到残疾和贫困之间存在双向关系这一事实，克罗地亚拱共和国对在一定程度上关系到残疾人利益的社会福利制度进行规范，以便这些人可实现某些获得现金津贴</w:t>
      </w:r>
      <w:r>
        <w:t>(</w:t>
      </w:r>
      <w:r>
        <w:t>社会福利津贴</w:t>
      </w:r>
      <w:r>
        <w:t>)</w:t>
      </w:r>
      <w:r>
        <w:t>的权利或获得某些服务</w:t>
      </w:r>
      <w:r>
        <w:t>(</w:t>
      </w:r>
      <w:r>
        <w:t>社会福利</w:t>
      </w:r>
      <w:r>
        <w:t>)</w:t>
      </w:r>
      <w:r>
        <w:t>的权利，从而克服困境。就根据使用者居所地实现一等社会福利系统权利而言，社会福利中心足以胜任。《社会福利法》</w:t>
      </w:r>
      <w:r>
        <w:t>(1997</w:t>
      </w:r>
      <w:r>
        <w:t>年、</w:t>
      </w:r>
      <w:r>
        <w:t>2000</w:t>
      </w:r>
      <w:r>
        <w:t>年、</w:t>
      </w:r>
      <w:r>
        <w:t>2001</w:t>
      </w:r>
      <w:r>
        <w:t>年、</w:t>
      </w:r>
      <w:r>
        <w:t>2003</w:t>
      </w:r>
      <w:r>
        <w:t>年、</w:t>
      </w:r>
      <w:r>
        <w:t>2006</w:t>
      </w:r>
      <w:r>
        <w:t>年、</w:t>
      </w:r>
      <w:r>
        <w:t>2007</w:t>
      </w:r>
      <w:r>
        <w:t>年</w:t>
      </w:r>
      <w:r>
        <w:t>)</w:t>
      </w:r>
      <w:r>
        <w:t>是规定社会福利权利的基本法律。根据该法规，克罗地亚共和国所有公民可在规定的条件下实现社会福利权利。对于残疾人，下列权利非常重要</w:t>
      </w:r>
      <w:r>
        <w:t>(</w:t>
      </w:r>
      <w:r>
        <w:t>见附件二表</w:t>
      </w:r>
      <w:r>
        <w:t>1</w:t>
      </w:r>
      <w:r>
        <w:t>和表</w:t>
      </w:r>
      <w:r>
        <w:t>2)</w:t>
      </w:r>
      <w:r>
        <w:t>：</w:t>
      </w:r>
    </w:p>
    <w:p w:rsidR="0064252C" w:rsidRDefault="0064252C">
      <w:pPr>
        <w:pStyle w:val="SingleTxtGC"/>
        <w:numPr>
          <w:ilvl w:val="0"/>
          <w:numId w:val="20"/>
        </w:numPr>
        <w:tabs>
          <w:tab w:val="clear" w:pos="2427"/>
          <w:tab w:val="clear" w:pos="3560"/>
          <w:tab w:val="left" w:pos="431"/>
          <w:tab w:val="left" w:pos="1134"/>
          <w:tab w:val="left" w:pos="1565"/>
          <w:tab w:val="left" w:pos="1996"/>
        </w:tabs>
        <w:ind w:left="1134"/>
        <w:rPr>
          <w:lang w:val="en-GB"/>
        </w:rPr>
      </w:pPr>
      <w:r>
        <w:rPr>
          <w:lang w:val="en-GB"/>
        </w:rPr>
        <w:t>获得援助和护理津贴的权利</w:t>
      </w:r>
      <w:r>
        <w:rPr>
          <w:rFonts w:ascii="SimSun" w:hAnsi="SimSun" w:cs="SimSun" w:hint="eastAsia"/>
          <w:spacing w:val="-60"/>
          <w:lang w:val="en-GB"/>
        </w:rPr>
        <w:t>―</w:t>
      </w:r>
      <w:r>
        <w:rPr>
          <w:rFonts w:ascii="SimSun" w:hAnsi="SimSun" w:cs="SimSun" w:hint="eastAsia"/>
          <w:spacing w:val="10"/>
          <w:lang w:val="en-GB"/>
        </w:rPr>
        <w:t>―</w:t>
      </w:r>
      <w:r>
        <w:rPr>
          <w:lang w:val="en-GB"/>
        </w:rPr>
        <w:t>津贴额度为基数的</w:t>
      </w:r>
      <w:r>
        <w:rPr>
          <w:lang w:val="en-GB"/>
        </w:rPr>
        <w:t>100%</w:t>
      </w:r>
      <w:r>
        <w:rPr>
          <w:rFonts w:hint="eastAsia"/>
          <w:lang w:val="en-GB"/>
        </w:rPr>
        <w:t>，</w:t>
      </w:r>
      <w:r>
        <w:rPr>
          <w:rStyle w:val="FootnoteReference"/>
        </w:rPr>
        <w:footnoteReference w:id="23"/>
      </w:r>
      <w:r>
        <w:rPr>
          <w:rStyle w:val="FootnoteReference"/>
        </w:rPr>
        <w:t xml:space="preserve"> </w:t>
      </w:r>
      <w:r>
        <w:t>和基数的</w:t>
      </w:r>
      <w:r>
        <w:t>70%</w:t>
      </w:r>
      <w:r>
        <w:t>；</w:t>
      </w:r>
    </w:p>
    <w:p w:rsidR="0064252C" w:rsidRDefault="0064252C">
      <w:pPr>
        <w:pStyle w:val="SingleTxtGC"/>
        <w:numPr>
          <w:ilvl w:val="0"/>
          <w:numId w:val="20"/>
        </w:numPr>
        <w:tabs>
          <w:tab w:val="clear" w:pos="2427"/>
          <w:tab w:val="clear" w:pos="3560"/>
          <w:tab w:val="left" w:pos="431"/>
          <w:tab w:val="left" w:pos="1134"/>
          <w:tab w:val="left" w:pos="1565"/>
          <w:tab w:val="left" w:pos="1996"/>
        </w:tabs>
        <w:ind w:left="1134"/>
        <w:rPr>
          <w:lang w:val="en-GB"/>
        </w:rPr>
      </w:pPr>
      <w:r>
        <w:rPr>
          <w:lang w:val="en-GB"/>
        </w:rPr>
        <w:t>在家获得援助和护理的权利</w:t>
      </w:r>
      <w:r>
        <w:rPr>
          <w:lang w:val="en-GB"/>
        </w:rPr>
        <w:t>(</w:t>
      </w:r>
      <w:r>
        <w:rPr>
          <w:rFonts w:hint="eastAsia"/>
          <w:lang w:val="en-GB"/>
        </w:rPr>
        <w:t>保护</w:t>
      </w:r>
      <w:r>
        <w:rPr>
          <w:lang w:val="en-GB"/>
        </w:rPr>
        <w:t>)</w:t>
      </w:r>
      <w:r>
        <w:rPr>
          <w:rFonts w:ascii="SimSun" w:hAnsi="SimSun" w:cs="SimSun" w:hint="eastAsia"/>
          <w:spacing w:val="-60"/>
          <w:lang w:val="en-GB"/>
        </w:rPr>
        <w:t>―</w:t>
      </w:r>
      <w:r>
        <w:rPr>
          <w:rFonts w:ascii="SimSun" w:hAnsi="SimSun" w:cs="SimSun" w:hint="eastAsia"/>
          <w:spacing w:val="10"/>
          <w:lang w:val="en-GB"/>
        </w:rPr>
        <w:t>―</w:t>
      </w:r>
      <w:r>
        <w:rPr>
          <w:lang w:val="en-GB"/>
        </w:rPr>
        <w:t>可能包括：做饭、家务杂活、个人卫生保持和满足其他日常需求；</w:t>
      </w:r>
    </w:p>
    <w:p w:rsidR="0064252C" w:rsidRDefault="0064252C">
      <w:pPr>
        <w:pStyle w:val="SingleTxtGC"/>
        <w:numPr>
          <w:ilvl w:val="0"/>
          <w:numId w:val="20"/>
        </w:numPr>
        <w:tabs>
          <w:tab w:val="clear" w:pos="2427"/>
          <w:tab w:val="clear" w:pos="3560"/>
          <w:tab w:val="left" w:pos="431"/>
          <w:tab w:val="left" w:pos="1134"/>
          <w:tab w:val="left" w:pos="1565"/>
          <w:tab w:val="left" w:pos="1996"/>
        </w:tabs>
        <w:ind w:left="1134"/>
        <w:rPr>
          <w:lang w:val="en-GB"/>
        </w:rPr>
      </w:pPr>
      <w:r>
        <w:rPr>
          <w:lang w:val="en-GB"/>
        </w:rPr>
        <w:t>获得个人残疾补助的权利</w:t>
      </w:r>
      <w:r>
        <w:rPr>
          <w:rFonts w:ascii="SimSun" w:hAnsi="SimSun" w:cs="SimSun" w:hint="eastAsia"/>
          <w:spacing w:val="-60"/>
          <w:lang w:val="en-GB"/>
        </w:rPr>
        <w:t>―</w:t>
      </w:r>
      <w:r>
        <w:rPr>
          <w:rFonts w:ascii="SimSun" w:hAnsi="SimSun" w:cs="SimSun" w:hint="eastAsia"/>
          <w:spacing w:val="10"/>
          <w:lang w:val="en-GB"/>
        </w:rPr>
        <w:t>―</w:t>
      </w:r>
      <w:r>
        <w:rPr>
          <w:lang w:val="en-GB"/>
        </w:rPr>
        <w:t>肢体或精神损伤较严重或健康状况产生严重永久性改变的，如果这类损伤或残疾发生在其满</w:t>
      </w:r>
      <w:r>
        <w:rPr>
          <w:lang w:val="en-GB"/>
        </w:rPr>
        <w:t>18</w:t>
      </w:r>
      <w:r>
        <w:rPr>
          <w:lang w:val="en-GB"/>
        </w:rPr>
        <w:t>周岁以前，且基于其他理由不能实现个人残疾补助权利的，享有该项权利。补助额度为基数的</w:t>
      </w:r>
      <w:r>
        <w:rPr>
          <w:lang w:val="en-GB"/>
        </w:rPr>
        <w:t>250%</w:t>
      </w:r>
      <w:r>
        <w:rPr>
          <w:lang w:val="en-GB"/>
        </w:rPr>
        <w:t>；</w:t>
      </w:r>
    </w:p>
    <w:p w:rsidR="0064252C" w:rsidRDefault="0064252C">
      <w:pPr>
        <w:pStyle w:val="SingleTxtGC"/>
        <w:numPr>
          <w:ilvl w:val="0"/>
          <w:numId w:val="20"/>
        </w:numPr>
        <w:tabs>
          <w:tab w:val="clear" w:pos="2427"/>
          <w:tab w:val="clear" w:pos="3560"/>
          <w:tab w:val="left" w:pos="431"/>
          <w:tab w:val="left" w:pos="1134"/>
          <w:tab w:val="left" w:pos="1565"/>
          <w:tab w:val="left" w:pos="1996"/>
        </w:tabs>
        <w:ind w:left="1134"/>
        <w:rPr>
          <w:lang w:val="en-GB"/>
        </w:rPr>
      </w:pPr>
      <w:r>
        <w:rPr>
          <w:lang w:val="en-GB"/>
        </w:rPr>
        <w:t>领取补助直至获得就业的权利</w:t>
      </w:r>
      <w:r>
        <w:rPr>
          <w:rFonts w:ascii="SimSun" w:hAnsi="SimSun" w:cs="SimSun" w:hint="eastAsia"/>
          <w:spacing w:val="-60"/>
          <w:lang w:val="en-GB"/>
        </w:rPr>
        <w:t>―</w:t>
      </w:r>
      <w:r>
        <w:rPr>
          <w:rFonts w:ascii="SimSun" w:hAnsi="SimSun" w:cs="SimSun" w:hint="eastAsia"/>
          <w:spacing w:val="10"/>
          <w:lang w:val="en-GB"/>
        </w:rPr>
        <w:t>―</w:t>
      </w:r>
      <w:r>
        <w:rPr>
          <w:lang w:val="en-GB"/>
        </w:rPr>
        <w:t>额度为基数的</w:t>
      </w:r>
      <w:r>
        <w:rPr>
          <w:lang w:val="en-GB"/>
        </w:rPr>
        <w:t>70%</w:t>
      </w:r>
      <w:r>
        <w:rPr>
          <w:lang w:val="en-GB"/>
        </w:rPr>
        <w:t>；</w:t>
      </w:r>
    </w:p>
    <w:p w:rsidR="0064252C" w:rsidRDefault="0064252C">
      <w:pPr>
        <w:pStyle w:val="SingleTxtGC"/>
        <w:numPr>
          <w:ilvl w:val="0"/>
          <w:numId w:val="20"/>
        </w:numPr>
        <w:tabs>
          <w:tab w:val="clear" w:pos="2427"/>
          <w:tab w:val="clear" w:pos="3560"/>
          <w:tab w:val="left" w:pos="431"/>
          <w:tab w:val="left" w:pos="1134"/>
          <w:tab w:val="left" w:pos="1565"/>
          <w:tab w:val="left" w:pos="1996"/>
        </w:tabs>
        <w:ind w:left="1134"/>
        <w:rPr>
          <w:lang w:val="en-GB"/>
        </w:rPr>
      </w:pPr>
      <w:r>
        <w:t>在本人家庭以外获得照料的权利</w:t>
      </w:r>
      <w:r>
        <w:rPr>
          <w:lang w:val="en-GB"/>
        </w:rPr>
        <w:t>(</w:t>
      </w:r>
      <w:r>
        <w:t>作为永久、每周或临时安置、每天、半天或不定期住宿和生活社区实现</w:t>
      </w:r>
      <w:r>
        <w:rPr>
          <w:lang w:val="en-GB"/>
        </w:rPr>
        <w:t>)</w:t>
      </w:r>
      <w:r>
        <w:rPr>
          <w:lang w:val="en-GB"/>
        </w:rPr>
        <w:t>；</w:t>
      </w:r>
    </w:p>
    <w:p w:rsidR="0064252C" w:rsidRDefault="0064252C">
      <w:pPr>
        <w:pStyle w:val="SingleTxtGC"/>
        <w:numPr>
          <w:ilvl w:val="0"/>
          <w:numId w:val="20"/>
        </w:numPr>
        <w:tabs>
          <w:tab w:val="clear" w:pos="2427"/>
          <w:tab w:val="clear" w:pos="3560"/>
          <w:tab w:val="left" w:pos="431"/>
          <w:tab w:val="left" w:pos="1134"/>
          <w:tab w:val="left" w:pos="1565"/>
          <w:tab w:val="left" w:pos="1996"/>
        </w:tabs>
        <w:ind w:left="1134"/>
        <w:rPr>
          <w:lang w:val="en-GB"/>
        </w:rPr>
      </w:pPr>
      <w:r>
        <w:rPr>
          <w:lang w:val="en-GB"/>
        </w:rPr>
        <w:t>以协助纳入普通学前或学校教育机构</w:t>
      </w:r>
      <w:r>
        <w:rPr>
          <w:lang w:val="en-GB"/>
        </w:rPr>
        <w:t>(</w:t>
      </w:r>
      <w:r>
        <w:rPr>
          <w:lang w:val="en-GB"/>
        </w:rPr>
        <w:t>融合</w:t>
      </w:r>
      <w:r>
        <w:rPr>
          <w:lang w:val="en-GB"/>
        </w:rPr>
        <w:t>)</w:t>
      </w:r>
      <w:r>
        <w:rPr>
          <w:lang w:val="en-GB"/>
        </w:rPr>
        <w:t>形式在本人家庭以外获得照料的权利；</w:t>
      </w:r>
    </w:p>
    <w:p w:rsidR="0064252C" w:rsidRDefault="0064252C">
      <w:pPr>
        <w:pStyle w:val="SingleTxtGC"/>
        <w:numPr>
          <w:ilvl w:val="0"/>
          <w:numId w:val="20"/>
        </w:numPr>
        <w:tabs>
          <w:tab w:val="clear" w:pos="2427"/>
          <w:tab w:val="clear" w:pos="3560"/>
          <w:tab w:val="left" w:pos="431"/>
          <w:tab w:val="left" w:pos="1134"/>
          <w:tab w:val="left" w:pos="1565"/>
          <w:tab w:val="left" w:pos="1996"/>
        </w:tabs>
        <w:ind w:left="1134"/>
        <w:rPr>
          <w:lang w:val="en-GB"/>
        </w:rPr>
      </w:pPr>
      <w:r>
        <w:rPr>
          <w:lang w:val="en-GB"/>
        </w:rPr>
        <w:t>取得家长照料人地位的权利</w:t>
      </w:r>
      <w:r>
        <w:rPr>
          <w:lang w:val="en-GB"/>
        </w:rPr>
        <w:t>(</w:t>
      </w:r>
      <w:r>
        <w:rPr>
          <w:lang w:val="en-GB"/>
        </w:rPr>
        <w:t>详细报告见第十九条</w:t>
      </w:r>
      <w:r>
        <w:rPr>
          <w:lang w:val="en-GB"/>
        </w:rPr>
        <w:t>)</w:t>
      </w:r>
      <w:r>
        <w:rPr>
          <w:rFonts w:hint="eastAsia"/>
          <w:lang w:val="en-GB"/>
        </w:rPr>
        <w:t>。</w:t>
      </w:r>
    </w:p>
    <w:p w:rsidR="0064252C" w:rsidRDefault="0064252C">
      <w:pPr>
        <w:pStyle w:val="SingleTxtGC"/>
        <w:rPr>
          <w:lang w:val="en-GB"/>
        </w:rPr>
      </w:pPr>
      <w:r>
        <w:rPr>
          <w:lang w:val="en-GB"/>
        </w:rPr>
        <w:t xml:space="preserve">203.  </w:t>
      </w:r>
      <w:r>
        <w:t>按照《社会福利法》</w:t>
      </w:r>
      <w:r>
        <w:rPr>
          <w:lang w:val="en-GB"/>
        </w:rPr>
        <w:t>，</w:t>
      </w:r>
      <w:r>
        <w:t>地方自治单位和区域自治单位有责任按照该法规定的条件和方式</w:t>
      </w:r>
      <w:r>
        <w:rPr>
          <w:lang w:val="en-GB"/>
        </w:rPr>
        <w:t>，</w:t>
      </w:r>
      <w:r>
        <w:t>确保其预算内分别有用以实现获得住房费用援助权利和用以实现获得供热费用援助权利的资金。地方自治单位可在更大程度上确保提供用以实现该法所规定之其他权利的资金，并根据其一般性地方法规规定的条件和方式确保提供用以实现其他类型援助的资金。区域自治单位可在高于本法规定的程度上确保提供用以支付供热费用的资金。例如，通过这一方式，可确保以下权利：获得现金津贴权利</w:t>
      </w:r>
      <w:r>
        <w:t>(</w:t>
      </w:r>
      <w:r>
        <w:t>退休人员现金津贴；获得援助和护理津贴受益人和个人残疾补助受益人现金津贴；个人需求</w:t>
      </w:r>
      <w:r>
        <w:t>/</w:t>
      </w:r>
      <w:r>
        <w:t>零用钱</w:t>
      </w:r>
      <w:r>
        <w:t>/</w:t>
      </w:r>
      <w:r>
        <w:t>老年人和孱弱者之家使用者现金津贴；住房费用津贴</w:t>
      </w:r>
      <w:r>
        <w:t>)</w:t>
      </w:r>
      <w:r>
        <w:t>；实物津贴权利</w:t>
      </w:r>
      <w:r>
        <w:t>(</w:t>
      </w:r>
      <w:r>
        <w:t>儿童乳品津贴；未成年儿童人数达</w:t>
      </w:r>
      <w:r>
        <w:t>3</w:t>
      </w:r>
      <w:r>
        <w:t>人及以上家庭津贴；儿童寒暑假；社区厨房膳食；日常膳食和交付的权利</w:t>
      </w:r>
      <w:r>
        <w:t>)</w:t>
      </w:r>
      <w:r>
        <w:t>；获得便利形式的援助权利</w:t>
      </w:r>
      <w:r>
        <w:t>(</w:t>
      </w:r>
      <w:r>
        <w:t>庇护所便利；临时便利</w:t>
      </w:r>
      <w:r>
        <w:t>)</w:t>
      </w:r>
      <w:r>
        <w:t>；其他形式援助的权利</w:t>
      </w:r>
      <w:r>
        <w:t>(</w:t>
      </w:r>
      <w:r>
        <w:t>在家获得援助和照料；克服特殊困难方面的咨询和帮助</w:t>
      </w:r>
      <w:r>
        <w:t>)</w:t>
      </w:r>
      <w:r>
        <w:t>。有必要提及的是，通过新的《社会福利法》</w:t>
      </w:r>
      <w:r>
        <w:t>(2011</w:t>
      </w:r>
      <w:r>
        <w:t>年</w:t>
      </w:r>
      <w:r>
        <w:t>)</w:t>
      </w:r>
      <w:r>
        <w:t>后，先前现有权利虽未取消，但基于实践中确定的需求增加了新权利的可能性。</w:t>
      </w:r>
    </w:p>
    <w:p w:rsidR="0064252C" w:rsidRDefault="0064252C">
      <w:pPr>
        <w:pStyle w:val="SingleTxtGC"/>
        <w:rPr>
          <w:lang w:val="en-GB"/>
        </w:rPr>
      </w:pPr>
      <w:r>
        <w:rPr>
          <w:lang w:val="en-GB"/>
        </w:rPr>
        <w:t xml:space="preserve">204.  </w:t>
      </w:r>
      <w:r>
        <w:t>克罗地亚共和国特别关注克罗地亚卫国战争伤残退伍军人保护问题</w:t>
      </w:r>
      <w:r>
        <w:rPr>
          <w:lang w:val="en-GB"/>
        </w:rPr>
        <w:t>，</w:t>
      </w:r>
      <w:r>
        <w:t>根据《克罗地亚卫国战争退伍军人及其家庭成员权利法》</w:t>
      </w:r>
      <w:r>
        <w:rPr>
          <w:lang w:val="en-GB"/>
        </w:rPr>
        <w:t>(2004</w:t>
      </w:r>
      <w:r>
        <w:t>年、</w:t>
      </w:r>
      <w:r>
        <w:rPr>
          <w:lang w:val="en-GB"/>
        </w:rPr>
        <w:t>2005</w:t>
      </w:r>
      <w:r>
        <w:t>年、</w:t>
      </w:r>
      <w:r>
        <w:rPr>
          <w:lang w:val="en-GB"/>
        </w:rPr>
        <w:t>2007</w:t>
      </w:r>
      <w:r>
        <w:t>年、</w:t>
      </w:r>
      <w:r>
        <w:t>2009</w:t>
      </w:r>
      <w:r>
        <w:t>年、</w:t>
      </w:r>
      <w:r>
        <w:t>2009</w:t>
      </w:r>
      <w:r>
        <w:t>年</w:t>
      </w:r>
      <w:r>
        <w:t>)</w:t>
      </w:r>
      <w:r>
        <w:rPr>
          <w:lang w:val="en-GB"/>
        </w:rPr>
        <w:t>，</w:t>
      </w:r>
      <w:r>
        <w:t>克罗地亚卫国战争伤残退伍军人按照经鉴定的机体损伤程度分为</w:t>
      </w:r>
      <w:r>
        <w:rPr>
          <w:lang w:val="en-GB"/>
        </w:rPr>
        <w:t>10</w:t>
      </w:r>
      <w:r>
        <w:t>类。这些权利旨在确保其在以下方面享有适足的生活水平和社会保护：</w:t>
      </w:r>
    </w:p>
    <w:p w:rsidR="0064252C" w:rsidRDefault="0064252C">
      <w:pPr>
        <w:pStyle w:val="SingleTxtGC"/>
        <w:numPr>
          <w:ilvl w:val="0"/>
          <w:numId w:val="23"/>
        </w:numPr>
        <w:tabs>
          <w:tab w:val="clear" w:pos="2427"/>
          <w:tab w:val="clear" w:pos="3560"/>
          <w:tab w:val="left" w:pos="431"/>
          <w:tab w:val="left" w:pos="1134"/>
          <w:tab w:val="left" w:pos="1565"/>
          <w:tab w:val="left" w:pos="1996"/>
        </w:tabs>
        <w:ind w:left="1134"/>
        <w:rPr>
          <w:lang w:val="en-GB"/>
        </w:rPr>
      </w:pPr>
      <w:r>
        <w:t>各项基于机体损伤的权利</w:t>
      </w:r>
      <w:r>
        <w:rPr>
          <w:lang w:val="en-GB"/>
        </w:rPr>
        <w:t>，</w:t>
      </w:r>
      <w:r>
        <w:t>其中</w:t>
      </w:r>
      <w:r>
        <w:rPr>
          <w:lang w:val="en-GB"/>
        </w:rPr>
        <w:t>，</w:t>
      </w:r>
      <w:r>
        <w:t>我们强调</w:t>
      </w:r>
      <w:r>
        <w:rPr>
          <w:lang w:val="en-GB"/>
        </w:rPr>
        <w:t>：</w:t>
      </w:r>
      <w:r>
        <w:t>个人残疾补助</w:t>
      </w:r>
      <w:r>
        <w:rPr>
          <w:rFonts w:hint="eastAsia"/>
          <w:spacing w:val="-50"/>
          <w:lang w:val="en-GB"/>
        </w:rPr>
        <w:t>―</w:t>
      </w:r>
      <w:r>
        <w:rPr>
          <w:rFonts w:hint="eastAsia"/>
          <w:lang w:val="en-GB"/>
        </w:rPr>
        <w:t>―</w:t>
      </w:r>
      <w:r>
        <w:t>克罗地亚卫国战争伤残退伍军人基于机体损伤的基本权利</w:t>
      </w:r>
      <w:r>
        <w:rPr>
          <w:lang w:val="en-GB"/>
        </w:rPr>
        <w:t>，</w:t>
      </w:r>
      <w:r>
        <w:t>是实现其他所有基于机体损伤的权利的基础。这项权利系根据机体损伤组别确定，第二组残疾人的个人残疾补助额度为克罗斯亚共和国预算基数的</w:t>
      </w:r>
      <w:r>
        <w:t>115%</w:t>
      </w:r>
      <w:r>
        <w:rPr>
          <w:rStyle w:val="FootnoteReference"/>
        </w:rPr>
        <w:footnoteReference w:id="24"/>
      </w:r>
      <w:r>
        <w:t>，而第二至第十组残疾人的个人残疾补助则以第一组残疾人个人残疾补助额度为基数，用其百分比表示；获得他人援助和护理的津贴权利</w:t>
      </w:r>
      <w:r>
        <w:rPr>
          <w:rFonts w:ascii="SimSun" w:hAnsi="SimSun" w:cs="SimSun" w:hint="eastAsia"/>
          <w:spacing w:val="-60"/>
        </w:rPr>
        <w:t>―</w:t>
      </w:r>
      <w:r>
        <w:rPr>
          <w:rFonts w:ascii="SimSun" w:hAnsi="SimSun" w:cs="SimSun" w:hint="eastAsia"/>
          <w:spacing w:val="10"/>
        </w:rPr>
        <w:t>―</w:t>
      </w:r>
      <w:r>
        <w:t>根据援助和护理需求范围分为两个程度类别，额度分别为第一程度类别基数的</w:t>
      </w:r>
      <w:r>
        <w:t>100%</w:t>
      </w:r>
      <w:r>
        <w:t>和第二程度类别基数的</w:t>
      </w:r>
      <w:r>
        <w:t>66%</w:t>
      </w:r>
      <w:r>
        <w:t>；矫正津贴</w:t>
      </w:r>
      <w:r>
        <w:rPr>
          <w:rFonts w:hint="eastAsia"/>
          <w:spacing w:val="-50"/>
        </w:rPr>
        <w:t>―</w:t>
      </w:r>
      <w:r>
        <w:rPr>
          <w:rFonts w:hint="eastAsia"/>
        </w:rPr>
        <w:t>―</w:t>
      </w:r>
      <w:r>
        <w:t>适用对象是机体损伤较严重者</w:t>
      </w:r>
      <w:r>
        <w:t>(</w:t>
      </w:r>
      <w:r>
        <w:t>四肢截肢、四肢功能严重受损、视力丧失</w:t>
      </w:r>
      <w:r>
        <w:t>)</w:t>
      </w:r>
      <w:r>
        <w:t>，以第一组残疾人每月个人残疾补助为基数，额度介于该基数的</w:t>
      </w:r>
      <w:r>
        <w:t>29%</w:t>
      </w:r>
      <w:r>
        <w:t>和</w:t>
      </w:r>
      <w:r>
        <w:t>7%</w:t>
      </w:r>
      <w:r>
        <w:t>之间；单一现金津贴</w:t>
      </w:r>
      <w:r>
        <w:rPr>
          <w:rFonts w:ascii="SimSun" w:hAnsi="SimSun" w:cs="SimSun" w:hint="eastAsia"/>
          <w:spacing w:val="-60"/>
        </w:rPr>
        <w:t>―</w:t>
      </w:r>
      <w:r>
        <w:rPr>
          <w:rFonts w:ascii="SimSun" w:hAnsi="SimSun" w:cs="SimSun" w:hint="eastAsia"/>
          <w:spacing w:val="10"/>
        </w:rPr>
        <w:t>―</w:t>
      </w:r>
      <w:r>
        <w:t>按照《社会福利法》，通过社会单一现金津贴发放，其适用对象是在耗尽所有其他形式援助后、因经济和物质状况困难而无法满足基本生活需求的克罗地亚卫国战争伤残退伍军人；</w:t>
      </w:r>
    </w:p>
    <w:p w:rsidR="0064252C" w:rsidRDefault="0064252C">
      <w:pPr>
        <w:pStyle w:val="SingleTxtGC"/>
        <w:numPr>
          <w:ilvl w:val="0"/>
          <w:numId w:val="23"/>
        </w:numPr>
        <w:tabs>
          <w:tab w:val="clear" w:pos="2427"/>
          <w:tab w:val="clear" w:pos="3560"/>
          <w:tab w:val="left" w:pos="431"/>
          <w:tab w:val="left" w:pos="1134"/>
          <w:tab w:val="left" w:pos="1565"/>
          <w:tab w:val="left" w:pos="1996"/>
        </w:tabs>
        <w:ind w:left="1134"/>
        <w:rPr>
          <w:lang w:val="en-GB"/>
        </w:rPr>
      </w:pPr>
      <w:r>
        <w:t>在各项基于使用者物质和其他需求的权利中</w:t>
      </w:r>
      <w:r>
        <w:rPr>
          <w:lang w:val="en-GB"/>
        </w:rPr>
        <w:t>，</w:t>
      </w:r>
      <w:r>
        <w:t>我们强调</w:t>
      </w:r>
      <w:r>
        <w:rPr>
          <w:lang w:val="en-GB"/>
        </w:rPr>
        <w:t>：</w:t>
      </w:r>
      <w:r>
        <w:t>特殊津贴</w:t>
      </w:r>
      <w:r>
        <w:rPr>
          <w:rFonts w:ascii="SimSun" w:hAnsi="SimSun" w:cs="SimSun" w:hint="eastAsia"/>
          <w:spacing w:val="-60"/>
          <w:lang w:val="en-GB"/>
        </w:rPr>
        <w:t>―</w:t>
      </w:r>
      <w:r>
        <w:rPr>
          <w:rFonts w:ascii="SimSun" w:hAnsi="SimSun" w:cs="SimSun" w:hint="eastAsia"/>
          <w:spacing w:val="10"/>
          <w:lang w:val="en-GB"/>
        </w:rPr>
        <w:t>―</w:t>
      </w:r>
      <w:r>
        <w:t>适用于自取得专业康复权之日起以及在专业康复期间未领取养老和薪金补偿且未就业的克罗地亚卫国战争伤残退伍军人</w:t>
      </w:r>
      <w:r>
        <w:rPr>
          <w:lang w:val="en-GB"/>
        </w:rPr>
        <w:t>，</w:t>
      </w:r>
      <w:r>
        <w:t>其额度为基数</w:t>
      </w:r>
      <w:r>
        <w:rPr>
          <w:rFonts w:ascii="SimSun" w:hAnsi="SimSun" w:cs="SimSun" w:hint="eastAsia"/>
          <w:spacing w:val="-60"/>
          <w:lang w:val="en-GB"/>
        </w:rPr>
        <w:t>―</w:t>
      </w:r>
      <w:r>
        <w:rPr>
          <w:rFonts w:ascii="SimSun" w:hAnsi="SimSun" w:cs="SimSun" w:hint="eastAsia"/>
          <w:spacing w:val="10"/>
          <w:lang w:val="en-GB"/>
        </w:rPr>
        <w:t>―</w:t>
      </w:r>
      <w:r>
        <w:t>第</w:t>
      </w:r>
      <w:r>
        <w:rPr>
          <w:lang w:val="en-GB"/>
        </w:rPr>
        <w:t>一</w:t>
      </w:r>
      <w:r>
        <w:t>组残疾人个人残疾补助</w:t>
      </w:r>
      <w:r>
        <w:rPr>
          <w:rFonts w:ascii="SimSun" w:hAnsi="SimSun" w:cs="SimSun" w:hint="eastAsia"/>
          <w:spacing w:val="-60"/>
          <w:lang w:val="en-GB"/>
        </w:rPr>
        <w:t>―</w:t>
      </w:r>
      <w:r>
        <w:rPr>
          <w:rFonts w:ascii="SimSun" w:hAnsi="SimSun" w:cs="SimSun" w:hint="eastAsia"/>
          <w:spacing w:val="10"/>
          <w:lang w:val="en-GB"/>
        </w:rPr>
        <w:t>―</w:t>
      </w:r>
      <w:r>
        <w:t>的</w:t>
      </w:r>
      <w:r>
        <w:rPr>
          <w:lang w:val="en-GB"/>
        </w:rPr>
        <w:t>50%</w:t>
      </w:r>
      <w:r>
        <w:rPr>
          <w:lang w:val="en-GB"/>
        </w:rPr>
        <w:t>；</w:t>
      </w:r>
      <w:r>
        <w:t>退伍军人现金补助</w:t>
      </w:r>
      <w:r>
        <w:rPr>
          <w:rFonts w:ascii="SimSun" w:hAnsi="SimSun" w:cs="SimSun" w:hint="eastAsia"/>
          <w:spacing w:val="-60"/>
          <w:lang w:val="en-GB"/>
        </w:rPr>
        <w:t>―</w:t>
      </w:r>
      <w:r>
        <w:rPr>
          <w:rFonts w:ascii="SimSun" w:hAnsi="SimSun" w:cs="SimSun" w:hint="eastAsia"/>
          <w:spacing w:val="10"/>
          <w:lang w:val="en-GB"/>
        </w:rPr>
        <w:t>―</w:t>
      </w:r>
      <w:r>
        <w:t>适用于无收入能力且符合《克罗地亚卫国战争退伍军人及其家庭成员权利法》规定条件者。用以确定退伍军人现金补助的基数为克罗地亚共和国既定预算基数的</w:t>
      </w:r>
      <w:r>
        <w:t>33%</w:t>
      </w:r>
      <w:r>
        <w:t>，而用以确定自力更生型使用者现金补助的基数比重增加</w:t>
      </w:r>
      <w:r>
        <w:t>50%</w:t>
      </w:r>
      <w:r>
        <w:t>；在家获得援助津贴</w:t>
      </w:r>
      <w:r>
        <w:rPr>
          <w:rFonts w:ascii="SimSun" w:hAnsi="SimSun" w:cs="SimSun" w:hint="eastAsia"/>
          <w:spacing w:val="-60"/>
        </w:rPr>
        <w:t>―</w:t>
      </w:r>
      <w:r>
        <w:rPr>
          <w:rFonts w:ascii="SimSun" w:hAnsi="SimSun" w:cs="SimSun" w:hint="eastAsia"/>
          <w:spacing w:val="10"/>
        </w:rPr>
        <w:t>―</w:t>
      </w:r>
      <w:r>
        <w:t>在不领取他人援助和护理津贴的前提下，因健康状况发生永久性变化可能会无法独立满足基本生活要求的退伍军人可领取该现金补助。每月津贴额度为克罗地亚共和国预算基数的</w:t>
      </w:r>
      <w:r>
        <w:t>23%</w:t>
      </w:r>
      <w:r>
        <w:t>。</w:t>
      </w:r>
      <w:r>
        <w:rPr>
          <w:lang w:val="fr-FR"/>
        </w:rPr>
        <w:t>(</w:t>
      </w:r>
      <w:r>
        <w:t>附件二表</w:t>
      </w:r>
      <w:r>
        <w:rPr>
          <w:lang w:val="fr-FR"/>
        </w:rPr>
        <w:t>3</w:t>
      </w:r>
      <w:r>
        <w:rPr>
          <w:lang w:val="fr-FR"/>
        </w:rPr>
        <w:t>至</w:t>
      </w:r>
      <w:r>
        <w:t>表</w:t>
      </w:r>
      <w:r>
        <w:rPr>
          <w:lang w:val="fr-FR"/>
        </w:rPr>
        <w:t>7)</w:t>
      </w:r>
      <w:r>
        <w:t>。</w:t>
      </w:r>
    </w:p>
    <w:p w:rsidR="0064252C" w:rsidRDefault="0064252C">
      <w:pPr>
        <w:pStyle w:val="SingleTxtGC"/>
        <w:rPr>
          <w:lang w:val="en-GB"/>
        </w:rPr>
      </w:pPr>
      <w:r>
        <w:rPr>
          <w:lang w:val="en-GB"/>
        </w:rPr>
        <w:t xml:space="preserve">205.  </w:t>
      </w:r>
      <w:r>
        <w:t>根据《军事和平民战争伤残人员保护法》</w:t>
      </w:r>
      <w:r>
        <w:rPr>
          <w:lang w:val="en-GB"/>
        </w:rPr>
        <w:t>(1992</w:t>
      </w:r>
      <w:r>
        <w:t>年、</w:t>
      </w:r>
      <w:r>
        <w:rPr>
          <w:lang w:val="en-GB"/>
        </w:rPr>
        <w:t>1993</w:t>
      </w:r>
      <w:r>
        <w:t>年、</w:t>
      </w:r>
      <w:r>
        <w:rPr>
          <w:lang w:val="en-GB"/>
        </w:rPr>
        <w:t>1994</w:t>
      </w:r>
      <w:r>
        <w:t>年、</w:t>
      </w:r>
      <w:r>
        <w:rPr>
          <w:lang w:val="en-GB"/>
        </w:rPr>
        <w:t>1995</w:t>
      </w:r>
      <w:r>
        <w:t>年、</w:t>
      </w:r>
      <w:r>
        <w:rPr>
          <w:lang w:val="en-GB"/>
        </w:rPr>
        <w:t>2001</w:t>
      </w:r>
      <w:r>
        <w:t>年、</w:t>
      </w:r>
      <w:r>
        <w:rPr>
          <w:lang w:val="en-GB"/>
        </w:rPr>
        <w:t>2003</w:t>
      </w:r>
      <w:r>
        <w:t>年</w:t>
      </w:r>
      <w:r>
        <w:rPr>
          <w:lang w:val="en-GB"/>
        </w:rPr>
        <w:t>)</w:t>
      </w:r>
      <w:r>
        <w:rPr>
          <w:lang w:val="en-GB"/>
        </w:rPr>
        <w:t>，</w:t>
      </w:r>
      <w:r>
        <w:t>战争和和平时期军事致残和平民战争伤残人员可实现下列权利</w:t>
      </w:r>
      <w:r>
        <w:rPr>
          <w:lang w:val="en-GB"/>
        </w:rPr>
        <w:t>：</w:t>
      </w:r>
    </w:p>
    <w:p w:rsidR="0064252C" w:rsidRDefault="0064252C">
      <w:pPr>
        <w:pStyle w:val="SingleTxtGC"/>
        <w:numPr>
          <w:ilvl w:val="0"/>
          <w:numId w:val="26"/>
        </w:numPr>
        <w:tabs>
          <w:tab w:val="clear" w:pos="2427"/>
          <w:tab w:val="clear" w:pos="3560"/>
          <w:tab w:val="left" w:pos="431"/>
          <w:tab w:val="left" w:pos="1134"/>
          <w:tab w:val="left" w:pos="1565"/>
          <w:tab w:val="left" w:pos="1996"/>
        </w:tabs>
        <w:ind w:left="1134"/>
        <w:rPr>
          <w:rFonts w:hint="eastAsia"/>
          <w:lang w:val="en-GB"/>
        </w:rPr>
      </w:pPr>
      <w:r>
        <w:t>在基于肢体损伤的各项权利中</w:t>
      </w:r>
      <w:r>
        <w:rPr>
          <w:lang w:val="en-GB"/>
        </w:rPr>
        <w:t>，</w:t>
      </w:r>
      <w:r>
        <w:t>我们强调</w:t>
      </w:r>
      <w:r>
        <w:rPr>
          <w:lang w:val="en-GB"/>
        </w:rPr>
        <w:t>：</w:t>
      </w:r>
      <w:r>
        <w:t>个人残疾补助</w:t>
      </w:r>
      <w:r>
        <w:rPr>
          <w:rFonts w:ascii="SimSun" w:hAnsi="SimSun" w:cs="SimSun" w:hint="eastAsia"/>
          <w:spacing w:val="-60"/>
          <w:lang w:val="en-GB"/>
        </w:rPr>
        <w:t>―</w:t>
      </w:r>
      <w:r>
        <w:rPr>
          <w:rFonts w:ascii="SimSun" w:hAnsi="SimSun" w:cs="SimSun" w:hint="eastAsia"/>
          <w:spacing w:val="10"/>
          <w:lang w:val="en-GB"/>
        </w:rPr>
        <w:t>―</w:t>
      </w:r>
      <w:r>
        <w:t>第</w:t>
      </w:r>
      <w:r>
        <w:rPr>
          <w:lang w:val="en-GB"/>
        </w:rPr>
        <w:t>一</w:t>
      </w:r>
      <w:r>
        <w:t>组残疾人的个人残疾补助额度为克罗斯亚共和国预算基数的</w:t>
      </w:r>
      <w:r>
        <w:rPr>
          <w:lang w:val="en-GB"/>
        </w:rPr>
        <w:t>100%</w:t>
      </w:r>
      <w:r>
        <w:rPr>
          <w:lang w:val="en-GB"/>
        </w:rPr>
        <w:t>，</w:t>
      </w:r>
      <w:r>
        <w:t>而第</w:t>
      </w:r>
      <w:r>
        <w:rPr>
          <w:lang w:val="en-GB"/>
        </w:rPr>
        <w:t>二</w:t>
      </w:r>
      <w:r>
        <w:t>至第</w:t>
      </w:r>
      <w:r>
        <w:rPr>
          <w:lang w:val="en-GB"/>
        </w:rPr>
        <w:t>十</w:t>
      </w:r>
      <w:r>
        <w:t>组残疾人的个人残疾补助则以第</w:t>
      </w:r>
      <w:r>
        <w:rPr>
          <w:lang w:val="en-GB"/>
        </w:rPr>
        <w:t>一</w:t>
      </w:r>
      <w:r>
        <w:t>组残疾人个人残疾补助为基数</w:t>
      </w:r>
      <w:r>
        <w:rPr>
          <w:lang w:val="en-GB"/>
        </w:rPr>
        <w:t>，</w:t>
      </w:r>
      <w:r>
        <w:t>用其百分比表示</w:t>
      </w:r>
      <w:r>
        <w:rPr>
          <w:lang w:val="en-GB"/>
        </w:rPr>
        <w:t>；</w:t>
      </w:r>
      <w:r>
        <w:t>获得他人援助和护理的津贴权利</w:t>
      </w:r>
      <w:r>
        <w:rPr>
          <w:rFonts w:ascii="SimSun" w:hAnsi="SimSun" w:cs="SimSun" w:hint="eastAsia"/>
          <w:spacing w:val="-60"/>
          <w:lang w:val="en-GB"/>
        </w:rPr>
        <w:t>―</w:t>
      </w:r>
      <w:r>
        <w:rPr>
          <w:rFonts w:ascii="SimSun" w:hAnsi="SimSun" w:cs="SimSun" w:hint="eastAsia"/>
          <w:spacing w:val="10"/>
          <w:lang w:val="en-GB"/>
        </w:rPr>
        <w:t>―</w:t>
      </w:r>
      <w:r>
        <w:t>根据援助和护理需求范围分为两个程度类别</w:t>
      </w:r>
      <w:r>
        <w:rPr>
          <w:lang w:val="en-GB"/>
        </w:rPr>
        <w:t>，</w:t>
      </w:r>
      <w:r>
        <w:t>额度分别为第</w:t>
      </w:r>
      <w:r>
        <w:rPr>
          <w:lang w:val="en-GB"/>
        </w:rPr>
        <w:t>一</w:t>
      </w:r>
      <w:r>
        <w:t>程度类别基数的</w:t>
      </w:r>
      <w:r>
        <w:rPr>
          <w:lang w:val="en-GB"/>
        </w:rPr>
        <w:t>100%</w:t>
      </w:r>
      <w:r>
        <w:rPr>
          <w:lang w:val="en-GB"/>
        </w:rPr>
        <w:t>和</w:t>
      </w:r>
      <w:r>
        <w:t>第</w:t>
      </w:r>
      <w:r>
        <w:rPr>
          <w:lang w:val="en-GB"/>
        </w:rPr>
        <w:t>二</w:t>
      </w:r>
      <w:r>
        <w:t>程度类别基数的</w:t>
      </w:r>
      <w:r>
        <w:rPr>
          <w:lang w:val="en-GB"/>
        </w:rPr>
        <w:t>66%(</w:t>
      </w:r>
      <w:r>
        <w:t>该基数为第</w:t>
      </w:r>
      <w:r>
        <w:rPr>
          <w:lang w:val="en-GB"/>
        </w:rPr>
        <w:t>一</w:t>
      </w:r>
      <w:r>
        <w:t>组残疾人每月个人残疾补助额度</w:t>
      </w:r>
      <w:r>
        <w:rPr>
          <w:lang w:val="en-GB"/>
        </w:rPr>
        <w:t>)</w:t>
      </w:r>
      <w:r>
        <w:rPr>
          <w:lang w:val="en-GB"/>
        </w:rPr>
        <w:t>；</w:t>
      </w:r>
      <w:r>
        <w:t>矫正津贴</w:t>
      </w:r>
      <w:r>
        <w:rPr>
          <w:rFonts w:hint="eastAsia"/>
          <w:spacing w:val="-60"/>
          <w:lang w:val="en-GB"/>
        </w:rPr>
        <w:t>―</w:t>
      </w:r>
      <w:r>
        <w:rPr>
          <w:rFonts w:hint="eastAsia"/>
          <w:spacing w:val="10"/>
          <w:lang w:val="en-GB"/>
        </w:rPr>
        <w:t>―</w:t>
      </w:r>
      <w:r>
        <w:t>其基数为第</w:t>
      </w:r>
      <w:r>
        <w:rPr>
          <w:lang w:val="en-GB"/>
        </w:rPr>
        <w:t>一</w:t>
      </w:r>
      <w:r>
        <w:t>组残疾人每月个人残疾补助额度</w:t>
      </w:r>
      <w:r>
        <w:rPr>
          <w:lang w:val="en-GB"/>
        </w:rPr>
        <w:t>，</w:t>
      </w:r>
      <w:r>
        <w:t>第</w:t>
      </w:r>
      <w:r>
        <w:rPr>
          <w:lang w:val="en-GB"/>
        </w:rPr>
        <w:t>一</w:t>
      </w:r>
      <w:r>
        <w:t>程度类别的津贴额度为基数的</w:t>
      </w:r>
      <w:r>
        <w:rPr>
          <w:lang w:val="en-GB"/>
        </w:rPr>
        <w:t>29%</w:t>
      </w:r>
      <w:r>
        <w:rPr>
          <w:lang w:val="en-GB"/>
        </w:rPr>
        <w:t>，</w:t>
      </w:r>
      <w:r>
        <w:t>第</w:t>
      </w:r>
      <w:r>
        <w:rPr>
          <w:lang w:val="en-GB"/>
        </w:rPr>
        <w:t>二</w:t>
      </w:r>
      <w:r>
        <w:t>程度类别的津贴额度为基数的</w:t>
      </w:r>
      <w:r>
        <w:rPr>
          <w:lang w:val="en-GB"/>
        </w:rPr>
        <w:t>22%</w:t>
      </w:r>
      <w:r>
        <w:rPr>
          <w:lang w:val="en-GB"/>
        </w:rPr>
        <w:t>，</w:t>
      </w:r>
      <w:r>
        <w:t>第</w:t>
      </w:r>
      <w:r>
        <w:rPr>
          <w:lang w:val="en-GB"/>
        </w:rPr>
        <w:t>三</w:t>
      </w:r>
      <w:r>
        <w:t>程度类别的津贴额度为基数的</w:t>
      </w:r>
      <w:r>
        <w:rPr>
          <w:lang w:val="en-GB"/>
        </w:rPr>
        <w:t>14%</w:t>
      </w:r>
      <w:r>
        <w:rPr>
          <w:lang w:val="en-GB"/>
        </w:rPr>
        <w:t>，</w:t>
      </w:r>
      <w:r>
        <w:t>第</w:t>
      </w:r>
      <w:r>
        <w:rPr>
          <w:lang w:val="en-GB"/>
        </w:rPr>
        <w:t>四</w:t>
      </w:r>
      <w:r>
        <w:t>程度类别的津贴额度为基数的</w:t>
      </w:r>
      <w:r>
        <w:rPr>
          <w:lang w:val="en-GB"/>
        </w:rPr>
        <w:t>7%</w:t>
      </w:r>
      <w:r>
        <w:rPr>
          <w:lang w:val="en-GB"/>
        </w:rPr>
        <w:t>。</w:t>
      </w:r>
      <w:r>
        <w:t>对于身患第</w:t>
      </w:r>
      <w:r>
        <w:rPr>
          <w:lang w:val="en-GB"/>
        </w:rPr>
        <w:t>一</w:t>
      </w:r>
      <w:r>
        <w:t>程度类别两种及以上损伤的使用者</w:t>
      </w:r>
      <w:r>
        <w:rPr>
          <w:lang w:val="en-GB"/>
        </w:rPr>
        <w:t>，</w:t>
      </w:r>
      <w:r>
        <w:t>矫正津贴额度提高</w:t>
      </w:r>
      <w:r>
        <w:rPr>
          <w:lang w:val="en-GB"/>
        </w:rPr>
        <w:t>25%</w:t>
      </w:r>
      <w:r>
        <w:rPr>
          <w:lang w:val="en-GB"/>
        </w:rPr>
        <w:t>；</w:t>
      </w:r>
    </w:p>
    <w:p w:rsidR="0064252C" w:rsidRDefault="0064252C">
      <w:pPr>
        <w:pStyle w:val="SingleTxtGC"/>
        <w:numPr>
          <w:ilvl w:val="0"/>
          <w:numId w:val="26"/>
        </w:numPr>
        <w:tabs>
          <w:tab w:val="clear" w:pos="2427"/>
          <w:tab w:val="clear" w:pos="3560"/>
          <w:tab w:val="left" w:pos="431"/>
          <w:tab w:val="left" w:pos="1134"/>
          <w:tab w:val="left" w:pos="1565"/>
          <w:tab w:val="left" w:pos="1996"/>
        </w:tabs>
        <w:ind w:left="1134"/>
        <w:rPr>
          <w:lang w:val="en-GB"/>
        </w:rPr>
      </w:pPr>
      <w:r>
        <w:t>在各项基于物质需求的权利中</w:t>
      </w:r>
      <w:r>
        <w:rPr>
          <w:lang w:val="en-GB"/>
        </w:rPr>
        <w:t>，</w:t>
      </w:r>
      <w:r>
        <w:t>我们强调以下权利</w:t>
      </w:r>
      <w:r>
        <w:rPr>
          <w:lang w:val="en-GB"/>
        </w:rPr>
        <w:t>：</w:t>
      </w:r>
      <w:r>
        <w:t>退伍军人现金补助</w:t>
      </w:r>
      <w:r>
        <w:rPr>
          <w:rFonts w:ascii="SimSun" w:hAnsi="SimSun" w:cs="SimSun" w:hint="eastAsia"/>
          <w:spacing w:val="-60"/>
          <w:lang w:val="en-GB"/>
        </w:rPr>
        <w:t>―</w:t>
      </w:r>
      <w:r>
        <w:rPr>
          <w:rFonts w:ascii="SimSun" w:hAnsi="SimSun" w:cs="SimSun" w:hint="eastAsia"/>
          <w:spacing w:val="10"/>
          <w:lang w:val="en-GB"/>
        </w:rPr>
        <w:t>―</w:t>
      </w:r>
      <w:r>
        <w:rPr>
          <w:lang w:val="en-GB"/>
        </w:rPr>
        <w:t>适用对象是</w:t>
      </w:r>
      <w:r>
        <w:t>符合《克罗地亚卫国战争退伍军人及其家庭成员权利法》规定条件者。其基数为预算基数的</w:t>
      </w:r>
      <w:r>
        <w:t>33%</w:t>
      </w:r>
      <w:r>
        <w:t>，而对于在</w:t>
      </w:r>
      <w:r>
        <w:t>1943</w:t>
      </w:r>
      <w:r>
        <w:t>年</w:t>
      </w:r>
      <w:r>
        <w:t>9</w:t>
      </w:r>
      <w:r>
        <w:t>月</w:t>
      </w:r>
      <w:r>
        <w:t>9</w:t>
      </w:r>
      <w:r>
        <w:t>日至</w:t>
      </w:r>
      <w:r>
        <w:t>1945</w:t>
      </w:r>
      <w:r>
        <w:t>年</w:t>
      </w:r>
      <w:r>
        <w:t>5</w:t>
      </w:r>
      <w:r>
        <w:t>月</w:t>
      </w:r>
      <w:r>
        <w:t>15</w:t>
      </w:r>
      <w:r>
        <w:t>日之前参战、在</w:t>
      </w:r>
      <w:r>
        <w:t>1945</w:t>
      </w:r>
      <w:r>
        <w:t>年</w:t>
      </w:r>
      <w:r>
        <w:t>5</w:t>
      </w:r>
      <w:r>
        <w:t>月</w:t>
      </w:r>
      <w:r>
        <w:t>15</w:t>
      </w:r>
      <w:r>
        <w:t>日之后死亡的军人的家属，补助基数则为预算基数的</w:t>
      </w:r>
      <w:r>
        <w:t>16.5%</w:t>
      </w:r>
      <w:r>
        <w:t>。没有可影响退伍军人现金补助的家庭收入的，退伍军人现金补助额度按照该基数的额度确定。对于不能从农业中取得家庭收入或其他影响残疾人现金补助的固定收入的，退伍军人现金补助额度定为每月向该使用者拨付的收入部分与退伍军人现金补助基数之间的差额；在家获得援助津贴</w:t>
      </w:r>
      <w:r>
        <w:rPr>
          <w:rFonts w:ascii="SimSun" w:hAnsi="SimSun" w:cs="SimSun" w:hint="eastAsia"/>
          <w:spacing w:val="-60"/>
        </w:rPr>
        <w:t>―</w:t>
      </w:r>
      <w:r>
        <w:rPr>
          <w:rFonts w:ascii="SimSun" w:hAnsi="SimSun" w:cs="SimSun" w:hint="eastAsia"/>
          <w:spacing w:val="10"/>
        </w:rPr>
        <w:t>―</w:t>
      </w:r>
      <w:r>
        <w:t>额度为预算基数的</w:t>
      </w:r>
      <w:r>
        <w:t>23%</w:t>
      </w:r>
      <w:r>
        <w:t>，对于在</w:t>
      </w:r>
      <w:r>
        <w:t>1943</w:t>
      </w:r>
      <w:r>
        <w:t>年</w:t>
      </w:r>
      <w:r>
        <w:t>9</w:t>
      </w:r>
      <w:r>
        <w:t>月</w:t>
      </w:r>
      <w:r>
        <w:t>9</w:t>
      </w:r>
      <w:r>
        <w:t>日至</w:t>
      </w:r>
      <w:r>
        <w:t>1945</w:t>
      </w:r>
      <w:r>
        <w:t>年</w:t>
      </w:r>
      <w:r>
        <w:t>5</w:t>
      </w:r>
      <w:r>
        <w:t>月</w:t>
      </w:r>
      <w:r>
        <w:t>15</w:t>
      </w:r>
      <w:r>
        <w:t>日之前参战、在</w:t>
      </w:r>
      <w:r>
        <w:t>1945</w:t>
      </w:r>
      <w:r>
        <w:t>年</w:t>
      </w:r>
      <w:r>
        <w:t>5</w:t>
      </w:r>
      <w:r>
        <w:t>月</w:t>
      </w:r>
      <w:r>
        <w:t>15</w:t>
      </w:r>
      <w:r>
        <w:t>日之后死亡的军人的家属，额度则为预算基数的</w:t>
      </w:r>
      <w:r>
        <w:t>11.50%</w:t>
      </w:r>
      <w:r>
        <w:t>。</w:t>
      </w:r>
    </w:p>
    <w:p w:rsidR="0064252C" w:rsidRDefault="0064252C">
      <w:pPr>
        <w:pStyle w:val="SingleTxtGC"/>
        <w:rPr>
          <w:lang w:val="en-GB"/>
        </w:rPr>
      </w:pPr>
      <w:r>
        <w:rPr>
          <w:lang w:val="en-GB"/>
        </w:rPr>
        <w:t xml:space="preserve">206.  </w:t>
      </w:r>
      <w:r>
        <w:t>欲了解关于上述内容的更多信息</w:t>
      </w:r>
      <w:r>
        <w:rPr>
          <w:lang w:val="en-GB"/>
        </w:rPr>
        <w:t>，</w:t>
      </w:r>
      <w:r>
        <w:t>请参阅附件二表</w:t>
      </w:r>
      <w:r>
        <w:rPr>
          <w:lang w:val="en-GB"/>
        </w:rPr>
        <w:t>8</w:t>
      </w:r>
      <w:r>
        <w:t>。</w:t>
      </w:r>
    </w:p>
    <w:p w:rsidR="0064252C" w:rsidRDefault="0064252C">
      <w:pPr>
        <w:pStyle w:val="SingleTxtGC"/>
        <w:rPr>
          <w:lang w:val="en-GB"/>
        </w:rPr>
      </w:pPr>
      <w:r>
        <w:rPr>
          <w:lang w:val="en-GB"/>
        </w:rPr>
        <w:t xml:space="preserve">207.  </w:t>
      </w:r>
      <w:r>
        <w:t>按照</w:t>
      </w:r>
      <w:r>
        <w:rPr>
          <w:lang w:val="en-GB"/>
        </w:rPr>
        <w:t>2011</w:t>
      </w:r>
      <w:r>
        <w:t>至</w:t>
      </w:r>
      <w:r>
        <w:rPr>
          <w:lang w:val="en-GB"/>
        </w:rPr>
        <w:t>2013</w:t>
      </w:r>
      <w:r>
        <w:t>年政府方案战略设定的目标</w:t>
      </w:r>
      <w:r>
        <w:rPr>
          <w:lang w:val="en-GB"/>
        </w:rPr>
        <w:t>，</w:t>
      </w:r>
      <w:r>
        <w:t>克罗地亚正在不断发展供水系统</w:t>
      </w:r>
      <w:r>
        <w:rPr>
          <w:lang w:val="en-GB"/>
        </w:rPr>
        <w:t>，</w:t>
      </w:r>
      <w:r>
        <w:t>根据个人卫生和环境卫生需求</w:t>
      </w:r>
      <w:r>
        <w:rPr>
          <w:lang w:val="en-GB"/>
        </w:rPr>
        <w:t>，</w:t>
      </w:r>
      <w:r>
        <w:t>使用公共供水系统的民众比例将从目前的平均</w:t>
      </w:r>
      <w:r>
        <w:rPr>
          <w:lang w:val="en-GB"/>
        </w:rPr>
        <w:t>76%</w:t>
      </w:r>
      <w:r>
        <w:t>提高至平均</w:t>
      </w:r>
      <w:r>
        <w:rPr>
          <w:lang w:val="en-GB"/>
        </w:rPr>
        <w:t>85%</w:t>
      </w:r>
      <w:r>
        <w:rPr>
          <w:lang w:val="en-GB"/>
        </w:rPr>
        <w:t>至</w:t>
      </w:r>
      <w:r>
        <w:rPr>
          <w:lang w:val="en-GB"/>
        </w:rPr>
        <w:t>90%</w:t>
      </w:r>
      <w:r>
        <w:t>。</w:t>
      </w:r>
    </w:p>
    <w:p w:rsidR="0064252C" w:rsidRDefault="0064252C">
      <w:pPr>
        <w:pStyle w:val="SingleTxtGC"/>
        <w:rPr>
          <w:lang w:val="en-GB"/>
        </w:rPr>
      </w:pPr>
      <w:r>
        <w:rPr>
          <w:lang w:val="en-GB"/>
        </w:rPr>
        <w:t xml:space="preserve">208.  </w:t>
      </w:r>
      <w:r>
        <w:t>此外</w:t>
      </w:r>
      <w:r>
        <w:rPr>
          <w:lang w:val="en-GB"/>
        </w:rPr>
        <w:t>，</w:t>
      </w:r>
      <w:r>
        <w:t>地方发展、林业和水利部还在其职权范围内</w:t>
      </w:r>
      <w:r>
        <w:rPr>
          <w:lang w:val="en-GB"/>
        </w:rPr>
        <w:t>，</w:t>
      </w:r>
      <w:r>
        <w:t>通过住房关怀方</w:t>
      </w:r>
      <w:r>
        <w:rPr>
          <w:spacing w:val="-6"/>
        </w:rPr>
        <w:t>案</w:t>
      </w:r>
      <w:r>
        <w:rPr>
          <w:rFonts w:hint="eastAsia"/>
          <w:spacing w:val="-50"/>
          <w:lang w:val="en-GB"/>
        </w:rPr>
        <w:t>―</w:t>
      </w:r>
      <w:r>
        <w:rPr>
          <w:rFonts w:hint="eastAsia"/>
          <w:spacing w:val="-6"/>
          <w:lang w:val="en-GB"/>
        </w:rPr>
        <w:t>―</w:t>
      </w:r>
      <w:r>
        <w:rPr>
          <w:spacing w:val="-6"/>
        </w:rPr>
        <w:t>战争中受损或被毁住宅物业重建方案和国家特别关切地区的住房关怀方案</w:t>
      </w:r>
      <w:r>
        <w:rPr>
          <w:rStyle w:val="FootnoteReference"/>
          <w:spacing w:val="-6"/>
        </w:rPr>
        <w:footnoteReference w:id="25"/>
      </w:r>
      <w:r>
        <w:t>，向残疾人</w:t>
      </w:r>
      <w:r>
        <w:rPr>
          <w:lang w:val="en-GB"/>
        </w:rPr>
        <w:t>(</w:t>
      </w:r>
      <w:r>
        <w:t>无论是战争伤残人员还是平民残疾人</w:t>
      </w:r>
      <w:r>
        <w:rPr>
          <w:lang w:val="en-GB"/>
        </w:rPr>
        <w:t>)</w:t>
      </w:r>
      <w:r>
        <w:t>及其家属</w:t>
      </w:r>
      <w:r>
        <w:rPr>
          <w:lang w:val="en-GB"/>
        </w:rPr>
        <w:t>，</w:t>
      </w:r>
      <w:r>
        <w:t>特别是妇女和儿童提供住房关怀。地方发展、林业和水利部未就已安置住房的残疾人作专门记录。</w:t>
      </w:r>
    </w:p>
    <w:p w:rsidR="0064252C" w:rsidRDefault="0064252C">
      <w:pPr>
        <w:pStyle w:val="SingleTxtGC"/>
        <w:rPr>
          <w:lang w:val="en-GB"/>
        </w:rPr>
      </w:pPr>
      <w:r>
        <w:rPr>
          <w:lang w:val="en-GB"/>
        </w:rPr>
        <w:t xml:space="preserve">209.  </w:t>
      </w:r>
      <w:r>
        <w:t>《社会支助住房建设方案</w:t>
      </w:r>
      <w:r>
        <w:rPr>
          <w:rFonts w:hint="eastAsia"/>
          <w:spacing w:val="-50"/>
        </w:rPr>
        <w:t>―</w:t>
      </w:r>
      <w:r>
        <w:rPr>
          <w:rFonts w:hint="eastAsia"/>
        </w:rPr>
        <w:t>―</w:t>
      </w:r>
      <w:r>
        <w:t>POS</w:t>
      </w:r>
      <w:r>
        <w:t>法》</w:t>
      </w:r>
      <w:r>
        <w:rPr>
          <w:lang w:val="en-GB"/>
        </w:rPr>
        <w:t>(2001</w:t>
      </w:r>
      <w:r>
        <w:t>年</w:t>
      </w:r>
      <w:r>
        <w:rPr>
          <w:lang w:val="en-GB"/>
        </w:rPr>
        <w:t>)</w:t>
      </w:r>
      <w:r>
        <w:t>规定</w:t>
      </w:r>
      <w:r>
        <w:rPr>
          <w:lang w:val="en-GB"/>
        </w:rPr>
        <w:t>，</w:t>
      </w:r>
      <w:r>
        <w:t>在公共资金支助下有系统地组织进行住房建设</w:t>
      </w:r>
      <w:r>
        <w:rPr>
          <w:lang w:val="en-GB"/>
        </w:rPr>
        <w:t>，</w:t>
      </w:r>
      <w:r>
        <w:t>供分期付款购买</w:t>
      </w:r>
      <w:r>
        <w:rPr>
          <w:lang w:val="en-GB"/>
        </w:rPr>
        <w:t>，</w:t>
      </w:r>
      <w:r>
        <w:t>以满足更多公民的住房需求和改善其住房质量。公共资金还用以支持建设和改造自然人建筑和家庭住房，以满足其住房需求。在符合法律规定的平等条件下，残疾人亦可享有此项权利。用以确定单元房优先购买权的条件、规范和程序由地方自治单位根据当地需求和情况确定，残疾人享有住房关怀优先权。</w:t>
      </w:r>
    </w:p>
    <w:p w:rsidR="0064252C" w:rsidRDefault="0064252C">
      <w:pPr>
        <w:pStyle w:val="SingleTxtGC"/>
        <w:rPr>
          <w:lang w:val="en-GB"/>
        </w:rPr>
      </w:pPr>
      <w:r>
        <w:rPr>
          <w:lang w:val="en-GB"/>
        </w:rPr>
        <w:t xml:space="preserve">210.  </w:t>
      </w:r>
      <w:r>
        <w:t>根据《克罗地亚卫国战争退伍军人及其家庭成员权利法》</w:t>
      </w:r>
      <w:r>
        <w:rPr>
          <w:lang w:val="en-GB"/>
        </w:rPr>
        <w:t>(2004</w:t>
      </w:r>
      <w:r>
        <w:t>年</w:t>
      </w:r>
      <w:r>
        <w:rPr>
          <w:lang w:val="en-GB"/>
        </w:rPr>
        <w:t>)</w:t>
      </w:r>
      <w:r>
        <w:t>和《克罗地亚卫国战争期间牺牲、被俘或失踪军人家属和克罗地亚卫国战争退伍军人住房关怀法令》</w:t>
      </w:r>
      <w:r>
        <w:rPr>
          <w:lang w:val="en-GB"/>
        </w:rPr>
        <w:t>(2005</w:t>
      </w:r>
      <w:r>
        <w:t>年</w:t>
      </w:r>
      <w:r>
        <w:rPr>
          <w:lang w:val="en-GB"/>
        </w:rPr>
        <w:t>)</w:t>
      </w:r>
      <w:r>
        <w:rPr>
          <w:lang w:val="en-GB"/>
        </w:rPr>
        <w:t>，</w:t>
      </w:r>
      <w:r>
        <w:t>通过发放住房贷款和</w:t>
      </w:r>
      <w:r>
        <w:rPr>
          <w:lang w:val="en-GB"/>
        </w:rPr>
        <w:t>捐赠</w:t>
      </w:r>
      <w:r>
        <w:t>及购买单元房和住宅向克罗地亚卫国战争伤残退伍军人、克罗地亚卫国战争期间牺牲军人家属和克罗地亚卫国战争期间被俘或失踪军人家属提供住房关怀。根据机体损伤程度百分比实现捐赠和购买单元房的权利，发放住房贷款，用以购买一套单元房或住宅、建造房子、改善生活条件和扩大居住空间。</w:t>
      </w:r>
      <w:r>
        <w:t>2008</w:t>
      </w:r>
      <w:r>
        <w:t>年</w:t>
      </w:r>
      <w:r>
        <w:rPr>
          <w:rFonts w:hint="eastAsia"/>
        </w:rPr>
        <w:t>至</w:t>
      </w:r>
      <w:r>
        <w:t>2010</w:t>
      </w:r>
      <w:r>
        <w:t>年期间，共有</w:t>
      </w:r>
      <w:r>
        <w:t>1,707</w:t>
      </w:r>
      <w:r>
        <w:t>份克罗地亚卫国战争伤残退伍军人申请得到积极解决，其中</w:t>
      </w:r>
      <w:r>
        <w:t>990</w:t>
      </w:r>
      <w:r>
        <w:t>份申请系通过捐赠单元房解决，</w:t>
      </w:r>
      <w:r>
        <w:t>717</w:t>
      </w:r>
      <w:r>
        <w:t>份通过发放住房贷款解决。</w:t>
      </w:r>
    </w:p>
    <w:p w:rsidR="0064252C" w:rsidRDefault="0064252C">
      <w:pPr>
        <w:pStyle w:val="SingleTxtGC"/>
        <w:rPr>
          <w:lang w:val="en-GB"/>
        </w:rPr>
      </w:pPr>
      <w:r>
        <w:rPr>
          <w:lang w:val="en-GB"/>
        </w:rPr>
        <w:t xml:space="preserve">211.  </w:t>
      </w:r>
      <w:r>
        <w:t>养老保险是社会保障体系的一部分</w:t>
      </w:r>
      <w:r>
        <w:rPr>
          <w:lang w:val="en-GB"/>
        </w:rPr>
        <w:t>，</w:t>
      </w:r>
      <w:r>
        <w:t>是针对因家庭经济支柱年老、伤残和死亡而面临失去收入风险的保险制度。基于这些风险的权利可通过现金形式实现</w:t>
      </w:r>
      <w:r>
        <w:t>(</w:t>
      </w:r>
      <w:r>
        <w:t>养老金、肢体损伤赔偿</w:t>
      </w:r>
      <w:r>
        <w:t>)</w:t>
      </w:r>
      <w:r>
        <w:t>，还可以实物形式实现</w:t>
      </w:r>
      <w:r>
        <w:t>(</w:t>
      </w:r>
      <w:r>
        <w:t>专业康复服务，详情请参阅第二十六条</w:t>
      </w:r>
      <w:r>
        <w:t>)</w:t>
      </w:r>
      <w:r>
        <w:t>。为改善</w:t>
      </w:r>
      <w:r>
        <w:rPr>
          <w:lang w:val="en-GB"/>
        </w:rPr>
        <w:t>1999</w:t>
      </w:r>
      <w:r>
        <w:t>年</w:t>
      </w:r>
      <w:r>
        <w:rPr>
          <w:lang w:val="en-GB"/>
        </w:rPr>
        <w:t>1</w:t>
      </w:r>
      <w:r>
        <w:t>月</w:t>
      </w:r>
      <w:r>
        <w:rPr>
          <w:lang w:val="en-GB"/>
        </w:rPr>
        <w:t>1</w:t>
      </w:r>
      <w:r>
        <w:t>日</w:t>
      </w:r>
      <w:r>
        <w:rPr>
          <w:lang w:val="en-GB"/>
        </w:rPr>
        <w:t>(</w:t>
      </w:r>
      <w:r>
        <w:t>克罗地亚共和国养老保险制度改革开始之日</w:t>
      </w:r>
      <w:r>
        <w:rPr>
          <w:lang w:val="en-GB"/>
        </w:rPr>
        <w:t>)</w:t>
      </w:r>
      <w:r>
        <w:t>之后退休的退休人员的物质状况和社会保障</w:t>
      </w:r>
      <w:r>
        <w:rPr>
          <w:lang w:val="en-GB"/>
        </w:rPr>
        <w:t>，</w:t>
      </w:r>
      <w:r>
        <w:rPr>
          <w:rFonts w:hint="eastAsia"/>
        </w:rPr>
        <w:t>及</w:t>
      </w:r>
      <w:r>
        <w:t>为缩小改革前后养老金之间的差距</w:t>
      </w:r>
      <w:r>
        <w:rPr>
          <w:lang w:val="en-GB"/>
        </w:rPr>
        <w:t>，</w:t>
      </w:r>
      <w:r>
        <w:t>《养老保险法规定养老金的补充法》</w:t>
      </w:r>
      <w:r>
        <w:rPr>
          <w:lang w:val="en-GB"/>
        </w:rPr>
        <w:t>(2007</w:t>
      </w:r>
      <w:r>
        <w:t>年</w:t>
      </w:r>
      <w:r>
        <w:rPr>
          <w:lang w:val="en-GB"/>
        </w:rPr>
        <w:t>)</w:t>
      </w:r>
      <w:r>
        <w:t>规定了领取补充养老金的权利</w:t>
      </w:r>
      <w:r>
        <w:rPr>
          <w:lang w:val="en-GB"/>
        </w:rPr>
        <w:t>(</w:t>
      </w:r>
      <w:r>
        <w:t>额度介于</w:t>
      </w:r>
      <w:r>
        <w:rPr>
          <w:lang w:val="en-GB"/>
        </w:rPr>
        <w:t>1999</w:t>
      </w:r>
      <w:r>
        <w:t>年养老金额度的</w:t>
      </w:r>
      <w:r>
        <w:rPr>
          <w:lang w:val="en-GB"/>
        </w:rPr>
        <w:t>4%</w:t>
      </w:r>
      <w:r>
        <w:t>和</w:t>
      </w:r>
      <w:r>
        <w:rPr>
          <w:lang w:val="en-GB"/>
        </w:rPr>
        <w:t>2010</w:t>
      </w:r>
      <w:r>
        <w:t>年及以后养老金额度的</w:t>
      </w:r>
      <w:r>
        <w:rPr>
          <w:lang w:val="en-GB"/>
        </w:rPr>
        <w:t>27%</w:t>
      </w:r>
      <w:r>
        <w:t>之间</w:t>
      </w:r>
      <w:r>
        <w:rPr>
          <w:lang w:val="en-GB"/>
        </w:rPr>
        <w:t>)</w:t>
      </w:r>
      <w:r>
        <w:t>。《养老保险法修正法案》</w:t>
      </w:r>
      <w:r>
        <w:rPr>
          <w:lang w:val="en-GB"/>
        </w:rPr>
        <w:t>(2007</w:t>
      </w:r>
      <w:r>
        <w:t>年</w:t>
      </w:r>
      <w:r>
        <w:rPr>
          <w:lang w:val="en-GB"/>
        </w:rPr>
        <w:t>)</w:t>
      </w:r>
      <w:r>
        <w:t>还涉及到</w:t>
      </w:r>
      <w:r>
        <w:rPr>
          <w:lang w:val="en-GB"/>
        </w:rPr>
        <w:t>1999</w:t>
      </w:r>
      <w:r>
        <w:t>年</w:t>
      </w:r>
      <w:r>
        <w:rPr>
          <w:lang w:val="en-GB"/>
        </w:rPr>
        <w:t>1</w:t>
      </w:r>
      <w:r>
        <w:t>月</w:t>
      </w:r>
      <w:r>
        <w:rPr>
          <w:lang w:val="en-GB"/>
        </w:rPr>
        <w:t>1</w:t>
      </w:r>
      <w:r>
        <w:t>日起发放的养老金。根据此法，自</w:t>
      </w:r>
      <w:r>
        <w:t>2008</w:t>
      </w:r>
      <w:r>
        <w:t>年</w:t>
      </w:r>
      <w:r>
        <w:t>1</w:t>
      </w:r>
      <w:r>
        <w:t>月</w:t>
      </w:r>
      <w:r>
        <w:t>1</w:t>
      </w:r>
      <w:r>
        <w:t>日起，除先前的养老金外，还提高了因就业期间丧失专业工作能力而发放的残疾养恤金额度</w:t>
      </w:r>
      <w:r>
        <w:t>(</w:t>
      </w:r>
      <w:r>
        <w:t>目的是鼓励这些养老金领取者参加工作</w:t>
      </w:r>
      <w:r>
        <w:t>)</w:t>
      </w:r>
      <w:r>
        <w:t>，工龄达</w:t>
      </w:r>
      <w:r>
        <w:t>31</w:t>
      </w:r>
      <w:r>
        <w:t>年及以上退休人员的最低退休金也有增加。《养老保险法》规定的最低养老金由建立在成员团结基础上的养老金系统进行支付，适用于按照工作年限领取养老金且其就业期间薪金低于最低养老金的投保人。自</w:t>
      </w:r>
      <w:r>
        <w:t>2009</w:t>
      </w:r>
      <w:r>
        <w:t>年</w:t>
      </w:r>
      <w:r>
        <w:t>1</w:t>
      </w:r>
      <w:r>
        <w:t>月</w:t>
      </w:r>
      <w:r>
        <w:t>1</w:t>
      </w:r>
      <w:r>
        <w:t>日起，工龄满</w:t>
      </w:r>
      <w:r>
        <w:t>20</w:t>
      </w:r>
      <w:r>
        <w:t>年的，最低养老金额度为</w:t>
      </w:r>
      <w:r>
        <w:t>1,116.80</w:t>
      </w:r>
      <w:r>
        <w:t>库纳，工龄满</w:t>
      </w:r>
      <w:r>
        <w:t>40</w:t>
      </w:r>
      <w:r>
        <w:t>年的，最低养老金额度为</w:t>
      </w:r>
      <w:r>
        <w:t>2,233.60</w:t>
      </w:r>
      <w:r>
        <w:t>库纳，工龄满</w:t>
      </w:r>
      <w:r>
        <w:t>45</w:t>
      </w:r>
      <w:r>
        <w:t>年的，最低养老金额度为</w:t>
      </w:r>
      <w:r>
        <w:t>2,512.80</w:t>
      </w:r>
      <w:r>
        <w:t>库纳。</w:t>
      </w:r>
    </w:p>
    <w:p w:rsidR="0064252C" w:rsidRDefault="0064252C">
      <w:pPr>
        <w:pStyle w:val="SingleTxtGC"/>
        <w:rPr>
          <w:lang w:val="en-GB"/>
        </w:rPr>
      </w:pPr>
      <w:r>
        <w:rPr>
          <w:lang w:val="en-GB"/>
        </w:rPr>
        <w:t xml:space="preserve">212.  </w:t>
      </w:r>
      <w:r>
        <w:t>《保险期限延长法》</w:t>
      </w:r>
      <w:r>
        <w:t>(</w:t>
      </w:r>
      <w:r>
        <w:rPr>
          <w:lang w:val="en-GB"/>
        </w:rPr>
        <w:t>1999</w:t>
      </w:r>
      <w:r>
        <w:t>年、</w:t>
      </w:r>
      <w:r>
        <w:rPr>
          <w:lang w:val="en-GB"/>
        </w:rPr>
        <w:t>2007</w:t>
      </w:r>
      <w:r>
        <w:t>年、</w:t>
      </w:r>
      <w:r>
        <w:rPr>
          <w:lang w:val="en-GB"/>
        </w:rPr>
        <w:t>2008</w:t>
      </w:r>
      <w:r>
        <w:t>年</w:t>
      </w:r>
      <w:r>
        <w:rPr>
          <w:lang w:val="en-GB"/>
        </w:rPr>
        <w:t>)</w:t>
      </w:r>
      <w:r>
        <w:t>规定</w:t>
      </w:r>
      <w:r>
        <w:rPr>
          <w:lang w:val="en-GB"/>
        </w:rPr>
        <w:t>，下列</w:t>
      </w:r>
      <w:r>
        <w:t>残疾人能够在更为有利的条件下实现养老保险权利</w:t>
      </w:r>
      <w:r>
        <w:rPr>
          <w:lang w:val="en-GB"/>
        </w:rPr>
        <w:t>：</w:t>
      </w:r>
      <w:r>
        <w:t>因功能紊乱导致除非借助轮椅否则无法独立行动的盲人、发育不全和相关肌肉和神经肌肉疾病患者、截瘫、脑瘫和小儿麻痹症、多发性硬化症、风湿性关节炎患者和聋哑人</w:t>
      </w:r>
      <w:r>
        <w:rPr>
          <w:lang w:val="en-GB"/>
        </w:rPr>
        <w:t>，意</w:t>
      </w:r>
      <w:r>
        <w:t>即</w:t>
      </w:r>
      <w:r>
        <w:rPr>
          <w:lang w:val="en-GB"/>
        </w:rPr>
        <w:t>，其</w:t>
      </w:r>
      <w:r>
        <w:t>全职就业年限可转化计为保险延长年限</w:t>
      </w:r>
      <w:r>
        <w:rPr>
          <w:lang w:val="en-GB"/>
        </w:rPr>
        <w:t>，</w:t>
      </w:r>
      <w:r>
        <w:t>服务满</w:t>
      </w:r>
      <w:r>
        <w:rPr>
          <w:lang w:val="en-GB"/>
        </w:rPr>
        <w:t>12</w:t>
      </w:r>
      <w:r>
        <w:t>个月的</w:t>
      </w:r>
      <w:r>
        <w:rPr>
          <w:lang w:val="en-GB"/>
        </w:rPr>
        <w:t>，</w:t>
      </w:r>
      <w:r>
        <w:t>按</w:t>
      </w:r>
      <w:r>
        <w:rPr>
          <w:lang w:val="en-GB"/>
        </w:rPr>
        <w:t>15</w:t>
      </w:r>
      <w:r>
        <w:t>个月计算</w:t>
      </w:r>
      <w:r>
        <w:rPr>
          <w:lang w:val="en-GB"/>
        </w:rPr>
        <w:t>，</w:t>
      </w:r>
      <w:r>
        <w:t>就业每满</w:t>
      </w:r>
      <w:r>
        <w:rPr>
          <w:lang w:val="en-GB"/>
        </w:rPr>
        <w:t>5</w:t>
      </w:r>
      <w:r>
        <w:t>年的</w:t>
      </w:r>
      <w:r>
        <w:rPr>
          <w:lang w:val="en-GB"/>
        </w:rPr>
        <w:t>，</w:t>
      </w:r>
      <w:r>
        <w:t>其老龄养老金权利领取年龄限制便下调</w:t>
      </w:r>
      <w:r>
        <w:rPr>
          <w:lang w:val="en-GB"/>
        </w:rPr>
        <w:t>1</w:t>
      </w:r>
      <w:r>
        <w:t>岁。在一定条件下，因残疾而整体丧失劳动能力的投保人，在其无劳动能力状态持续期间，其家属享有领取家庭养老金的权利。</w:t>
      </w:r>
    </w:p>
    <w:p w:rsidR="0064252C" w:rsidRDefault="0064252C">
      <w:pPr>
        <w:pStyle w:val="H1GC"/>
      </w:pPr>
      <w:r>
        <w:tab/>
      </w:r>
      <w:r>
        <w:tab/>
      </w:r>
      <w:r>
        <w:t>第二十九条</w:t>
      </w:r>
      <w:r>
        <w:br/>
      </w:r>
      <w:r>
        <w:t>参与政治和公共生活</w:t>
      </w:r>
    </w:p>
    <w:p w:rsidR="0064252C" w:rsidRDefault="0064252C">
      <w:pPr>
        <w:pStyle w:val="SingleTxtGC"/>
        <w:rPr>
          <w:lang w:val="en-GB"/>
        </w:rPr>
      </w:pPr>
      <w:r>
        <w:rPr>
          <w:lang w:val="en-GB"/>
        </w:rPr>
        <w:t xml:space="preserve">213.  </w:t>
      </w:r>
      <w:r>
        <w:t>虽然克罗地亚选举立法中并无专门法规就残疾人参与选举作出规定</w:t>
      </w:r>
      <w:r>
        <w:rPr>
          <w:lang w:val="en-GB"/>
        </w:rPr>
        <w:t>，</w:t>
      </w:r>
      <w:r>
        <w:t>但却载有规定残疾人行使选举权利的条款。已就因受到一定限制而无法独立参加选举之人参与选举的方式</w:t>
      </w:r>
      <w:r>
        <w:t>(</w:t>
      </w:r>
      <w:r>
        <w:t>协助下选举</w:t>
      </w:r>
      <w:r>
        <w:t>)</w:t>
      </w:r>
      <w:r>
        <w:t>作出规定，因严重疾病、肢体障碍或体质孱弱而无法出入投票站的可在其居所地进行投票，并适当关注投票保密性。保护投票保密性的方式是，上门协助该人进行投票的选举委员会成员一经返回投票站，即在选举委员会其他成员面前开启信封，将折叠的选票原样投入相应的票箱。国家选举委员会在强制性指令中就肢体损伤、不识字和无法出入投票站的选民的投票事宜做了详细规定。在</w:t>
      </w:r>
      <w:r>
        <w:t>2009</w:t>
      </w:r>
      <w:r>
        <w:t>年的首次总统大选中，盲人选民、视力有障碍的选民能够通过使用盲文选票、选票和投票矩阵亲自进行投票。</w:t>
      </w:r>
    </w:p>
    <w:p w:rsidR="0064252C" w:rsidRDefault="0064252C">
      <w:pPr>
        <w:pStyle w:val="SingleTxtGC"/>
        <w:rPr>
          <w:lang w:val="en-GB"/>
        </w:rPr>
      </w:pPr>
      <w:r>
        <w:rPr>
          <w:lang w:val="en-GB"/>
        </w:rPr>
        <w:t>214.  2010</w:t>
      </w:r>
      <w:r>
        <w:t>年</w:t>
      </w:r>
      <w:r>
        <w:rPr>
          <w:lang w:val="en-GB"/>
        </w:rPr>
        <w:t>，</w:t>
      </w:r>
      <w:r>
        <w:t>公共行政部通过深入了解对残疾人政治参与具有重要意义的基本文件对残疾人的无障碍性</w:t>
      </w:r>
      <w:r>
        <w:rPr>
          <w:lang w:val="en-GB"/>
        </w:rPr>
        <w:t>，</w:t>
      </w:r>
      <w:r>
        <w:t>就确保向残疾人提供技术支持和其他形式援助的状况做了分析</w:t>
      </w:r>
      <w:r>
        <w:rPr>
          <w:lang w:val="en-GB"/>
        </w:rPr>
        <w:t>，</w:t>
      </w:r>
      <w:r>
        <w:t>结果显示</w:t>
      </w:r>
      <w:r>
        <w:rPr>
          <w:lang w:val="en-GB"/>
        </w:rPr>
        <w:t>，</w:t>
      </w:r>
      <w:r>
        <w:t>较之前一段时间</w:t>
      </w:r>
      <w:r>
        <w:rPr>
          <w:lang w:val="en-GB"/>
        </w:rPr>
        <w:t>，</w:t>
      </w:r>
      <w:r>
        <w:t>文件无障碍性已</w:t>
      </w:r>
      <w:r>
        <w:rPr>
          <w:rFonts w:hint="eastAsia"/>
        </w:rPr>
        <w:t>显著</w:t>
      </w:r>
      <w:r>
        <w:t>提高</w:t>
      </w:r>
      <w:r>
        <w:rPr>
          <w:lang w:val="en-GB"/>
        </w:rPr>
        <w:t>，</w:t>
      </w:r>
      <w:r>
        <w:t>残疾人还切实获得了地方自治单位和区域自治单位的相关设备支持。</w:t>
      </w:r>
    </w:p>
    <w:p w:rsidR="0064252C" w:rsidRDefault="0064252C">
      <w:pPr>
        <w:pStyle w:val="H1GC"/>
      </w:pPr>
      <w:r>
        <w:tab/>
      </w:r>
      <w:r>
        <w:tab/>
      </w:r>
      <w:r>
        <w:t>第三十条</w:t>
      </w:r>
      <w:r>
        <w:br/>
      </w:r>
      <w:r>
        <w:t>参与文化生活、娱乐、休闲和体育活动</w:t>
      </w:r>
    </w:p>
    <w:p w:rsidR="0064252C" w:rsidRDefault="0064252C">
      <w:pPr>
        <w:pStyle w:val="SingleTxtGC"/>
        <w:rPr>
          <w:lang w:val="en-GB"/>
        </w:rPr>
      </w:pPr>
      <w:r>
        <w:rPr>
          <w:lang w:val="en-GB"/>
        </w:rPr>
        <w:t xml:space="preserve">215.  </w:t>
      </w:r>
      <w:r>
        <w:t>为确认和促进残疾人在与他人平等的基础上参与文化生活的权利</w:t>
      </w:r>
      <w:r>
        <w:rPr>
          <w:lang w:val="en-GB"/>
        </w:rPr>
        <w:t>，</w:t>
      </w:r>
      <w:r>
        <w:t>文化部每年都会发布一份就公众文化需求提出建议的公开呼吁书。在克罗地亚共和国境内从事文化活动的独立艺术家、艺术组织、文化机构、法人和自然人、公民和民间社会组织和地方自治单位和区域自治单位</w:t>
      </w:r>
      <w:r>
        <w:rPr>
          <w:lang w:val="en-GB"/>
        </w:rPr>
        <w:t>，</w:t>
      </w:r>
      <w:r>
        <w:t>可提出申请</w:t>
      </w:r>
      <w:r>
        <w:rPr>
          <w:lang w:val="en-GB"/>
        </w:rPr>
        <w:t>，</w:t>
      </w:r>
      <w:r>
        <w:t>残疾艺术家和协会等同样可提出申请。《选择和确定公共文化需求方案规则手册》</w:t>
      </w:r>
      <w:r>
        <w:t>(2008</w:t>
      </w:r>
      <w:r>
        <w:t>年、</w:t>
      </w:r>
      <w:r>
        <w:t>2009</w:t>
      </w:r>
      <w:r>
        <w:t>年</w:t>
      </w:r>
      <w:r>
        <w:t>)</w:t>
      </w:r>
      <w:r>
        <w:t>规定，对所提交建议进行专业评价的标准之一是残疾人对方案的参与程度和方案为残疾人作出的调整。</w:t>
      </w:r>
    </w:p>
    <w:p w:rsidR="0064252C" w:rsidRDefault="0064252C">
      <w:pPr>
        <w:pStyle w:val="SingleTxtGC"/>
        <w:rPr>
          <w:lang w:val="en-GB"/>
        </w:rPr>
      </w:pPr>
      <w:r>
        <w:rPr>
          <w:lang w:val="en-GB"/>
        </w:rPr>
        <w:t xml:space="preserve">216.  </w:t>
      </w:r>
      <w:r>
        <w:t>通过国家数字化方案</w:t>
      </w:r>
      <w:r>
        <w:rPr>
          <w:rFonts w:hint="eastAsia"/>
          <w:lang w:val="en-GB"/>
        </w:rPr>
        <w:t>“</w:t>
      </w:r>
      <w:r>
        <w:t>克罗地亚文化遗产</w:t>
      </w:r>
      <w:r>
        <w:rPr>
          <w:rFonts w:hint="eastAsia"/>
          <w:lang w:val="en-GB"/>
        </w:rPr>
        <w:t>”</w:t>
      </w:r>
      <w:r>
        <w:rPr>
          <w:lang w:val="en-GB"/>
        </w:rPr>
        <w:t>(</w:t>
      </w:r>
      <w:r>
        <w:t>可查阅</w:t>
      </w:r>
      <w:r>
        <w:rPr>
          <w:lang w:val="en-GB"/>
        </w:rPr>
        <w:t>www.kultura.hr)</w:t>
      </w:r>
      <w:r>
        <w:t>确保整体公众</w:t>
      </w:r>
      <w:r>
        <w:rPr>
          <w:lang w:val="en-GB"/>
        </w:rPr>
        <w:t>，</w:t>
      </w:r>
      <w:r>
        <w:t>包括残疾人</w:t>
      </w:r>
      <w:r>
        <w:rPr>
          <w:lang w:val="en-GB"/>
        </w:rPr>
        <w:t>，</w:t>
      </w:r>
      <w:r>
        <w:t>能够无障碍获得关于克罗地亚部分文化遗产的信息。</w:t>
      </w:r>
    </w:p>
    <w:p w:rsidR="0064252C" w:rsidRDefault="0064252C">
      <w:pPr>
        <w:pStyle w:val="SingleTxtGC"/>
        <w:rPr>
          <w:lang w:val="en-GB"/>
        </w:rPr>
      </w:pPr>
      <w:r>
        <w:rPr>
          <w:lang w:val="en-GB"/>
        </w:rPr>
        <w:t xml:space="preserve">217.  </w:t>
      </w:r>
      <w:r>
        <w:t>除文化部外</w:t>
      </w:r>
      <w:r>
        <w:rPr>
          <w:lang w:val="en-GB"/>
        </w:rPr>
        <w:t>，</w:t>
      </w:r>
      <w:r>
        <w:t>其他国家行政机构和地方自治单位和区域自治单位也在不断向残疾人协会各个项目和方案提供财政支持</w:t>
      </w:r>
      <w:r>
        <w:rPr>
          <w:lang w:val="en-GB"/>
        </w:rPr>
        <w:t>，增强</w:t>
      </w:r>
      <w:r>
        <w:t>公众对残疾人艺术工作和残疾人专用剧院</w:t>
      </w:r>
      <w:r>
        <w:rPr>
          <w:lang w:val="en-GB"/>
        </w:rPr>
        <w:t>(</w:t>
      </w:r>
      <w:r>
        <w:t>绘画和雕塑讲习班、参观展览并进行聋盲人艺术家培训、举办展览、盲聋人艺术家绘画和雕塑同行聚会和以残疾是一大社会和政治问题为主题的艺术节</w:t>
      </w:r>
      <w:r>
        <w:rPr>
          <w:lang w:val="en-GB"/>
        </w:rPr>
        <w:t>)</w:t>
      </w:r>
      <w:r>
        <w:rPr>
          <w:lang w:val="en-GB"/>
        </w:rPr>
        <w:t>的敏感认识</w:t>
      </w:r>
      <w:r>
        <w:t>。在这方面，一个很好的例子是，我们十分重视向旨在展示残疾人创作潜力和提高公众敏感认识的</w:t>
      </w:r>
      <w:r>
        <w:rPr>
          <w:rFonts w:hint="eastAsia"/>
        </w:rPr>
        <w:t>“</w:t>
      </w:r>
      <w:r>
        <w:t>国际盲人和有视觉障碍者戏剧节</w:t>
      </w:r>
      <w:r>
        <w:rPr>
          <w:rFonts w:hint="eastAsia"/>
        </w:rPr>
        <w:t>”</w:t>
      </w:r>
      <w:r>
        <w:t>(BIT)</w:t>
      </w:r>
      <w:r>
        <w:t>和</w:t>
      </w:r>
      <w:r>
        <w:rPr>
          <w:rFonts w:hint="eastAsia"/>
        </w:rPr>
        <w:t>“</w:t>
      </w:r>
      <w:r>
        <w:t>机会平等节</w:t>
      </w:r>
      <w:r>
        <w:rPr>
          <w:rFonts w:hint="eastAsia"/>
        </w:rPr>
        <w:t>”</w:t>
      </w:r>
      <w:r>
        <w:t>提供资助。</w:t>
      </w:r>
    </w:p>
    <w:p w:rsidR="0064252C" w:rsidRDefault="0064252C">
      <w:pPr>
        <w:pStyle w:val="SingleTxtGC"/>
        <w:rPr>
          <w:lang w:val="en-GB"/>
        </w:rPr>
      </w:pPr>
      <w:r>
        <w:rPr>
          <w:lang w:val="en-GB"/>
        </w:rPr>
        <w:t>218.  2008</w:t>
      </w:r>
      <w:r>
        <w:t>年</w:t>
      </w:r>
      <w:r>
        <w:rPr>
          <w:lang w:val="en-GB"/>
        </w:rPr>
        <w:t>，</w:t>
      </w:r>
      <w:r>
        <w:rPr>
          <w:lang w:val="en-GB"/>
        </w:rPr>
        <w:t>Typhlological</w:t>
      </w:r>
      <w:r>
        <w:t>博物馆对外开放了一个新的常设展馆</w:t>
      </w:r>
      <w:r>
        <w:rPr>
          <w:lang w:val="en-GB"/>
        </w:rPr>
        <w:t>，</w:t>
      </w:r>
      <w:r>
        <w:t>这是一家适应残疾人需求的国家专门博物馆</w:t>
      </w:r>
      <w:r>
        <w:rPr>
          <w:lang w:val="en-GB"/>
        </w:rPr>
        <w:t>(</w:t>
      </w:r>
      <w:r>
        <w:t>常设展馆的目录和说明以盲文印制</w:t>
      </w:r>
      <w:r>
        <w:rPr>
          <w:lang w:val="en-GB"/>
        </w:rPr>
        <w:t>，</w:t>
      </w:r>
      <w:r>
        <w:t>以三维模拟图进行展示</w:t>
      </w:r>
      <w:r>
        <w:rPr>
          <w:lang w:val="en-GB"/>
        </w:rPr>
        <w:t>，</w:t>
      </w:r>
      <w:r>
        <w:t>并提供适合盲人需要的计算机</w:t>
      </w:r>
      <w:r>
        <w:rPr>
          <w:lang w:val="en-GB"/>
        </w:rPr>
        <w:t>)</w:t>
      </w:r>
      <w:r>
        <w:t>。</w:t>
      </w:r>
    </w:p>
    <w:p w:rsidR="0064252C" w:rsidRDefault="0064252C">
      <w:pPr>
        <w:pStyle w:val="SingleTxtGC"/>
        <w:rPr>
          <w:lang w:val="en-GB"/>
        </w:rPr>
      </w:pPr>
      <w:r>
        <w:rPr>
          <w:lang w:val="en-GB"/>
        </w:rPr>
        <w:t xml:space="preserve">219.  </w:t>
      </w:r>
      <w:r>
        <w:t>文化部咨询机构克罗地亚博物馆理事会设定了对使用博物馆和画廊事宜进行系统规范的标准</w:t>
      </w:r>
      <w:r>
        <w:rPr>
          <w:lang w:val="en-GB"/>
        </w:rPr>
        <w:t>，</w:t>
      </w:r>
      <w:r>
        <w:t>并对博物馆学概念</w:t>
      </w:r>
      <w:r>
        <w:rPr>
          <w:lang w:val="en-GB"/>
        </w:rPr>
        <w:t>(</w:t>
      </w:r>
      <w:r>
        <w:t>开放新的常设展馆或调整常设展馆</w:t>
      </w:r>
      <w:r>
        <w:rPr>
          <w:lang w:val="en-GB"/>
        </w:rPr>
        <w:t>)</w:t>
      </w:r>
      <w:r>
        <w:t>进行核查</w:t>
      </w:r>
      <w:r>
        <w:rPr>
          <w:lang w:val="en-GB"/>
        </w:rPr>
        <w:t>，</w:t>
      </w:r>
      <w:r>
        <w:t>在常设展馆</w:t>
      </w:r>
      <w:r>
        <w:rPr>
          <w:rFonts w:ascii="SimSun" w:hAnsi="SimSun" w:cs="SimSun" w:hint="eastAsia"/>
          <w:lang w:val="en-GB"/>
        </w:rPr>
        <w:t>“</w:t>
      </w:r>
      <w:r>
        <w:t>思想</w:t>
      </w:r>
      <w:r>
        <w:rPr>
          <w:rFonts w:ascii="SimSun" w:hAnsi="SimSun" w:cs="SimSun" w:hint="eastAsia"/>
          <w:lang w:val="en-GB"/>
        </w:rPr>
        <w:t>”</w:t>
      </w:r>
      <w:r>
        <w:t>概念范畴内</w:t>
      </w:r>
      <w:r>
        <w:rPr>
          <w:lang w:val="en-GB"/>
        </w:rPr>
        <w:t>，</w:t>
      </w:r>
      <w:r>
        <w:t>这些概念包括对博物馆馆藏空间的分析和评价</w:t>
      </w:r>
      <w:r>
        <w:rPr>
          <w:lang w:val="en-GB"/>
        </w:rPr>
        <w:t>，</w:t>
      </w:r>
      <w:r>
        <w:t>目的是确保对所有游客不构成障碍</w:t>
      </w:r>
      <w:r>
        <w:rPr>
          <w:lang w:val="en-GB"/>
        </w:rPr>
        <w:t>，</w:t>
      </w:r>
      <w:r>
        <w:t>由此确保对残疾人无障碍性。</w:t>
      </w:r>
    </w:p>
    <w:p w:rsidR="0064252C" w:rsidRDefault="0064252C">
      <w:pPr>
        <w:pStyle w:val="SingleTxtGC"/>
        <w:rPr>
          <w:lang w:val="en-GB"/>
        </w:rPr>
      </w:pPr>
      <w:r>
        <w:rPr>
          <w:lang w:val="en-GB"/>
        </w:rPr>
        <w:t xml:space="preserve">220.  </w:t>
      </w:r>
      <w:r>
        <w:t>文化部不断支持和资助旨在促进和保障残疾人各项权利的图书馆方案</w:t>
      </w:r>
      <w:r>
        <w:rPr>
          <w:lang w:val="en-GB"/>
        </w:rPr>
        <w:t>，</w:t>
      </w:r>
      <w:r>
        <w:t>例如</w:t>
      </w:r>
      <w:r>
        <w:rPr>
          <w:lang w:val="en-GB"/>
        </w:rPr>
        <w:t>，举行</w:t>
      </w:r>
      <w:r>
        <w:t>有特殊需要人士图书馆服务圆桌会议</w:t>
      </w:r>
      <w:r>
        <w:rPr>
          <w:lang w:val="en-GB"/>
        </w:rPr>
        <w:t>，</w:t>
      </w:r>
      <w:r>
        <w:t>翻译和发布《国际图书馆协会联合会指南》电子刊以提高材料易读性</w:t>
      </w:r>
      <w:r>
        <w:rPr>
          <w:lang w:val="en-GB"/>
        </w:rPr>
        <w:t>(2010</w:t>
      </w:r>
      <w:r>
        <w:t>年修订刊</w:t>
      </w:r>
      <w:r>
        <w:rPr>
          <w:lang w:val="en-GB"/>
        </w:rPr>
        <w:t>)</w:t>
      </w:r>
      <w:r>
        <w:t>。文化部还定期向由克罗地亚共和国政府成立的克罗地亚盲人图书馆进行拨款，在开展日常图书馆和出版活动方面提供支持，并进行设备和馆舍投资。</w:t>
      </w:r>
    </w:p>
    <w:p w:rsidR="0064252C" w:rsidRDefault="0064252C">
      <w:pPr>
        <w:pStyle w:val="SingleTxtGC"/>
        <w:rPr>
          <w:lang w:val="en-GB"/>
        </w:rPr>
      </w:pPr>
      <w:r>
        <w:rPr>
          <w:lang w:val="en-GB"/>
        </w:rPr>
        <w:t xml:space="preserve">221.  </w:t>
      </w:r>
      <w:r>
        <w:t>还通过克罗地亚残奥委会和民间社会组织各项基金和活动确保促进残疾人体育活动</w:t>
      </w:r>
      <w:r>
        <w:rPr>
          <w:lang w:val="en-GB"/>
        </w:rPr>
        <w:t>(</w:t>
      </w:r>
      <w:r>
        <w:t>附件二表</w:t>
      </w:r>
      <w:r>
        <w:rPr>
          <w:lang w:val="en-GB"/>
        </w:rPr>
        <w:t>1)</w:t>
      </w:r>
      <w:r>
        <w:rPr>
          <w:lang w:val="en-GB"/>
        </w:rPr>
        <w:t>。</w:t>
      </w:r>
      <w:r>
        <w:t>克罗地亚残奥委会还面向发育障碍儿童和残疾青少年开展了一系列发展方案和体育训练营活动</w:t>
      </w:r>
      <w:r>
        <w:rPr>
          <w:lang w:val="en-GB"/>
        </w:rPr>
        <w:t>(</w:t>
      </w:r>
      <w:r>
        <w:t>滑雪、田径、</w:t>
      </w:r>
      <w:r>
        <w:rPr>
          <w:rFonts w:hint="eastAsia"/>
          <w:lang w:val="en-GB"/>
        </w:rPr>
        <w:t>“</w:t>
      </w:r>
      <w:r>
        <w:t>坐式</w:t>
      </w:r>
      <w:r>
        <w:rPr>
          <w:rFonts w:hint="eastAsia"/>
          <w:lang w:val="en-GB"/>
        </w:rPr>
        <w:t>”</w:t>
      </w:r>
      <w:r>
        <w:t>手球、游泳、网球</w:t>
      </w:r>
      <w:r>
        <w:rPr>
          <w:lang w:val="en-GB"/>
        </w:rPr>
        <w:t>)</w:t>
      </w:r>
      <w:r>
        <w:t>。</w:t>
      </w:r>
      <w:r>
        <w:t>2010</w:t>
      </w:r>
      <w:r>
        <w:t>年，克罗地亚残奥委会组织了</w:t>
      </w:r>
      <w:r>
        <w:t>2</w:t>
      </w:r>
      <w:r>
        <w:t>届大型国际赛事：国际残奥委会</w:t>
      </w:r>
      <w:r>
        <w:t>(IPC)</w:t>
      </w:r>
      <w:r>
        <w:t>射击世界锦标赛，萨格勒布；国际智力残疾人体育联合会</w:t>
      </w:r>
      <w:r>
        <w:t>(INAS FID)</w:t>
      </w:r>
      <w:r>
        <w:t>智力残疾人田径公开锦标赛，瓦拉日丁。除残疾人国际比赛外，还举办了各类全国锦标赛。为了促进残疾人取得体育成就，克罗地亚残奥委会每年都会举办克罗地亚共和国最成功体育运动员颁奖典礼。</w:t>
      </w:r>
    </w:p>
    <w:p w:rsidR="0064252C" w:rsidRDefault="0064252C">
      <w:pPr>
        <w:pStyle w:val="SingleTxtGC"/>
        <w:rPr>
          <w:lang w:val="en-GB"/>
        </w:rPr>
      </w:pPr>
      <w:r>
        <w:rPr>
          <w:lang w:val="en-GB"/>
        </w:rPr>
        <w:t xml:space="preserve">222.  </w:t>
      </w:r>
      <w:r>
        <w:t>《最高运动成就国家奖励标准法令》规定，在奥运会大项和小项、残奥会大项和小项和聋人残奥会大项和小项中赢得奖牌的，均可获得相同额度的现金奖励</w:t>
      </w:r>
      <w:r>
        <w:t>(</w:t>
      </w:r>
      <w:r>
        <w:t>附件二表</w:t>
      </w:r>
      <w:r>
        <w:t>2)</w:t>
      </w:r>
      <w:r>
        <w:t>。</w:t>
      </w:r>
    </w:p>
    <w:p w:rsidR="0064252C" w:rsidRDefault="0064252C">
      <w:pPr>
        <w:pStyle w:val="SingleTxtGC"/>
        <w:rPr>
          <w:lang w:val="en-GB"/>
        </w:rPr>
      </w:pPr>
      <w:r>
        <w:rPr>
          <w:lang w:val="en-GB"/>
        </w:rPr>
        <w:t xml:space="preserve">223.  </w:t>
      </w:r>
      <w:r>
        <w:t>旅游部自</w:t>
      </w:r>
      <w:r>
        <w:rPr>
          <w:lang w:val="en-GB"/>
        </w:rPr>
        <w:t>2008</w:t>
      </w:r>
      <w:r>
        <w:t>年起开展标题为</w:t>
      </w:r>
      <w:r>
        <w:rPr>
          <w:rFonts w:hint="eastAsia"/>
          <w:lang w:val="en-GB"/>
        </w:rPr>
        <w:t>“</w:t>
      </w:r>
      <w:r>
        <w:t>无障碍旅游</w:t>
      </w:r>
      <w:r>
        <w:rPr>
          <w:rFonts w:hint="eastAsia"/>
          <w:lang w:val="en-GB"/>
        </w:rPr>
        <w:t>”</w:t>
      </w:r>
      <w:r>
        <w:t>的非偿还性资金发标方案</w:t>
      </w:r>
      <w:r>
        <w:rPr>
          <w:lang w:val="en-GB"/>
        </w:rPr>
        <w:t>，</w:t>
      </w:r>
      <w:r>
        <w:t>鼓励残疾人和行动不便者旅游公共基础设施投资</w:t>
      </w:r>
      <w:r>
        <w:rPr>
          <w:lang w:val="en-GB"/>
        </w:rPr>
        <w:t>(</w:t>
      </w:r>
      <w:r>
        <w:t>旅游接待设施和其他设施出入通道作出调整、入海升降机、出入坡道、公厕作出调整</w:t>
      </w:r>
      <w:r>
        <w:rPr>
          <w:rFonts w:hint="eastAsia"/>
          <w:lang w:val="en-GB"/>
        </w:rPr>
        <w:t>……</w:t>
      </w:r>
      <w:r>
        <w:rPr>
          <w:lang w:val="en-GB"/>
        </w:rPr>
        <w:t>)</w:t>
      </w:r>
      <w:r>
        <w:t>。本次招标面向地方自治单位和区域自治单位、民间社会组织和旅游局。</w:t>
      </w:r>
      <w:r>
        <w:t>2008</w:t>
      </w:r>
      <w:r>
        <w:t>年，为该项目筹集到位的资金有</w:t>
      </w:r>
      <w:r>
        <w:t>20</w:t>
      </w:r>
      <w:r>
        <w:t>万库纳，</w:t>
      </w:r>
      <w:r>
        <w:t>2009</w:t>
      </w:r>
      <w:r>
        <w:t>年</w:t>
      </w:r>
      <w:r>
        <w:t>60</w:t>
      </w:r>
      <w:r>
        <w:t>万库纳，</w:t>
      </w:r>
      <w:r>
        <w:t>2010</w:t>
      </w:r>
      <w:r>
        <w:t>年</w:t>
      </w:r>
      <w:r>
        <w:t>65</w:t>
      </w:r>
      <w:r>
        <w:t>万库纳。</w:t>
      </w:r>
    </w:p>
    <w:p w:rsidR="0064252C" w:rsidRDefault="0064252C">
      <w:pPr>
        <w:pStyle w:val="SingleTxtGC"/>
        <w:rPr>
          <w:lang w:val="en-GB"/>
        </w:rPr>
      </w:pPr>
      <w:r>
        <w:rPr>
          <w:lang w:val="en-GB"/>
        </w:rPr>
        <w:t xml:space="preserve">224.  </w:t>
      </w:r>
      <w:r>
        <w:t>关于为促进聋人文化所采取措施的报告，请参阅第二十一条部分。</w:t>
      </w:r>
    </w:p>
    <w:p w:rsidR="0064252C" w:rsidRDefault="0064252C">
      <w:pPr>
        <w:pStyle w:val="HChGC"/>
        <w:rPr>
          <w:lang w:val="en-GB"/>
        </w:rPr>
      </w:pPr>
      <w:r>
        <w:rPr>
          <w:lang w:val="en-GB"/>
        </w:rPr>
        <w:tab/>
      </w:r>
      <w:r>
        <w:rPr>
          <w:lang w:val="en-GB"/>
        </w:rPr>
        <w:t>四</w:t>
      </w:r>
      <w:r>
        <w:rPr>
          <w:lang w:val="en-GB"/>
        </w:rPr>
        <w:t>.</w:t>
      </w:r>
      <w:r>
        <w:rPr>
          <w:rFonts w:ascii="SimSun" w:eastAsia="SimSun" w:hAnsi="SimSun" w:cs="SimSun" w:hint="eastAsia"/>
          <w:lang w:val="en-GB"/>
        </w:rPr>
        <w:tab/>
      </w:r>
      <w:r>
        <w:rPr>
          <w:lang w:val="en-GB"/>
        </w:rPr>
        <w:t>发育障碍男孩和女孩和残疾妇女的具体情况</w:t>
      </w:r>
    </w:p>
    <w:p w:rsidR="0064252C" w:rsidRDefault="0064252C">
      <w:pPr>
        <w:pStyle w:val="H1GC"/>
      </w:pPr>
      <w:r>
        <w:tab/>
      </w:r>
      <w:r>
        <w:tab/>
      </w:r>
      <w:r>
        <w:t>第六条</w:t>
      </w:r>
      <w:r>
        <w:rPr>
          <w:rFonts w:eastAsia="SimSun" w:cs="SimSun"/>
          <w:spacing w:val="-60"/>
        </w:rPr>
        <w:br/>
      </w:r>
      <w:r>
        <w:t>残疾妇女</w:t>
      </w:r>
    </w:p>
    <w:p w:rsidR="0064252C" w:rsidRDefault="0064252C">
      <w:pPr>
        <w:pStyle w:val="SingleTxtGC"/>
        <w:rPr>
          <w:lang w:val="en-GB"/>
        </w:rPr>
      </w:pPr>
      <w:r>
        <w:rPr>
          <w:lang w:val="en-GB"/>
        </w:rPr>
        <w:t xml:space="preserve">225.  </w:t>
      </w:r>
      <w:r>
        <w:t>性别平等是克罗地亚共和国宪法制度的最高价值之一</w:t>
      </w:r>
      <w:r>
        <w:rPr>
          <w:lang w:val="en-GB"/>
        </w:rPr>
        <w:t>，</w:t>
      </w:r>
      <w:r>
        <w:t>因此</w:t>
      </w:r>
      <w:r>
        <w:rPr>
          <w:lang w:val="en-GB"/>
        </w:rPr>
        <w:t>，</w:t>
      </w:r>
      <w:r>
        <w:t>所有残疾妇女在与残疾男子以及非残疾妇女平等的基础上享有平等的权利。以下各体制机制通过开展旨在保护和促进上述宪法价值的协同增效行动为性别平等提供保障：克罗地亚议会性别平等委员会、性别平等监察员、克罗地亚共和国政府性别平等办公室、国家行政机构协调员、区域自治单位国家行政办事处协调员和县、镇、直辖市性别平等委员会。按照《性别平等法》</w:t>
      </w:r>
      <w:r>
        <w:t>(2008</w:t>
      </w:r>
      <w:r>
        <w:t>年</w:t>
      </w:r>
      <w:r>
        <w:t>)</w:t>
      </w:r>
      <w:r>
        <w:t>，克罗地亚共和国政府性别平等办公室负责协调各县议会工作和咨询机构县级性别平等委员会的工作。截至</w:t>
      </w:r>
      <w:r>
        <w:t>2009</w:t>
      </w:r>
      <w:r>
        <w:t>年底，约</w:t>
      </w:r>
      <w:r>
        <w:t>90</w:t>
      </w:r>
      <w:r>
        <w:t>个镇和直辖市成立了性别平等委员会。</w:t>
      </w:r>
    </w:p>
    <w:p w:rsidR="0064252C" w:rsidRDefault="0064252C">
      <w:pPr>
        <w:pStyle w:val="SingleTxtGC"/>
        <w:rPr>
          <w:lang w:val="en-GB"/>
        </w:rPr>
      </w:pPr>
      <w:r>
        <w:rPr>
          <w:lang w:val="en-GB"/>
        </w:rPr>
        <w:t xml:space="preserve">226.  </w:t>
      </w:r>
      <w:r>
        <w:t>《</w:t>
      </w:r>
      <w:r>
        <w:rPr>
          <w:lang w:val="en-GB"/>
        </w:rPr>
        <w:t>2006-2010</w:t>
      </w:r>
      <w:r>
        <w:t>年促进性别平等国家政策》</w:t>
      </w:r>
      <w:r>
        <w:rPr>
          <w:lang w:val="en-GB"/>
        </w:rPr>
        <w:t>(2011-2015</w:t>
      </w:r>
      <w:r>
        <w:t>年政策正在编制之中</w:t>
      </w:r>
      <w:r>
        <w:rPr>
          <w:lang w:val="en-GB"/>
        </w:rPr>
        <w:t>)</w:t>
      </w:r>
      <w:r>
        <w:t>是克罗地亚共和国消除针对妇女一切形式歧视和实现确立实质性别平等的基本战略文件。该计划确认，残疾妇女是一个面临着双重和多重歧视的群体，有必要向其提供特殊保护，《反歧视法》</w:t>
      </w:r>
      <w:r>
        <w:t>(2008</w:t>
      </w:r>
      <w:r>
        <w:t>年</w:t>
      </w:r>
      <w:r>
        <w:t>)</w:t>
      </w:r>
      <w:r>
        <w:t>亦作如此规定。《促进性别平等国家政策》所界定的残疾妇女特殊保护涉及到提高其社会地位</w:t>
      </w:r>
      <w:r>
        <w:rPr>
          <w:lang w:val="en-GB"/>
        </w:rPr>
        <w:t>，</w:t>
      </w:r>
      <w:r>
        <w:t>其中包括就克罗地亚共和国残疾妇女的地位开展实证研究、资助旨在提高残疾妇女社会地位的项目、增进残疾妇女关于其人权的知识、增进主管服务部门和广大市民对于残疾妇女所面临问题的了解并就此对其开展教育活动。除《促进性别平等国家政策》注重实施旨在消除针对残疾妇女歧视的各项活动外，《残疾人机会均等国家战略》也特别强调旨在消除针对残疾妇女歧视的各项活动的实施问题。</w:t>
      </w:r>
    </w:p>
    <w:p w:rsidR="0064252C" w:rsidRDefault="0064252C">
      <w:pPr>
        <w:pStyle w:val="SingleTxtGC"/>
        <w:rPr>
          <w:rStyle w:val="FootnoteReference"/>
        </w:rPr>
      </w:pPr>
      <w:r>
        <w:rPr>
          <w:lang w:val="en-GB"/>
        </w:rPr>
        <w:t xml:space="preserve">227.  </w:t>
      </w:r>
      <w:r>
        <w:t>残疾妇女和女童性别不平等虽然在立法层面并不存在</w:t>
      </w:r>
      <w:r>
        <w:rPr>
          <w:lang w:val="en-GB"/>
        </w:rPr>
        <w:t>，</w:t>
      </w:r>
      <w:r>
        <w:t>但在社会生活中确是真实存在的</w:t>
      </w:r>
      <w:r>
        <w:rPr>
          <w:lang w:val="en-GB"/>
        </w:rPr>
        <w:t>，究其原因，是</w:t>
      </w:r>
      <w:r>
        <w:t>常见的传统观念作祟</w:t>
      </w:r>
      <w:r>
        <w:rPr>
          <w:lang w:val="en-GB"/>
        </w:rPr>
        <w:t>，</w:t>
      </w:r>
      <w:r>
        <w:t>例如</w:t>
      </w:r>
      <w:r>
        <w:rPr>
          <w:lang w:val="en-GB"/>
        </w:rPr>
        <w:t>，</w:t>
      </w:r>
      <w:r>
        <w:t>对盲人妇女和残疾人的传统观念。这一说法还得到科学研究的证实</w:t>
      </w:r>
      <w:r>
        <w:rPr>
          <w:lang w:val="en-GB"/>
        </w:rPr>
        <w:t>，</w:t>
      </w:r>
      <w:r>
        <w:t>该研究题为</w:t>
      </w:r>
      <w:r>
        <w:rPr>
          <w:rFonts w:hint="eastAsia"/>
          <w:lang w:val="en-GB"/>
        </w:rPr>
        <w:t>“</w:t>
      </w:r>
      <w:r>
        <w:t>克罗地亚对性别歧视的认识、体验和态度</w:t>
      </w:r>
      <w:r>
        <w:rPr>
          <w:rFonts w:hint="eastAsia"/>
          <w:lang w:val="en-GB"/>
        </w:rPr>
        <w:t>”</w:t>
      </w:r>
      <w:r>
        <w:rPr>
          <w:lang w:val="en-GB"/>
        </w:rPr>
        <w:t>，系由</w:t>
      </w:r>
      <w:r>
        <w:t>克罗地亚共和国政府性别平等办公室与萨格勒布大学人文与社会科学学院和萨格勒布社会研究所合作于</w:t>
      </w:r>
      <w:r>
        <w:rPr>
          <w:lang w:val="en-GB"/>
        </w:rPr>
        <w:t>2009</w:t>
      </w:r>
      <w:r>
        <w:t>年</w:t>
      </w:r>
      <w:r>
        <w:rPr>
          <w:lang w:val="en-GB"/>
        </w:rPr>
        <w:t>7</w:t>
      </w:r>
      <w:r>
        <w:t>月展开</w:t>
      </w:r>
      <w:r>
        <w:rPr>
          <w:lang w:val="en-GB"/>
        </w:rPr>
        <w:t>，</w:t>
      </w:r>
      <w:r>
        <w:t>所采用的方法是具有代表性的抽样调查</w:t>
      </w:r>
      <w:r>
        <w:rPr>
          <w:lang w:val="en-GB"/>
        </w:rPr>
        <w:t>(N=1,363)</w:t>
      </w:r>
      <w:r>
        <w:t>。大部分受访者</w:t>
      </w:r>
      <w:r>
        <w:t>(57.7%)</w:t>
      </w:r>
      <w:r>
        <w:t>认为，在克罗地亚社会，虽然性别歧视程度较之十年前有所降低，但男性和女性仍不平等。关于各类社会群体的处境，大部分受访者认为，就单个妇女群体而言，处于最不利境况的是罗姆族妇女</w:t>
      </w:r>
      <w:r>
        <w:t>(63.3%)</w:t>
      </w:r>
      <w:r>
        <w:t>，以及残疾妇女</w:t>
      </w:r>
      <w:r>
        <w:t>(63%)</w:t>
      </w:r>
      <w:r>
        <w:t>和遭受家庭暴力的妇女</w:t>
      </w:r>
      <w:r>
        <w:t>(61.2%)</w:t>
      </w:r>
      <w:r>
        <w:t>。</w:t>
      </w:r>
      <w:r>
        <w:rPr>
          <w:rStyle w:val="FootnoteReference"/>
        </w:rPr>
        <w:footnoteReference w:id="26"/>
      </w:r>
    </w:p>
    <w:p w:rsidR="0064252C" w:rsidRDefault="0064252C">
      <w:pPr>
        <w:pStyle w:val="SingleTxtGC"/>
        <w:rPr>
          <w:lang w:val="en-GB"/>
        </w:rPr>
      </w:pPr>
      <w:r>
        <w:rPr>
          <w:lang w:val="en-GB"/>
        </w:rPr>
        <w:t xml:space="preserve">228.  </w:t>
      </w:r>
      <w:r>
        <w:t>克罗地亚中央登记处有数据表明</w:t>
      </w:r>
      <w:r>
        <w:rPr>
          <w:lang w:val="en-GB"/>
        </w:rPr>
        <w:t>，</w:t>
      </w:r>
      <w:r>
        <w:t>妇女在所有制结构中所占比重为</w:t>
      </w:r>
      <w:r>
        <w:rPr>
          <w:lang w:val="en-GB"/>
        </w:rPr>
        <w:t>31%</w:t>
      </w:r>
      <w:r>
        <w:t>。根据《社会包容联合备忘录</w:t>
      </w:r>
      <w:r>
        <w:t>(JIM)2009-2010</w:t>
      </w:r>
      <w:r>
        <w:t>年国家实施计划》，关于妇女经济地位的数据是以税务当局的数据为基础，该计划所提出的新的妇女经济地位监测方式应便利对所有力求提高大多数最弱势群体地位的活动进行系统性监测，而这些最弱势群体中，残疾妇女的人数最为众多。克罗地亚共和国政府性别平等办公室已与促进女性创业和提高妇女劳动力市场地位的民间社会组织建立了永久性合作关系。</w:t>
      </w:r>
    </w:p>
    <w:p w:rsidR="0064252C" w:rsidRDefault="0064252C">
      <w:pPr>
        <w:pStyle w:val="SingleTxtGC"/>
        <w:rPr>
          <w:lang w:val="en-GB"/>
        </w:rPr>
      </w:pPr>
      <w:r>
        <w:rPr>
          <w:lang w:val="en-GB"/>
        </w:rPr>
        <w:t xml:space="preserve">229.  </w:t>
      </w:r>
      <w:r>
        <w:t>为提高残疾妇女的地位</w:t>
      </w:r>
      <w:r>
        <w:rPr>
          <w:lang w:val="en-GB"/>
        </w:rPr>
        <w:t>，</w:t>
      </w:r>
      <w:r>
        <w:t>民间社会组织开展了多项活动和项目</w:t>
      </w:r>
      <w:r>
        <w:rPr>
          <w:lang w:val="en-GB"/>
        </w:rPr>
        <w:t>，</w:t>
      </w:r>
      <w:r>
        <w:t>并获得大力支持</w:t>
      </w:r>
      <w:r>
        <w:rPr>
          <w:lang w:val="en-GB"/>
        </w:rPr>
        <w:t>(</w:t>
      </w:r>
      <w:r>
        <w:t>附件二表</w:t>
      </w:r>
      <w:r>
        <w:rPr>
          <w:lang w:val="en-GB"/>
        </w:rPr>
        <w:t>1)</w:t>
      </w:r>
      <w:r>
        <w:t>。</w:t>
      </w:r>
      <w:r>
        <w:t>2010</w:t>
      </w:r>
      <w:r>
        <w:t>年，除其他事项外，为下列项目的实施提供了财政支持：在防止家庭暴力方面向残疾妇女提供支持、确保残疾类型和程度最严重者获得私人助理服务</w:t>
      </w:r>
      <w:r>
        <w:rPr>
          <w:lang w:val="en-GB"/>
        </w:rPr>
        <w:t>(</w:t>
      </w:r>
      <w:r>
        <w:t>项目共覆盖</w:t>
      </w:r>
      <w:r>
        <w:rPr>
          <w:lang w:val="en-GB"/>
        </w:rPr>
        <w:t>554</w:t>
      </w:r>
      <w:r>
        <w:t>人</w:t>
      </w:r>
      <w:r>
        <w:rPr>
          <w:lang w:val="en-GB"/>
        </w:rPr>
        <w:t>，</w:t>
      </w:r>
      <w:r>
        <w:t>其中女性有</w:t>
      </w:r>
      <w:r>
        <w:rPr>
          <w:lang w:val="en-GB"/>
        </w:rPr>
        <w:t>295</w:t>
      </w:r>
      <w:r>
        <w:t>人</w:t>
      </w:r>
      <w:r>
        <w:rPr>
          <w:lang w:val="en-GB"/>
        </w:rPr>
        <w:t>)</w:t>
      </w:r>
      <w:r>
        <w:t>、促进智力障碍妇女就业、为残疾妇女开办计算机和通信讲习班、组织患有肌肉萎缩症的妇女进行妇科检查和向医疗保健工作者开展教育以期使其了解肌肉萎缩症妇女的需求、增强残疾妇女权能以将其纳入地方一级的政治决策进程等等。克罗地亚残疾人协会联合会创建了残疾妇女网络，</w:t>
      </w:r>
      <w:r>
        <w:t>2007</w:t>
      </w:r>
      <w:r>
        <w:t>年，在该网络内为遭受暴力的残疾妇女开通了紧急呼救电话服务热线。</w:t>
      </w:r>
      <w:r>
        <w:t>2010</w:t>
      </w:r>
      <w:r>
        <w:t>年，共收到</w:t>
      </w:r>
      <w:r>
        <w:t>134</w:t>
      </w:r>
      <w:r>
        <w:t>通电话，经分析表明，残疾妇女所遭受的精神家庭暴力主要来自其配偶。遭受暴力的妇女大多为中年妇女，她们仅通过谈话交流寻求支持。</w:t>
      </w:r>
    </w:p>
    <w:p w:rsidR="0064252C" w:rsidRDefault="0064252C">
      <w:pPr>
        <w:pStyle w:val="SingleTxtGC"/>
        <w:rPr>
          <w:lang w:val="en-GB"/>
        </w:rPr>
      </w:pPr>
      <w:r>
        <w:rPr>
          <w:lang w:val="en-GB"/>
        </w:rPr>
        <w:t xml:space="preserve">230.  </w:t>
      </w:r>
      <w:r>
        <w:t>欲更详细地了解有关促进和保护残疾妇女权利各项活动的信息</w:t>
      </w:r>
      <w:r>
        <w:rPr>
          <w:rFonts w:hint="eastAsia"/>
          <w:lang w:val="en-GB"/>
        </w:rPr>
        <w:t>以及</w:t>
      </w:r>
      <w:r>
        <w:t>相关</w:t>
      </w:r>
      <w:r>
        <w:rPr>
          <w:rFonts w:hint="eastAsia"/>
        </w:rPr>
        <w:t>文</w:t>
      </w:r>
      <w:r>
        <w:rPr>
          <w:rFonts w:hint="eastAsia"/>
          <w:spacing w:val="-4"/>
        </w:rPr>
        <w:t>件</w:t>
      </w:r>
      <w:r>
        <w:rPr>
          <w:rFonts w:hint="eastAsia"/>
          <w:spacing w:val="-4"/>
          <w:lang w:val="en-GB"/>
        </w:rPr>
        <w:t>，</w:t>
      </w:r>
      <w:r>
        <w:rPr>
          <w:rFonts w:hint="eastAsia"/>
          <w:spacing w:val="-4"/>
        </w:rPr>
        <w:t>可查阅</w:t>
      </w:r>
      <w:r>
        <w:rPr>
          <w:spacing w:val="-4"/>
        </w:rPr>
        <w:t>克罗地亚共和国政府性别平等办公室网页</w:t>
      </w:r>
      <w:r>
        <w:rPr>
          <w:spacing w:val="-4"/>
          <w:lang w:val="en-GB"/>
        </w:rPr>
        <w:t>(www.ured</w:t>
      </w:r>
      <w:r>
        <w:rPr>
          <w:rFonts w:hint="eastAsia"/>
          <w:spacing w:val="-4"/>
          <w:lang w:val="en-GB"/>
        </w:rPr>
        <w:t>-</w:t>
      </w:r>
      <w:r>
        <w:rPr>
          <w:spacing w:val="-4"/>
          <w:lang w:val="en-GB"/>
        </w:rPr>
        <w:t>ravnopravnost.hr)</w:t>
      </w:r>
      <w:r>
        <w:rPr>
          <w:spacing w:val="-4"/>
          <w:lang w:val="en-GB"/>
        </w:rPr>
        <w:t>，</w:t>
      </w:r>
      <w:r>
        <w:t>所有感兴趣的公民均可访问</w:t>
      </w:r>
      <w:r>
        <w:rPr>
          <w:rFonts w:hint="eastAsia"/>
        </w:rPr>
        <w:t>这些网页</w:t>
      </w:r>
      <w:r>
        <w:t>。</w:t>
      </w:r>
    </w:p>
    <w:p w:rsidR="0064252C" w:rsidRDefault="0064252C">
      <w:pPr>
        <w:pStyle w:val="H1GC"/>
      </w:pPr>
      <w:r>
        <w:tab/>
      </w:r>
      <w:r>
        <w:tab/>
      </w:r>
      <w:r>
        <w:t>第七条</w:t>
      </w:r>
      <w:r>
        <w:rPr>
          <w:rFonts w:eastAsia="SimSun" w:cs="SimSun"/>
          <w:spacing w:val="-60"/>
        </w:rPr>
        <w:br/>
      </w:r>
      <w:r>
        <w:t>残疾儿童</w:t>
      </w:r>
    </w:p>
    <w:p w:rsidR="0064252C" w:rsidRDefault="0064252C">
      <w:pPr>
        <w:pStyle w:val="SingleTxtGC"/>
        <w:rPr>
          <w:lang w:val="en-GB"/>
        </w:rPr>
      </w:pPr>
      <w:r>
        <w:rPr>
          <w:lang w:val="en-GB"/>
        </w:rPr>
        <w:t xml:space="preserve">231.  </w:t>
      </w:r>
      <w:r>
        <w:t>在克罗地亚共和国</w:t>
      </w:r>
      <w:r>
        <w:rPr>
          <w:lang w:val="en-GB"/>
        </w:rPr>
        <w:t>，</w:t>
      </w:r>
      <w:r>
        <w:t>在儿童权利实现方面并不存在性别差异。发育障碍儿童在与其他儿童平等的基础上享有各项权利。《残疾人机会均等国家战略》和《</w:t>
      </w:r>
      <w:r>
        <w:t>2006-2012</w:t>
      </w:r>
      <w:r>
        <w:t>年儿童权益活动国家计划》确认，有必要向发育障碍儿童提供特别照料。</w:t>
      </w:r>
    </w:p>
    <w:p w:rsidR="0064252C" w:rsidRDefault="0064252C">
      <w:pPr>
        <w:pStyle w:val="SingleTxtGC"/>
        <w:rPr>
          <w:lang w:val="en-GB"/>
        </w:rPr>
      </w:pPr>
      <w:r>
        <w:rPr>
          <w:lang w:val="en-GB"/>
        </w:rPr>
        <w:t xml:space="preserve">232.  </w:t>
      </w:r>
      <w:r>
        <w:t>还通过儿童监察员机构开展的各项活动确保保护和促进发育障碍儿童的权利和利益。儿童监察员办公室的一项基本职能是监测侵犯儿童权利状况，监察员根据这些情况，对侵犯发育障碍儿童权利和利益的形式进行深入了解，在此基础上，儿童监察员办公室或独立，或经与利益攸关方商定，开始修正或通过相关法律法规和战略文件，并提醒主管机构其在实践中出现的疏漏</w:t>
      </w:r>
      <w:r>
        <w:t>(</w:t>
      </w:r>
      <w:r>
        <w:t>附件二表</w:t>
      </w:r>
      <w:r>
        <w:t>1</w:t>
      </w:r>
      <w:r>
        <w:t>和表</w:t>
      </w:r>
      <w:r>
        <w:t>2)</w:t>
      </w:r>
      <w:r>
        <w:t>。监察员特别提倡儿童参与关系到其利益的决策进程这一原则。不懈地在发育障碍儿童中推行这一原则是儿童监察员办公室的一项长期任务。儿童监察员办公室倡导人人机会均等的社会模式和遵守《儿童权利公约》和《残疾人权利公约》规定，在保护和促进发育障碍儿童的权利方面发挥着重要作用。</w:t>
      </w:r>
    </w:p>
    <w:p w:rsidR="0064252C" w:rsidRDefault="0064252C">
      <w:pPr>
        <w:pStyle w:val="SingleTxtGC"/>
        <w:rPr>
          <w:lang w:val="en-GB"/>
        </w:rPr>
      </w:pPr>
      <w:r>
        <w:rPr>
          <w:lang w:val="en-GB"/>
        </w:rPr>
        <w:t xml:space="preserve">233.  </w:t>
      </w:r>
      <w:r>
        <w:t>《儿童津贴法》</w:t>
      </w:r>
      <w:r>
        <w:rPr>
          <w:lang w:val="en-GB"/>
        </w:rPr>
        <w:t>(2001</w:t>
      </w:r>
      <w:r>
        <w:t>年</w:t>
      </w:r>
      <w:r>
        <w:rPr>
          <w:lang w:val="en-GB"/>
        </w:rPr>
        <w:t>)</w:t>
      </w:r>
      <w:r>
        <w:t>确认</w:t>
      </w:r>
      <w:r>
        <w:rPr>
          <w:lang w:val="en-GB"/>
        </w:rPr>
        <w:t>，</w:t>
      </w:r>
      <w:r>
        <w:t>发育障碍儿童是一个特殊的弱势群体</w:t>
      </w:r>
      <w:r>
        <w:rPr>
          <w:lang w:val="en-GB"/>
        </w:rPr>
        <w:t>，</w:t>
      </w:r>
      <w:r>
        <w:t>并规定</w:t>
      </w:r>
      <w:r>
        <w:rPr>
          <w:lang w:val="en-GB"/>
        </w:rPr>
        <w:t>，</w:t>
      </w:r>
      <w:r>
        <w:t>儿童的父</w:t>
      </w:r>
      <w:r>
        <w:rPr>
          <w:lang w:val="en-GB"/>
        </w:rPr>
        <w:t>(</w:t>
      </w:r>
      <w:r>
        <w:t>母</w:t>
      </w:r>
      <w:r>
        <w:rPr>
          <w:lang w:val="en-GB"/>
        </w:rPr>
        <w:t>)</w:t>
      </w:r>
      <w:r>
        <w:t>亲或该法指定的第三人可领取现金补助</w:t>
      </w:r>
      <w:r>
        <w:rPr>
          <w:lang w:val="en-GB"/>
        </w:rPr>
        <w:t>，</w:t>
      </w:r>
      <w:r>
        <w:t>用以支助儿童膳食和抚养。在一般情况下，实现儿童津贴权利及津贴额度取决于家庭收入，用预算基数</w:t>
      </w:r>
      <w:r>
        <w:t>3,326.00</w:t>
      </w:r>
      <w:r>
        <w:t>库纳的百分比表示</w:t>
      </w:r>
      <w:r>
        <w:t>(6%</w:t>
      </w:r>
      <w:r>
        <w:t>、</w:t>
      </w:r>
      <w:r>
        <w:t>7.5%</w:t>
      </w:r>
      <w:r>
        <w:t>或</w:t>
      </w:r>
      <w:r>
        <w:t>9%)</w:t>
      </w:r>
      <w:r>
        <w:t>。由此，轻微健康损伤儿童的津贴额度提高了</w:t>
      </w:r>
      <w:r>
        <w:t>25%</w:t>
      </w:r>
      <w:r>
        <w:t>，而健康损伤较严重儿童的津贴额度则为预算基数的</w:t>
      </w:r>
      <w:r>
        <w:t>25%</w:t>
      </w:r>
      <w:r>
        <w:t>，不受家庭成员人均整体收入的影响</w:t>
      </w:r>
      <w:r>
        <w:t>(</w:t>
      </w:r>
      <w:r>
        <w:t>每月津贴额度为</w:t>
      </w:r>
      <w:r>
        <w:t>831.50</w:t>
      </w:r>
      <w:r>
        <w:t>库纳</w:t>
      </w:r>
      <w:r>
        <w:t>)</w:t>
      </w:r>
      <w:r>
        <w:t>。</w:t>
      </w:r>
      <w:r>
        <w:rPr>
          <w:lang w:val="fr-FR"/>
        </w:rPr>
        <w:t>(</w:t>
      </w:r>
      <w:r>
        <w:t>附件二表</w:t>
      </w:r>
      <w:r>
        <w:rPr>
          <w:lang w:val="fr-FR"/>
        </w:rPr>
        <w:t>3)</w:t>
      </w:r>
      <w:r>
        <w:t>。健康损伤儿童还享有儿童津贴期限长于无健康损伤儿童的权利，但至迟不超过</w:t>
      </w:r>
      <w:r>
        <w:t>27</w:t>
      </w:r>
      <w:r>
        <w:t>周岁。</w:t>
      </w:r>
    </w:p>
    <w:p w:rsidR="0064252C" w:rsidRDefault="0064252C">
      <w:pPr>
        <w:pStyle w:val="SingleTxtGC"/>
        <w:rPr>
          <w:lang w:val="en-GB"/>
        </w:rPr>
      </w:pPr>
      <w:r>
        <w:rPr>
          <w:lang w:val="en-GB"/>
        </w:rPr>
        <w:t xml:space="preserve">234.  </w:t>
      </w:r>
      <w:r>
        <w:t>克罗地亚共和国社会福利系统在一定程度上关系到残疾人</w:t>
      </w:r>
      <w:r>
        <w:rPr>
          <w:lang w:val="en-GB"/>
        </w:rPr>
        <w:t>，</w:t>
      </w:r>
      <w:r>
        <w:t>以及发育障碍儿童</w:t>
      </w:r>
      <w:r>
        <w:rPr>
          <w:lang w:val="en-GB"/>
        </w:rPr>
        <w:t>，</w:t>
      </w:r>
      <w:r>
        <w:t>所采取的监管方式确保这些人可享有某些获得现金支助</w:t>
      </w:r>
      <w:r>
        <w:rPr>
          <w:lang w:val="en-GB"/>
        </w:rPr>
        <w:t>(</w:t>
      </w:r>
      <w:r>
        <w:t>现金津贴</w:t>
      </w:r>
      <w:r>
        <w:rPr>
          <w:lang w:val="en-GB"/>
        </w:rPr>
        <w:t>)</w:t>
      </w:r>
      <w:r>
        <w:t>的权利或获得一定服务</w:t>
      </w:r>
      <w:r>
        <w:rPr>
          <w:lang w:val="en-GB"/>
        </w:rPr>
        <w:t>(</w:t>
      </w:r>
      <w:r>
        <w:t>服务</w:t>
      </w:r>
      <w:r>
        <w:rPr>
          <w:lang w:val="en-GB"/>
        </w:rPr>
        <w:t>)</w:t>
      </w:r>
      <w:r>
        <w:t>的权利</w:t>
      </w:r>
      <w:r>
        <w:rPr>
          <w:lang w:val="en-GB"/>
        </w:rPr>
        <w:t>，</w:t>
      </w:r>
      <w:r>
        <w:t>以便克服困境。就按照使用者居所地实现第一等级的社会福利系统权利而言，社会福利中心足以胜任。根据《社会福利法》</w:t>
      </w:r>
      <w:r>
        <w:rPr>
          <w:lang w:val="en-GB"/>
        </w:rPr>
        <w:t>，</w:t>
      </w:r>
      <w:r>
        <w:t>下列权利对发育障碍儿童意义重大</w:t>
      </w:r>
      <w:r>
        <w:rPr>
          <w:lang w:val="en-GB"/>
        </w:rPr>
        <w:t>：</w:t>
      </w:r>
      <w:r>
        <w:t>获得援助和护理津贴的权利</w:t>
      </w:r>
      <w:r>
        <w:rPr>
          <w:lang w:val="en-GB"/>
        </w:rPr>
        <w:t>；</w:t>
      </w:r>
      <w:r>
        <w:t>获得个人残疾补助的权利</w:t>
      </w:r>
      <w:r>
        <w:rPr>
          <w:lang w:val="en-GB"/>
        </w:rPr>
        <w:t>；</w:t>
      </w:r>
      <w:r>
        <w:t>在本人家庭以外获得照料的权利</w:t>
      </w:r>
      <w:r>
        <w:rPr>
          <w:lang w:val="en-GB"/>
        </w:rPr>
        <w:t>(</w:t>
      </w:r>
      <w:r>
        <w:t>通过永久、每周或临时安置、每天、半天或临时住宿和生活社区实现</w:t>
      </w:r>
      <w:r>
        <w:rPr>
          <w:lang w:val="en-GB"/>
        </w:rPr>
        <w:t>)</w:t>
      </w:r>
      <w:r>
        <w:rPr>
          <w:lang w:val="en-GB"/>
        </w:rPr>
        <w:t>；</w:t>
      </w:r>
      <w:r>
        <w:t>以协助纳入普通学前或学校教育机构形式在本人家庭以外获得照料的权利</w:t>
      </w:r>
      <w:r>
        <w:rPr>
          <w:lang w:val="en-GB"/>
        </w:rPr>
        <w:t>；</w:t>
      </w:r>
      <w:r>
        <w:t>取得家长照料人地位的权利。关于这些权利的更为详细的报告，请参阅第十九条和第二十八条。</w:t>
      </w:r>
    </w:p>
    <w:p w:rsidR="0064252C" w:rsidRDefault="0064252C">
      <w:pPr>
        <w:pStyle w:val="SingleTxtGC"/>
        <w:rPr>
          <w:lang w:val="en-GB"/>
        </w:rPr>
      </w:pPr>
      <w:r>
        <w:rPr>
          <w:lang w:val="en-GB"/>
        </w:rPr>
        <w:t>235.  2009</w:t>
      </w:r>
      <w:r>
        <w:t>年</w:t>
      </w:r>
      <w:r>
        <w:rPr>
          <w:lang w:val="en-GB"/>
        </w:rPr>
        <w:t>，</w:t>
      </w:r>
      <w:r>
        <w:t>出台了《关于社会福利系统内社会服务质量标准的决定》。质量标准重点强调各服务使用者、促进使用者独立性和自主性及其参与正常生活和自然社会环境</w:t>
      </w:r>
      <w:r>
        <w:rPr>
          <w:lang w:val="en-GB"/>
        </w:rPr>
        <w:t>，</w:t>
      </w:r>
      <w:r>
        <w:t>特别是尊重其人权、公民权利和社会权利。社会服务质量标准适用于所有社会服务，无论这些服务的性质、目标用户群体或服务提供商的组织类型为何。其基本原则，即质量标准编制指导方针，是社会服务必须具有综合性，以使用者为重，易于理解且使用者可在所在社区获得，满足使用者需求，以增强使用者权能和尊重其选择和自决权利和自由为目标，管理完善和注重结果。这表明，男孩和女孩可以就关系到其利益的所有问题自由发表意见，他们可在平等条件下实现个人权利，提高服务质量旨在确保提供与个人困难和需求相适</w:t>
      </w:r>
      <w:r>
        <w:rPr>
          <w:rFonts w:hint="eastAsia"/>
        </w:rPr>
        <w:t>应</w:t>
      </w:r>
      <w:r>
        <w:t>的援助。</w:t>
      </w:r>
    </w:p>
    <w:p w:rsidR="0064252C" w:rsidRDefault="0064252C">
      <w:pPr>
        <w:pStyle w:val="HChGC"/>
        <w:rPr>
          <w:lang w:val="en-GB"/>
        </w:rPr>
      </w:pPr>
      <w:r>
        <w:rPr>
          <w:lang w:val="en-GB"/>
        </w:rPr>
        <w:tab/>
      </w:r>
      <w:r>
        <w:rPr>
          <w:lang w:val="en-GB"/>
        </w:rPr>
        <w:t>五</w:t>
      </w:r>
      <w:r>
        <w:rPr>
          <w:lang w:val="en-GB"/>
        </w:rPr>
        <w:t>.</w:t>
      </w:r>
      <w:r>
        <w:rPr>
          <w:rFonts w:ascii="SimSun" w:eastAsia="SimSun" w:hAnsi="SimSun" w:cs="SimSun" w:hint="eastAsia"/>
          <w:lang w:val="en-GB"/>
        </w:rPr>
        <w:tab/>
      </w:r>
      <w:r>
        <w:rPr>
          <w:lang w:val="en-GB"/>
        </w:rPr>
        <w:t>有关具体义务的报告部分</w:t>
      </w:r>
    </w:p>
    <w:p w:rsidR="0064252C" w:rsidRDefault="0064252C">
      <w:pPr>
        <w:pStyle w:val="H1GC"/>
      </w:pPr>
      <w:r>
        <w:tab/>
      </w:r>
      <w:r>
        <w:tab/>
      </w:r>
      <w:r>
        <w:t>第三十一条</w:t>
      </w:r>
      <w:r>
        <w:rPr>
          <w:rFonts w:eastAsia="SimSun" w:cs="SimSun"/>
          <w:spacing w:val="-60"/>
        </w:rPr>
        <w:br/>
      </w:r>
      <w:r>
        <w:t>统计和数据收集</w:t>
      </w:r>
    </w:p>
    <w:p w:rsidR="0064252C" w:rsidRDefault="0064252C">
      <w:pPr>
        <w:pStyle w:val="SingleTxtGC"/>
        <w:rPr>
          <w:lang w:val="en-GB"/>
        </w:rPr>
      </w:pPr>
      <w:r>
        <w:rPr>
          <w:lang w:val="en-GB"/>
        </w:rPr>
        <w:t xml:space="preserve">236.  </w:t>
      </w:r>
      <w:r>
        <w:t>克罗地亚统计局在</w:t>
      </w:r>
      <w:r>
        <w:rPr>
          <w:lang w:val="en-GB"/>
        </w:rPr>
        <w:t>2001</w:t>
      </w:r>
      <w:r>
        <w:t>年人口、家庭和住房普查期间首次就残疾人进行数据收集</w:t>
      </w:r>
      <w:r>
        <w:rPr>
          <w:lang w:val="en-GB"/>
        </w:rPr>
        <w:t>(</w:t>
      </w:r>
      <w:r>
        <w:t>普查方法所载之</w:t>
      </w:r>
      <w:r>
        <w:rPr>
          <w:rFonts w:hint="eastAsia"/>
          <w:lang w:val="en-GB"/>
        </w:rPr>
        <w:t>“</w:t>
      </w:r>
      <w:r>
        <w:t>残疾</w:t>
      </w:r>
      <w:r>
        <w:rPr>
          <w:rFonts w:hint="eastAsia"/>
          <w:lang w:val="en-GB"/>
        </w:rPr>
        <w:t>”</w:t>
      </w:r>
      <w:r>
        <w:t>定义见第一</w:t>
      </w:r>
      <w:r>
        <w:rPr>
          <w:rFonts w:hint="eastAsia"/>
          <w:lang w:val="en-GB"/>
        </w:rPr>
        <w:t>至</w:t>
      </w:r>
      <w:r>
        <w:t>四条</w:t>
      </w:r>
      <w:r>
        <w:rPr>
          <w:lang w:val="en-GB"/>
        </w:rPr>
        <w:t>)</w:t>
      </w:r>
      <w:r>
        <w:t>。就关于</w:t>
      </w:r>
      <w:r>
        <w:rPr>
          <w:rFonts w:hint="eastAsia"/>
          <w:lang w:val="en-GB"/>
        </w:rPr>
        <w:t>“</w:t>
      </w:r>
      <w:r>
        <w:t>致残原因</w:t>
      </w:r>
      <w:r>
        <w:rPr>
          <w:rFonts w:hint="eastAsia"/>
        </w:rPr>
        <w:t>”</w:t>
      </w:r>
      <w:r>
        <w:t>和</w:t>
      </w:r>
      <w:r>
        <w:rPr>
          <w:rFonts w:hint="eastAsia"/>
        </w:rPr>
        <w:t>“</w:t>
      </w:r>
      <w:r>
        <w:t>残疾人肢体行动能力</w:t>
      </w:r>
      <w:r>
        <w:rPr>
          <w:rFonts w:hint="eastAsia"/>
        </w:rPr>
        <w:t>”</w:t>
      </w:r>
      <w:r>
        <w:t>的问题收集了残疾人的答复。根据普查中收集的数据，编制并发布了汇总统计数据和指标，并开展了题目为</w:t>
      </w:r>
      <w:r>
        <w:rPr>
          <w:rFonts w:hint="eastAsia"/>
        </w:rPr>
        <w:t>“</w:t>
      </w:r>
      <w:r>
        <w:t>残疾人口</w:t>
      </w:r>
      <w:r>
        <w:rPr>
          <w:rFonts w:hint="eastAsia"/>
        </w:rPr>
        <w:t>”</w:t>
      </w:r>
      <w:r>
        <w:t>的研究。各项数据系根据向普查员提供数据者所做陈述整理得出，因此，从中仅可窥见克罗地亚共和国境内的残疾人整体概况</w:t>
      </w:r>
      <w:r>
        <w:t>(</w:t>
      </w:r>
      <w:r>
        <w:t>附件二表</w:t>
      </w:r>
      <w:r>
        <w:t>1)</w:t>
      </w:r>
      <w:r>
        <w:t>。</w:t>
      </w:r>
    </w:p>
    <w:p w:rsidR="0064252C" w:rsidRDefault="0064252C">
      <w:pPr>
        <w:pStyle w:val="SingleTxtGC"/>
        <w:rPr>
          <w:lang w:val="en-GB"/>
        </w:rPr>
      </w:pPr>
      <w:r>
        <w:rPr>
          <w:lang w:val="en-GB"/>
        </w:rPr>
        <w:t>237.  2011</w:t>
      </w:r>
      <w:r>
        <w:t>年</w:t>
      </w:r>
      <w:r>
        <w:rPr>
          <w:lang w:val="en-GB"/>
        </w:rPr>
        <w:t>4</w:t>
      </w:r>
      <w:r>
        <w:t>月开展的人口、家庭和住房普查增加了关于残疾人的问题数量</w:t>
      </w:r>
      <w:r>
        <w:rPr>
          <w:lang w:val="en-GB"/>
        </w:rPr>
        <w:t>，</w:t>
      </w:r>
      <w:r>
        <w:t>向个人分发的填充式普查表格中包括下列</w:t>
      </w:r>
      <w:r>
        <w:rPr>
          <w:lang w:val="en-GB"/>
        </w:rPr>
        <w:t>6</w:t>
      </w:r>
      <w:r>
        <w:t>个问题</w:t>
      </w:r>
      <w:r>
        <w:rPr>
          <w:lang w:val="en-GB"/>
        </w:rPr>
        <w:t>：</w:t>
      </w:r>
      <w:r>
        <w:t>该人是否因某种长期疾病、残疾或年老而在日常活动方面面临困难</w:t>
      </w:r>
      <w:r>
        <w:rPr>
          <w:lang w:val="en-GB"/>
        </w:rPr>
        <w:t>；</w:t>
      </w:r>
      <w:r>
        <w:t>残疾类型</w:t>
      </w:r>
      <w:r>
        <w:rPr>
          <w:lang w:val="en-GB"/>
        </w:rPr>
        <w:t>；</w:t>
      </w:r>
      <w:r>
        <w:t>该人的肢体行动能力</w:t>
      </w:r>
      <w:r>
        <w:rPr>
          <w:lang w:val="en-GB"/>
        </w:rPr>
        <w:t>；</w:t>
      </w:r>
      <w:r>
        <w:t>困难原因</w:t>
      </w:r>
      <w:r>
        <w:rPr>
          <w:lang w:val="en-GB"/>
        </w:rPr>
        <w:t>；</w:t>
      </w:r>
      <w:r>
        <w:t>该人在日常活动方面是否需要他人帮助</w:t>
      </w:r>
      <w:r>
        <w:rPr>
          <w:lang w:val="en-GB"/>
        </w:rPr>
        <w:t>；</w:t>
      </w:r>
      <w:r>
        <w:t>该人在日常活动方面是否使用他人帮助。</w:t>
      </w:r>
    </w:p>
    <w:p w:rsidR="0064252C" w:rsidRDefault="0064252C">
      <w:pPr>
        <w:pStyle w:val="SingleTxtGC"/>
        <w:rPr>
          <w:lang w:val="en-GB"/>
        </w:rPr>
      </w:pPr>
      <w:r>
        <w:rPr>
          <w:lang w:val="en-GB"/>
        </w:rPr>
        <w:t xml:space="preserve">238.  </w:t>
      </w:r>
      <w:r>
        <w:t>关于残疾的适当数据的有效度是为残疾人规划适当措施和通过方案的先决条件。认识到这一问题</w:t>
      </w:r>
      <w:r>
        <w:rPr>
          <w:lang w:val="en-GB"/>
        </w:rPr>
        <w:t>，</w:t>
      </w:r>
      <w:r>
        <w:t>克罗地亚共和国通过了《克罗地亚残疾人登记法》</w:t>
      </w:r>
      <w:r>
        <w:rPr>
          <w:lang w:val="en-GB"/>
        </w:rPr>
        <w:t>(2001</w:t>
      </w:r>
      <w:r>
        <w:t>年</w:t>
      </w:r>
      <w:r>
        <w:rPr>
          <w:lang w:val="en-GB"/>
        </w:rPr>
        <w:t>)</w:t>
      </w:r>
      <w:r>
        <w:rPr>
          <w:lang w:val="en-GB"/>
        </w:rPr>
        <w:t>，</w:t>
      </w:r>
      <w:r>
        <w:t>登记处隶属克罗地亚国家公共健康局预防残疾司</w:t>
      </w:r>
      <w:r>
        <w:rPr>
          <w:lang w:val="en-GB"/>
        </w:rPr>
        <w:t>，</w:t>
      </w:r>
      <w:r>
        <w:rPr>
          <w:lang w:val="en-GB"/>
        </w:rPr>
        <w:t>2002</w:t>
      </w:r>
      <w:r>
        <w:t>年中开始投入运作。克罗地亚残疾人登记处从医疗保健、社会福利和教育领域主管机关、家庭、退伍军人事务和代际团结部、克罗地亚养老保险局、卫生和社会福利部和交通、海洋和基础设施部收集数据。克罗地亚残疾人登记处的登记册包括输入残疾人总体信息和一般部分和输入肢体和精神损伤类型相关数据的特殊部分。此外，还创建了克罗地亚残疾人登记处信息系统，可满足所有设定的功能要求，同时还能在报告编写方面保持灵活性。通过《个人数据保护法》</w:t>
      </w:r>
      <w:r>
        <w:t>(2003</w:t>
      </w:r>
      <w:r>
        <w:t>年</w:t>
      </w:r>
      <w:r>
        <w:t>)</w:t>
      </w:r>
      <w:r>
        <w:t>后，克罗地亚残疾人登记处中缺乏独特的主要公民数字</w:t>
      </w:r>
      <w:r>
        <w:t>(JMBG)</w:t>
      </w:r>
      <w:r>
        <w:t>的结果日益增多，数量庞大</w:t>
      </w:r>
      <w:r>
        <w:rPr>
          <w:rStyle w:val="FootnoteReference"/>
        </w:rPr>
        <w:footnoteReference w:id="27"/>
      </w:r>
      <w:r>
        <w:t>。因缺乏用以识别的主要公民数字，在进行公民身份明确链接和标识死亡人数时可能会产生错误，错误概率为</w:t>
      </w:r>
      <w:r>
        <w:t>3%</w:t>
      </w:r>
      <w:r>
        <w:t>。根据《克罗地亚残疾人登记法》</w:t>
      </w:r>
      <w:r>
        <w:t>(2001</w:t>
      </w:r>
      <w:r>
        <w:t>年</w:t>
      </w:r>
      <w:r>
        <w:t>)</w:t>
      </w:r>
      <w:r>
        <w:t>，克罗地亚国家公共健康局采用统计学方法处理所收集的所有残疾人参数，所有感兴趣的人均可在克罗地亚残疾人登记处网页上查阅这些数据。</w:t>
      </w:r>
    </w:p>
    <w:p w:rsidR="0064252C" w:rsidRDefault="0064252C">
      <w:pPr>
        <w:pStyle w:val="SingleTxtGC"/>
        <w:rPr>
          <w:lang w:val="en-GB"/>
        </w:rPr>
      </w:pPr>
      <w:r>
        <w:rPr>
          <w:lang w:val="en-GB"/>
        </w:rPr>
        <w:t xml:space="preserve">239.  </w:t>
      </w:r>
      <w:r>
        <w:t>经与民间组织合作</w:t>
      </w:r>
      <w:r>
        <w:rPr>
          <w:lang w:val="en-GB"/>
        </w:rPr>
        <w:t>，</w:t>
      </w:r>
      <w:r>
        <w:t>确定了克罗地亚国家公共健康局肌肉萎缩症患者登记册保存方式。</w:t>
      </w:r>
    </w:p>
    <w:p w:rsidR="0064252C" w:rsidRDefault="0064252C">
      <w:pPr>
        <w:pStyle w:val="SingleTxtGC"/>
        <w:rPr>
          <w:lang w:val="en-GB"/>
        </w:rPr>
      </w:pPr>
      <w:r>
        <w:rPr>
          <w:lang w:val="en-GB"/>
        </w:rPr>
        <w:t xml:space="preserve">240.  </w:t>
      </w:r>
      <w:r>
        <w:t>关于残疾人相关研究与最重要科学和专业论文的概要载于附件四。</w:t>
      </w:r>
    </w:p>
    <w:p w:rsidR="0064252C" w:rsidRDefault="0064252C">
      <w:pPr>
        <w:pStyle w:val="H1GC"/>
      </w:pPr>
      <w:r>
        <w:tab/>
      </w:r>
      <w:r>
        <w:tab/>
      </w:r>
      <w:r>
        <w:t>第三十二条</w:t>
      </w:r>
      <w:r>
        <w:rPr>
          <w:rFonts w:eastAsia="SimSun" w:cs="SimSun"/>
          <w:spacing w:val="-60"/>
        </w:rPr>
        <w:br/>
      </w:r>
      <w:r>
        <w:t>国际合作</w:t>
      </w:r>
    </w:p>
    <w:p w:rsidR="0064252C" w:rsidRDefault="0064252C">
      <w:pPr>
        <w:pStyle w:val="SingleTxtGC"/>
        <w:rPr>
          <w:lang w:val="en-GB"/>
        </w:rPr>
      </w:pPr>
      <w:r>
        <w:rPr>
          <w:lang w:val="en-GB"/>
        </w:rPr>
        <w:t xml:space="preserve">241.  </w:t>
      </w:r>
      <w:r>
        <w:t>除了批准《残疾人权利公约》外</w:t>
      </w:r>
      <w:r>
        <w:rPr>
          <w:lang w:val="en-GB"/>
        </w:rPr>
        <w:t>，</w:t>
      </w:r>
      <w:r>
        <w:t>克罗地亚共和国还通过了包括《</w:t>
      </w:r>
      <w:r>
        <w:rPr>
          <w:lang w:val="en-GB"/>
        </w:rPr>
        <w:t>2006-2015</w:t>
      </w:r>
      <w:r>
        <w:rPr>
          <w:lang w:val="en-GB"/>
        </w:rPr>
        <w:t>年</w:t>
      </w:r>
      <w:r>
        <w:t>欧洲委员会促进残疾人在社会中的权利和充分参与社会行动计划</w:t>
      </w:r>
      <w:r>
        <w:rPr>
          <w:lang w:val="en-GB"/>
        </w:rPr>
        <w:t>：</w:t>
      </w:r>
      <w:r>
        <w:t>改善欧洲残疾人生活质量》在内的其他国际文</w:t>
      </w:r>
      <w:r>
        <w:rPr>
          <w:rFonts w:hint="eastAsia"/>
        </w:rPr>
        <w:t>书</w:t>
      </w:r>
      <w:r>
        <w:rPr>
          <w:lang w:val="en-GB"/>
        </w:rPr>
        <w:t>，</w:t>
      </w:r>
      <w:r>
        <w:t>以此重申其充分实现残疾人基本人权的承诺。为了让有关残疾人的法规和法律最大限度地与所通过的国际文件相符，提议对现行法律进行修正。此外，还翻译和出版了重大国际文</w:t>
      </w:r>
      <w:r>
        <w:rPr>
          <w:rFonts w:hint="eastAsia"/>
        </w:rPr>
        <w:t>书</w:t>
      </w:r>
      <w:r>
        <w:t>和出版物，并向各残疾人协会进行分发。克罗地亚在</w:t>
      </w:r>
      <w:r>
        <w:rPr>
          <w:lang w:val="en-GB"/>
        </w:rPr>
        <w:t>2006-2015</w:t>
      </w:r>
      <w:r>
        <w:rPr>
          <w:lang w:val="en-GB"/>
        </w:rPr>
        <w:t>年</w:t>
      </w:r>
      <w:r>
        <w:t>欧洲委员会残疾行动计划欧洲协调论坛</w:t>
      </w:r>
      <w:r>
        <w:t>(CAHPAH)</w:t>
      </w:r>
      <w:r>
        <w:t>及其下属机构</w:t>
      </w:r>
      <w:r>
        <w:rPr>
          <w:rFonts w:hint="eastAsia"/>
          <w:spacing w:val="-50"/>
        </w:rPr>
        <w:t>―</w:t>
      </w:r>
      <w:r>
        <w:rPr>
          <w:rFonts w:hint="eastAsia"/>
        </w:rPr>
        <w:t>―</w:t>
      </w:r>
      <w:r>
        <w:t>保护和促进残疾妇女和女童权利委员会</w:t>
      </w:r>
      <w:r>
        <w:t>(CAHPAH WGD)</w:t>
      </w:r>
      <w:r>
        <w:t>的代表也积极参与论坛和委员会的工作。</w:t>
      </w:r>
    </w:p>
    <w:p w:rsidR="0064252C" w:rsidRDefault="0064252C">
      <w:pPr>
        <w:pStyle w:val="SingleTxtGC"/>
        <w:rPr>
          <w:lang w:val="en-GB"/>
        </w:rPr>
      </w:pPr>
      <w:r>
        <w:rPr>
          <w:lang w:val="en-GB"/>
        </w:rPr>
        <w:t xml:space="preserve">242.  </w:t>
      </w:r>
      <w:r>
        <w:t>保护人们免遭精神疾病的联合国原则已纳入健康保护和社会福利领域的所有国家战略文件，并在实践中得到广泛应用。</w:t>
      </w:r>
    </w:p>
    <w:p w:rsidR="0064252C" w:rsidRDefault="0064252C">
      <w:pPr>
        <w:pStyle w:val="SingleTxtGC"/>
        <w:rPr>
          <w:lang w:val="en-GB"/>
        </w:rPr>
      </w:pPr>
      <w:r>
        <w:rPr>
          <w:lang w:val="en-GB"/>
        </w:rPr>
        <w:t>243.  2011</w:t>
      </w:r>
      <w:r>
        <w:t>年</w:t>
      </w:r>
      <w:r>
        <w:rPr>
          <w:lang w:val="en-GB"/>
        </w:rPr>
        <w:t>11</w:t>
      </w:r>
      <w:r>
        <w:t>月</w:t>
      </w:r>
      <w:r>
        <w:rPr>
          <w:lang w:val="en-GB"/>
        </w:rPr>
        <w:t>，</w:t>
      </w:r>
      <w:r>
        <w:t>克罗地亚共和国成功地在人权理事会普遍定期审议的一个特殊机制内提交其国家报告。报告指出，关于残疾人权利</w:t>
      </w:r>
      <w:r>
        <w:t>(</w:t>
      </w:r>
      <w:r>
        <w:t>实行非机构化、加强残疾人领域的政策和措施</w:t>
      </w:r>
      <w:r>
        <w:t>)</w:t>
      </w:r>
      <w:r>
        <w:t>的各项建议均得到克罗地亚共和国的支持。</w:t>
      </w:r>
    </w:p>
    <w:p w:rsidR="0064252C" w:rsidRDefault="0064252C">
      <w:pPr>
        <w:pStyle w:val="SingleTxtGC"/>
        <w:rPr>
          <w:lang w:val="en-GB"/>
        </w:rPr>
      </w:pPr>
      <w:r>
        <w:rPr>
          <w:lang w:val="en-GB"/>
        </w:rPr>
        <w:t xml:space="preserve">244.  </w:t>
      </w:r>
      <w:r>
        <w:t>残疾人在平等的基础上参与克罗地亚共和国所参与的所有国际举措</w:t>
      </w:r>
      <w:r>
        <w:rPr>
          <w:lang w:val="en-GB"/>
        </w:rPr>
        <w:t>，</w:t>
      </w:r>
      <w:r>
        <w:t>例如</w:t>
      </w:r>
      <w:r>
        <w:rPr>
          <w:lang w:val="en-GB"/>
        </w:rPr>
        <w:t>，</w:t>
      </w:r>
      <w:r>
        <w:t>运动</w:t>
      </w:r>
      <w:r>
        <w:rPr>
          <w:rStyle w:val="FootnoteReference"/>
        </w:rPr>
        <w:footnoteReference w:id="28"/>
      </w:r>
      <w:r>
        <w:t>、标志性的国际年和国际日</w:t>
      </w:r>
      <w:r>
        <w:rPr>
          <w:rStyle w:val="FootnoteReference"/>
        </w:rPr>
        <w:footnoteReference w:id="29"/>
      </w:r>
      <w:r>
        <w:t>、会议和考察访问</w:t>
      </w:r>
      <w:r>
        <w:rPr>
          <w:rStyle w:val="FootnoteReference"/>
        </w:rPr>
        <w:footnoteReference w:id="30"/>
      </w:r>
      <w:r>
        <w:t>。因此，国家行政机构根据国际机构和组织的建议和国家优先事项，在国家一级组织和实施旨在促进残疾人福祉的各项活动。</w:t>
      </w:r>
    </w:p>
    <w:p w:rsidR="0064252C" w:rsidRDefault="0064252C">
      <w:pPr>
        <w:pStyle w:val="SingleTxtGC"/>
        <w:rPr>
          <w:lang w:val="en-GB"/>
        </w:rPr>
      </w:pPr>
      <w:r>
        <w:rPr>
          <w:lang w:val="en-GB"/>
        </w:rPr>
        <w:t xml:space="preserve">245.  </w:t>
      </w:r>
      <w:r>
        <w:t>欧盟</w:t>
      </w:r>
      <w:r>
        <w:rPr>
          <w:rFonts w:hint="eastAsia"/>
        </w:rPr>
        <w:t>﹣</w:t>
      </w:r>
      <w:r>
        <w:t>克罗地亚共和国联合咨询委员会为促进民间社会组织、鼓励国际合作和加强民间对话作出了积极贡献，其工作范围涵盖了与《稳定与结盟协议》有关的所有经济和社会问题。</w:t>
      </w:r>
    </w:p>
    <w:p w:rsidR="0064252C" w:rsidRDefault="0064252C">
      <w:pPr>
        <w:pStyle w:val="SingleTxtGC"/>
        <w:rPr>
          <w:lang w:val="en-GB"/>
        </w:rPr>
      </w:pPr>
      <w:r>
        <w:rPr>
          <w:lang w:val="en-GB"/>
        </w:rPr>
        <w:t xml:space="preserve">246.  </w:t>
      </w:r>
      <w:r>
        <w:t>目前</w:t>
      </w:r>
      <w:r>
        <w:rPr>
          <w:lang w:val="en-GB"/>
        </w:rPr>
        <w:t>，</w:t>
      </w:r>
      <w:r>
        <w:t>通过</w:t>
      </w:r>
      <w:r>
        <w:rPr>
          <w:lang w:val="en-GB"/>
        </w:rPr>
        <w:t>2007</w:t>
      </w:r>
      <w:r>
        <w:rPr>
          <w:rFonts w:hint="eastAsia"/>
          <w:lang w:val="en-GB"/>
        </w:rPr>
        <w:t>-</w:t>
      </w:r>
      <w:r>
        <w:rPr>
          <w:lang w:val="en-GB"/>
        </w:rPr>
        <w:t>2011</w:t>
      </w:r>
      <w:r>
        <w:t>年《加入欧盟前援助文书》</w:t>
      </w:r>
      <w:r>
        <w:rPr>
          <w:lang w:val="en-GB"/>
        </w:rPr>
        <w:t>(IPA)</w:t>
      </w:r>
      <w:r>
        <w:t>框架内执行方案</w:t>
      </w:r>
      <w:r>
        <w:rPr>
          <w:rFonts w:hint="eastAsia"/>
          <w:lang w:val="en-GB"/>
        </w:rPr>
        <w:t>“</w:t>
      </w:r>
      <w:r>
        <w:t>人力资源开发</w:t>
      </w:r>
      <w:r>
        <w:rPr>
          <w:rFonts w:hint="eastAsia"/>
          <w:lang w:val="en-GB"/>
        </w:rPr>
        <w:t>”</w:t>
      </w:r>
      <w:r>
        <w:rPr>
          <w:lang w:val="en-GB"/>
        </w:rPr>
        <w:t>，</w:t>
      </w:r>
      <w:r>
        <w:t>实施了以下项目</w:t>
      </w:r>
      <w:r>
        <w:rPr>
          <w:lang w:val="en-GB"/>
        </w:rPr>
        <w:t>：</w:t>
      </w:r>
      <w:r>
        <w:t>鼓励进一步增强残疾人在劳动力市场的活跃性</w:t>
      </w:r>
      <w:r>
        <w:rPr>
          <w:lang w:val="en-GB"/>
        </w:rPr>
        <w:t>(</w:t>
      </w:r>
      <w:r>
        <w:t>服务协议</w:t>
      </w:r>
      <w:r>
        <w:rPr>
          <w:lang w:val="en-GB"/>
        </w:rPr>
        <w:t>)</w:t>
      </w:r>
      <w:r>
        <w:rPr>
          <w:rFonts w:hint="eastAsia"/>
          <w:spacing w:val="-50"/>
          <w:lang w:val="en-GB"/>
        </w:rPr>
        <w:t>―</w:t>
      </w:r>
      <w:r>
        <w:rPr>
          <w:rFonts w:hint="eastAsia"/>
          <w:lang w:val="en-GB"/>
        </w:rPr>
        <w:t>―</w:t>
      </w:r>
      <w:r>
        <w:rPr>
          <w:lang w:val="en-GB"/>
        </w:rPr>
        <w:t>812,855</w:t>
      </w:r>
      <w:r>
        <w:t>欧元</w:t>
      </w:r>
      <w:r>
        <w:rPr>
          <w:lang w:val="en-GB"/>
        </w:rPr>
        <w:t>；</w:t>
      </w:r>
      <w:r>
        <w:t>鼓励进一步增强残疾人在劳动力市场的活跃性</w:t>
      </w:r>
      <w:r>
        <w:rPr>
          <w:lang w:val="en-GB"/>
        </w:rPr>
        <w:t>(</w:t>
      </w:r>
      <w:r>
        <w:t>非偿还性资金捐赠协议</w:t>
      </w:r>
      <w:r>
        <w:rPr>
          <w:lang w:val="en-GB"/>
        </w:rPr>
        <w:t>)</w:t>
      </w:r>
      <w:r>
        <w:rPr>
          <w:rFonts w:hint="eastAsia"/>
          <w:spacing w:val="-60"/>
          <w:lang w:val="en-GB"/>
        </w:rPr>
        <w:t>―</w:t>
      </w:r>
      <w:r>
        <w:rPr>
          <w:rFonts w:hint="eastAsia"/>
          <w:spacing w:val="10"/>
          <w:lang w:val="en-GB"/>
        </w:rPr>
        <w:t>―</w:t>
      </w:r>
      <w:r>
        <w:rPr>
          <w:lang w:val="en-GB"/>
        </w:rPr>
        <w:t>1,351,738</w:t>
      </w:r>
      <w:r>
        <w:t>欧元</w:t>
      </w:r>
      <w:r>
        <w:rPr>
          <w:lang w:val="en-GB"/>
        </w:rPr>
        <w:t>；</w:t>
      </w:r>
      <w:r>
        <w:t>建立社会弱势群体和边缘化群体社会包容和就业支持</w:t>
      </w:r>
      <w:r>
        <w:rPr>
          <w:lang w:val="en-GB"/>
        </w:rPr>
        <w:t>(</w:t>
      </w:r>
      <w:r>
        <w:t>服务协议</w:t>
      </w:r>
      <w:r>
        <w:rPr>
          <w:lang w:val="en-GB"/>
        </w:rPr>
        <w:t>)</w:t>
      </w:r>
      <w:r>
        <w:rPr>
          <w:rFonts w:hint="eastAsia"/>
          <w:spacing w:val="-60"/>
          <w:lang w:val="en-GB"/>
        </w:rPr>
        <w:t>―</w:t>
      </w:r>
      <w:r>
        <w:rPr>
          <w:rFonts w:hint="eastAsia"/>
          <w:spacing w:val="10"/>
          <w:lang w:val="en-GB"/>
        </w:rPr>
        <w:t>―</w:t>
      </w:r>
      <w:r>
        <w:rPr>
          <w:lang w:val="en-GB"/>
        </w:rPr>
        <w:t>1,189,193</w:t>
      </w:r>
      <w:r>
        <w:t>欧元</w:t>
      </w:r>
      <w:r>
        <w:rPr>
          <w:lang w:val="en-GB"/>
        </w:rPr>
        <w:t>；</w:t>
      </w:r>
      <w:r>
        <w:t>建立社会弱势群体和边缘化群体社会包容和就业支持</w:t>
      </w:r>
      <w:r>
        <w:rPr>
          <w:lang w:val="en-GB"/>
        </w:rPr>
        <w:t>(</w:t>
      </w:r>
      <w:r>
        <w:t>非偿还性资金捐赠协议</w:t>
      </w:r>
      <w:r>
        <w:rPr>
          <w:lang w:val="en-GB"/>
        </w:rPr>
        <w:t>)</w:t>
      </w:r>
      <w:r>
        <w:rPr>
          <w:rFonts w:hint="eastAsia"/>
          <w:spacing w:val="-60"/>
          <w:lang w:val="en-GB"/>
        </w:rPr>
        <w:t>―</w:t>
      </w:r>
      <w:r>
        <w:rPr>
          <w:rFonts w:hint="eastAsia"/>
          <w:spacing w:val="10"/>
          <w:lang w:val="en-GB"/>
        </w:rPr>
        <w:t>―</w:t>
      </w:r>
      <w:r>
        <w:rPr>
          <w:lang w:val="en-GB"/>
        </w:rPr>
        <w:t>1,630,132</w:t>
      </w:r>
      <w:r>
        <w:t>欧元</w:t>
      </w:r>
      <w:r>
        <w:rPr>
          <w:lang w:val="en-GB"/>
        </w:rPr>
        <w:t>；</w:t>
      </w:r>
      <w:r>
        <w:t>将障碍学生纳入以就业为目的的教育</w:t>
      </w:r>
      <w:r>
        <w:rPr>
          <w:lang w:val="en-GB"/>
        </w:rPr>
        <w:t>(</w:t>
      </w:r>
      <w:r>
        <w:t>服务协议</w:t>
      </w:r>
      <w:r>
        <w:rPr>
          <w:lang w:val="en-GB"/>
        </w:rPr>
        <w:t>)</w:t>
      </w:r>
      <w:r>
        <w:rPr>
          <w:rFonts w:hint="eastAsia"/>
          <w:spacing w:val="-60"/>
          <w:lang w:val="en-GB"/>
        </w:rPr>
        <w:t>―</w:t>
      </w:r>
      <w:r>
        <w:rPr>
          <w:rFonts w:hint="eastAsia"/>
          <w:spacing w:val="10"/>
          <w:lang w:val="en-GB"/>
        </w:rPr>
        <w:t>―</w:t>
      </w:r>
      <w:r>
        <w:rPr>
          <w:lang w:val="en-GB"/>
        </w:rPr>
        <w:t>845,733</w:t>
      </w:r>
      <w:r>
        <w:t>欧元</w:t>
      </w:r>
      <w:r>
        <w:rPr>
          <w:lang w:val="en-GB"/>
        </w:rPr>
        <w:t>；</w:t>
      </w:r>
      <w:r>
        <w:t>将障碍学生纳入以就业为目的的教育</w:t>
      </w:r>
      <w:r>
        <w:rPr>
          <w:lang w:val="en-GB"/>
        </w:rPr>
        <w:t>(</w:t>
      </w:r>
      <w:r>
        <w:t>非偿还性资金捐赠协议</w:t>
      </w:r>
      <w:r>
        <w:rPr>
          <w:lang w:val="en-GB"/>
        </w:rPr>
        <w:t>)</w:t>
      </w:r>
      <w:r>
        <w:rPr>
          <w:rFonts w:hint="eastAsia"/>
          <w:spacing w:val="-60"/>
          <w:lang w:val="en-GB"/>
        </w:rPr>
        <w:t>―</w:t>
      </w:r>
      <w:r>
        <w:rPr>
          <w:rFonts w:hint="eastAsia"/>
          <w:spacing w:val="10"/>
          <w:lang w:val="en-GB"/>
        </w:rPr>
        <w:t>―</w:t>
      </w:r>
      <w:r>
        <w:rPr>
          <w:lang w:val="en-GB"/>
        </w:rPr>
        <w:t>1,318,273</w:t>
      </w:r>
      <w:r>
        <w:t>欧元。</w:t>
      </w:r>
    </w:p>
    <w:p w:rsidR="0064252C" w:rsidRDefault="0064252C">
      <w:pPr>
        <w:pStyle w:val="SingleTxtGC"/>
        <w:rPr>
          <w:lang w:val="en-GB"/>
        </w:rPr>
      </w:pPr>
      <w:r>
        <w:rPr>
          <w:lang w:val="en-GB"/>
        </w:rPr>
        <w:t xml:space="preserve">247.  </w:t>
      </w:r>
      <w:r>
        <w:rPr>
          <w:spacing w:val="-6"/>
          <w:lang w:val="en-GB"/>
        </w:rPr>
        <w:t>2009</w:t>
      </w:r>
      <w:r>
        <w:rPr>
          <w:spacing w:val="-6"/>
        </w:rPr>
        <w:t>年</w:t>
      </w:r>
      <w:r>
        <w:rPr>
          <w:spacing w:val="-6"/>
          <w:lang w:val="en-GB"/>
        </w:rPr>
        <w:t>，</w:t>
      </w:r>
      <w:r>
        <w:rPr>
          <w:spacing w:val="-6"/>
        </w:rPr>
        <w:t>国家公民社会发展基金会成立了欧洲跨部门合作中心</w:t>
      </w:r>
      <w:r>
        <w:rPr>
          <w:spacing w:val="-6"/>
          <w:lang w:val="en-GB"/>
        </w:rPr>
        <w:t>(IMPACT)</w:t>
      </w:r>
      <w:r>
        <w:rPr>
          <w:rFonts w:ascii="SimSun" w:hAnsi="SimSun" w:cs="SimSun" w:hint="eastAsia"/>
          <w:spacing w:val="-50"/>
          <w:lang w:val="en-GB"/>
        </w:rPr>
        <w:t>―</w:t>
      </w:r>
      <w:r>
        <w:rPr>
          <w:rFonts w:ascii="SimSun" w:hAnsi="SimSun" w:cs="SimSun" w:hint="eastAsia"/>
          <w:spacing w:val="-6"/>
          <w:lang w:val="en-GB"/>
        </w:rPr>
        <w:t>―</w:t>
      </w:r>
      <w:r>
        <w:t>一家关于在公众、企业和非营利部门之间建立合作和伙伴关系的教育培训中心和就跨部门合作领域的主要成就和挑战提供知识、共享知识和鼓励进行公共讨论的资源中心。欧洲跨部门合作中心与多家国内和国际机构合作开展持续性教育方案。各残疾人协会还参加了为提高民间社会组织的能力而举行的各类培训，其中还包括关于欧盟所资助项目实施情况的讲习班</w:t>
      </w:r>
      <w:r>
        <w:rPr>
          <w:rStyle w:val="FootnoteReference"/>
        </w:rPr>
        <w:footnoteReference w:id="31"/>
      </w:r>
      <w:r>
        <w:t>。国家公民社会发展基金会每年都会发布一份标书</w:t>
      </w:r>
      <w:r>
        <w:t>(</w:t>
      </w:r>
      <w:r>
        <w:t>用以增强关注的呼吁书</w:t>
      </w:r>
      <w:r>
        <w:t>)</w:t>
      </w:r>
      <w:r>
        <w:rPr>
          <w:rFonts w:hint="eastAsia"/>
        </w:rPr>
        <w:t>“</w:t>
      </w:r>
      <w:r>
        <w:t>知识无极限</w:t>
      </w:r>
      <w:r>
        <w:rPr>
          <w:rFonts w:hint="eastAsia"/>
        </w:rPr>
        <w:t>”</w:t>
      </w:r>
      <w:r>
        <w:t>，以此方式支付克罗地亚协会参与国际会议和国际专家访问克罗地亚共和国的费用</w:t>
      </w:r>
      <w:r>
        <w:t>(</w:t>
      </w:r>
      <w:r>
        <w:t>附件二表</w:t>
      </w:r>
      <w:r>
        <w:t>1)</w:t>
      </w:r>
      <w:r>
        <w:t>。</w:t>
      </w:r>
    </w:p>
    <w:p w:rsidR="0064252C" w:rsidRDefault="0064252C">
      <w:pPr>
        <w:pStyle w:val="H1GC"/>
      </w:pPr>
      <w:r>
        <w:tab/>
      </w:r>
      <w:r>
        <w:tab/>
      </w:r>
      <w:r>
        <w:t>第三十三条</w:t>
      </w:r>
      <w:r>
        <w:rPr>
          <w:rFonts w:eastAsia="SimSun" w:cs="SimSun"/>
          <w:spacing w:val="-60"/>
        </w:rPr>
        <w:br/>
      </w:r>
      <w:r>
        <w:t>国家实施和监测</w:t>
      </w:r>
    </w:p>
    <w:p w:rsidR="0064252C" w:rsidRDefault="0064252C">
      <w:pPr>
        <w:pStyle w:val="SingleTxtGC"/>
        <w:rPr>
          <w:lang w:val="en-GB"/>
        </w:rPr>
      </w:pPr>
      <w:r>
        <w:rPr>
          <w:lang w:val="en-GB"/>
        </w:rPr>
        <w:t xml:space="preserve">248.  </w:t>
      </w:r>
      <w:r>
        <w:t>国家行政机构负责在其工作和职权范围内实施《残疾人权利公约》</w:t>
      </w:r>
      <w:r>
        <w:rPr>
          <w:lang w:val="en-GB"/>
        </w:rPr>
        <w:t>，</w:t>
      </w:r>
      <w:r>
        <w:t>它们确保在其预算状况允许的范围内提供资金</w:t>
      </w:r>
      <w:r>
        <w:rPr>
          <w:lang w:val="en-GB"/>
        </w:rPr>
        <w:t>，</w:t>
      </w:r>
      <w:r>
        <w:t>用以实施各项旨在改善残疾人生活质量和促进其机会均等的活动。根据《残疾人机会均等国家战略》协调员的桥梁纽带作用，他们还发挥着协调《残疾人权利公约》执行工作的作用。家庭、退伍军</w:t>
      </w:r>
      <w:r>
        <w:rPr>
          <w:spacing w:val="-4"/>
        </w:rPr>
        <w:t>人事务和代际团结部和克罗地亚共和国政府残疾人委员会亦发挥着桥梁纽带作用。</w:t>
      </w:r>
    </w:p>
    <w:p w:rsidR="0064252C" w:rsidRDefault="0064252C">
      <w:pPr>
        <w:pStyle w:val="SingleTxtGC"/>
        <w:rPr>
          <w:lang w:val="en-GB"/>
        </w:rPr>
      </w:pPr>
      <w:r>
        <w:rPr>
          <w:lang w:val="en-GB"/>
        </w:rPr>
        <w:t xml:space="preserve">249.  </w:t>
      </w:r>
      <w:r>
        <w:t>克罗地亚共和国政府残疾人委员会于</w:t>
      </w:r>
      <w:r>
        <w:rPr>
          <w:lang w:val="en-GB"/>
        </w:rPr>
        <w:t>1997</w:t>
      </w:r>
      <w:r>
        <w:t>年作为克罗地亚共和国政府的咨询和专业机构成立</w:t>
      </w:r>
      <w:r>
        <w:rPr>
          <w:lang w:val="en-GB"/>
        </w:rPr>
        <w:t>，</w:t>
      </w:r>
      <w:r>
        <w:t>其任务是就残疾人及其家属的状况、保护和康复提出建议、意见和专业阐述</w:t>
      </w:r>
      <w:r>
        <w:rPr>
          <w:lang w:val="en-GB"/>
        </w:rPr>
        <w:t>，</w:t>
      </w:r>
      <w:r>
        <w:t>并开展改善其福祉的活动。克罗地亚共和国政府残疾人委员会共由</w:t>
      </w:r>
      <w:r>
        <w:t>24</w:t>
      </w:r>
      <w:r>
        <w:t>名成员组成，其中国家机关代表</w:t>
      </w:r>
      <w:r>
        <w:t>11</w:t>
      </w:r>
      <w:r>
        <w:t>人，国家残疾人联合会代表</w:t>
      </w:r>
      <w:r>
        <w:t>11</w:t>
      </w:r>
      <w:r>
        <w:t>人，科研机构代表</w:t>
      </w:r>
      <w:r>
        <w:t>2</w:t>
      </w:r>
      <w:r>
        <w:t>人；</w:t>
      </w:r>
      <w:r>
        <w:t>24</w:t>
      </w:r>
      <w:r>
        <w:t>名成员中，残疾人有</w:t>
      </w:r>
      <w:r>
        <w:t>6</w:t>
      </w:r>
      <w:r>
        <w:t>人。克罗地亚共和国承诺致力于促进残疾人及其代表平等和积极参与国家残疾人政策的制定和实施，而克罗</w:t>
      </w:r>
      <w:r>
        <w:rPr>
          <w:spacing w:val="-6"/>
        </w:rPr>
        <w:t>地亚共和国政府残疾人委员会成员的结构和构成便是确认这一承诺的众多行动之一。</w:t>
      </w:r>
    </w:p>
    <w:p w:rsidR="0064252C" w:rsidRDefault="0064252C">
      <w:pPr>
        <w:pStyle w:val="SingleTxtGC"/>
        <w:rPr>
          <w:lang w:val="en-GB"/>
        </w:rPr>
      </w:pPr>
      <w:r>
        <w:rPr>
          <w:lang w:val="en-GB"/>
        </w:rPr>
        <w:t xml:space="preserve">250.  </w:t>
      </w:r>
      <w:r>
        <w:t>《监察员法》</w:t>
      </w:r>
      <w:r>
        <w:rPr>
          <w:lang w:val="en-GB"/>
        </w:rPr>
        <w:t>(1992</w:t>
      </w:r>
      <w:r>
        <w:t>年</w:t>
      </w:r>
      <w:r>
        <w:rPr>
          <w:lang w:val="en-GB"/>
        </w:rPr>
        <w:t>)</w:t>
      </w:r>
      <w:r>
        <w:t>规定</w:t>
      </w:r>
      <w:r>
        <w:rPr>
          <w:lang w:val="en-GB"/>
        </w:rPr>
        <w:t>，</w:t>
      </w:r>
      <w:r>
        <w:t>监察员是克罗地亚议会促进和保护《宪法》、法律和克罗地亚共和国所通过之人权和自由国际法案所载之人权和自由的受托机构</w:t>
      </w:r>
      <w:r>
        <w:rPr>
          <w:lang w:val="en-GB"/>
        </w:rPr>
        <w:t>，</w:t>
      </w:r>
      <w:r>
        <w:t>经联合国人权事务高级专员办事处国家机构国际协调委员会认证</w:t>
      </w:r>
      <w:r>
        <w:rPr>
          <w:lang w:val="en-GB"/>
        </w:rPr>
        <w:t>，</w:t>
      </w:r>
      <w:r>
        <w:t>监察员是保护和促进人权的</w:t>
      </w:r>
      <w:r>
        <w:rPr>
          <w:rFonts w:hint="eastAsia"/>
          <w:lang w:val="en-GB"/>
        </w:rPr>
        <w:t>“</w:t>
      </w:r>
      <w:r>
        <w:rPr>
          <w:lang w:val="en-GB"/>
        </w:rPr>
        <w:t>A</w:t>
      </w:r>
      <w:r>
        <w:t>级</w:t>
      </w:r>
      <w:r>
        <w:rPr>
          <w:rFonts w:hint="eastAsia"/>
          <w:lang w:val="en-GB"/>
        </w:rPr>
        <w:t>”</w:t>
      </w:r>
      <w:r>
        <w:t>国家机构。</w:t>
      </w:r>
    </w:p>
    <w:p w:rsidR="0064252C" w:rsidRDefault="0064252C">
      <w:pPr>
        <w:pStyle w:val="SingleTxtGC"/>
        <w:rPr>
          <w:lang w:val="en-GB"/>
        </w:rPr>
      </w:pPr>
      <w:r>
        <w:rPr>
          <w:lang w:val="en-GB"/>
        </w:rPr>
        <w:t xml:space="preserve">251.  </w:t>
      </w:r>
      <w:r>
        <w:t>残疾人监察员办公室系根据《残疾人监察员法》</w:t>
      </w:r>
      <w:r>
        <w:rPr>
          <w:lang w:val="en-GB"/>
        </w:rPr>
        <w:t>(2007</w:t>
      </w:r>
      <w:r>
        <w:t>年</w:t>
      </w:r>
      <w:r>
        <w:rPr>
          <w:lang w:val="en-GB"/>
        </w:rPr>
        <w:t>)</w:t>
      </w:r>
      <w:r>
        <w:t>成立</w:t>
      </w:r>
      <w:r>
        <w:rPr>
          <w:lang w:val="en-GB"/>
        </w:rPr>
        <w:t>，</w:t>
      </w:r>
      <w:r>
        <w:t>监察员经克罗地亚议会决定获得委任</w:t>
      </w:r>
      <w:r>
        <w:rPr>
          <w:lang w:val="en-GB"/>
        </w:rPr>
        <w:t>，</w:t>
      </w:r>
      <w:r>
        <w:t>于</w:t>
      </w:r>
      <w:r>
        <w:rPr>
          <w:lang w:val="en-GB"/>
        </w:rPr>
        <w:t>2008</w:t>
      </w:r>
      <w:r>
        <w:t>年</w:t>
      </w:r>
      <w:r>
        <w:rPr>
          <w:lang w:val="en-GB"/>
        </w:rPr>
        <w:t>7</w:t>
      </w:r>
      <w:r>
        <w:t>月</w:t>
      </w:r>
      <w:r>
        <w:rPr>
          <w:lang w:val="en-GB"/>
        </w:rPr>
        <w:t>1</w:t>
      </w:r>
      <w:r>
        <w:t>日起行使其职责。残疾人监察员办公室是一个独立的机构，其主要任务是监测、促进和保护残疾人的权利，由此，它是一种残疾人人权保护机制，残疾人可直接联系该机制，并通过它来主张自己的权利和向关系到其生活的决策施加影响力。工作期间，残疾人监察员享有监察员没有的权力</w:t>
      </w:r>
      <w:r>
        <w:rPr>
          <w:rFonts w:ascii="SimSun" w:hAnsi="SimSun" w:cs="SimSun" w:hint="eastAsia"/>
          <w:spacing w:val="-60"/>
        </w:rPr>
        <w:t>―</w:t>
      </w:r>
      <w:r>
        <w:rPr>
          <w:rFonts w:ascii="SimSun" w:hAnsi="SimSun" w:cs="SimSun" w:hint="eastAsia"/>
          <w:spacing w:val="10"/>
        </w:rPr>
        <w:t>―</w:t>
      </w:r>
      <w:r>
        <w:t>有权利出入设施和根据具体法规深入了解向与自然人、法人和其他法人实体居住、工作或者临时或永久安置在一起的残疾人提供关怀的方式。监察员每年提交年度报告，供克罗地亚议会通过。</w:t>
      </w:r>
    </w:p>
    <w:p w:rsidR="0064252C" w:rsidRDefault="0064252C">
      <w:pPr>
        <w:pStyle w:val="SingleTxtGC"/>
        <w:rPr>
          <w:rFonts w:hint="eastAsia"/>
          <w:lang w:val="en-GB"/>
        </w:rPr>
      </w:pPr>
      <w:r>
        <w:rPr>
          <w:lang w:val="en-GB"/>
        </w:rPr>
        <w:t xml:space="preserve">252.  </w:t>
      </w:r>
      <w:r>
        <w:t>克罗地亚共和国政府尊重非政府和非营利性残疾人组织</w:t>
      </w:r>
      <w:r>
        <w:rPr>
          <w:lang w:val="en-GB"/>
        </w:rPr>
        <w:t>，</w:t>
      </w:r>
      <w:r>
        <w:t>视其为政策制定方面得力和专业的合作伙伴</w:t>
      </w:r>
      <w:r>
        <w:rPr>
          <w:lang w:val="en-GB"/>
        </w:rPr>
        <w:t>，</w:t>
      </w:r>
      <w:r>
        <w:t>并在决策过程中与其发展合作伙伴关系</w:t>
      </w:r>
      <w:r>
        <w:rPr>
          <w:lang w:val="en-GB"/>
        </w:rPr>
        <w:t>，</w:t>
      </w:r>
      <w:r>
        <w:t>以期以最恰当的方式保护残疾人的权利和尊严。截至</w:t>
      </w:r>
      <w:r>
        <w:rPr>
          <w:lang w:val="en-GB"/>
        </w:rPr>
        <w:t>2011</w:t>
      </w:r>
      <w:r>
        <w:t>年</w:t>
      </w:r>
      <w:r>
        <w:rPr>
          <w:lang w:val="en-GB"/>
        </w:rPr>
        <w:t>5</w:t>
      </w:r>
      <w:r>
        <w:t>月</w:t>
      </w:r>
      <w:r>
        <w:rPr>
          <w:lang w:val="en-GB"/>
        </w:rPr>
        <w:t>19</w:t>
      </w:r>
      <w:r>
        <w:t>日</w:t>
      </w:r>
      <w:r>
        <w:rPr>
          <w:lang w:val="en-GB"/>
        </w:rPr>
        <w:t>，</w:t>
      </w:r>
      <w:r>
        <w:t>克罗地亚共和国非政府组织登记册中所登记的残疾人协会共有</w:t>
      </w:r>
      <w:r>
        <w:rPr>
          <w:lang w:val="en-GB"/>
        </w:rPr>
        <w:t>403</w:t>
      </w:r>
      <w:r>
        <w:t>家。这一数字表明，残疾人正</w:t>
      </w:r>
      <w:r>
        <w:rPr>
          <w:spacing w:val="-6"/>
        </w:rPr>
        <w:t>在努力改善其生活条件，并愿意克尽全力，推动所居住和开展活动的社区不断进步。</w:t>
      </w:r>
    </w:p>
    <w:p w:rsidR="0064252C" w:rsidRDefault="0064252C">
      <w:pPr>
        <w:pStyle w:val="SingleTxtGC"/>
        <w:rPr>
          <w:rFonts w:hint="eastAsia"/>
        </w:rPr>
      </w:pPr>
      <w:r>
        <w:t xml:space="preserve">253.  </w:t>
      </w:r>
      <w:r>
        <w:t>残疾人出任一系列法律法规、国家和地方战略文件提案编制工作组的成员，除此之外，国家残疾人联合会</w:t>
      </w:r>
      <w:r>
        <w:rPr>
          <w:rStyle w:val="FootnoteReference"/>
        </w:rPr>
        <w:footnoteReference w:id="32"/>
      </w:r>
      <w:r>
        <w:rPr>
          <w:rStyle w:val="FootnoteReference"/>
        </w:rPr>
        <w:t xml:space="preserve"> </w:t>
      </w:r>
      <w:r>
        <w:t>的代表还参加了本报告的编制工作。</w:t>
      </w:r>
    </w:p>
    <w:p w:rsidR="0064252C" w:rsidRDefault="0064252C">
      <w:pPr>
        <w:pStyle w:val="SingleTxtGC"/>
        <w:rPr>
          <w:rFonts w:hint="eastAsia"/>
          <w:lang w:val="en-GB"/>
        </w:rPr>
      </w:pPr>
    </w:p>
    <w:p w:rsidR="0064252C" w:rsidRDefault="0064252C">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64252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252C" w:rsidRDefault="0064252C">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64252C" w:rsidRDefault="0064252C">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산돌명조 M">
    <w:altName w:val="Dotum"/>
    <w:panose1 w:val="00000000000000000000"/>
    <w:charset w:val="81"/>
    <w:family w:val="roman"/>
    <w:notTrueType/>
    <w:pitch w:val="variable"/>
    <w:sig w:usb0="00000001" w:usb1="09060000" w:usb2="00000010" w:usb3="00000000" w:csb0="00080000"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Malgun Gothic">
    <w:panose1 w:val="020B0503020000020004"/>
    <w:charset w:val="81"/>
    <w:family w:val="swiss"/>
    <w:pitch w:val="variable"/>
    <w:sig w:usb0="900002AF" w:usb1="09D77CFB" w:usb2="00000012" w:usb3="00000000" w:csb0="00080001" w:csb1="00000000"/>
  </w:font>
  <w:font w:name="Dotum">
    <w:altName w:val="돋움"/>
    <w:panose1 w:val="020B0600000101010101"/>
    <w:charset w:val="81"/>
    <w:family w:val="swiss"/>
    <w:pitch w:val="variable"/>
    <w:sig w:usb0="B00002AF" w:usb1="69D77CFB" w:usb2="00000030" w:usb3="00000000" w:csb0="0008009F" w:csb1="00000000"/>
  </w:font>
  <w:font w:name="한양중고딕">
    <w:altName w:val="Dotum"/>
    <w:panose1 w:val="00000000000000000000"/>
    <w:charset w:val="81"/>
    <w:family w:val="roman"/>
    <w:notTrueType/>
    <w:pitch w:val="default"/>
    <w:sig w:usb0="00000001" w:usb1="09060000" w:usb2="00000010" w:usb3="00000000" w:csb0="00080000" w:csb1="00000000"/>
  </w:font>
  <w:font w:name="휴먼명조">
    <w:altName w:val="Batang"/>
    <w:panose1 w:val="00000000000000000000"/>
    <w:charset w:val="81"/>
    <w:family w:val="auto"/>
    <w:notTrueType/>
    <w:pitch w:val="variable"/>
    <w:sig w:usb0="00000001" w:usb1="09060000" w:usb2="00000010" w:usb3="00000000" w:csb0="00080000" w:csb1="00000000"/>
  </w:font>
  <w:font w:name="HCI Tulip">
    <w:altName w:val="Times New Roman"/>
    <w:panose1 w:val="00000000000000000000"/>
    <w:charset w:val="00"/>
    <w:family w:val="roman"/>
    <w:notTrueType/>
    <w:pitch w:val="default"/>
    <w:sig w:usb0="00000003" w:usb1="00000000" w:usb2="00000000" w:usb3="00000000" w:csb0="00000001" w:csb1="00000000"/>
  </w:font>
  <w:font w:name="-윤명조120">
    <w:altName w:val="Arial Unicode MS"/>
    <w:panose1 w:val="00000000000000000000"/>
    <w:charset w:val="81"/>
    <w:family w:val="roman"/>
    <w:notTrueType/>
    <w:pitch w:val="default"/>
    <w:sig w:usb0="00000001" w:usb1="09060000" w:usb2="00000010" w:usb3="00000000" w:csb0="00080000" w:csb1="00000000"/>
  </w:font>
  <w:font w:name="산돌명조 L">
    <w:altName w:val="Arial Unicode MS"/>
    <w:panose1 w:val="00000000000000000000"/>
    <w:charset w:val="81"/>
    <w:family w:val="roman"/>
    <w:notTrueType/>
    <w:pitch w:val="default"/>
    <w:sig w:usb0="00000001" w:usb1="09060000" w:usb2="00000010" w:usb3="00000000" w:csb0="00080000" w:csb1="00000000"/>
  </w:font>
  <w:font w:name="#디나루">
    <w:altName w:val="Arial Unicode MS"/>
    <w:panose1 w:val="00000000000000000000"/>
    <w:charset w:val="81"/>
    <w:family w:val="roman"/>
    <w:notTrueType/>
    <w:pitch w:val="default"/>
    <w:sig w:usb0="00000001" w:usb1="09060000" w:usb2="00000010" w:usb3="00000000" w:csb0="00080000" w:csb1="00000000"/>
  </w:font>
  <w:font w:name="Calibri">
    <w:panose1 w:val="020F0502020204030204"/>
    <w:charset w:val="00"/>
    <w:family w:val="swiss"/>
    <w:pitch w:val="variable"/>
    <w:sig w:usb0="E00002FF" w:usb1="4000ACFF" w:usb2="00000001" w:usb3="00000000" w:csb0="0000019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52C" w:rsidRDefault="0064252C">
    <w:pPr>
      <w:pStyle w:val="Footer"/>
      <w:tabs>
        <w:tab w:val="clear" w:pos="431"/>
        <w:tab w:val="right" w:pos="9639"/>
      </w:tabs>
      <w:rPr>
        <w:rStyle w:val="PageNumber"/>
        <w:rFonts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3E3C3A">
      <w:rPr>
        <w:rStyle w:val="PageNumber"/>
        <w:noProof/>
      </w:rPr>
      <w:t>42</w:t>
    </w:r>
    <w:r>
      <w:rPr>
        <w:rStyle w:val="PageNumber"/>
      </w:rPr>
      <w:fldChar w:fldCharType="end"/>
    </w:r>
    <w:r>
      <w:rPr>
        <w:rStyle w:val="PageNumber"/>
        <w:rFonts w:hint="eastAsia"/>
        <w:lang w:eastAsia="zh-CN"/>
      </w:rPr>
      <w:tab/>
    </w:r>
    <w:r>
      <w:rPr>
        <w:lang w:eastAsia="zh-CN"/>
      </w:rPr>
      <w:t>GE.13-43315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52C" w:rsidRDefault="0064252C">
    <w:pPr>
      <w:pStyle w:val="Footer"/>
      <w:tabs>
        <w:tab w:val="right" w:pos="9639"/>
      </w:tabs>
    </w:pPr>
    <w:r>
      <w:rPr>
        <w:lang w:eastAsia="zh-CN"/>
      </w:rPr>
      <w:t>GE.13-43315 (EXT)</w:t>
    </w:r>
    <w:r>
      <w:tab/>
    </w:r>
    <w:r>
      <w:rPr>
        <w:rStyle w:val="PageNumber"/>
      </w:rPr>
      <w:fldChar w:fldCharType="begin"/>
    </w:r>
    <w:r>
      <w:rPr>
        <w:rStyle w:val="PageNumber"/>
      </w:rPr>
      <w:instrText xml:space="preserve"> PAGE </w:instrText>
    </w:r>
    <w:r>
      <w:rPr>
        <w:rStyle w:val="PageNumber"/>
      </w:rPr>
      <w:fldChar w:fldCharType="separate"/>
    </w:r>
    <w:r w:rsidR="003E3C3A">
      <w:rPr>
        <w:rStyle w:val="PageNumber"/>
        <w:noProof/>
      </w:rPr>
      <w:t>55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52C" w:rsidRDefault="0064252C">
    <w:pPr>
      <w:pStyle w:val="Footer"/>
      <w:tabs>
        <w:tab w:val="left" w:pos="1701"/>
        <w:tab w:val="left" w:pos="2552"/>
        <w:tab w:val="left" w:pos="8618"/>
      </w:tabs>
      <w:rPr>
        <w:rFonts w:hint="eastAsia"/>
        <w:sz w:val="20"/>
        <w:lang w:eastAsia="zh-CN"/>
      </w:rPr>
    </w:pPr>
    <w:r>
      <w:rPr>
        <w:sz w:val="20"/>
        <w:lang w:eastAsia="zh-CN"/>
      </w:rPr>
      <w:t>GE.</w:t>
    </w:r>
    <w:r>
      <w:rPr>
        <w:rFonts w:hint="eastAsia"/>
        <w:sz w:val="20"/>
        <w:lang w:eastAsia="zh-CN"/>
      </w:rPr>
      <w:t>1</w:t>
    </w:r>
    <w:r>
      <w:rPr>
        <w:sz w:val="20"/>
        <w:lang w:eastAsia="zh-CN"/>
      </w:rPr>
      <w:t>3-43315 (EXT)</w:t>
    </w:r>
    <w:r>
      <w:rPr>
        <w:sz w:val="20"/>
        <w:lang w:eastAsia="zh-CN"/>
      </w:rPr>
      <w:tab/>
    </w:r>
    <w:r>
      <w:rPr>
        <w:sz w:val="20"/>
        <w:lang w:eastAsia="zh-CN"/>
      </w:rPr>
      <w:tab/>
    </w:r>
    <w:r>
      <w:rPr>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252C" w:rsidRDefault="0064252C">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type="continuationSeparator" w:id="0">
    <w:p w:rsidR="0064252C" w:rsidRDefault="0064252C">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id="1">
    <w:p w:rsidR="0064252C" w:rsidRDefault="0064252C">
      <w:pPr>
        <w:pStyle w:val="FootnoteText"/>
        <w:rPr>
          <w:rFonts w:hint="eastAsia"/>
        </w:rPr>
      </w:pPr>
      <w:r>
        <w:rPr>
          <w:rStyle w:val="FootnoteReference"/>
          <w:vertAlign w:val="baseline"/>
        </w:rPr>
        <w:tab/>
        <w:t>*</w:t>
      </w:r>
      <w:r>
        <w:rPr>
          <w:rStyle w:val="FootnoteReference"/>
          <w:vertAlign w:val="baseline"/>
        </w:rPr>
        <w:tab/>
      </w:r>
      <w:r>
        <w:rPr>
          <w:lang w:val="zh-CN"/>
        </w:rPr>
        <w:t>按照向缔约国通知的报告处理办法，本文未经编辑。</w:t>
      </w:r>
    </w:p>
  </w:footnote>
  <w:footnote w:id="2">
    <w:p w:rsidR="0064252C" w:rsidRDefault="0064252C">
      <w:pPr>
        <w:pStyle w:val="FootnoteText"/>
      </w:pPr>
      <w:r>
        <w:rPr>
          <w:rStyle w:val="FootnoteReference"/>
          <w:vertAlign w:val="baseline"/>
        </w:rPr>
        <w:tab/>
        <w:t>**</w:t>
      </w:r>
      <w:r>
        <w:rPr>
          <w:rStyle w:val="FootnoteReference"/>
          <w:vertAlign w:val="baseline"/>
        </w:rPr>
        <w:tab/>
      </w:r>
      <w:r>
        <w:rPr>
          <w:lang w:val="zh-CN"/>
        </w:rPr>
        <w:t>附</w:t>
      </w:r>
      <w:r>
        <w:rPr>
          <w:rFonts w:hint="eastAsia"/>
          <w:lang w:val="zh-CN"/>
        </w:rPr>
        <w:t>件</w:t>
      </w:r>
      <w:r>
        <w:rPr>
          <w:lang w:val="zh-CN"/>
        </w:rPr>
        <w:t>可在秘书处档案中查阅。</w:t>
      </w:r>
    </w:p>
  </w:footnote>
  <w:footnote w:id="3">
    <w:p w:rsidR="0064252C" w:rsidRDefault="0064252C">
      <w:pPr>
        <w:pStyle w:val="FootnoteText"/>
        <w:rPr>
          <w:rFonts w:hint="eastAsia"/>
        </w:rPr>
      </w:pPr>
      <w:r>
        <w:rPr>
          <w:rStyle w:val="FootnoteReference"/>
          <w:vertAlign w:val="baseline"/>
        </w:rPr>
        <w:tab/>
      </w:r>
      <w:r>
        <w:rPr>
          <w:rStyle w:val="FootnoteReference"/>
        </w:rPr>
        <w:footnoteRef/>
      </w:r>
      <w:r>
        <w:rPr>
          <w:rStyle w:val="FootnoteReference"/>
          <w:vertAlign w:val="baseline"/>
        </w:rPr>
        <w:tab/>
      </w:r>
      <w:r>
        <w:rPr>
          <w:lang w:val="zh-CN"/>
        </w:rPr>
        <w:t>该法规定了第二次世界大战期间战争致残</w:t>
      </w:r>
      <w:r>
        <w:rPr>
          <w:rFonts w:hint="eastAsia"/>
          <w:lang w:val="zh-CN"/>
        </w:rPr>
        <w:t>军人</w:t>
      </w:r>
      <w:r>
        <w:rPr>
          <w:lang w:val="zh-CN"/>
        </w:rPr>
        <w:t>、和平时期致残</w:t>
      </w:r>
      <w:r>
        <w:rPr>
          <w:rFonts w:hint="eastAsia"/>
          <w:lang w:val="zh-CN"/>
        </w:rPr>
        <w:t>军人</w:t>
      </w:r>
      <w:r>
        <w:rPr>
          <w:lang w:val="zh-CN"/>
        </w:rPr>
        <w:t>和战争致残</w:t>
      </w:r>
      <w:r>
        <w:rPr>
          <w:rFonts w:hint="eastAsia"/>
          <w:lang w:val="zh-CN"/>
        </w:rPr>
        <w:t>平民</w:t>
      </w:r>
      <w:r>
        <w:rPr>
          <w:lang w:val="zh-CN"/>
        </w:rPr>
        <w:t>及其家庭成员的权利。这些残疾人群体按照机体损伤程度百分比分为</w:t>
      </w:r>
      <w:r>
        <w:rPr>
          <w:lang w:val="zh-CN"/>
        </w:rPr>
        <w:t>10</w:t>
      </w:r>
      <w:r>
        <w:rPr>
          <w:lang w:val="zh-CN"/>
        </w:rPr>
        <w:t>组。</w:t>
      </w:r>
    </w:p>
  </w:footnote>
  <w:footnote w:id="4">
    <w:p w:rsidR="0064252C" w:rsidRDefault="0064252C">
      <w:pPr>
        <w:pStyle w:val="FootnoteText"/>
      </w:pPr>
      <w:r>
        <w:rPr>
          <w:rStyle w:val="FootnoteReference"/>
          <w:vertAlign w:val="baseline"/>
        </w:rPr>
        <w:tab/>
      </w:r>
      <w:r>
        <w:rPr>
          <w:rStyle w:val="FootnoteReference"/>
        </w:rPr>
        <w:footnoteRef/>
      </w:r>
      <w:r>
        <w:rPr>
          <w:rStyle w:val="FootnoteReference"/>
          <w:vertAlign w:val="baseline"/>
        </w:rPr>
        <w:tab/>
      </w:r>
      <w:r>
        <w:rPr>
          <w:lang w:val="zh-CN"/>
        </w:rPr>
        <w:t>该法规定了</w:t>
      </w:r>
      <w:r>
        <w:rPr>
          <w:lang w:val="zh-CN"/>
        </w:rPr>
        <w:t>1990</w:t>
      </w:r>
      <w:r>
        <w:rPr>
          <w:lang w:val="zh-CN"/>
        </w:rPr>
        <w:t>年</w:t>
      </w:r>
      <w:r>
        <w:rPr>
          <w:lang w:val="zh-CN"/>
        </w:rPr>
        <w:t>8</w:t>
      </w:r>
      <w:r>
        <w:rPr>
          <w:lang w:val="zh-CN"/>
        </w:rPr>
        <w:t>月</w:t>
      </w:r>
      <w:r>
        <w:rPr>
          <w:lang w:val="zh-CN"/>
        </w:rPr>
        <w:t>5</w:t>
      </w:r>
      <w:r>
        <w:rPr>
          <w:lang w:val="zh-CN"/>
        </w:rPr>
        <w:t>日至</w:t>
      </w:r>
      <w:r>
        <w:rPr>
          <w:lang w:val="zh-CN"/>
        </w:rPr>
        <w:t>1996</w:t>
      </w:r>
      <w:r>
        <w:rPr>
          <w:lang w:val="zh-CN"/>
        </w:rPr>
        <w:t>年</w:t>
      </w:r>
      <w:r>
        <w:rPr>
          <w:lang w:val="zh-CN"/>
        </w:rPr>
        <w:t>6</w:t>
      </w:r>
      <w:r>
        <w:rPr>
          <w:lang w:val="zh-CN"/>
        </w:rPr>
        <w:t>月</w:t>
      </w:r>
      <w:r>
        <w:rPr>
          <w:lang w:val="zh-CN"/>
        </w:rPr>
        <w:t>30</w:t>
      </w:r>
      <w:r>
        <w:rPr>
          <w:lang w:val="zh-CN"/>
        </w:rPr>
        <w:t>日期间参加克罗地亚共和国独立、领土完整和主权保卫战人员及其家庭成员的权利。根据该法规定，克罗地亚战争致残军人按照机体损伤程度百分比分为</w:t>
      </w:r>
      <w:r>
        <w:rPr>
          <w:lang w:val="zh-CN"/>
        </w:rPr>
        <w:t>10</w:t>
      </w:r>
      <w:r>
        <w:rPr>
          <w:lang w:val="zh-CN"/>
        </w:rPr>
        <w:t>组。</w:t>
      </w:r>
    </w:p>
  </w:footnote>
  <w:footnote w:id="5">
    <w:p w:rsidR="0064252C" w:rsidRDefault="0064252C">
      <w:pPr>
        <w:pStyle w:val="FootnoteText"/>
      </w:pPr>
      <w:r>
        <w:rPr>
          <w:rStyle w:val="FootnoteReference"/>
          <w:vertAlign w:val="baseline"/>
        </w:rPr>
        <w:tab/>
      </w:r>
      <w:r>
        <w:rPr>
          <w:rStyle w:val="FootnoteReference"/>
        </w:rPr>
        <w:footnoteRef/>
      </w:r>
      <w:r>
        <w:rPr>
          <w:rStyle w:val="FootnoteReference"/>
          <w:vertAlign w:val="baseline"/>
        </w:rPr>
        <w:tab/>
      </w:r>
      <w:r>
        <w:rPr>
          <w:lang w:val="zh-CN"/>
        </w:rPr>
        <w:t>克罗地亚残疾人协会联合会、克罗地亚肢体残疾人协会联合会、克罗地亚聋人和重听人协会、克罗地亚盲人协会、克罗地亚智障人社团协会、克罗地亚肌肉萎缩症社团联合会、克罗地亚多发性硬化症协会联合会、</w:t>
      </w:r>
      <w:r>
        <w:rPr>
          <w:lang w:val="zh-CN"/>
        </w:rPr>
        <w:t>Sjaj(</w:t>
      </w:r>
      <w:r>
        <w:rPr>
          <w:lang w:val="zh-CN"/>
        </w:rPr>
        <w:t>光亮</w:t>
      </w:r>
      <w:r>
        <w:rPr>
          <w:lang w:val="zh-CN"/>
        </w:rPr>
        <w:t>)</w:t>
      </w:r>
      <w:r>
        <w:rPr>
          <w:rFonts w:hint="eastAsia"/>
          <w:spacing w:val="-60"/>
          <w:lang w:val="zh-CN"/>
        </w:rPr>
        <w:t>―</w:t>
      </w:r>
      <w:r>
        <w:rPr>
          <w:rFonts w:hint="eastAsia"/>
          <w:spacing w:val="10"/>
          <w:lang w:val="zh-CN"/>
        </w:rPr>
        <w:t>―</w:t>
      </w:r>
      <w:r>
        <w:rPr>
          <w:lang w:val="zh-CN"/>
        </w:rPr>
        <w:t>精神残疾人社团平权协会和萨格勒布自闭症协会。</w:t>
      </w:r>
    </w:p>
  </w:footnote>
  <w:footnote w:id="6">
    <w:p w:rsidR="0064252C" w:rsidRDefault="0064252C">
      <w:pPr>
        <w:pStyle w:val="FootnoteText"/>
      </w:pPr>
      <w:r>
        <w:rPr>
          <w:rStyle w:val="FootnoteReference"/>
          <w:vertAlign w:val="baseline"/>
        </w:rPr>
        <w:tab/>
      </w:r>
      <w:r>
        <w:rPr>
          <w:rStyle w:val="FootnoteReference"/>
        </w:rPr>
        <w:footnoteRef/>
      </w:r>
      <w:r>
        <w:rPr>
          <w:rStyle w:val="FootnoteReference"/>
          <w:vertAlign w:val="baseline"/>
        </w:rPr>
        <w:tab/>
      </w:r>
      <w:r>
        <w:rPr>
          <w:lang w:val="zh-CN"/>
        </w:rPr>
        <w:t>《残疾人权利公约》、《</w:t>
      </w:r>
      <w:r>
        <w:rPr>
          <w:lang w:val="zh-CN"/>
        </w:rPr>
        <w:t>2006-2015</w:t>
      </w:r>
      <w:r>
        <w:rPr>
          <w:lang w:val="zh-CN"/>
        </w:rPr>
        <w:t>年欧洲委员会促进残疾人在社会中的权利和充分参与社会行动计划：改善欧洲残疾人生活质量》、《</w:t>
      </w:r>
      <w:r>
        <w:rPr>
          <w:lang w:val="zh-CN"/>
        </w:rPr>
        <w:t>2007-2015</w:t>
      </w:r>
      <w:r>
        <w:rPr>
          <w:lang w:val="zh-CN"/>
        </w:rPr>
        <w:t>年残疾人机会均等国家战略》、《</w:t>
      </w:r>
      <w:r>
        <w:rPr>
          <w:lang w:val="zh-CN"/>
        </w:rPr>
        <w:t>2008-2010</w:t>
      </w:r>
      <w:r>
        <w:rPr>
          <w:lang w:val="zh-CN"/>
        </w:rPr>
        <w:t>年反家庭暴力保护国家战略》、《</w:t>
      </w:r>
      <w:r>
        <w:rPr>
          <w:lang w:val="zh-CN"/>
        </w:rPr>
        <w:t>2006-2010</w:t>
      </w:r>
      <w:r>
        <w:rPr>
          <w:lang w:val="zh-CN"/>
        </w:rPr>
        <w:t>年促进性别平等国家政策》。</w:t>
      </w:r>
    </w:p>
  </w:footnote>
  <w:footnote w:id="7">
    <w:p w:rsidR="0064252C" w:rsidRDefault="0064252C">
      <w:pPr>
        <w:pStyle w:val="FootnoteText"/>
      </w:pPr>
      <w:r>
        <w:rPr>
          <w:rStyle w:val="FootnoteReference"/>
          <w:vertAlign w:val="baseline"/>
        </w:rPr>
        <w:tab/>
      </w:r>
      <w:r>
        <w:rPr>
          <w:rStyle w:val="FootnoteReference"/>
        </w:rPr>
        <w:footnoteRef/>
      </w:r>
      <w:r>
        <w:rPr>
          <w:rStyle w:val="FootnoteReference"/>
          <w:vertAlign w:val="baseline"/>
        </w:rPr>
        <w:tab/>
      </w:r>
      <w:r>
        <w:rPr>
          <w:lang w:val="zh-CN"/>
        </w:rPr>
        <w:t>克罗地亚盲人图书馆藏书包括盲文书籍</w:t>
      </w:r>
      <w:r>
        <w:rPr>
          <w:lang w:val="zh-CN"/>
        </w:rPr>
        <w:t>(2,119</w:t>
      </w:r>
      <w:r>
        <w:rPr>
          <w:lang w:val="zh-CN"/>
        </w:rPr>
        <w:t>册</w:t>
      </w:r>
      <w:r>
        <w:rPr>
          <w:lang w:val="zh-CN"/>
        </w:rPr>
        <w:t>)</w:t>
      </w:r>
      <w:r>
        <w:rPr>
          <w:lang w:val="zh-CN"/>
        </w:rPr>
        <w:t>、音频书籍</w:t>
      </w:r>
      <w:r>
        <w:rPr>
          <w:lang w:val="zh-CN"/>
        </w:rPr>
        <w:t>(2,693</w:t>
      </w:r>
      <w:r>
        <w:rPr>
          <w:lang w:val="zh-CN"/>
        </w:rPr>
        <w:t>册</w:t>
      </w:r>
      <w:r>
        <w:rPr>
          <w:lang w:val="zh-CN"/>
        </w:rPr>
        <w:t>)</w:t>
      </w:r>
      <w:r>
        <w:rPr>
          <w:lang w:val="zh-CN"/>
        </w:rPr>
        <w:t>和大字本书籍</w:t>
      </w:r>
      <w:r>
        <w:rPr>
          <w:lang w:val="zh-CN"/>
        </w:rPr>
        <w:t>(6,296</w:t>
      </w:r>
      <w:r>
        <w:rPr>
          <w:lang w:val="zh-CN"/>
        </w:rPr>
        <w:t>册</w:t>
      </w:r>
      <w:r>
        <w:rPr>
          <w:lang w:val="zh-CN"/>
        </w:rPr>
        <w:t>)</w:t>
      </w:r>
      <w:r>
        <w:rPr>
          <w:lang w:val="zh-CN"/>
        </w:rPr>
        <w:t>。</w:t>
      </w:r>
    </w:p>
  </w:footnote>
  <w:footnote w:id="8">
    <w:p w:rsidR="0064252C" w:rsidRDefault="0064252C">
      <w:pPr>
        <w:pStyle w:val="FootnoteText"/>
      </w:pPr>
      <w:r>
        <w:rPr>
          <w:rStyle w:val="FootnoteReference"/>
          <w:vertAlign w:val="baseline"/>
        </w:rPr>
        <w:tab/>
      </w:r>
      <w:r>
        <w:rPr>
          <w:rStyle w:val="FootnoteReference"/>
        </w:rPr>
        <w:footnoteRef/>
      </w:r>
      <w:r>
        <w:rPr>
          <w:rStyle w:val="FootnoteReference"/>
          <w:vertAlign w:val="baseline"/>
        </w:rPr>
        <w:tab/>
      </w:r>
      <w:r>
        <w:rPr>
          <w:lang w:val="zh-CN"/>
        </w:rPr>
        <w:t>残疾人监察员、性别平等监察员和儿童监察员。</w:t>
      </w:r>
    </w:p>
  </w:footnote>
  <w:footnote w:id="9">
    <w:p w:rsidR="0064252C" w:rsidRDefault="0064252C">
      <w:pPr>
        <w:pStyle w:val="FootnoteText"/>
      </w:pPr>
      <w:r>
        <w:rPr>
          <w:rStyle w:val="FootnoteReference"/>
          <w:vertAlign w:val="baseline"/>
        </w:rPr>
        <w:tab/>
      </w:r>
      <w:r>
        <w:rPr>
          <w:rStyle w:val="FootnoteReference"/>
        </w:rPr>
        <w:footnoteRef/>
      </w:r>
      <w:r>
        <w:rPr>
          <w:rStyle w:val="FootnoteReference"/>
          <w:vertAlign w:val="baseline"/>
        </w:rPr>
        <w:tab/>
      </w:r>
      <w:r>
        <w:rPr>
          <w:lang w:val="zh-CN"/>
        </w:rPr>
        <w:t>到目前为止，克罗地亚共和国已建立</w:t>
      </w:r>
      <w:r>
        <w:rPr>
          <w:lang w:val="zh-CN"/>
        </w:rPr>
        <w:t>18</w:t>
      </w:r>
      <w:r>
        <w:rPr>
          <w:lang w:val="zh-CN"/>
        </w:rPr>
        <w:t>家县级家庭中心，这是一种新的向家庭提供服务的机构形式，以咨询和预防为主要目的，以使用者的自由意志为工作原则。这些中心系由家庭、退伍军人事务和代际团结部成立。《社会福利法》就家庭中心的活动做了规定，而新的《社会福利法》</w:t>
      </w:r>
      <w:r>
        <w:rPr>
          <w:rFonts w:hint="eastAsia"/>
          <w:lang w:val="zh-CN"/>
        </w:rPr>
        <w:t>(2011</w:t>
      </w:r>
      <w:r>
        <w:rPr>
          <w:rFonts w:hint="eastAsia"/>
          <w:lang w:val="zh-CN"/>
        </w:rPr>
        <w:t>年</w:t>
      </w:r>
      <w:r>
        <w:rPr>
          <w:rFonts w:hint="eastAsia"/>
          <w:lang w:val="zh-CN"/>
        </w:rPr>
        <w:t>)</w:t>
      </w:r>
      <w:r>
        <w:rPr>
          <w:lang w:val="zh-CN"/>
        </w:rPr>
        <w:t>进一步拓展了其活动范围。</w:t>
      </w:r>
    </w:p>
  </w:footnote>
  <w:footnote w:id="10">
    <w:p w:rsidR="0064252C" w:rsidRDefault="0064252C">
      <w:pPr>
        <w:pStyle w:val="FootnoteText"/>
      </w:pPr>
      <w:r>
        <w:rPr>
          <w:rStyle w:val="FootnoteReference"/>
          <w:vertAlign w:val="baseline"/>
        </w:rPr>
        <w:tab/>
      </w:r>
      <w:r>
        <w:rPr>
          <w:rStyle w:val="FootnoteReference"/>
        </w:rPr>
        <w:footnoteRef/>
      </w:r>
      <w:r>
        <w:rPr>
          <w:rStyle w:val="FootnoteReference"/>
          <w:vertAlign w:val="baseline"/>
        </w:rPr>
        <w:tab/>
      </w:r>
      <w:r>
        <w:rPr>
          <w:lang w:val="zh-CN"/>
        </w:rPr>
        <w:t>在十字路口安装发声信号设备、在行人地下通道安装平台升降机、为盲人和视力受损者建造触觉警示带</w:t>
      </w:r>
      <w:r>
        <w:rPr>
          <w:rFonts w:hint="eastAsia"/>
          <w:lang w:val="zh-CN"/>
        </w:rPr>
        <w:t>、</w:t>
      </w:r>
      <w:r>
        <w:rPr>
          <w:lang w:val="zh-CN"/>
        </w:rPr>
        <w:t>警示线</w:t>
      </w:r>
      <w:r>
        <w:rPr>
          <w:rFonts w:hint="eastAsia"/>
          <w:lang w:val="zh-CN"/>
        </w:rPr>
        <w:t>、</w:t>
      </w:r>
      <w:r>
        <w:rPr>
          <w:lang w:val="zh-CN"/>
        </w:rPr>
        <w:t>引导线、降低路缘石高度等等。</w:t>
      </w:r>
    </w:p>
  </w:footnote>
  <w:footnote w:id="11">
    <w:p w:rsidR="0064252C" w:rsidRDefault="0064252C">
      <w:pPr>
        <w:pStyle w:val="FootnoteText"/>
      </w:pPr>
      <w:r>
        <w:rPr>
          <w:rStyle w:val="FootnoteReference"/>
          <w:vertAlign w:val="baseline"/>
        </w:rPr>
        <w:tab/>
      </w:r>
      <w:r>
        <w:rPr>
          <w:rStyle w:val="FootnoteReference"/>
        </w:rPr>
        <w:footnoteRef/>
      </w:r>
      <w:r>
        <w:rPr>
          <w:rStyle w:val="FootnoteReference"/>
          <w:vertAlign w:val="baseline"/>
        </w:rPr>
        <w:tab/>
      </w:r>
      <w:r>
        <w:rPr>
          <w:lang w:val="zh-CN"/>
        </w:rPr>
        <w:t>《世界人权宣言》、《欧洲人权公约》、《儿童权利公约》、《儿童权利宣言》、《消除一切形式种族歧视</w:t>
      </w:r>
      <w:r>
        <w:rPr>
          <w:rFonts w:hint="eastAsia"/>
          <w:lang w:val="zh-CN"/>
        </w:rPr>
        <w:t>国际</w:t>
      </w:r>
      <w:r>
        <w:rPr>
          <w:lang w:val="zh-CN"/>
        </w:rPr>
        <w:t>公约》。</w:t>
      </w:r>
    </w:p>
  </w:footnote>
  <w:footnote w:id="12">
    <w:p w:rsidR="0064252C" w:rsidRDefault="0064252C">
      <w:pPr>
        <w:pStyle w:val="FootnoteText"/>
      </w:pPr>
      <w:r>
        <w:rPr>
          <w:rStyle w:val="FootnoteReference"/>
          <w:vertAlign w:val="baseline"/>
        </w:rPr>
        <w:tab/>
      </w:r>
      <w:r>
        <w:rPr>
          <w:rStyle w:val="FootnoteReference"/>
        </w:rPr>
        <w:footnoteRef/>
      </w:r>
      <w:r>
        <w:rPr>
          <w:rStyle w:val="FootnoteReference"/>
          <w:vertAlign w:val="baseline"/>
        </w:rPr>
        <w:tab/>
      </w:r>
      <w:r>
        <w:rPr>
          <w:lang w:val="zh-CN"/>
        </w:rPr>
        <w:t>这些记录并未将残疾人作为一个特殊的权利受益人群体单独分开。</w:t>
      </w:r>
    </w:p>
  </w:footnote>
  <w:footnote w:id="13">
    <w:p w:rsidR="0064252C" w:rsidRDefault="0064252C">
      <w:pPr>
        <w:pStyle w:val="FootnoteText"/>
      </w:pPr>
      <w:r>
        <w:rPr>
          <w:rStyle w:val="FootnoteReference"/>
          <w:vertAlign w:val="baseline"/>
        </w:rPr>
        <w:tab/>
      </w:r>
      <w:r>
        <w:rPr>
          <w:rStyle w:val="FootnoteReference"/>
        </w:rPr>
        <w:footnoteRef/>
      </w:r>
      <w:r>
        <w:rPr>
          <w:rStyle w:val="FootnoteReference"/>
          <w:vertAlign w:val="baseline"/>
        </w:rPr>
        <w:tab/>
      </w:r>
      <w:r>
        <w:rPr>
          <w:lang w:val="zh-CN"/>
        </w:rPr>
        <w:t>《家庭法》、《警察法》、《警察事务和职权法》、《反家庭暴力法》、《刑法》、《刑事诉讼法》、《少年法庭法》、《轻罪法》、《证人保护法》、《反歧视法》、《性别平等法》、《</w:t>
      </w:r>
      <w:r>
        <w:rPr>
          <w:lang w:val="zh-CN"/>
        </w:rPr>
        <w:t>2011-2016</w:t>
      </w:r>
      <w:r>
        <w:rPr>
          <w:lang w:val="zh-CN"/>
        </w:rPr>
        <w:t>年反家庭暴力保护国家战略》、《家庭暴力问题议定书》和《儿童暴力问题议定书》。</w:t>
      </w:r>
    </w:p>
  </w:footnote>
  <w:footnote w:id="14">
    <w:p w:rsidR="0064252C" w:rsidRDefault="0064252C">
      <w:pPr>
        <w:pStyle w:val="FootnoteText"/>
      </w:pPr>
      <w:r>
        <w:rPr>
          <w:rStyle w:val="FootnoteReference"/>
          <w:vertAlign w:val="baseline"/>
        </w:rPr>
        <w:tab/>
      </w:r>
      <w:r>
        <w:rPr>
          <w:rStyle w:val="FootnoteReference"/>
        </w:rPr>
        <w:footnoteRef/>
      </w:r>
      <w:r>
        <w:rPr>
          <w:rStyle w:val="FootnoteReference"/>
          <w:vertAlign w:val="baseline"/>
        </w:rPr>
        <w:tab/>
      </w:r>
      <w:r>
        <w:rPr>
          <w:lang w:val="zh-CN"/>
        </w:rPr>
        <w:t>《社会福利法》</w:t>
      </w:r>
      <w:r>
        <w:rPr>
          <w:lang w:val="zh-CN"/>
        </w:rPr>
        <w:t>(2011</w:t>
      </w:r>
      <w:r>
        <w:rPr>
          <w:lang w:val="zh-CN"/>
        </w:rPr>
        <w:t>年</w:t>
      </w:r>
      <w:r>
        <w:rPr>
          <w:lang w:val="zh-CN"/>
        </w:rPr>
        <w:t>)</w:t>
      </w:r>
      <w:r>
        <w:rPr>
          <w:lang w:val="zh-CN"/>
        </w:rPr>
        <w:t>规定，用以确定现金补助、支助和物质援助</w:t>
      </w:r>
      <w:r>
        <w:rPr>
          <w:lang w:val="zh-CN"/>
        </w:rPr>
        <w:t>(</w:t>
      </w:r>
      <w:r>
        <w:rPr>
          <w:lang w:val="zh-CN"/>
        </w:rPr>
        <w:t>而非生活补助津贴</w:t>
      </w:r>
      <w:r>
        <w:rPr>
          <w:lang w:val="zh-CN"/>
        </w:rPr>
        <w:t>)</w:t>
      </w:r>
      <w:r>
        <w:rPr>
          <w:lang w:val="zh-CN"/>
        </w:rPr>
        <w:t>额度的基数为克罗地亚共和国用以计算补偿和其他领取款项的既定预算基数的</w:t>
      </w:r>
      <w:r>
        <w:rPr>
          <w:lang w:val="zh-CN"/>
        </w:rPr>
        <w:t>5.04%</w:t>
      </w:r>
      <w:r>
        <w:rPr>
          <w:lang w:val="zh-CN"/>
        </w:rPr>
        <w:t>。</w:t>
      </w:r>
    </w:p>
  </w:footnote>
  <w:footnote w:id="15">
    <w:p w:rsidR="0064252C" w:rsidRDefault="0064252C">
      <w:pPr>
        <w:pStyle w:val="FootnoteText"/>
      </w:pPr>
      <w:r>
        <w:rPr>
          <w:rStyle w:val="FootnoteReference"/>
          <w:vertAlign w:val="baseline"/>
        </w:rPr>
        <w:tab/>
      </w:r>
      <w:r>
        <w:rPr>
          <w:rStyle w:val="FootnoteReference"/>
        </w:rPr>
        <w:footnoteRef/>
      </w:r>
      <w:r>
        <w:rPr>
          <w:rStyle w:val="FootnoteReference"/>
          <w:vertAlign w:val="baseline"/>
        </w:rPr>
        <w:tab/>
      </w:r>
      <w:r>
        <w:rPr>
          <w:lang w:val="zh-CN"/>
        </w:rPr>
        <w:t>例如，《医疗行业法》</w:t>
      </w:r>
      <w:r>
        <w:rPr>
          <w:lang w:val="zh-CN"/>
        </w:rPr>
        <w:t>(2003</w:t>
      </w:r>
      <w:r>
        <w:rPr>
          <w:lang w:val="zh-CN"/>
        </w:rPr>
        <w:t>年</w:t>
      </w:r>
      <w:r>
        <w:rPr>
          <w:lang w:val="zh-CN"/>
        </w:rPr>
        <w:t>)</w:t>
      </w:r>
      <w:r>
        <w:rPr>
          <w:lang w:val="zh-CN"/>
        </w:rPr>
        <w:t>、《护理法》</w:t>
      </w:r>
      <w:r>
        <w:rPr>
          <w:lang w:val="zh-CN"/>
        </w:rPr>
        <w:t>(2003</w:t>
      </w:r>
      <w:r>
        <w:rPr>
          <w:lang w:val="zh-CN"/>
        </w:rPr>
        <w:t>年</w:t>
      </w:r>
      <w:r>
        <w:rPr>
          <w:lang w:val="zh-CN"/>
        </w:rPr>
        <w:t>)</w:t>
      </w:r>
      <w:r>
        <w:rPr>
          <w:lang w:val="zh-CN"/>
        </w:rPr>
        <w:t>、《物理治疗行业法》</w:t>
      </w:r>
      <w:r>
        <w:rPr>
          <w:lang w:val="zh-CN"/>
        </w:rPr>
        <w:t>(2008</w:t>
      </w:r>
      <w:r>
        <w:rPr>
          <w:lang w:val="zh-CN"/>
        </w:rPr>
        <w:t>年</w:t>
      </w:r>
      <w:r>
        <w:rPr>
          <w:lang w:val="zh-CN"/>
        </w:rPr>
        <w:t>)</w:t>
      </w:r>
      <w:r>
        <w:rPr>
          <w:lang w:val="zh-CN"/>
        </w:rPr>
        <w:t>、《助产法》</w:t>
      </w:r>
      <w:r>
        <w:rPr>
          <w:lang w:val="zh-CN"/>
        </w:rPr>
        <w:t>(2008</w:t>
      </w:r>
      <w:r>
        <w:rPr>
          <w:lang w:val="zh-CN"/>
        </w:rPr>
        <w:t>年</w:t>
      </w:r>
      <w:r>
        <w:rPr>
          <w:lang w:val="zh-CN"/>
        </w:rPr>
        <w:t>)</w:t>
      </w:r>
      <w:r>
        <w:rPr>
          <w:lang w:val="zh-CN"/>
        </w:rPr>
        <w:t>、《心理学从业法》</w:t>
      </w:r>
      <w:r>
        <w:rPr>
          <w:lang w:val="zh-CN"/>
        </w:rPr>
        <w:t>(2003</w:t>
      </w:r>
      <w:r>
        <w:rPr>
          <w:lang w:val="zh-CN"/>
        </w:rPr>
        <w:t>年</w:t>
      </w:r>
      <w:r>
        <w:rPr>
          <w:lang w:val="zh-CN"/>
        </w:rPr>
        <w:t>)</w:t>
      </w:r>
      <w:r>
        <w:rPr>
          <w:lang w:val="zh-CN"/>
        </w:rPr>
        <w:t>、《牙医法》</w:t>
      </w:r>
      <w:r>
        <w:rPr>
          <w:lang w:val="zh-CN"/>
        </w:rPr>
        <w:t>(2003</w:t>
      </w:r>
      <w:r>
        <w:rPr>
          <w:lang w:val="zh-CN"/>
        </w:rPr>
        <w:t>年</w:t>
      </w:r>
      <w:r>
        <w:rPr>
          <w:lang w:val="zh-CN"/>
        </w:rPr>
        <w:t>)</w:t>
      </w:r>
      <w:r>
        <w:rPr>
          <w:lang w:val="zh-CN"/>
        </w:rPr>
        <w:t>、《口腔医学法》</w:t>
      </w:r>
      <w:r>
        <w:rPr>
          <w:lang w:val="zh-CN"/>
        </w:rPr>
        <w:t>(2003</w:t>
      </w:r>
      <w:r>
        <w:rPr>
          <w:lang w:val="zh-CN"/>
        </w:rPr>
        <w:t>年</w:t>
      </w:r>
      <w:r>
        <w:rPr>
          <w:lang w:val="zh-CN"/>
        </w:rPr>
        <w:t>)</w:t>
      </w:r>
      <w:r>
        <w:rPr>
          <w:lang w:val="zh-CN"/>
        </w:rPr>
        <w:t>等等。</w:t>
      </w:r>
    </w:p>
  </w:footnote>
  <w:footnote w:id="16">
    <w:p w:rsidR="0064252C" w:rsidRDefault="0064252C">
      <w:pPr>
        <w:pStyle w:val="FootnoteText"/>
      </w:pPr>
      <w:r>
        <w:rPr>
          <w:rStyle w:val="FootnoteReference"/>
          <w:vertAlign w:val="baseline"/>
        </w:rPr>
        <w:tab/>
      </w:r>
      <w:r>
        <w:rPr>
          <w:rStyle w:val="FootnoteReference"/>
        </w:rPr>
        <w:footnoteRef/>
      </w:r>
      <w:r>
        <w:rPr>
          <w:rStyle w:val="FootnoteReference"/>
          <w:vertAlign w:val="baseline"/>
        </w:rPr>
        <w:tab/>
      </w:r>
      <w:r>
        <w:rPr>
          <w:lang w:val="zh-CN"/>
        </w:rPr>
        <w:t>肢体或精神障碍儿童、行为失常儿童、精神病患者、年老或体弱</w:t>
      </w:r>
      <w:r>
        <w:rPr>
          <w:rFonts w:hint="eastAsia"/>
          <w:lang w:val="zh-CN"/>
        </w:rPr>
        <w:t>者</w:t>
      </w:r>
      <w:r>
        <w:rPr>
          <w:lang w:val="zh-CN"/>
        </w:rPr>
        <w:t>、肢体或精神障碍成年人和遭受家庭暴力的儿童和成年人</w:t>
      </w:r>
    </w:p>
  </w:footnote>
  <w:footnote w:id="17">
    <w:p w:rsidR="0064252C" w:rsidRDefault="0064252C">
      <w:pPr>
        <w:pStyle w:val="FootnoteText"/>
      </w:pPr>
      <w:r>
        <w:rPr>
          <w:rStyle w:val="FootnoteReference"/>
          <w:vertAlign w:val="baseline"/>
        </w:rPr>
        <w:tab/>
      </w:r>
      <w:r>
        <w:rPr>
          <w:rStyle w:val="FootnoteReference"/>
        </w:rPr>
        <w:footnoteRef/>
      </w:r>
      <w:r>
        <w:rPr>
          <w:rStyle w:val="FootnoteReference"/>
          <w:vertAlign w:val="baseline"/>
        </w:rPr>
        <w:tab/>
      </w:r>
      <w:r>
        <w:rPr>
          <w:lang w:val="zh-CN"/>
        </w:rPr>
        <w:t>《健康保护法》</w:t>
      </w:r>
      <w:r>
        <w:rPr>
          <w:lang w:val="zh-CN"/>
        </w:rPr>
        <w:t>(2008</w:t>
      </w:r>
      <w:r>
        <w:rPr>
          <w:lang w:val="zh-CN"/>
        </w:rPr>
        <w:t>年</w:t>
      </w:r>
      <w:r>
        <w:rPr>
          <w:lang w:val="zh-CN"/>
        </w:rPr>
        <w:t>)</w:t>
      </w:r>
      <w:r>
        <w:rPr>
          <w:lang w:val="zh-CN"/>
        </w:rPr>
        <w:t>、《强制健康保险法》</w:t>
      </w:r>
      <w:r>
        <w:rPr>
          <w:lang w:val="zh-CN"/>
        </w:rPr>
        <w:t>(2008</w:t>
      </w:r>
      <w:r>
        <w:rPr>
          <w:lang w:val="zh-CN"/>
        </w:rPr>
        <w:t>年</w:t>
      </w:r>
      <w:r>
        <w:rPr>
          <w:lang w:val="zh-CN"/>
        </w:rPr>
        <w:t>)</w:t>
      </w:r>
      <w:r>
        <w:rPr>
          <w:lang w:val="zh-CN"/>
        </w:rPr>
        <w:t>、《克罗地亚卫国战争退伍军人及其家庭成员权利法》</w:t>
      </w:r>
      <w:r>
        <w:rPr>
          <w:lang w:val="zh-CN"/>
        </w:rPr>
        <w:t>(2004</w:t>
      </w:r>
      <w:r>
        <w:rPr>
          <w:lang w:val="zh-CN"/>
        </w:rPr>
        <w:t>年</w:t>
      </w:r>
      <w:r>
        <w:rPr>
          <w:lang w:val="zh-CN"/>
        </w:rPr>
        <w:t>)</w:t>
      </w:r>
      <w:r>
        <w:rPr>
          <w:lang w:val="zh-CN"/>
        </w:rPr>
        <w:t>、《医疗康复住院治疗和居家物理治疗强制健康保险权利行使条件和方式规则手册》</w:t>
      </w:r>
      <w:r>
        <w:rPr>
          <w:lang w:val="zh-CN"/>
        </w:rPr>
        <w:t>(1996</w:t>
      </w:r>
      <w:r>
        <w:rPr>
          <w:lang w:val="zh-CN"/>
        </w:rPr>
        <w:t>年、</w:t>
      </w:r>
      <w:r>
        <w:rPr>
          <w:lang w:val="zh-CN"/>
        </w:rPr>
        <w:t>1997</w:t>
      </w:r>
      <w:r>
        <w:rPr>
          <w:lang w:val="zh-CN"/>
        </w:rPr>
        <w:t>年、</w:t>
      </w:r>
      <w:r>
        <w:rPr>
          <w:lang w:val="zh-CN"/>
        </w:rPr>
        <w:t>1999</w:t>
      </w:r>
      <w:r>
        <w:rPr>
          <w:lang w:val="zh-CN"/>
        </w:rPr>
        <w:t>年、</w:t>
      </w:r>
      <w:r>
        <w:rPr>
          <w:lang w:val="zh-CN"/>
        </w:rPr>
        <w:t>2007</w:t>
      </w:r>
      <w:r>
        <w:rPr>
          <w:lang w:val="zh-CN"/>
        </w:rPr>
        <w:t>年、</w:t>
      </w:r>
      <w:r>
        <w:rPr>
          <w:lang w:val="zh-CN"/>
        </w:rPr>
        <w:t>2008</w:t>
      </w:r>
      <w:r>
        <w:rPr>
          <w:lang w:val="zh-CN"/>
        </w:rPr>
        <w:t>年和</w:t>
      </w:r>
      <w:r>
        <w:rPr>
          <w:lang w:val="zh-CN"/>
        </w:rPr>
        <w:t>2009</w:t>
      </w:r>
      <w:r>
        <w:rPr>
          <w:lang w:val="zh-CN"/>
        </w:rPr>
        <w:t>年</w:t>
      </w:r>
      <w:r>
        <w:rPr>
          <w:lang w:val="zh-CN"/>
        </w:rPr>
        <w:t>)</w:t>
      </w:r>
      <w:r>
        <w:rPr>
          <w:lang w:val="zh-CN"/>
        </w:rPr>
        <w:t>、《军事和平民战争伤残人员保护法》。</w:t>
      </w:r>
    </w:p>
  </w:footnote>
  <w:footnote w:id="18">
    <w:p w:rsidR="0064252C" w:rsidRDefault="0064252C">
      <w:pPr>
        <w:pStyle w:val="FootnoteText"/>
      </w:pPr>
      <w:r>
        <w:rPr>
          <w:rStyle w:val="FootnoteReference"/>
          <w:vertAlign w:val="baseline"/>
        </w:rPr>
        <w:tab/>
      </w:r>
      <w:r>
        <w:rPr>
          <w:rStyle w:val="FootnoteReference"/>
        </w:rPr>
        <w:footnoteRef/>
      </w:r>
      <w:r>
        <w:rPr>
          <w:rStyle w:val="FootnoteReference"/>
          <w:vertAlign w:val="baseline"/>
        </w:rPr>
        <w:tab/>
      </w:r>
      <w:r>
        <w:rPr>
          <w:lang w:val="zh-CN"/>
        </w:rPr>
        <w:t>第</w:t>
      </w:r>
      <w:r>
        <w:rPr>
          <w:lang w:val="zh-CN"/>
        </w:rPr>
        <w:t>10</w:t>
      </w:r>
      <w:r>
        <w:rPr>
          <w:lang w:val="zh-CN"/>
        </w:rPr>
        <w:t>条第</w:t>
      </w:r>
      <w:r>
        <w:rPr>
          <w:lang w:val="zh-CN"/>
        </w:rPr>
        <w:t>1</w:t>
      </w:r>
      <w:r>
        <w:rPr>
          <w:lang w:val="zh-CN"/>
        </w:rPr>
        <w:t>款、第</w:t>
      </w:r>
      <w:r>
        <w:rPr>
          <w:lang w:val="zh-CN"/>
        </w:rPr>
        <w:t>11</w:t>
      </w:r>
      <w:r>
        <w:rPr>
          <w:lang w:val="zh-CN"/>
        </w:rPr>
        <w:t>、</w:t>
      </w:r>
      <w:r>
        <w:rPr>
          <w:lang w:val="zh-CN"/>
        </w:rPr>
        <w:t>13</w:t>
      </w:r>
      <w:r>
        <w:rPr>
          <w:lang w:val="zh-CN"/>
        </w:rPr>
        <w:t>、</w:t>
      </w:r>
      <w:r>
        <w:rPr>
          <w:lang w:val="zh-CN"/>
        </w:rPr>
        <w:t>18</w:t>
      </w:r>
      <w:r>
        <w:rPr>
          <w:lang w:val="zh-CN"/>
        </w:rPr>
        <w:t>、</w:t>
      </w:r>
      <w:r>
        <w:rPr>
          <w:lang w:val="zh-CN"/>
        </w:rPr>
        <w:t>19</w:t>
      </w:r>
      <w:r>
        <w:rPr>
          <w:lang w:val="zh-CN"/>
        </w:rPr>
        <w:t>和</w:t>
      </w:r>
      <w:r>
        <w:rPr>
          <w:lang w:val="zh-CN"/>
        </w:rPr>
        <w:t>20</w:t>
      </w:r>
      <w:r>
        <w:rPr>
          <w:lang w:val="zh-CN"/>
        </w:rPr>
        <w:t>条。</w:t>
      </w:r>
    </w:p>
  </w:footnote>
  <w:footnote w:id="19">
    <w:p w:rsidR="0064252C" w:rsidRDefault="0064252C">
      <w:pPr>
        <w:pStyle w:val="FootnoteText"/>
      </w:pPr>
      <w:r>
        <w:rPr>
          <w:rStyle w:val="FootnoteReference"/>
          <w:vertAlign w:val="baseline"/>
        </w:rPr>
        <w:tab/>
      </w:r>
      <w:r>
        <w:rPr>
          <w:rStyle w:val="FootnoteReference"/>
        </w:rPr>
        <w:footnoteRef/>
      </w:r>
      <w:r>
        <w:rPr>
          <w:rStyle w:val="FootnoteReference"/>
          <w:vertAlign w:val="baseline"/>
        </w:rPr>
        <w:tab/>
      </w:r>
      <w:r>
        <w:rPr>
          <w:lang w:val="zh-CN"/>
        </w:rPr>
        <w:t>保护性工场是指以残疾人就业和工作为目的而设立且所雇用残疾人人数占总雇员人数比重至少达</w:t>
      </w:r>
      <w:r>
        <w:rPr>
          <w:lang w:val="zh-CN"/>
        </w:rPr>
        <w:t>51%</w:t>
      </w:r>
      <w:r>
        <w:rPr>
          <w:lang w:val="zh-CN"/>
        </w:rPr>
        <w:t>的机构或公司。</w:t>
      </w:r>
    </w:p>
  </w:footnote>
  <w:footnote w:id="20">
    <w:p w:rsidR="0064252C" w:rsidRDefault="0064252C">
      <w:pPr>
        <w:pStyle w:val="FootnoteText"/>
      </w:pPr>
      <w:r>
        <w:rPr>
          <w:rStyle w:val="FootnoteReference"/>
          <w:vertAlign w:val="baseline"/>
        </w:rPr>
        <w:tab/>
      </w:r>
      <w:r>
        <w:rPr>
          <w:rStyle w:val="FootnoteReference"/>
        </w:rPr>
        <w:footnoteRef/>
      </w:r>
      <w:r>
        <w:rPr>
          <w:rStyle w:val="FootnoteReference"/>
          <w:vertAlign w:val="baseline"/>
        </w:rPr>
        <w:tab/>
      </w:r>
      <w:r>
        <w:rPr>
          <w:lang w:val="zh-CN"/>
        </w:rPr>
        <w:t>工作中心是指通过提供工作向残疾人提供关怀的机构，其适用对象是在一般或特殊条件下无法获得就业的残疾人和工作成效不高于与其年龄、资质和工作条件相适之成效</w:t>
      </w:r>
      <w:r>
        <w:rPr>
          <w:lang w:val="zh-CN"/>
        </w:rPr>
        <w:t>50%</w:t>
      </w:r>
      <w:r>
        <w:rPr>
          <w:lang w:val="zh-CN"/>
        </w:rPr>
        <w:t>的残疾人。</w:t>
      </w:r>
    </w:p>
  </w:footnote>
  <w:footnote w:id="21">
    <w:p w:rsidR="0064252C" w:rsidRDefault="0064252C">
      <w:pPr>
        <w:pStyle w:val="FootnoteText"/>
      </w:pPr>
      <w:r>
        <w:rPr>
          <w:rStyle w:val="FootnoteReference"/>
          <w:vertAlign w:val="baseline"/>
        </w:rPr>
        <w:tab/>
      </w:r>
      <w:r>
        <w:rPr>
          <w:rStyle w:val="FootnoteReference"/>
        </w:rPr>
        <w:footnoteRef/>
      </w:r>
      <w:r>
        <w:rPr>
          <w:rStyle w:val="FootnoteReference"/>
          <w:vertAlign w:val="baseline"/>
        </w:rPr>
        <w:tab/>
      </w:r>
      <w:r>
        <w:rPr>
          <w:lang w:val="zh-CN"/>
        </w:rPr>
        <w:t>经鉴定，单项残疾程度百分比为</w:t>
      </w:r>
      <w:r>
        <w:rPr>
          <w:lang w:val="zh-CN"/>
        </w:rPr>
        <w:t>100%</w:t>
      </w:r>
      <w:r>
        <w:rPr>
          <w:lang w:val="zh-CN"/>
        </w:rPr>
        <w:t>的残疾人，无论是受雇他人还是自营职业，在缴纳个人所得税时，享有个人减税幅度提高</w:t>
      </w:r>
      <w:r>
        <w:rPr>
          <w:lang w:val="zh-CN"/>
        </w:rPr>
        <w:t>1.0</w:t>
      </w:r>
      <w:r>
        <w:rPr>
          <w:lang w:val="zh-CN"/>
        </w:rPr>
        <w:t>倍的权利。残疾程度百分比不足</w:t>
      </w:r>
      <w:r>
        <w:rPr>
          <w:lang w:val="zh-CN"/>
        </w:rPr>
        <w:t>100%</w:t>
      </w:r>
      <w:r>
        <w:rPr>
          <w:lang w:val="zh-CN"/>
        </w:rPr>
        <w:t>的残疾人，和有发育障碍子女或有受扶养残疾家庭成员的，享有个人减税幅度提高</w:t>
      </w:r>
      <w:r>
        <w:rPr>
          <w:lang w:val="zh-CN"/>
        </w:rPr>
        <w:t>0.3</w:t>
      </w:r>
      <w:r>
        <w:rPr>
          <w:lang w:val="zh-CN"/>
        </w:rPr>
        <w:t>倍的权利。因此，残疾人在从事同值工作时，可获得更高的报酬。单项残疾程度百分比为</w:t>
      </w:r>
      <w:r>
        <w:rPr>
          <w:lang w:val="zh-CN"/>
        </w:rPr>
        <w:t>100%</w:t>
      </w:r>
      <w:r>
        <w:rPr>
          <w:lang w:val="zh-CN"/>
        </w:rPr>
        <w:t>和</w:t>
      </w:r>
      <w:r>
        <w:rPr>
          <w:lang w:val="zh-CN"/>
        </w:rPr>
        <w:t>(</w:t>
      </w:r>
      <w:r>
        <w:rPr>
          <w:lang w:val="zh-CN"/>
        </w:rPr>
        <w:t>或</w:t>
      </w:r>
      <w:r>
        <w:rPr>
          <w:lang w:val="zh-CN"/>
        </w:rPr>
        <w:t>)</w:t>
      </w:r>
      <w:r>
        <w:rPr>
          <w:lang w:val="zh-CN"/>
        </w:rPr>
        <w:t>根据具体法规，因残疾享有获得他人援助和照护的权利的纳税人，享有个人减税幅度为受扶养家庭成员和子女基本个人津贴</w:t>
      </w:r>
      <w:r>
        <w:rPr>
          <w:lang w:val="zh-CN"/>
        </w:rPr>
        <w:t>1.0</w:t>
      </w:r>
      <w:r>
        <w:rPr>
          <w:lang w:val="zh-CN"/>
        </w:rPr>
        <w:t>倍的权利。克罗地亚卫国战争伤残退伍军人所缴付的个人就业所得税和养老金与经鉴定的残疾程度之间不存在正比关系。</w:t>
      </w:r>
    </w:p>
  </w:footnote>
  <w:footnote w:id="22">
    <w:p w:rsidR="0064252C" w:rsidRDefault="0064252C">
      <w:pPr>
        <w:pStyle w:val="FootnoteText"/>
      </w:pPr>
      <w:r>
        <w:rPr>
          <w:rStyle w:val="FootnoteReference"/>
          <w:vertAlign w:val="baseline"/>
        </w:rPr>
        <w:tab/>
      </w:r>
      <w:r>
        <w:rPr>
          <w:rStyle w:val="FootnoteReference"/>
        </w:rPr>
        <w:footnoteRef/>
      </w:r>
      <w:r>
        <w:rPr>
          <w:rStyle w:val="FootnoteReference"/>
          <w:vertAlign w:val="baseline"/>
        </w:rPr>
        <w:tab/>
      </w:r>
      <w:r>
        <w:rPr>
          <w:lang w:val="zh-CN"/>
        </w:rPr>
        <w:t>国家行政机关、司法权力机构和其他国家机构、地方自治单位和区域自治单位、公共服务部门、预算外资金和资产全部或主要归克罗地亚共和国所有的法人有义务根据残疾雇员的个人选择让其在适当的工作条件下担任适当的职位：</w:t>
      </w:r>
    </w:p>
    <w:p w:rsidR="0064252C" w:rsidRDefault="0064252C">
      <w:pPr>
        <w:pStyle w:val="FootnoteText"/>
        <w:numPr>
          <w:ilvl w:val="0"/>
          <w:numId w:val="16"/>
        </w:numPr>
        <w:tabs>
          <w:tab w:val="clear" w:pos="386"/>
          <w:tab w:val="num" w:pos="1560"/>
        </w:tabs>
        <w:ind w:left="1560"/>
        <w:rPr>
          <w:rFonts w:hint="eastAsia"/>
        </w:rPr>
      </w:pPr>
      <w:r>
        <w:rPr>
          <w:lang w:val="zh-CN"/>
        </w:rPr>
        <w:t>截至</w:t>
      </w:r>
      <w:r>
        <w:rPr>
          <w:lang w:val="zh-CN"/>
        </w:rPr>
        <w:t>2004</w:t>
      </w:r>
      <w:r>
        <w:rPr>
          <w:lang w:val="zh-CN"/>
        </w:rPr>
        <w:t>年</w:t>
      </w:r>
      <w:r>
        <w:rPr>
          <w:lang w:val="zh-CN"/>
        </w:rPr>
        <w:t>12</w:t>
      </w:r>
      <w:r>
        <w:rPr>
          <w:lang w:val="zh-CN"/>
        </w:rPr>
        <w:t>月</w:t>
      </w:r>
      <w:r>
        <w:rPr>
          <w:lang w:val="zh-CN"/>
        </w:rPr>
        <w:t>31</w:t>
      </w:r>
      <w:r>
        <w:rPr>
          <w:lang w:val="zh-CN"/>
        </w:rPr>
        <w:t>日，每</w:t>
      </w:r>
      <w:r>
        <w:rPr>
          <w:lang w:val="zh-CN"/>
        </w:rPr>
        <w:t>49</w:t>
      </w:r>
      <w:r>
        <w:rPr>
          <w:lang w:val="zh-CN"/>
        </w:rPr>
        <w:t>名雇员中至少有</w:t>
      </w:r>
      <w:r>
        <w:rPr>
          <w:lang w:val="zh-CN"/>
        </w:rPr>
        <w:t>1</w:t>
      </w:r>
      <w:r>
        <w:rPr>
          <w:lang w:val="zh-CN"/>
        </w:rPr>
        <w:t>名残疾人，</w:t>
      </w:r>
    </w:p>
    <w:p w:rsidR="0064252C" w:rsidRDefault="0064252C">
      <w:pPr>
        <w:pStyle w:val="FootnoteText"/>
        <w:numPr>
          <w:ilvl w:val="0"/>
          <w:numId w:val="16"/>
        </w:numPr>
        <w:tabs>
          <w:tab w:val="clear" w:pos="386"/>
          <w:tab w:val="num" w:pos="1560"/>
        </w:tabs>
        <w:ind w:left="1560"/>
        <w:rPr>
          <w:rFonts w:hint="eastAsia"/>
        </w:rPr>
      </w:pPr>
      <w:r>
        <w:rPr>
          <w:lang w:val="zh-CN"/>
        </w:rPr>
        <w:t>截至</w:t>
      </w:r>
      <w:r>
        <w:rPr>
          <w:lang w:val="zh-CN"/>
        </w:rPr>
        <w:t>2008</w:t>
      </w:r>
      <w:r>
        <w:rPr>
          <w:lang w:val="zh-CN"/>
        </w:rPr>
        <w:t>年</w:t>
      </w:r>
      <w:r>
        <w:rPr>
          <w:lang w:val="zh-CN"/>
        </w:rPr>
        <w:t>12</w:t>
      </w:r>
      <w:r>
        <w:rPr>
          <w:lang w:val="zh-CN"/>
        </w:rPr>
        <w:t>月</w:t>
      </w:r>
      <w:r>
        <w:rPr>
          <w:lang w:val="zh-CN"/>
        </w:rPr>
        <w:t>31</w:t>
      </w:r>
      <w:r>
        <w:rPr>
          <w:lang w:val="zh-CN"/>
        </w:rPr>
        <w:t>日，每</w:t>
      </w:r>
      <w:r>
        <w:rPr>
          <w:lang w:val="zh-CN"/>
        </w:rPr>
        <w:t>32</w:t>
      </w:r>
      <w:r>
        <w:rPr>
          <w:lang w:val="zh-CN"/>
        </w:rPr>
        <w:t>名雇员中至少有</w:t>
      </w:r>
      <w:r>
        <w:rPr>
          <w:lang w:val="zh-CN"/>
        </w:rPr>
        <w:t>1</w:t>
      </w:r>
      <w:r>
        <w:rPr>
          <w:lang w:val="zh-CN"/>
        </w:rPr>
        <w:t>名残疾人，</w:t>
      </w:r>
    </w:p>
    <w:p w:rsidR="0064252C" w:rsidRDefault="0064252C">
      <w:pPr>
        <w:pStyle w:val="FootnoteText"/>
        <w:numPr>
          <w:ilvl w:val="0"/>
          <w:numId w:val="16"/>
        </w:numPr>
        <w:tabs>
          <w:tab w:val="clear" w:pos="386"/>
          <w:tab w:val="num" w:pos="1560"/>
        </w:tabs>
        <w:ind w:left="1560"/>
        <w:rPr>
          <w:rFonts w:hint="eastAsia"/>
        </w:rPr>
      </w:pPr>
      <w:r>
        <w:rPr>
          <w:lang w:val="zh-CN"/>
        </w:rPr>
        <w:t>截至</w:t>
      </w:r>
      <w:r>
        <w:rPr>
          <w:lang w:val="zh-CN"/>
        </w:rPr>
        <w:t>2012</w:t>
      </w:r>
      <w:r>
        <w:rPr>
          <w:lang w:val="zh-CN"/>
        </w:rPr>
        <w:t>年</w:t>
      </w:r>
      <w:r>
        <w:rPr>
          <w:lang w:val="zh-CN"/>
        </w:rPr>
        <w:t>12</w:t>
      </w:r>
      <w:r>
        <w:rPr>
          <w:lang w:val="zh-CN"/>
        </w:rPr>
        <w:t>月</w:t>
      </w:r>
      <w:r>
        <w:rPr>
          <w:lang w:val="zh-CN"/>
        </w:rPr>
        <w:t>31</w:t>
      </w:r>
      <w:r>
        <w:rPr>
          <w:lang w:val="zh-CN"/>
        </w:rPr>
        <w:t>日，每</w:t>
      </w:r>
      <w:r>
        <w:rPr>
          <w:lang w:val="zh-CN"/>
        </w:rPr>
        <w:t>24</w:t>
      </w:r>
      <w:r>
        <w:rPr>
          <w:lang w:val="zh-CN"/>
        </w:rPr>
        <w:t>名雇员中至少有</w:t>
      </w:r>
      <w:r>
        <w:rPr>
          <w:lang w:val="zh-CN"/>
        </w:rPr>
        <w:t>1</w:t>
      </w:r>
      <w:r>
        <w:rPr>
          <w:lang w:val="zh-CN"/>
        </w:rPr>
        <w:t>名残疾人，</w:t>
      </w:r>
    </w:p>
    <w:p w:rsidR="0064252C" w:rsidRDefault="0064252C">
      <w:pPr>
        <w:pStyle w:val="FootnoteText"/>
        <w:numPr>
          <w:ilvl w:val="0"/>
          <w:numId w:val="16"/>
        </w:numPr>
        <w:tabs>
          <w:tab w:val="clear" w:pos="386"/>
          <w:tab w:val="num" w:pos="1560"/>
        </w:tabs>
        <w:ind w:left="1560"/>
        <w:rPr>
          <w:rFonts w:hint="eastAsia"/>
        </w:rPr>
      </w:pPr>
      <w:r>
        <w:rPr>
          <w:lang w:val="zh-CN"/>
        </w:rPr>
        <w:t>到</w:t>
      </w:r>
      <w:r>
        <w:rPr>
          <w:lang w:val="zh-CN"/>
        </w:rPr>
        <w:t>2016</w:t>
      </w:r>
      <w:r>
        <w:rPr>
          <w:lang w:val="zh-CN"/>
        </w:rPr>
        <w:t>年</w:t>
      </w:r>
      <w:r>
        <w:rPr>
          <w:lang w:val="zh-CN"/>
        </w:rPr>
        <w:t>12</w:t>
      </w:r>
      <w:r>
        <w:rPr>
          <w:lang w:val="zh-CN"/>
        </w:rPr>
        <w:t>月</w:t>
      </w:r>
      <w:r>
        <w:rPr>
          <w:lang w:val="zh-CN"/>
        </w:rPr>
        <w:t>31</w:t>
      </w:r>
      <w:r>
        <w:rPr>
          <w:lang w:val="zh-CN"/>
        </w:rPr>
        <w:t>日，每</w:t>
      </w:r>
      <w:r>
        <w:rPr>
          <w:lang w:val="zh-CN"/>
        </w:rPr>
        <w:t>19</w:t>
      </w:r>
      <w:r>
        <w:rPr>
          <w:lang w:val="zh-CN"/>
        </w:rPr>
        <w:t>名雇员中至少有</w:t>
      </w:r>
      <w:r>
        <w:rPr>
          <w:lang w:val="zh-CN"/>
        </w:rPr>
        <w:t>1</w:t>
      </w:r>
      <w:r>
        <w:rPr>
          <w:lang w:val="zh-CN"/>
        </w:rPr>
        <w:t>名残疾人，以及</w:t>
      </w:r>
    </w:p>
    <w:p w:rsidR="0064252C" w:rsidRDefault="0064252C">
      <w:pPr>
        <w:pStyle w:val="FootnoteText"/>
        <w:numPr>
          <w:ilvl w:val="0"/>
          <w:numId w:val="16"/>
        </w:numPr>
        <w:tabs>
          <w:tab w:val="clear" w:pos="386"/>
          <w:tab w:val="num" w:pos="1560"/>
        </w:tabs>
        <w:ind w:left="1560"/>
      </w:pPr>
      <w:r>
        <w:rPr>
          <w:lang w:val="zh-CN"/>
        </w:rPr>
        <w:t>到</w:t>
      </w:r>
      <w:r>
        <w:rPr>
          <w:lang w:val="zh-CN"/>
        </w:rPr>
        <w:t>2020</w:t>
      </w:r>
      <w:r>
        <w:rPr>
          <w:lang w:val="zh-CN"/>
        </w:rPr>
        <w:t>年</w:t>
      </w:r>
      <w:r>
        <w:rPr>
          <w:lang w:val="zh-CN"/>
        </w:rPr>
        <w:t>12</w:t>
      </w:r>
      <w:r>
        <w:rPr>
          <w:lang w:val="zh-CN"/>
        </w:rPr>
        <w:t>月</w:t>
      </w:r>
      <w:r>
        <w:rPr>
          <w:lang w:val="zh-CN"/>
        </w:rPr>
        <w:t>31</w:t>
      </w:r>
      <w:r>
        <w:rPr>
          <w:lang w:val="zh-CN"/>
        </w:rPr>
        <w:t>日，每</w:t>
      </w:r>
      <w:r>
        <w:rPr>
          <w:lang w:val="zh-CN"/>
        </w:rPr>
        <w:t>16</w:t>
      </w:r>
      <w:r>
        <w:rPr>
          <w:lang w:val="zh-CN"/>
        </w:rPr>
        <w:t>名雇员中至少有</w:t>
      </w:r>
      <w:r>
        <w:rPr>
          <w:lang w:val="zh-CN"/>
        </w:rPr>
        <w:t>1</w:t>
      </w:r>
      <w:r>
        <w:rPr>
          <w:lang w:val="zh-CN"/>
        </w:rPr>
        <w:t>名残疾人。</w:t>
      </w:r>
    </w:p>
    <w:p w:rsidR="0064252C" w:rsidRDefault="0064252C">
      <w:pPr>
        <w:pStyle w:val="FootnoteText"/>
        <w:tabs>
          <w:tab w:val="clear" w:pos="1021"/>
          <w:tab w:val="right" w:pos="1106"/>
        </w:tabs>
        <w:ind w:left="1106" w:firstLine="28"/>
      </w:pPr>
      <w:r>
        <w:rPr>
          <w:lang w:val="zh-CN"/>
        </w:rPr>
        <w:t>负有本条第</w:t>
      </w:r>
      <w:r>
        <w:rPr>
          <w:lang w:val="zh-CN"/>
        </w:rPr>
        <w:t>1</w:t>
      </w:r>
      <w:r>
        <w:rPr>
          <w:lang w:val="zh-CN"/>
        </w:rPr>
        <w:t>款规定之义务但尚未履行该义务的雇主，有义务在每月支付薪金时，向残疾人专业康复和就业基金缴付一笔专门的费用，额度为当月薪金毛额和薪金补偿支付额的</w:t>
      </w:r>
      <w:r>
        <w:rPr>
          <w:lang w:val="zh-CN"/>
        </w:rPr>
        <w:t>0.2%</w:t>
      </w:r>
      <w:r>
        <w:rPr>
          <w:lang w:val="zh-CN"/>
        </w:rPr>
        <w:t>。</w:t>
      </w:r>
    </w:p>
    <w:p w:rsidR="0064252C" w:rsidRDefault="0064252C">
      <w:pPr>
        <w:pStyle w:val="FootnoteText"/>
        <w:tabs>
          <w:tab w:val="clear" w:pos="1021"/>
          <w:tab w:val="right" w:pos="1106"/>
        </w:tabs>
        <w:ind w:left="1106" w:firstLine="28"/>
      </w:pPr>
      <w:r>
        <w:rPr>
          <w:lang w:val="zh-CN"/>
        </w:rPr>
        <w:t>不负有本条第</w:t>
      </w:r>
      <w:r>
        <w:rPr>
          <w:lang w:val="zh-CN"/>
        </w:rPr>
        <w:t>1</w:t>
      </w:r>
      <w:r>
        <w:rPr>
          <w:lang w:val="zh-CN"/>
        </w:rPr>
        <w:t>款规定之义务的雇主，除非已雇佣残疾人人数达到本条第</w:t>
      </w:r>
      <w:r>
        <w:rPr>
          <w:lang w:val="zh-CN"/>
        </w:rPr>
        <w:t>1</w:t>
      </w:r>
      <w:r>
        <w:rPr>
          <w:lang w:val="zh-CN"/>
        </w:rPr>
        <w:t>款之规定要求，否则有义务在每月支付薪金时，向残疾人专业康复和就业基金缴付一笔专门的费用，额度为当月薪金毛额和薪金补偿支付额的</w:t>
      </w:r>
      <w:r>
        <w:rPr>
          <w:lang w:val="zh-CN"/>
        </w:rPr>
        <w:t>0.1%</w:t>
      </w:r>
      <w:r>
        <w:rPr>
          <w:lang w:val="zh-CN"/>
        </w:rPr>
        <w:t>。</w:t>
      </w:r>
    </w:p>
  </w:footnote>
  <w:footnote w:id="23">
    <w:p w:rsidR="0064252C" w:rsidRDefault="0064252C">
      <w:pPr>
        <w:pStyle w:val="FootnoteText"/>
      </w:pPr>
      <w:r>
        <w:rPr>
          <w:rStyle w:val="FootnoteReference"/>
          <w:vertAlign w:val="baseline"/>
        </w:rPr>
        <w:tab/>
      </w:r>
      <w:r>
        <w:rPr>
          <w:rStyle w:val="FootnoteReference"/>
        </w:rPr>
        <w:footnoteRef/>
      </w:r>
      <w:r>
        <w:rPr>
          <w:rStyle w:val="FootnoteReference"/>
          <w:vertAlign w:val="baseline"/>
        </w:rPr>
        <w:tab/>
      </w:r>
      <w:r>
        <w:rPr>
          <w:lang w:val="zh-CN"/>
        </w:rPr>
        <w:t>根据《社会福利法》</w:t>
      </w:r>
      <w:r>
        <w:rPr>
          <w:lang w:val="zh-CN"/>
        </w:rPr>
        <w:t>(2011</w:t>
      </w:r>
      <w:r>
        <w:rPr>
          <w:lang w:val="zh-CN"/>
        </w:rPr>
        <w:t>年</w:t>
      </w:r>
      <w:r>
        <w:rPr>
          <w:lang w:val="zh-CN"/>
        </w:rPr>
        <w:t>)</w:t>
      </w:r>
      <w:r>
        <w:rPr>
          <w:lang w:val="zh-CN"/>
        </w:rPr>
        <w:t>，用以确定现金补助、津贴和物质援助</w:t>
      </w:r>
      <w:r>
        <w:rPr>
          <w:lang w:val="zh-CN"/>
        </w:rPr>
        <w:t>(</w:t>
      </w:r>
      <w:r>
        <w:rPr>
          <w:lang w:val="zh-CN"/>
        </w:rPr>
        <w:t>而非膳食津贴</w:t>
      </w:r>
      <w:r>
        <w:rPr>
          <w:lang w:val="zh-CN"/>
        </w:rPr>
        <w:t>)</w:t>
      </w:r>
      <w:r>
        <w:rPr>
          <w:lang w:val="zh-CN"/>
        </w:rPr>
        <w:t>额度的基数为克罗地亚共和国用以计算补偿和其他领取款项的既定预算基数的</w:t>
      </w:r>
      <w:r>
        <w:rPr>
          <w:lang w:val="zh-CN"/>
        </w:rPr>
        <w:t>15.04%</w:t>
      </w:r>
      <w:r>
        <w:rPr>
          <w:lang w:val="zh-CN"/>
        </w:rPr>
        <w:t>。</w:t>
      </w:r>
    </w:p>
  </w:footnote>
  <w:footnote w:id="24">
    <w:p w:rsidR="0064252C" w:rsidRDefault="0064252C">
      <w:pPr>
        <w:pStyle w:val="FootnoteText"/>
      </w:pPr>
      <w:r>
        <w:tab/>
      </w:r>
      <w:r>
        <w:rPr>
          <w:rStyle w:val="FootnoteReference"/>
        </w:rPr>
        <w:footnoteRef/>
      </w:r>
      <w:r>
        <w:rPr>
          <w:rStyle w:val="FootnoteReference"/>
          <w:vertAlign w:val="baseline"/>
        </w:rPr>
        <w:tab/>
      </w:r>
      <w:r>
        <w:rPr>
          <w:lang w:val="zh-CN"/>
        </w:rPr>
        <w:t>预算基数额度为</w:t>
      </w:r>
      <w:r>
        <w:rPr>
          <w:lang w:val="zh-CN"/>
        </w:rPr>
        <w:t>3,326.00</w:t>
      </w:r>
      <w:r>
        <w:rPr>
          <w:lang w:val="zh-CN"/>
        </w:rPr>
        <w:t>库纳，基于此，第一组残疾人的个人残疾补助额度为</w:t>
      </w:r>
      <w:r>
        <w:rPr>
          <w:lang w:val="zh-CN"/>
        </w:rPr>
        <w:t>3,824.90</w:t>
      </w:r>
      <w:r>
        <w:rPr>
          <w:lang w:val="zh-CN"/>
        </w:rPr>
        <w:t>库纳。</w:t>
      </w:r>
    </w:p>
  </w:footnote>
  <w:footnote w:id="25">
    <w:p w:rsidR="0064252C" w:rsidRDefault="0064252C">
      <w:pPr>
        <w:pStyle w:val="FootnoteText"/>
      </w:pPr>
      <w:r>
        <w:rPr>
          <w:rStyle w:val="FootnoteReference"/>
          <w:vertAlign w:val="baseline"/>
        </w:rPr>
        <w:tab/>
      </w:r>
      <w:r>
        <w:rPr>
          <w:rStyle w:val="FootnoteReference"/>
        </w:rPr>
        <w:footnoteRef/>
      </w:r>
      <w:r>
        <w:rPr>
          <w:rStyle w:val="FootnoteReference"/>
          <w:vertAlign w:val="baseline"/>
        </w:rPr>
        <w:tab/>
      </w:r>
      <w:r>
        <w:rPr>
          <w:lang w:val="zh-CN"/>
        </w:rPr>
        <w:t>这些区域系根据《国家特别关切地区法》</w:t>
      </w:r>
      <w:r>
        <w:rPr>
          <w:lang w:val="zh-CN"/>
        </w:rPr>
        <w:t>(2008</w:t>
      </w:r>
      <w:r>
        <w:rPr>
          <w:lang w:val="zh-CN"/>
        </w:rPr>
        <w:t>年</w:t>
      </w:r>
      <w:r>
        <w:rPr>
          <w:lang w:val="zh-CN"/>
        </w:rPr>
        <w:t>)</w:t>
      </w:r>
      <w:r>
        <w:rPr>
          <w:lang w:val="zh-CN"/>
        </w:rPr>
        <w:t>划定，旨在消除战争后果、促进卫国战争前在此居住的民众尽快回归、鼓励人口和经济进步和在克罗地亚共和国所有地区取得尽可能平衡的发展。</w:t>
      </w:r>
    </w:p>
  </w:footnote>
  <w:footnote w:id="26">
    <w:p w:rsidR="0064252C" w:rsidRDefault="0064252C">
      <w:pPr>
        <w:pStyle w:val="FootnoteText"/>
      </w:pPr>
      <w:r>
        <w:tab/>
      </w:r>
      <w:r>
        <w:rPr>
          <w:rStyle w:val="FootnoteReference"/>
        </w:rPr>
        <w:footnoteRef/>
      </w:r>
      <w:r>
        <w:rPr>
          <w:rStyle w:val="FootnoteReference"/>
          <w:vertAlign w:val="baseline"/>
        </w:rPr>
        <w:tab/>
      </w:r>
      <w:r>
        <w:rPr>
          <w:lang w:val="zh-CN"/>
        </w:rPr>
        <w:t>本研究概要载于附件四。</w:t>
      </w:r>
    </w:p>
  </w:footnote>
  <w:footnote w:id="27">
    <w:p w:rsidR="0064252C" w:rsidRDefault="0064252C">
      <w:pPr>
        <w:pStyle w:val="FootnoteText"/>
      </w:pPr>
      <w:r>
        <w:rPr>
          <w:rStyle w:val="FootnoteReference"/>
          <w:vertAlign w:val="baseline"/>
        </w:rPr>
        <w:tab/>
      </w:r>
      <w:r>
        <w:rPr>
          <w:rStyle w:val="FootnoteReference"/>
        </w:rPr>
        <w:footnoteRef/>
      </w:r>
      <w:r>
        <w:rPr>
          <w:rStyle w:val="FootnoteReference"/>
          <w:vertAlign w:val="baseline"/>
        </w:rPr>
        <w:tab/>
      </w:r>
      <w:r>
        <w:rPr>
          <w:lang w:val="zh-CN"/>
        </w:rPr>
        <w:t>独特的主要公民数字是指用以明确识别公民身份的公民数字。</w:t>
      </w:r>
    </w:p>
  </w:footnote>
  <w:footnote w:id="28">
    <w:p w:rsidR="0064252C" w:rsidRDefault="0064252C">
      <w:pPr>
        <w:pStyle w:val="FootnoteText"/>
      </w:pPr>
      <w:r>
        <w:rPr>
          <w:rStyle w:val="FootnoteReference"/>
          <w:vertAlign w:val="baseline"/>
        </w:rPr>
        <w:tab/>
      </w:r>
      <w:r>
        <w:rPr>
          <w:rStyle w:val="FootnoteReference"/>
        </w:rPr>
        <w:footnoteRef/>
      </w:r>
      <w:r>
        <w:rPr>
          <w:rStyle w:val="FootnoteReference"/>
          <w:vertAlign w:val="baseline"/>
        </w:rPr>
        <w:tab/>
      </w:r>
      <w:r>
        <w:rPr>
          <w:lang w:val="zh-CN"/>
        </w:rPr>
        <w:t>欧洲委员会</w:t>
      </w:r>
      <w:r>
        <w:rPr>
          <w:rFonts w:ascii="SimSun" w:hAnsi="SimSun" w:cs="SimSun" w:hint="eastAsia"/>
          <w:lang w:val="zh-CN"/>
        </w:rPr>
        <w:t>“</w:t>
      </w:r>
      <w:r>
        <w:rPr>
          <w:lang w:val="zh-CN"/>
        </w:rPr>
        <w:t>人人不同</w:t>
      </w:r>
      <w:r>
        <w:rPr>
          <w:lang w:val="zh-CN"/>
        </w:rPr>
        <w:t>/</w:t>
      </w:r>
      <w:r>
        <w:rPr>
          <w:lang w:val="zh-CN"/>
        </w:rPr>
        <w:t>人人平等</w:t>
      </w:r>
      <w:r>
        <w:rPr>
          <w:rFonts w:ascii="SimSun" w:hAnsi="SimSun" w:cs="SimSun" w:hint="eastAsia"/>
          <w:lang w:val="zh-CN"/>
        </w:rPr>
        <w:t>”</w:t>
      </w:r>
      <w:r>
        <w:rPr>
          <w:lang w:val="zh-CN"/>
        </w:rPr>
        <w:t>运动、反对体罚儿童运动、欧洲委员会禁止性暴力侵害儿童运动。</w:t>
      </w:r>
    </w:p>
  </w:footnote>
  <w:footnote w:id="29">
    <w:p w:rsidR="0064252C" w:rsidRDefault="0064252C">
      <w:pPr>
        <w:pStyle w:val="FootnoteText"/>
      </w:pPr>
      <w:r>
        <w:rPr>
          <w:rStyle w:val="FootnoteReference"/>
          <w:vertAlign w:val="baseline"/>
        </w:rPr>
        <w:tab/>
      </w:r>
      <w:r>
        <w:rPr>
          <w:rStyle w:val="FootnoteReference"/>
        </w:rPr>
        <w:footnoteRef/>
      </w:r>
      <w:r>
        <w:rPr>
          <w:rStyle w:val="FootnoteReference"/>
          <w:vertAlign w:val="baseline"/>
        </w:rPr>
        <w:tab/>
      </w:r>
      <w:r>
        <w:rPr>
          <w:lang w:val="zh-CN"/>
        </w:rPr>
        <w:t>欧洲文化间对话年。</w:t>
      </w:r>
    </w:p>
  </w:footnote>
  <w:footnote w:id="30">
    <w:p w:rsidR="0064252C" w:rsidRDefault="0064252C">
      <w:pPr>
        <w:pStyle w:val="FootnoteText"/>
      </w:pPr>
      <w:r>
        <w:rPr>
          <w:rStyle w:val="FootnoteReference"/>
          <w:vertAlign w:val="baseline"/>
        </w:rPr>
        <w:tab/>
      </w:r>
      <w:r>
        <w:rPr>
          <w:rStyle w:val="FootnoteReference"/>
        </w:rPr>
        <w:footnoteRef/>
      </w:r>
      <w:r>
        <w:rPr>
          <w:rStyle w:val="FootnoteReference"/>
          <w:vertAlign w:val="baseline"/>
        </w:rPr>
        <w:tab/>
      </w:r>
      <w:r>
        <w:rPr>
          <w:rFonts w:ascii="SimSun" w:hAnsi="SimSun" w:cs="SimSun" w:hint="eastAsia"/>
          <w:lang w:val="zh-CN"/>
        </w:rPr>
        <w:t>“</w:t>
      </w:r>
      <w:r>
        <w:rPr>
          <w:lang w:val="zh-CN"/>
        </w:rPr>
        <w:t>欧洲反贫困</w:t>
      </w:r>
      <w:r>
        <w:rPr>
          <w:rFonts w:ascii="SimSun" w:hAnsi="SimSun" w:cs="SimSun" w:hint="eastAsia"/>
          <w:lang w:val="zh-CN"/>
        </w:rPr>
        <w:t>”</w:t>
      </w:r>
      <w:r>
        <w:rPr>
          <w:lang w:val="zh-CN"/>
        </w:rPr>
        <w:t>，</w:t>
      </w:r>
      <w:r>
        <w:rPr>
          <w:lang w:val="zh-CN"/>
        </w:rPr>
        <w:t>2009</w:t>
      </w:r>
      <w:r>
        <w:rPr>
          <w:lang w:val="zh-CN"/>
        </w:rPr>
        <w:t>年。</w:t>
      </w:r>
    </w:p>
  </w:footnote>
  <w:footnote w:id="31">
    <w:p w:rsidR="0064252C" w:rsidRDefault="0064252C">
      <w:pPr>
        <w:pStyle w:val="FootnoteText"/>
      </w:pPr>
      <w:r>
        <w:rPr>
          <w:rStyle w:val="FootnoteReference"/>
          <w:vertAlign w:val="baseline"/>
        </w:rPr>
        <w:tab/>
      </w:r>
      <w:r>
        <w:rPr>
          <w:rStyle w:val="FootnoteReference"/>
        </w:rPr>
        <w:footnoteRef/>
      </w:r>
      <w:r>
        <w:rPr>
          <w:rStyle w:val="FootnoteReference"/>
          <w:vertAlign w:val="baseline"/>
        </w:rPr>
        <w:tab/>
      </w:r>
      <w:r>
        <w:rPr>
          <w:lang w:val="zh-CN"/>
        </w:rPr>
        <w:t>例如，克罗地亚共和国民间社会组织技术援助</w:t>
      </w:r>
      <w:r>
        <w:rPr>
          <w:lang w:val="zh-CN"/>
        </w:rPr>
        <w:t>(TACSO)</w:t>
      </w:r>
      <w:r>
        <w:rPr>
          <w:lang w:val="zh-CN"/>
        </w:rPr>
        <w:t>办公室开展了多项培训。</w:t>
      </w:r>
    </w:p>
  </w:footnote>
  <w:footnote w:id="32">
    <w:p w:rsidR="0064252C" w:rsidRDefault="0064252C">
      <w:pPr>
        <w:pStyle w:val="FootnoteText"/>
      </w:pPr>
      <w:r>
        <w:rPr>
          <w:rStyle w:val="FootnoteReference"/>
          <w:vertAlign w:val="baseline"/>
        </w:rPr>
        <w:tab/>
      </w:r>
      <w:r>
        <w:rPr>
          <w:rStyle w:val="FootnoteReference"/>
        </w:rPr>
        <w:footnoteRef/>
      </w:r>
      <w:r>
        <w:rPr>
          <w:rStyle w:val="FootnoteReference"/>
          <w:vertAlign w:val="baseline"/>
        </w:rPr>
        <w:tab/>
      </w:r>
      <w:r>
        <w:rPr>
          <w:lang w:val="zh-CN"/>
        </w:rPr>
        <w:t>克罗地亚残疾人协会联合会、克罗地亚肢体残疾人协会联合会、克罗地亚聋人和重听人协会、克罗地亚盲人协会、克罗地亚智障人社团协会、克罗地亚肌肉萎缩症社团联合会、克罗地亚多发性硬化症协会联合会、克罗地亚无劳动能力残疾人联合会和克罗地亚脑瘫和小儿麻痹症患者协会联合会。</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52C" w:rsidRDefault="0064252C">
    <w:pPr>
      <w:pStyle w:val="Header"/>
    </w:pPr>
    <w:r>
      <w:t>CRPD/C/HRV/1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52C" w:rsidRDefault="0064252C">
    <w:pPr>
      <w:pStyle w:val="Header"/>
      <w:jc w:val="right"/>
      <w:rPr>
        <w:rFonts w:hint="eastAsia"/>
        <w:lang w:eastAsia="zh-CN"/>
      </w:rPr>
    </w:pPr>
    <w:r>
      <w:rPr>
        <w:lang w:eastAsia="zh-CN"/>
      </w:rPr>
      <w:t>CRPD/C/HRV/1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44666DCA"/>
    <w:lvl w:ilvl="0">
      <w:start w:val="1"/>
      <w:numFmt w:val="decimal"/>
      <w:lvlText w:val="%1."/>
      <w:lvlJc w:val="left"/>
      <w:pPr>
        <w:tabs>
          <w:tab w:val="num" w:pos="780"/>
        </w:tabs>
        <w:ind w:left="780" w:hanging="360"/>
      </w:pPr>
    </w:lvl>
  </w:abstractNum>
  <w:abstractNum w:abstractNumId="1">
    <w:nsid w:val="FFFFFF88"/>
    <w:multiLevelType w:val="singleLevel"/>
    <w:tmpl w:val="7B420A6C"/>
    <w:lvl w:ilvl="0">
      <w:start w:val="1"/>
      <w:numFmt w:val="decimal"/>
      <w:lvlText w:val="%1."/>
      <w:lvlJc w:val="left"/>
      <w:pPr>
        <w:tabs>
          <w:tab w:val="num" w:pos="360"/>
        </w:tabs>
        <w:ind w:left="360" w:hanging="360"/>
      </w:pPr>
    </w:lvl>
  </w:abstractNum>
  <w:abstractNum w:abstractNumId="2">
    <w:nsid w:val="03F2036B"/>
    <w:multiLevelType w:val="hybridMultilevel"/>
    <w:tmpl w:val="B22E0BFA"/>
    <w:lvl w:ilvl="0" w:tplc="9008FA9E">
      <w:start w:val="1"/>
      <w:numFmt w:val="bullet"/>
      <w:pStyle w:val="CharChar6"/>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3F61F76"/>
    <w:multiLevelType w:val="hybridMultilevel"/>
    <w:tmpl w:val="5B400110"/>
    <w:lvl w:ilvl="0" w:tplc="75E43F9A">
      <w:start w:val="1"/>
      <w:numFmt w:val="lowerLetter"/>
      <w:lvlRestart w:val="0"/>
      <w:lvlText w:val="(%1)"/>
      <w:lvlJc w:val="left"/>
      <w:pPr>
        <w:tabs>
          <w:tab w:val="num" w:pos="3560"/>
        </w:tabs>
        <w:ind w:left="2268"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4">
    <w:nsid w:val="056E7BB8"/>
    <w:multiLevelType w:val="hybridMultilevel"/>
    <w:tmpl w:val="214A5E2C"/>
    <w:lvl w:ilvl="0" w:tplc="75E43F9A">
      <w:start w:val="1"/>
      <w:numFmt w:val="lowerLetter"/>
      <w:lvlRestart w:val="0"/>
      <w:lvlText w:val="(%1)"/>
      <w:lvlJc w:val="left"/>
      <w:pPr>
        <w:tabs>
          <w:tab w:val="num" w:pos="3560"/>
        </w:tabs>
        <w:ind w:left="2268"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5">
    <w:nsid w:val="1060745B"/>
    <w:multiLevelType w:val="hybridMultilevel"/>
    <w:tmpl w:val="1990FA56"/>
    <w:lvl w:ilvl="0" w:tplc="75E43F9A">
      <w:start w:val="1"/>
      <w:numFmt w:val="lowerLetter"/>
      <w:lvlRestart w:val="0"/>
      <w:lvlText w:val="(%1)"/>
      <w:lvlJc w:val="left"/>
      <w:pPr>
        <w:tabs>
          <w:tab w:val="num" w:pos="3560"/>
        </w:tabs>
        <w:ind w:left="2268"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6">
    <w:nsid w:val="13D86AAA"/>
    <w:multiLevelType w:val="hybridMultilevel"/>
    <w:tmpl w:val="065C6134"/>
    <w:lvl w:ilvl="0" w:tplc="D9B0BDC6">
      <w:start w:val="1"/>
      <w:numFmt w:val="bullet"/>
      <w:pStyle w:val="SingleTxt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nsid w:val="15662C53"/>
    <w:multiLevelType w:val="hybridMultilevel"/>
    <w:tmpl w:val="2A10FF4C"/>
    <w:lvl w:ilvl="0" w:tplc="6166126C">
      <w:start w:val="1"/>
      <w:numFmt w:val="bullet"/>
      <w:pStyle w:val="Heading2Char"/>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15837BB2"/>
    <w:multiLevelType w:val="hybridMultilevel"/>
    <w:tmpl w:val="46D4A46A"/>
    <w:lvl w:ilvl="0" w:tplc="8A460098">
      <w:start w:val="1"/>
      <w:numFmt w:val="lowerLetter"/>
      <w:lvlText w:val="(%1)"/>
      <w:lvlJc w:val="left"/>
      <w:pPr>
        <w:tabs>
          <w:tab w:val="num" w:pos="1989"/>
        </w:tabs>
        <w:ind w:left="1989" w:hanging="435"/>
      </w:pPr>
      <w:rPr>
        <w:rFonts w:hint="default"/>
      </w:rPr>
    </w:lvl>
    <w:lvl w:ilvl="1" w:tplc="04090019" w:tentative="1">
      <w:start w:val="1"/>
      <w:numFmt w:val="lowerLetter"/>
      <w:lvlText w:val="%2)"/>
      <w:lvlJc w:val="left"/>
      <w:pPr>
        <w:tabs>
          <w:tab w:val="num" w:pos="2394"/>
        </w:tabs>
        <w:ind w:left="2394" w:hanging="420"/>
      </w:pPr>
    </w:lvl>
    <w:lvl w:ilvl="2" w:tplc="0409001B" w:tentative="1">
      <w:start w:val="1"/>
      <w:numFmt w:val="lowerRoman"/>
      <w:lvlText w:val="%3."/>
      <w:lvlJc w:val="right"/>
      <w:pPr>
        <w:tabs>
          <w:tab w:val="num" w:pos="2814"/>
        </w:tabs>
        <w:ind w:left="2814" w:hanging="420"/>
      </w:pPr>
    </w:lvl>
    <w:lvl w:ilvl="3" w:tplc="0409000F" w:tentative="1">
      <w:start w:val="1"/>
      <w:numFmt w:val="decimal"/>
      <w:lvlText w:val="%4."/>
      <w:lvlJc w:val="left"/>
      <w:pPr>
        <w:tabs>
          <w:tab w:val="num" w:pos="3234"/>
        </w:tabs>
        <w:ind w:left="3234" w:hanging="420"/>
      </w:pPr>
    </w:lvl>
    <w:lvl w:ilvl="4" w:tplc="04090019" w:tentative="1">
      <w:start w:val="1"/>
      <w:numFmt w:val="lowerLetter"/>
      <w:lvlText w:val="%5)"/>
      <w:lvlJc w:val="left"/>
      <w:pPr>
        <w:tabs>
          <w:tab w:val="num" w:pos="3654"/>
        </w:tabs>
        <w:ind w:left="3654" w:hanging="420"/>
      </w:pPr>
    </w:lvl>
    <w:lvl w:ilvl="5" w:tplc="0409001B" w:tentative="1">
      <w:start w:val="1"/>
      <w:numFmt w:val="lowerRoman"/>
      <w:lvlText w:val="%6."/>
      <w:lvlJc w:val="right"/>
      <w:pPr>
        <w:tabs>
          <w:tab w:val="num" w:pos="4074"/>
        </w:tabs>
        <w:ind w:left="4074" w:hanging="420"/>
      </w:pPr>
    </w:lvl>
    <w:lvl w:ilvl="6" w:tplc="0409000F" w:tentative="1">
      <w:start w:val="1"/>
      <w:numFmt w:val="decimal"/>
      <w:lvlText w:val="%7."/>
      <w:lvlJc w:val="left"/>
      <w:pPr>
        <w:tabs>
          <w:tab w:val="num" w:pos="4494"/>
        </w:tabs>
        <w:ind w:left="4494" w:hanging="420"/>
      </w:pPr>
    </w:lvl>
    <w:lvl w:ilvl="7" w:tplc="04090019" w:tentative="1">
      <w:start w:val="1"/>
      <w:numFmt w:val="lowerLetter"/>
      <w:lvlText w:val="%8)"/>
      <w:lvlJc w:val="left"/>
      <w:pPr>
        <w:tabs>
          <w:tab w:val="num" w:pos="4914"/>
        </w:tabs>
        <w:ind w:left="4914" w:hanging="420"/>
      </w:pPr>
    </w:lvl>
    <w:lvl w:ilvl="8" w:tplc="0409001B" w:tentative="1">
      <w:start w:val="1"/>
      <w:numFmt w:val="lowerRoman"/>
      <w:lvlText w:val="%9."/>
      <w:lvlJc w:val="right"/>
      <w:pPr>
        <w:tabs>
          <w:tab w:val="num" w:pos="5334"/>
        </w:tabs>
        <w:ind w:left="5334" w:hanging="420"/>
      </w:pPr>
    </w:lvl>
  </w:abstractNum>
  <w:abstractNum w:abstractNumId="9">
    <w:nsid w:val="1D6261CA"/>
    <w:multiLevelType w:val="hybridMultilevel"/>
    <w:tmpl w:val="A7644A52"/>
    <w:lvl w:ilvl="0" w:tplc="75E43F9A">
      <w:start w:val="1"/>
      <w:numFmt w:val="lowerLetter"/>
      <w:lvlRestart w:val="0"/>
      <w:lvlText w:val="(%1)"/>
      <w:lvlJc w:val="left"/>
      <w:pPr>
        <w:tabs>
          <w:tab w:val="num" w:pos="3560"/>
        </w:tabs>
        <w:ind w:left="2268"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0">
    <w:nsid w:val="1D736B41"/>
    <w:multiLevelType w:val="hybridMultilevel"/>
    <w:tmpl w:val="E6667866"/>
    <w:lvl w:ilvl="0" w:tplc="75E43F9A">
      <w:start w:val="1"/>
      <w:numFmt w:val="lowerLetter"/>
      <w:lvlRestart w:val="0"/>
      <w:lvlText w:val="(%1)"/>
      <w:lvlJc w:val="left"/>
      <w:pPr>
        <w:tabs>
          <w:tab w:val="num" w:pos="3560"/>
        </w:tabs>
        <w:ind w:left="2268"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1">
    <w:nsid w:val="1E21091D"/>
    <w:multiLevelType w:val="hybridMultilevel"/>
    <w:tmpl w:val="98BCF090"/>
    <w:lvl w:ilvl="0" w:tplc="75E43F9A">
      <w:start w:val="1"/>
      <w:numFmt w:val="lowerLetter"/>
      <w:lvlRestart w:val="0"/>
      <w:lvlText w:val="(%1)"/>
      <w:lvlJc w:val="left"/>
      <w:pPr>
        <w:tabs>
          <w:tab w:val="num" w:pos="3560"/>
        </w:tabs>
        <w:ind w:left="2268"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2">
    <w:nsid w:val="28325388"/>
    <w:multiLevelType w:val="hybridMultilevel"/>
    <w:tmpl w:val="870EBA06"/>
    <w:lvl w:ilvl="0" w:tplc="75E43F9A">
      <w:start w:val="1"/>
      <w:numFmt w:val="lowerLetter"/>
      <w:lvlRestart w:val="0"/>
      <w:lvlText w:val="(%1)"/>
      <w:lvlJc w:val="left"/>
      <w:pPr>
        <w:tabs>
          <w:tab w:val="num" w:pos="3560"/>
        </w:tabs>
        <w:ind w:left="2268"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3">
    <w:nsid w:val="29804AC2"/>
    <w:multiLevelType w:val="hybridMultilevel"/>
    <w:tmpl w:val="949A4252"/>
    <w:lvl w:ilvl="0" w:tplc="75E43F9A">
      <w:start w:val="1"/>
      <w:numFmt w:val="lowerLetter"/>
      <w:lvlRestart w:val="0"/>
      <w:lvlText w:val="(%1)"/>
      <w:lvlJc w:val="left"/>
      <w:pPr>
        <w:tabs>
          <w:tab w:val="num" w:pos="3560"/>
        </w:tabs>
        <w:ind w:left="2268"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4">
    <w:nsid w:val="2F4D557D"/>
    <w:multiLevelType w:val="hybridMultilevel"/>
    <w:tmpl w:val="11E0117C"/>
    <w:lvl w:ilvl="0" w:tplc="3A7ABCD0">
      <w:start w:val="1"/>
      <w:numFmt w:val="lowerLetter"/>
      <w:lvlText w:val="(%1)"/>
      <w:lvlJc w:val="left"/>
      <w:pPr>
        <w:tabs>
          <w:tab w:val="num" w:pos="1989"/>
        </w:tabs>
        <w:ind w:left="1989" w:hanging="435"/>
      </w:pPr>
      <w:rPr>
        <w:rFonts w:hint="default"/>
      </w:rPr>
    </w:lvl>
    <w:lvl w:ilvl="1" w:tplc="04090019" w:tentative="1">
      <w:start w:val="1"/>
      <w:numFmt w:val="lowerLetter"/>
      <w:lvlText w:val="%2)"/>
      <w:lvlJc w:val="left"/>
      <w:pPr>
        <w:tabs>
          <w:tab w:val="num" w:pos="2394"/>
        </w:tabs>
        <w:ind w:left="2394" w:hanging="420"/>
      </w:pPr>
    </w:lvl>
    <w:lvl w:ilvl="2" w:tplc="0409001B" w:tentative="1">
      <w:start w:val="1"/>
      <w:numFmt w:val="lowerRoman"/>
      <w:lvlText w:val="%3."/>
      <w:lvlJc w:val="right"/>
      <w:pPr>
        <w:tabs>
          <w:tab w:val="num" w:pos="2814"/>
        </w:tabs>
        <w:ind w:left="2814" w:hanging="420"/>
      </w:pPr>
    </w:lvl>
    <w:lvl w:ilvl="3" w:tplc="0409000F" w:tentative="1">
      <w:start w:val="1"/>
      <w:numFmt w:val="decimal"/>
      <w:lvlText w:val="%4."/>
      <w:lvlJc w:val="left"/>
      <w:pPr>
        <w:tabs>
          <w:tab w:val="num" w:pos="3234"/>
        </w:tabs>
        <w:ind w:left="3234" w:hanging="420"/>
      </w:pPr>
    </w:lvl>
    <w:lvl w:ilvl="4" w:tplc="04090019" w:tentative="1">
      <w:start w:val="1"/>
      <w:numFmt w:val="lowerLetter"/>
      <w:lvlText w:val="%5)"/>
      <w:lvlJc w:val="left"/>
      <w:pPr>
        <w:tabs>
          <w:tab w:val="num" w:pos="3654"/>
        </w:tabs>
        <w:ind w:left="3654" w:hanging="420"/>
      </w:pPr>
    </w:lvl>
    <w:lvl w:ilvl="5" w:tplc="0409001B" w:tentative="1">
      <w:start w:val="1"/>
      <w:numFmt w:val="lowerRoman"/>
      <w:lvlText w:val="%6."/>
      <w:lvlJc w:val="right"/>
      <w:pPr>
        <w:tabs>
          <w:tab w:val="num" w:pos="4074"/>
        </w:tabs>
        <w:ind w:left="4074" w:hanging="420"/>
      </w:pPr>
    </w:lvl>
    <w:lvl w:ilvl="6" w:tplc="0409000F" w:tentative="1">
      <w:start w:val="1"/>
      <w:numFmt w:val="decimal"/>
      <w:lvlText w:val="%7."/>
      <w:lvlJc w:val="left"/>
      <w:pPr>
        <w:tabs>
          <w:tab w:val="num" w:pos="4494"/>
        </w:tabs>
        <w:ind w:left="4494" w:hanging="420"/>
      </w:pPr>
    </w:lvl>
    <w:lvl w:ilvl="7" w:tplc="04090019" w:tentative="1">
      <w:start w:val="1"/>
      <w:numFmt w:val="lowerLetter"/>
      <w:lvlText w:val="%8)"/>
      <w:lvlJc w:val="left"/>
      <w:pPr>
        <w:tabs>
          <w:tab w:val="num" w:pos="4914"/>
        </w:tabs>
        <w:ind w:left="4914" w:hanging="420"/>
      </w:pPr>
    </w:lvl>
    <w:lvl w:ilvl="8" w:tplc="0409001B" w:tentative="1">
      <w:start w:val="1"/>
      <w:numFmt w:val="lowerRoman"/>
      <w:lvlText w:val="%9."/>
      <w:lvlJc w:val="right"/>
      <w:pPr>
        <w:tabs>
          <w:tab w:val="num" w:pos="5334"/>
        </w:tabs>
        <w:ind w:left="5334" w:hanging="420"/>
      </w:pPr>
    </w:lvl>
  </w:abstractNum>
  <w:abstractNum w:abstractNumId="15">
    <w:nsid w:val="3D03623A"/>
    <w:multiLevelType w:val="hybridMultilevel"/>
    <w:tmpl w:val="14EE37B0"/>
    <w:lvl w:ilvl="0" w:tplc="E3F49F60">
      <w:start w:val="1"/>
      <w:numFmt w:val="bullet"/>
      <w:lvlText w:val=""/>
      <w:lvlJc w:val="left"/>
      <w:pPr>
        <w:tabs>
          <w:tab w:val="num" w:pos="386"/>
        </w:tabs>
        <w:ind w:left="386" w:hanging="386"/>
      </w:pPr>
      <w:rPr>
        <w:rFonts w:ascii="Symbol" w:hAnsi="Symbol" w:hint="default"/>
      </w:rPr>
    </w:lvl>
    <w:lvl w:ilvl="1" w:tplc="04090003" w:tentative="1">
      <w:start w:val="1"/>
      <w:numFmt w:val="bullet"/>
      <w:lvlText w:val=""/>
      <w:lvlJc w:val="left"/>
      <w:pPr>
        <w:tabs>
          <w:tab w:val="num" w:pos="-1201"/>
        </w:tabs>
        <w:ind w:left="-1201" w:hanging="420"/>
      </w:pPr>
      <w:rPr>
        <w:rFonts w:ascii="Wingdings" w:hAnsi="Wingdings" w:hint="default"/>
      </w:rPr>
    </w:lvl>
    <w:lvl w:ilvl="2" w:tplc="04090005" w:tentative="1">
      <w:start w:val="1"/>
      <w:numFmt w:val="bullet"/>
      <w:lvlText w:val=""/>
      <w:lvlJc w:val="left"/>
      <w:pPr>
        <w:tabs>
          <w:tab w:val="num" w:pos="-781"/>
        </w:tabs>
        <w:ind w:left="-781" w:hanging="420"/>
      </w:pPr>
      <w:rPr>
        <w:rFonts w:ascii="Wingdings" w:hAnsi="Wingdings" w:hint="default"/>
      </w:rPr>
    </w:lvl>
    <w:lvl w:ilvl="3" w:tplc="04090001" w:tentative="1">
      <w:start w:val="1"/>
      <w:numFmt w:val="bullet"/>
      <w:lvlText w:val=""/>
      <w:lvlJc w:val="left"/>
      <w:pPr>
        <w:tabs>
          <w:tab w:val="num" w:pos="-361"/>
        </w:tabs>
        <w:ind w:left="-361" w:hanging="420"/>
      </w:pPr>
      <w:rPr>
        <w:rFonts w:ascii="Wingdings" w:hAnsi="Wingdings" w:hint="default"/>
      </w:rPr>
    </w:lvl>
    <w:lvl w:ilvl="4" w:tplc="04090003" w:tentative="1">
      <w:start w:val="1"/>
      <w:numFmt w:val="bullet"/>
      <w:lvlText w:val=""/>
      <w:lvlJc w:val="left"/>
      <w:pPr>
        <w:tabs>
          <w:tab w:val="num" w:pos="59"/>
        </w:tabs>
        <w:ind w:left="59" w:hanging="420"/>
      </w:pPr>
      <w:rPr>
        <w:rFonts w:ascii="Wingdings" w:hAnsi="Wingdings" w:hint="default"/>
      </w:rPr>
    </w:lvl>
    <w:lvl w:ilvl="5" w:tplc="04090005" w:tentative="1">
      <w:start w:val="1"/>
      <w:numFmt w:val="bullet"/>
      <w:lvlText w:val=""/>
      <w:lvlJc w:val="left"/>
      <w:pPr>
        <w:tabs>
          <w:tab w:val="num" w:pos="479"/>
        </w:tabs>
        <w:ind w:left="479" w:hanging="420"/>
      </w:pPr>
      <w:rPr>
        <w:rFonts w:ascii="Wingdings" w:hAnsi="Wingdings" w:hint="default"/>
      </w:rPr>
    </w:lvl>
    <w:lvl w:ilvl="6" w:tplc="04090001" w:tentative="1">
      <w:start w:val="1"/>
      <w:numFmt w:val="bullet"/>
      <w:lvlText w:val=""/>
      <w:lvlJc w:val="left"/>
      <w:pPr>
        <w:tabs>
          <w:tab w:val="num" w:pos="899"/>
        </w:tabs>
        <w:ind w:left="899" w:hanging="420"/>
      </w:pPr>
      <w:rPr>
        <w:rFonts w:ascii="Wingdings" w:hAnsi="Wingdings" w:hint="default"/>
      </w:rPr>
    </w:lvl>
    <w:lvl w:ilvl="7" w:tplc="04090003" w:tentative="1">
      <w:start w:val="1"/>
      <w:numFmt w:val="bullet"/>
      <w:lvlText w:val=""/>
      <w:lvlJc w:val="left"/>
      <w:pPr>
        <w:tabs>
          <w:tab w:val="num" w:pos="1319"/>
        </w:tabs>
        <w:ind w:left="1319" w:hanging="420"/>
      </w:pPr>
      <w:rPr>
        <w:rFonts w:ascii="Wingdings" w:hAnsi="Wingdings" w:hint="default"/>
      </w:rPr>
    </w:lvl>
    <w:lvl w:ilvl="8" w:tplc="04090005" w:tentative="1">
      <w:start w:val="1"/>
      <w:numFmt w:val="bullet"/>
      <w:lvlText w:val=""/>
      <w:lvlJc w:val="left"/>
      <w:pPr>
        <w:tabs>
          <w:tab w:val="num" w:pos="1739"/>
        </w:tabs>
        <w:ind w:left="1739" w:hanging="420"/>
      </w:pPr>
      <w:rPr>
        <w:rFonts w:ascii="Wingdings" w:hAnsi="Wingdings" w:hint="default"/>
      </w:rPr>
    </w:lvl>
  </w:abstractNum>
  <w:abstractNum w:abstractNumId="16">
    <w:nsid w:val="4485698E"/>
    <w:multiLevelType w:val="hybridMultilevel"/>
    <w:tmpl w:val="3DEE2292"/>
    <w:lvl w:ilvl="0" w:tplc="0680CF3E">
      <w:start w:val="1"/>
      <w:numFmt w:val="lowerLetter"/>
      <w:lvlText w:val="(%1)"/>
      <w:lvlJc w:val="left"/>
      <w:pPr>
        <w:tabs>
          <w:tab w:val="num" w:pos="1989"/>
        </w:tabs>
        <w:ind w:left="1989" w:hanging="435"/>
      </w:pPr>
      <w:rPr>
        <w:rFonts w:hint="default"/>
      </w:rPr>
    </w:lvl>
    <w:lvl w:ilvl="1" w:tplc="04090019" w:tentative="1">
      <w:start w:val="1"/>
      <w:numFmt w:val="lowerLetter"/>
      <w:lvlText w:val="%2)"/>
      <w:lvlJc w:val="left"/>
      <w:pPr>
        <w:tabs>
          <w:tab w:val="num" w:pos="2394"/>
        </w:tabs>
        <w:ind w:left="2394" w:hanging="420"/>
      </w:pPr>
    </w:lvl>
    <w:lvl w:ilvl="2" w:tplc="0409001B" w:tentative="1">
      <w:start w:val="1"/>
      <w:numFmt w:val="lowerRoman"/>
      <w:lvlText w:val="%3."/>
      <w:lvlJc w:val="right"/>
      <w:pPr>
        <w:tabs>
          <w:tab w:val="num" w:pos="2814"/>
        </w:tabs>
        <w:ind w:left="2814" w:hanging="420"/>
      </w:pPr>
    </w:lvl>
    <w:lvl w:ilvl="3" w:tplc="0409000F" w:tentative="1">
      <w:start w:val="1"/>
      <w:numFmt w:val="decimal"/>
      <w:lvlText w:val="%4."/>
      <w:lvlJc w:val="left"/>
      <w:pPr>
        <w:tabs>
          <w:tab w:val="num" w:pos="3234"/>
        </w:tabs>
        <w:ind w:left="3234" w:hanging="420"/>
      </w:pPr>
    </w:lvl>
    <w:lvl w:ilvl="4" w:tplc="04090019" w:tentative="1">
      <w:start w:val="1"/>
      <w:numFmt w:val="lowerLetter"/>
      <w:lvlText w:val="%5)"/>
      <w:lvlJc w:val="left"/>
      <w:pPr>
        <w:tabs>
          <w:tab w:val="num" w:pos="3654"/>
        </w:tabs>
        <w:ind w:left="3654" w:hanging="420"/>
      </w:pPr>
    </w:lvl>
    <w:lvl w:ilvl="5" w:tplc="0409001B" w:tentative="1">
      <w:start w:val="1"/>
      <w:numFmt w:val="lowerRoman"/>
      <w:lvlText w:val="%6."/>
      <w:lvlJc w:val="right"/>
      <w:pPr>
        <w:tabs>
          <w:tab w:val="num" w:pos="4074"/>
        </w:tabs>
        <w:ind w:left="4074" w:hanging="420"/>
      </w:pPr>
    </w:lvl>
    <w:lvl w:ilvl="6" w:tplc="0409000F" w:tentative="1">
      <w:start w:val="1"/>
      <w:numFmt w:val="decimal"/>
      <w:lvlText w:val="%7."/>
      <w:lvlJc w:val="left"/>
      <w:pPr>
        <w:tabs>
          <w:tab w:val="num" w:pos="4494"/>
        </w:tabs>
        <w:ind w:left="4494" w:hanging="420"/>
      </w:pPr>
    </w:lvl>
    <w:lvl w:ilvl="7" w:tplc="04090019" w:tentative="1">
      <w:start w:val="1"/>
      <w:numFmt w:val="lowerLetter"/>
      <w:lvlText w:val="%8)"/>
      <w:lvlJc w:val="left"/>
      <w:pPr>
        <w:tabs>
          <w:tab w:val="num" w:pos="4914"/>
        </w:tabs>
        <w:ind w:left="4914" w:hanging="420"/>
      </w:pPr>
    </w:lvl>
    <w:lvl w:ilvl="8" w:tplc="0409001B" w:tentative="1">
      <w:start w:val="1"/>
      <w:numFmt w:val="lowerRoman"/>
      <w:lvlText w:val="%9."/>
      <w:lvlJc w:val="right"/>
      <w:pPr>
        <w:tabs>
          <w:tab w:val="num" w:pos="5334"/>
        </w:tabs>
        <w:ind w:left="5334" w:hanging="420"/>
      </w:pPr>
    </w:lvl>
  </w:abstractNum>
  <w:abstractNum w:abstractNumId="17">
    <w:nsid w:val="4A991B2F"/>
    <w:multiLevelType w:val="hybridMultilevel"/>
    <w:tmpl w:val="0D8C1400"/>
    <w:lvl w:ilvl="0" w:tplc="75E43F9A">
      <w:start w:val="1"/>
      <w:numFmt w:val="lowerLetter"/>
      <w:lvlRestart w:val="0"/>
      <w:lvlText w:val="(%1)"/>
      <w:lvlJc w:val="left"/>
      <w:pPr>
        <w:tabs>
          <w:tab w:val="num" w:pos="3560"/>
        </w:tabs>
        <w:ind w:left="2268"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8">
    <w:nsid w:val="4ACE0B0D"/>
    <w:multiLevelType w:val="hybridMultilevel"/>
    <w:tmpl w:val="38B26ED4"/>
    <w:lvl w:ilvl="0" w:tplc="63868FA6">
      <w:start w:val="1"/>
      <w:numFmt w:val="lowerLetter"/>
      <w:lvlText w:val="(%1)"/>
      <w:lvlJc w:val="left"/>
      <w:pPr>
        <w:tabs>
          <w:tab w:val="num" w:pos="1989"/>
        </w:tabs>
        <w:ind w:left="1989" w:hanging="435"/>
      </w:pPr>
      <w:rPr>
        <w:rFonts w:hint="default"/>
      </w:rPr>
    </w:lvl>
    <w:lvl w:ilvl="1" w:tplc="04090019" w:tentative="1">
      <w:start w:val="1"/>
      <w:numFmt w:val="lowerLetter"/>
      <w:lvlText w:val="%2)"/>
      <w:lvlJc w:val="left"/>
      <w:pPr>
        <w:tabs>
          <w:tab w:val="num" w:pos="2394"/>
        </w:tabs>
        <w:ind w:left="2394" w:hanging="420"/>
      </w:pPr>
    </w:lvl>
    <w:lvl w:ilvl="2" w:tplc="0409001B" w:tentative="1">
      <w:start w:val="1"/>
      <w:numFmt w:val="lowerRoman"/>
      <w:lvlText w:val="%3."/>
      <w:lvlJc w:val="right"/>
      <w:pPr>
        <w:tabs>
          <w:tab w:val="num" w:pos="2814"/>
        </w:tabs>
        <w:ind w:left="2814" w:hanging="420"/>
      </w:pPr>
    </w:lvl>
    <w:lvl w:ilvl="3" w:tplc="0409000F" w:tentative="1">
      <w:start w:val="1"/>
      <w:numFmt w:val="decimal"/>
      <w:lvlText w:val="%4."/>
      <w:lvlJc w:val="left"/>
      <w:pPr>
        <w:tabs>
          <w:tab w:val="num" w:pos="3234"/>
        </w:tabs>
        <w:ind w:left="3234" w:hanging="420"/>
      </w:pPr>
    </w:lvl>
    <w:lvl w:ilvl="4" w:tplc="04090019" w:tentative="1">
      <w:start w:val="1"/>
      <w:numFmt w:val="lowerLetter"/>
      <w:lvlText w:val="%5)"/>
      <w:lvlJc w:val="left"/>
      <w:pPr>
        <w:tabs>
          <w:tab w:val="num" w:pos="3654"/>
        </w:tabs>
        <w:ind w:left="3654" w:hanging="420"/>
      </w:pPr>
    </w:lvl>
    <w:lvl w:ilvl="5" w:tplc="0409001B" w:tentative="1">
      <w:start w:val="1"/>
      <w:numFmt w:val="lowerRoman"/>
      <w:lvlText w:val="%6."/>
      <w:lvlJc w:val="right"/>
      <w:pPr>
        <w:tabs>
          <w:tab w:val="num" w:pos="4074"/>
        </w:tabs>
        <w:ind w:left="4074" w:hanging="420"/>
      </w:pPr>
    </w:lvl>
    <w:lvl w:ilvl="6" w:tplc="0409000F" w:tentative="1">
      <w:start w:val="1"/>
      <w:numFmt w:val="decimal"/>
      <w:lvlText w:val="%7."/>
      <w:lvlJc w:val="left"/>
      <w:pPr>
        <w:tabs>
          <w:tab w:val="num" w:pos="4494"/>
        </w:tabs>
        <w:ind w:left="4494" w:hanging="420"/>
      </w:pPr>
    </w:lvl>
    <w:lvl w:ilvl="7" w:tplc="04090019" w:tentative="1">
      <w:start w:val="1"/>
      <w:numFmt w:val="lowerLetter"/>
      <w:lvlText w:val="%8)"/>
      <w:lvlJc w:val="left"/>
      <w:pPr>
        <w:tabs>
          <w:tab w:val="num" w:pos="4914"/>
        </w:tabs>
        <w:ind w:left="4914" w:hanging="420"/>
      </w:pPr>
    </w:lvl>
    <w:lvl w:ilvl="8" w:tplc="0409001B" w:tentative="1">
      <w:start w:val="1"/>
      <w:numFmt w:val="lowerRoman"/>
      <w:lvlText w:val="%9."/>
      <w:lvlJc w:val="right"/>
      <w:pPr>
        <w:tabs>
          <w:tab w:val="num" w:pos="5334"/>
        </w:tabs>
        <w:ind w:left="5334" w:hanging="420"/>
      </w:pPr>
    </w:lvl>
  </w:abstractNum>
  <w:abstractNum w:abstractNumId="19">
    <w:nsid w:val="567B687A"/>
    <w:multiLevelType w:val="hybridMultilevel"/>
    <w:tmpl w:val="22244B08"/>
    <w:lvl w:ilvl="0" w:tplc="B4FA71E8">
      <w:start w:val="189"/>
      <w:numFmt w:val="bullet"/>
      <w:lvlText w:val="-"/>
      <w:lvlJc w:val="left"/>
      <w:pPr>
        <w:ind w:left="1213" w:hanging="360"/>
      </w:pPr>
      <w:rPr>
        <w:rFonts w:ascii="Times New Roman" w:eastAsia="SimSun" w:hAnsi="Times New Roman" w:cs="Times New Roman" w:hint="default"/>
      </w:rPr>
    </w:lvl>
    <w:lvl w:ilvl="1" w:tplc="041A0003" w:tentative="1">
      <w:start w:val="1"/>
      <w:numFmt w:val="bullet"/>
      <w:lvlText w:val=""/>
      <w:lvlJc w:val="left"/>
      <w:pPr>
        <w:ind w:left="1693" w:hanging="420"/>
      </w:pPr>
      <w:rPr>
        <w:rFonts w:ascii="Wingdings" w:hAnsi="Wingdings" w:hint="default"/>
      </w:rPr>
    </w:lvl>
    <w:lvl w:ilvl="2" w:tplc="041A0005" w:tentative="1">
      <w:start w:val="1"/>
      <w:numFmt w:val="bullet"/>
      <w:lvlText w:val=""/>
      <w:lvlJc w:val="left"/>
      <w:pPr>
        <w:ind w:left="2113" w:hanging="420"/>
      </w:pPr>
      <w:rPr>
        <w:rFonts w:ascii="Wingdings" w:hAnsi="Wingdings" w:hint="default"/>
      </w:rPr>
    </w:lvl>
    <w:lvl w:ilvl="3" w:tplc="041A0001" w:tentative="1">
      <w:start w:val="1"/>
      <w:numFmt w:val="bullet"/>
      <w:lvlText w:val=""/>
      <w:lvlJc w:val="left"/>
      <w:pPr>
        <w:ind w:left="2533" w:hanging="420"/>
      </w:pPr>
      <w:rPr>
        <w:rFonts w:ascii="Wingdings" w:hAnsi="Wingdings" w:hint="default"/>
      </w:rPr>
    </w:lvl>
    <w:lvl w:ilvl="4" w:tplc="041A0003" w:tentative="1">
      <w:start w:val="1"/>
      <w:numFmt w:val="bullet"/>
      <w:lvlText w:val=""/>
      <w:lvlJc w:val="left"/>
      <w:pPr>
        <w:ind w:left="2953" w:hanging="420"/>
      </w:pPr>
      <w:rPr>
        <w:rFonts w:ascii="Wingdings" w:hAnsi="Wingdings" w:hint="default"/>
      </w:rPr>
    </w:lvl>
    <w:lvl w:ilvl="5" w:tplc="041A0005" w:tentative="1">
      <w:start w:val="1"/>
      <w:numFmt w:val="bullet"/>
      <w:lvlText w:val=""/>
      <w:lvlJc w:val="left"/>
      <w:pPr>
        <w:ind w:left="3373" w:hanging="420"/>
      </w:pPr>
      <w:rPr>
        <w:rFonts w:ascii="Wingdings" w:hAnsi="Wingdings" w:hint="default"/>
      </w:rPr>
    </w:lvl>
    <w:lvl w:ilvl="6" w:tplc="041A0001" w:tentative="1">
      <w:start w:val="1"/>
      <w:numFmt w:val="bullet"/>
      <w:lvlText w:val=""/>
      <w:lvlJc w:val="left"/>
      <w:pPr>
        <w:ind w:left="3793" w:hanging="420"/>
      </w:pPr>
      <w:rPr>
        <w:rFonts w:ascii="Wingdings" w:hAnsi="Wingdings" w:hint="default"/>
      </w:rPr>
    </w:lvl>
    <w:lvl w:ilvl="7" w:tplc="041A0003" w:tentative="1">
      <w:start w:val="1"/>
      <w:numFmt w:val="bullet"/>
      <w:lvlText w:val=""/>
      <w:lvlJc w:val="left"/>
      <w:pPr>
        <w:ind w:left="4213" w:hanging="420"/>
      </w:pPr>
      <w:rPr>
        <w:rFonts w:ascii="Wingdings" w:hAnsi="Wingdings" w:hint="default"/>
      </w:rPr>
    </w:lvl>
    <w:lvl w:ilvl="8" w:tplc="041A0005" w:tentative="1">
      <w:start w:val="1"/>
      <w:numFmt w:val="bullet"/>
      <w:lvlText w:val=""/>
      <w:lvlJc w:val="left"/>
      <w:pPr>
        <w:ind w:left="4633" w:hanging="420"/>
      </w:pPr>
      <w:rPr>
        <w:rFonts w:ascii="Wingdings" w:hAnsi="Wingdings" w:hint="default"/>
      </w:rPr>
    </w:lvl>
  </w:abstractNum>
  <w:abstractNum w:abstractNumId="20">
    <w:nsid w:val="650F3E8F"/>
    <w:multiLevelType w:val="hybridMultilevel"/>
    <w:tmpl w:val="7B2EF8AA"/>
    <w:lvl w:ilvl="0" w:tplc="75E43F9A">
      <w:start w:val="1"/>
      <w:numFmt w:val="lowerLetter"/>
      <w:lvlRestart w:val="0"/>
      <w:lvlText w:val="(%1)"/>
      <w:lvlJc w:val="left"/>
      <w:pPr>
        <w:tabs>
          <w:tab w:val="num" w:pos="3560"/>
        </w:tabs>
        <w:ind w:left="2268"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1">
    <w:nsid w:val="671861DB"/>
    <w:multiLevelType w:val="hybridMultilevel"/>
    <w:tmpl w:val="A9B633D4"/>
    <w:lvl w:ilvl="0" w:tplc="34446D32">
      <w:start w:val="1"/>
      <w:numFmt w:val="bullet"/>
      <w:pStyle w:val="EndnoteTex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7326423F"/>
    <w:multiLevelType w:val="hybridMultilevel"/>
    <w:tmpl w:val="89309542"/>
    <w:lvl w:ilvl="0" w:tplc="DB34007A">
      <w:start w:val="1"/>
      <w:numFmt w:val="lowerLetter"/>
      <w:lvlText w:val="(%1)"/>
      <w:lvlJc w:val="left"/>
      <w:pPr>
        <w:tabs>
          <w:tab w:val="num" w:pos="1989"/>
        </w:tabs>
        <w:ind w:left="1989" w:hanging="435"/>
      </w:pPr>
      <w:rPr>
        <w:rFonts w:hint="default"/>
      </w:rPr>
    </w:lvl>
    <w:lvl w:ilvl="1" w:tplc="04090019" w:tentative="1">
      <w:start w:val="1"/>
      <w:numFmt w:val="lowerLetter"/>
      <w:lvlText w:val="%2)"/>
      <w:lvlJc w:val="left"/>
      <w:pPr>
        <w:tabs>
          <w:tab w:val="num" w:pos="2394"/>
        </w:tabs>
        <w:ind w:left="2394" w:hanging="420"/>
      </w:pPr>
    </w:lvl>
    <w:lvl w:ilvl="2" w:tplc="0409001B" w:tentative="1">
      <w:start w:val="1"/>
      <w:numFmt w:val="lowerRoman"/>
      <w:lvlText w:val="%3."/>
      <w:lvlJc w:val="right"/>
      <w:pPr>
        <w:tabs>
          <w:tab w:val="num" w:pos="2814"/>
        </w:tabs>
        <w:ind w:left="2814" w:hanging="420"/>
      </w:pPr>
    </w:lvl>
    <w:lvl w:ilvl="3" w:tplc="0409000F" w:tentative="1">
      <w:start w:val="1"/>
      <w:numFmt w:val="decimal"/>
      <w:lvlText w:val="%4."/>
      <w:lvlJc w:val="left"/>
      <w:pPr>
        <w:tabs>
          <w:tab w:val="num" w:pos="3234"/>
        </w:tabs>
        <w:ind w:left="3234" w:hanging="420"/>
      </w:pPr>
    </w:lvl>
    <w:lvl w:ilvl="4" w:tplc="04090019" w:tentative="1">
      <w:start w:val="1"/>
      <w:numFmt w:val="lowerLetter"/>
      <w:lvlText w:val="%5)"/>
      <w:lvlJc w:val="left"/>
      <w:pPr>
        <w:tabs>
          <w:tab w:val="num" w:pos="3654"/>
        </w:tabs>
        <w:ind w:left="3654" w:hanging="420"/>
      </w:pPr>
    </w:lvl>
    <w:lvl w:ilvl="5" w:tplc="0409001B" w:tentative="1">
      <w:start w:val="1"/>
      <w:numFmt w:val="lowerRoman"/>
      <w:lvlText w:val="%6."/>
      <w:lvlJc w:val="right"/>
      <w:pPr>
        <w:tabs>
          <w:tab w:val="num" w:pos="4074"/>
        </w:tabs>
        <w:ind w:left="4074" w:hanging="420"/>
      </w:pPr>
    </w:lvl>
    <w:lvl w:ilvl="6" w:tplc="0409000F" w:tentative="1">
      <w:start w:val="1"/>
      <w:numFmt w:val="decimal"/>
      <w:lvlText w:val="%7."/>
      <w:lvlJc w:val="left"/>
      <w:pPr>
        <w:tabs>
          <w:tab w:val="num" w:pos="4494"/>
        </w:tabs>
        <w:ind w:left="4494" w:hanging="420"/>
      </w:pPr>
    </w:lvl>
    <w:lvl w:ilvl="7" w:tplc="04090019" w:tentative="1">
      <w:start w:val="1"/>
      <w:numFmt w:val="lowerLetter"/>
      <w:lvlText w:val="%8)"/>
      <w:lvlJc w:val="left"/>
      <w:pPr>
        <w:tabs>
          <w:tab w:val="num" w:pos="4914"/>
        </w:tabs>
        <w:ind w:left="4914" w:hanging="420"/>
      </w:pPr>
    </w:lvl>
    <w:lvl w:ilvl="8" w:tplc="0409001B" w:tentative="1">
      <w:start w:val="1"/>
      <w:numFmt w:val="lowerRoman"/>
      <w:lvlText w:val="%9."/>
      <w:lvlJc w:val="right"/>
      <w:pPr>
        <w:tabs>
          <w:tab w:val="num" w:pos="5334"/>
        </w:tabs>
        <w:ind w:left="5334" w:hanging="420"/>
      </w:pPr>
    </w:lvl>
  </w:abstractNum>
  <w:abstractNum w:abstractNumId="23">
    <w:nsid w:val="75436D46"/>
    <w:multiLevelType w:val="hybridMultilevel"/>
    <w:tmpl w:val="EB084F84"/>
    <w:lvl w:ilvl="0" w:tplc="75E43F9A">
      <w:start w:val="1"/>
      <w:numFmt w:val="lowerLetter"/>
      <w:lvlRestart w:val="0"/>
      <w:lvlText w:val="(%1)"/>
      <w:lvlJc w:val="left"/>
      <w:pPr>
        <w:tabs>
          <w:tab w:val="num" w:pos="3560"/>
        </w:tabs>
        <w:ind w:left="2268" w:firstLine="431"/>
      </w:pPr>
      <w:rPr>
        <w:rFonts w:ascii="Times New Roman" w:hAnsi="Times New Roman" w:cs="Times New Roman" w:hint="default"/>
        <w:b w:val="0"/>
        <w:i w:val="0"/>
        <w:color w:val="auto"/>
        <w:sz w:val="20"/>
        <w:u w:val="none"/>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4">
    <w:nsid w:val="7B3734AB"/>
    <w:multiLevelType w:val="hybridMultilevel"/>
    <w:tmpl w:val="F4F28F8A"/>
    <w:lvl w:ilvl="0" w:tplc="6074D8C8">
      <w:start w:val="1"/>
      <w:numFmt w:val="lowerLetter"/>
      <w:lvlText w:val="(%1)"/>
      <w:lvlJc w:val="left"/>
      <w:pPr>
        <w:tabs>
          <w:tab w:val="num" w:pos="1989"/>
        </w:tabs>
        <w:ind w:left="1989" w:hanging="435"/>
      </w:pPr>
      <w:rPr>
        <w:rFonts w:hint="default"/>
      </w:rPr>
    </w:lvl>
    <w:lvl w:ilvl="1" w:tplc="04090019" w:tentative="1">
      <w:start w:val="1"/>
      <w:numFmt w:val="lowerLetter"/>
      <w:lvlText w:val="%2)"/>
      <w:lvlJc w:val="left"/>
      <w:pPr>
        <w:tabs>
          <w:tab w:val="num" w:pos="2394"/>
        </w:tabs>
        <w:ind w:left="2394" w:hanging="420"/>
      </w:pPr>
    </w:lvl>
    <w:lvl w:ilvl="2" w:tplc="0409001B" w:tentative="1">
      <w:start w:val="1"/>
      <w:numFmt w:val="lowerRoman"/>
      <w:lvlText w:val="%3."/>
      <w:lvlJc w:val="right"/>
      <w:pPr>
        <w:tabs>
          <w:tab w:val="num" w:pos="2814"/>
        </w:tabs>
        <w:ind w:left="2814" w:hanging="420"/>
      </w:pPr>
    </w:lvl>
    <w:lvl w:ilvl="3" w:tplc="0409000F" w:tentative="1">
      <w:start w:val="1"/>
      <w:numFmt w:val="decimal"/>
      <w:lvlText w:val="%4."/>
      <w:lvlJc w:val="left"/>
      <w:pPr>
        <w:tabs>
          <w:tab w:val="num" w:pos="3234"/>
        </w:tabs>
        <w:ind w:left="3234" w:hanging="420"/>
      </w:pPr>
    </w:lvl>
    <w:lvl w:ilvl="4" w:tplc="04090019" w:tentative="1">
      <w:start w:val="1"/>
      <w:numFmt w:val="lowerLetter"/>
      <w:lvlText w:val="%5)"/>
      <w:lvlJc w:val="left"/>
      <w:pPr>
        <w:tabs>
          <w:tab w:val="num" w:pos="3654"/>
        </w:tabs>
        <w:ind w:left="3654" w:hanging="420"/>
      </w:pPr>
    </w:lvl>
    <w:lvl w:ilvl="5" w:tplc="0409001B" w:tentative="1">
      <w:start w:val="1"/>
      <w:numFmt w:val="lowerRoman"/>
      <w:lvlText w:val="%6."/>
      <w:lvlJc w:val="right"/>
      <w:pPr>
        <w:tabs>
          <w:tab w:val="num" w:pos="4074"/>
        </w:tabs>
        <w:ind w:left="4074" w:hanging="420"/>
      </w:pPr>
    </w:lvl>
    <w:lvl w:ilvl="6" w:tplc="0409000F" w:tentative="1">
      <w:start w:val="1"/>
      <w:numFmt w:val="decimal"/>
      <w:lvlText w:val="%7."/>
      <w:lvlJc w:val="left"/>
      <w:pPr>
        <w:tabs>
          <w:tab w:val="num" w:pos="4494"/>
        </w:tabs>
        <w:ind w:left="4494" w:hanging="420"/>
      </w:pPr>
    </w:lvl>
    <w:lvl w:ilvl="7" w:tplc="04090019" w:tentative="1">
      <w:start w:val="1"/>
      <w:numFmt w:val="lowerLetter"/>
      <w:lvlText w:val="%8)"/>
      <w:lvlJc w:val="left"/>
      <w:pPr>
        <w:tabs>
          <w:tab w:val="num" w:pos="4914"/>
        </w:tabs>
        <w:ind w:left="4914" w:hanging="420"/>
      </w:pPr>
    </w:lvl>
    <w:lvl w:ilvl="8" w:tplc="0409001B" w:tentative="1">
      <w:start w:val="1"/>
      <w:numFmt w:val="lowerRoman"/>
      <w:lvlText w:val="%9."/>
      <w:lvlJc w:val="right"/>
      <w:pPr>
        <w:tabs>
          <w:tab w:val="num" w:pos="5334"/>
        </w:tabs>
        <w:ind w:left="5334" w:hanging="420"/>
      </w:pPr>
    </w:lvl>
  </w:abstractNum>
  <w:abstractNum w:abstractNumId="25">
    <w:nsid w:val="7BFF42A6"/>
    <w:multiLevelType w:val="multilevel"/>
    <w:tmpl w:val="14EE37B0"/>
    <w:lvl w:ilvl="0">
      <w:start w:val="1"/>
      <w:numFmt w:val="bullet"/>
      <w:lvlText w:val=""/>
      <w:lvlJc w:val="left"/>
      <w:pPr>
        <w:tabs>
          <w:tab w:val="num" w:pos="386"/>
        </w:tabs>
        <w:ind w:left="386" w:hanging="386"/>
      </w:pPr>
      <w:rPr>
        <w:rFonts w:ascii="Symbol" w:hAnsi="Symbol" w:hint="default"/>
      </w:rPr>
    </w:lvl>
    <w:lvl w:ilvl="1">
      <w:start w:val="1"/>
      <w:numFmt w:val="bullet"/>
      <w:lvlText w:val=""/>
      <w:lvlJc w:val="left"/>
      <w:pPr>
        <w:tabs>
          <w:tab w:val="num" w:pos="-1201"/>
        </w:tabs>
        <w:ind w:left="-1201" w:hanging="420"/>
      </w:pPr>
      <w:rPr>
        <w:rFonts w:ascii="Wingdings" w:hAnsi="Wingdings" w:hint="default"/>
      </w:rPr>
    </w:lvl>
    <w:lvl w:ilvl="2">
      <w:start w:val="1"/>
      <w:numFmt w:val="bullet"/>
      <w:lvlText w:val=""/>
      <w:lvlJc w:val="left"/>
      <w:pPr>
        <w:tabs>
          <w:tab w:val="num" w:pos="-781"/>
        </w:tabs>
        <w:ind w:left="-781" w:hanging="420"/>
      </w:pPr>
      <w:rPr>
        <w:rFonts w:ascii="Wingdings" w:hAnsi="Wingdings" w:hint="default"/>
      </w:rPr>
    </w:lvl>
    <w:lvl w:ilvl="3">
      <w:start w:val="1"/>
      <w:numFmt w:val="bullet"/>
      <w:lvlText w:val=""/>
      <w:lvlJc w:val="left"/>
      <w:pPr>
        <w:tabs>
          <w:tab w:val="num" w:pos="-361"/>
        </w:tabs>
        <w:ind w:left="-361" w:hanging="420"/>
      </w:pPr>
      <w:rPr>
        <w:rFonts w:ascii="Wingdings" w:hAnsi="Wingdings" w:hint="default"/>
      </w:rPr>
    </w:lvl>
    <w:lvl w:ilvl="4">
      <w:start w:val="1"/>
      <w:numFmt w:val="bullet"/>
      <w:lvlText w:val=""/>
      <w:lvlJc w:val="left"/>
      <w:pPr>
        <w:tabs>
          <w:tab w:val="num" w:pos="59"/>
        </w:tabs>
        <w:ind w:left="59" w:hanging="420"/>
      </w:pPr>
      <w:rPr>
        <w:rFonts w:ascii="Wingdings" w:hAnsi="Wingdings" w:hint="default"/>
      </w:rPr>
    </w:lvl>
    <w:lvl w:ilvl="5">
      <w:start w:val="1"/>
      <w:numFmt w:val="bullet"/>
      <w:lvlText w:val=""/>
      <w:lvlJc w:val="left"/>
      <w:pPr>
        <w:tabs>
          <w:tab w:val="num" w:pos="479"/>
        </w:tabs>
        <w:ind w:left="479" w:hanging="420"/>
      </w:pPr>
      <w:rPr>
        <w:rFonts w:ascii="Wingdings" w:hAnsi="Wingdings" w:hint="default"/>
      </w:rPr>
    </w:lvl>
    <w:lvl w:ilvl="6">
      <w:start w:val="1"/>
      <w:numFmt w:val="bullet"/>
      <w:lvlText w:val=""/>
      <w:lvlJc w:val="left"/>
      <w:pPr>
        <w:tabs>
          <w:tab w:val="num" w:pos="899"/>
        </w:tabs>
        <w:ind w:left="899" w:hanging="420"/>
      </w:pPr>
      <w:rPr>
        <w:rFonts w:ascii="Wingdings" w:hAnsi="Wingdings" w:hint="default"/>
      </w:rPr>
    </w:lvl>
    <w:lvl w:ilvl="7">
      <w:start w:val="1"/>
      <w:numFmt w:val="bullet"/>
      <w:lvlText w:val=""/>
      <w:lvlJc w:val="left"/>
      <w:pPr>
        <w:tabs>
          <w:tab w:val="num" w:pos="1319"/>
        </w:tabs>
        <w:ind w:left="1319" w:hanging="420"/>
      </w:pPr>
      <w:rPr>
        <w:rFonts w:ascii="Wingdings" w:hAnsi="Wingdings" w:hint="default"/>
      </w:rPr>
    </w:lvl>
    <w:lvl w:ilvl="8">
      <w:start w:val="1"/>
      <w:numFmt w:val="bullet"/>
      <w:lvlText w:val=""/>
      <w:lvlJc w:val="left"/>
      <w:pPr>
        <w:tabs>
          <w:tab w:val="num" w:pos="1739"/>
        </w:tabs>
        <w:ind w:left="1739" w:hanging="420"/>
      </w:pPr>
      <w:rPr>
        <w:rFonts w:ascii="Wingdings" w:hAnsi="Wingdings" w:hint="default"/>
      </w:rPr>
    </w:lvl>
  </w:abstractNum>
  <w:num w:numId="1">
    <w:abstractNumId w:val="1"/>
  </w:num>
  <w:num w:numId="2">
    <w:abstractNumId w:val="0"/>
  </w:num>
  <w:num w:numId="3">
    <w:abstractNumId w:val="6"/>
  </w:num>
  <w:num w:numId="4">
    <w:abstractNumId w:val="21"/>
  </w:num>
  <w:num w:numId="5">
    <w:abstractNumId w:val="7"/>
  </w:num>
  <w:num w:numId="6">
    <w:abstractNumId w:val="2"/>
  </w:num>
  <w:num w:numId="7">
    <w:abstractNumId w:val="19"/>
  </w:num>
  <w:num w:numId="8">
    <w:abstractNumId w:val="20"/>
  </w:num>
  <w:num w:numId="9">
    <w:abstractNumId w:val="22"/>
  </w:num>
  <w:num w:numId="10">
    <w:abstractNumId w:val="11"/>
  </w:num>
  <w:num w:numId="11">
    <w:abstractNumId w:val="16"/>
  </w:num>
  <w:num w:numId="12">
    <w:abstractNumId w:val="17"/>
  </w:num>
  <w:num w:numId="13">
    <w:abstractNumId w:val="3"/>
  </w:num>
  <w:num w:numId="14">
    <w:abstractNumId w:val="8"/>
  </w:num>
  <w:num w:numId="15">
    <w:abstractNumId w:val="5"/>
  </w:num>
  <w:num w:numId="16">
    <w:abstractNumId w:val="15"/>
  </w:num>
  <w:num w:numId="17">
    <w:abstractNumId w:val="25"/>
  </w:num>
  <w:num w:numId="18">
    <w:abstractNumId w:val="13"/>
  </w:num>
  <w:num w:numId="19">
    <w:abstractNumId w:val="18"/>
  </w:num>
  <w:num w:numId="20">
    <w:abstractNumId w:val="12"/>
  </w:num>
  <w:num w:numId="21">
    <w:abstractNumId w:val="23"/>
  </w:num>
  <w:num w:numId="22">
    <w:abstractNumId w:val="24"/>
  </w:num>
  <w:num w:numId="23">
    <w:abstractNumId w:val="4"/>
  </w:num>
  <w:num w:numId="24">
    <w:abstractNumId w:val="10"/>
  </w:num>
  <w:num w:numId="25">
    <w:abstractNumId w:val="14"/>
  </w:num>
  <w:num w:numId="26">
    <w:abstractNumId w:val="9"/>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displayBackgroundShape/>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03F0C"/>
    <w:rsid w:val="00303F0C"/>
    <w:rsid w:val="003E3C3A"/>
    <w:rsid w:val="0064252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link w:val="Heading1Char"/>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link w:val="Heading4Char"/>
    <w:qFormat/>
    <w:pPr>
      <w:keepNext/>
      <w:keepLines/>
      <w:widowControl w:val="0"/>
      <w:spacing w:after="240"/>
      <w:outlineLvl w:val="3"/>
    </w:pPr>
    <w:rPr>
      <w:u w:val="single"/>
    </w:rPr>
  </w:style>
  <w:style w:type="paragraph" w:styleId="Heading5">
    <w:name w:val="heading 5"/>
    <w:basedOn w:val="Normal"/>
    <w:next w:val="Normal"/>
    <w:link w:val="Heading5Char"/>
    <w:qFormat/>
    <w:pPr>
      <w:spacing w:after="240"/>
      <w:outlineLvl w:val="4"/>
    </w:pPr>
    <w:rPr>
      <w:rFonts w:eastAsia="SimHei"/>
      <w:bCs/>
      <w:szCs w:val="36"/>
    </w:rPr>
  </w:style>
  <w:style w:type="paragraph" w:styleId="Heading6">
    <w:name w:val="heading 6"/>
    <w:basedOn w:val="Normal"/>
    <w:next w:val="Normal"/>
    <w:link w:val="Heading6Char"/>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pPr>
      <w:keepNext/>
      <w:keepLines/>
      <w:spacing w:before="240" w:after="64" w:line="320" w:lineRule="auto"/>
      <w:outlineLvl w:val="6"/>
    </w:pPr>
    <w:rPr>
      <w:b/>
      <w:bCs/>
      <w:szCs w:val="24"/>
    </w:rPr>
  </w:style>
  <w:style w:type="paragraph" w:styleId="Heading8">
    <w:name w:val="heading 8"/>
    <w:basedOn w:val="Normal"/>
    <w:next w:val="Normal"/>
    <w:link w:val="Heading8Char"/>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aliases w:val="Table_G Char"/>
    <w:link w:val="Heading1"/>
    <w:locked/>
    <w:rPr>
      <w:rFonts w:eastAsia="SimSun"/>
      <w:b/>
      <w:kern w:val="32"/>
      <w:sz w:val="30"/>
      <w:lang w:val="en-US" w:eastAsia="zh-CN" w:bidi="ar-SA"/>
    </w:rPr>
  </w:style>
  <w:style w:type="character" w:customStyle="1" w:styleId="Heading2Char">
    <w:name w:val="Heading 2 Char"/>
    <w:link w:val="Heading2"/>
    <w:locked/>
    <w:rPr>
      <w:rFonts w:eastAsia="SimSun"/>
      <w:snapToGrid w:val="0"/>
      <w:kern w:val="28"/>
      <w:sz w:val="28"/>
      <w:lang w:val="en-US" w:eastAsia="zh-CN" w:bidi="ar-SA"/>
    </w:rPr>
  </w:style>
  <w:style w:type="character" w:customStyle="1" w:styleId="Heading3Char">
    <w:name w:val="Heading 3 Char"/>
    <w:link w:val="Heading3"/>
    <w:locked/>
    <w:rPr>
      <w:rFonts w:eastAsia="SimSun"/>
      <w:snapToGrid w:val="0"/>
      <w:kern w:val="28"/>
      <w:sz w:val="21"/>
      <w:u w:val="single"/>
      <w:lang w:val="en-US" w:eastAsia="zh-CN" w:bidi="ar-SA"/>
    </w:rPr>
  </w:style>
  <w:style w:type="character" w:customStyle="1" w:styleId="Heading4Char">
    <w:name w:val="Heading 4 Char"/>
    <w:link w:val="Heading4"/>
    <w:locked/>
    <w:rPr>
      <w:rFonts w:eastAsia="SimSun"/>
      <w:snapToGrid w:val="0"/>
      <w:sz w:val="21"/>
      <w:u w:val="single"/>
      <w:lang w:val="en-US" w:eastAsia="zh-CN" w:bidi="ar-SA"/>
    </w:rPr>
  </w:style>
  <w:style w:type="character" w:customStyle="1" w:styleId="Heading5Char">
    <w:name w:val="Heading 5 Char"/>
    <w:link w:val="Heading5"/>
    <w:locked/>
    <w:rPr>
      <w:rFonts w:eastAsia="SimHei"/>
      <w:bCs/>
      <w:snapToGrid w:val="0"/>
      <w:sz w:val="21"/>
      <w:szCs w:val="36"/>
      <w:lang w:val="en-US" w:eastAsia="zh-CN" w:bidi="ar-SA"/>
    </w:rPr>
  </w:style>
  <w:style w:type="character" w:customStyle="1" w:styleId="Heading6Char">
    <w:name w:val="Heading 6 Char"/>
    <w:link w:val="Heading6"/>
    <w:locked/>
    <w:rPr>
      <w:rFonts w:ascii="Arial" w:eastAsia="SimHei" w:hAnsi="Arial"/>
      <w:b/>
      <w:bCs/>
      <w:snapToGrid w:val="0"/>
      <w:sz w:val="21"/>
      <w:szCs w:val="24"/>
      <w:lang w:val="en-US" w:eastAsia="zh-CN" w:bidi="ar-SA"/>
    </w:rPr>
  </w:style>
  <w:style w:type="character" w:customStyle="1" w:styleId="Heading7Char">
    <w:name w:val="Heading 7 Char"/>
    <w:link w:val="Heading7"/>
    <w:locked/>
    <w:rPr>
      <w:rFonts w:eastAsia="SimSun"/>
      <w:b/>
      <w:bCs/>
      <w:snapToGrid w:val="0"/>
      <w:sz w:val="21"/>
      <w:szCs w:val="24"/>
      <w:lang w:val="en-US" w:eastAsia="zh-CN" w:bidi="ar-SA"/>
    </w:rPr>
  </w:style>
  <w:style w:type="character" w:customStyle="1" w:styleId="Heading8Char">
    <w:name w:val="Heading 8 Char"/>
    <w:link w:val="Heading8"/>
    <w:locked/>
    <w:rPr>
      <w:rFonts w:ascii="Arial" w:eastAsia="SimHei" w:hAnsi="Arial"/>
      <w:snapToGrid w:val="0"/>
      <w:sz w:val="21"/>
      <w:szCs w:val="24"/>
      <w:lang w:val="en-US" w:eastAsia="zh-CN" w:bidi="ar-SA"/>
    </w:rPr>
  </w:style>
  <w:style w:type="character" w:customStyle="1" w:styleId="Heading9Char">
    <w:name w:val="Heading 9 Char"/>
    <w:link w:val="Heading9"/>
    <w:locked/>
    <w:rPr>
      <w:rFonts w:ascii="Arial" w:eastAsia="SimHei" w:hAnsi="Arial"/>
      <w:snapToGrid w:val="0"/>
      <w:sz w:val="21"/>
      <w:szCs w:val="21"/>
      <w:lang w:val="en-US" w:eastAsia="zh-CN" w:bidi="ar-SA"/>
    </w:rPr>
  </w:style>
  <w:style w:type="paragraph" w:customStyle="1" w:styleId="DashGC">
    <w:name w:val="_Dash_GC"/>
    <w:basedOn w:val="Normal"/>
    <w:pPr>
      <w:numPr>
        <w:numId w:val="5"/>
      </w:numPr>
    </w:pPr>
    <w:rPr>
      <w:lang w:val="fr-CH"/>
    </w:rPr>
  </w:style>
  <w:style w:type="paragraph" w:styleId="FootnoteText">
    <w:name w:val="footnote text"/>
    <w:basedOn w:val="Normal"/>
    <w:link w:val="FootnoteTextChar"/>
    <w:pPr>
      <w:keepLines/>
      <w:tabs>
        <w:tab w:val="clear" w:pos="431"/>
        <w:tab w:val="right" w:pos="1021"/>
      </w:tabs>
      <w:spacing w:after="120" w:line="240" w:lineRule="exact"/>
      <w:ind w:left="1134" w:right="1134" w:hanging="1134"/>
    </w:pPr>
    <w:rPr>
      <w:sz w:val="18"/>
    </w:rPr>
  </w:style>
  <w:style w:type="character" w:customStyle="1" w:styleId="FootnoteTextChar">
    <w:name w:val="Footnote Text Char"/>
    <w:link w:val="FootnoteText"/>
    <w:locked/>
    <w:rPr>
      <w:rFonts w:eastAsia="SimSun"/>
      <w:snapToGrid w:val="0"/>
      <w:sz w:val="18"/>
      <w:lang w:val="en-US" w:eastAsia="zh-CN" w:bidi="ar-SA"/>
    </w:rPr>
  </w:style>
  <w:style w:type="character" w:styleId="FootnoteReference">
    <w:name w:val="footnote reference"/>
    <w:basedOn w:val="DefaultParagraphFont"/>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pPr>
      <w:ind w:left="156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styleId="EndnoteText">
    <w:name w:val="endnote text"/>
    <w:basedOn w:val="FootnoteText"/>
    <w:link w:val="EndnoteTextChar"/>
    <w:pPr>
      <w:keepLines w:val="0"/>
      <w:tabs>
        <w:tab w:val="right" w:pos="1021"/>
      </w:tabs>
    </w:pPr>
  </w:style>
  <w:style w:type="character" w:customStyle="1" w:styleId="EndnoteTextChar">
    <w:name w:val="Endnote Text Char"/>
    <w:link w:val="EndnoteText"/>
    <w:locked/>
    <w:rPr>
      <w:rFonts w:eastAsia="SimSun"/>
      <w:snapToGrid w:val="0"/>
      <w:sz w:val="18"/>
      <w:lang w:val="en-US" w:eastAsia="zh-CN" w:bidi="ar-SA"/>
    </w:rPr>
  </w:style>
  <w:style w:type="character" w:styleId="EndnoteReference">
    <w:name w:val="endnote reference"/>
    <w:basedOn w:val="FootnoteReference"/>
  </w:style>
  <w:style w:type="paragraph" w:customStyle="1" w:styleId="a0">
    <w:name w:val="表中标题"/>
    <w:basedOn w:val="SingleTxtGC"/>
    <w:pPr>
      <w:spacing w:before="80" w:after="80" w:line="200" w:lineRule="exact"/>
      <w:ind w:left="0" w:right="113"/>
    </w:pPr>
    <w:rPr>
      <w:rFonts w:eastAsia="KaiTi_GB2312"/>
      <w:sz w:val="18"/>
    </w:r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link w:val="FooterChar"/>
    <w:pPr>
      <w:spacing w:line="240" w:lineRule="auto"/>
    </w:pPr>
    <w:rPr>
      <w:sz w:val="16"/>
      <w:lang w:val="en-GB" w:eastAsia="en-US"/>
    </w:rPr>
  </w:style>
  <w:style w:type="character" w:customStyle="1" w:styleId="FooterChar">
    <w:name w:val="Footer Char"/>
    <w:link w:val="Footer"/>
    <w:locked/>
    <w:rPr>
      <w:snapToGrid w:val="0"/>
      <w:sz w:val="16"/>
      <w:lang w:val="en-GB" w:eastAsia="en-US" w:bidi="ar-SA"/>
    </w:rPr>
  </w:style>
  <w:style w:type="character" w:styleId="PageNumber">
    <w:name w:val="page number"/>
    <w:basedOn w:val="DefaultParagraphFont"/>
    <w:rPr>
      <w:rFonts w:ascii="Times New Roman" w:hAnsi="Times New Roman"/>
      <w:b/>
      <w:spacing w:val="0"/>
      <w:kern w:val="0"/>
      <w:sz w:val="18"/>
    </w:rPr>
  </w:style>
  <w:style w:type="paragraph" w:styleId="Header">
    <w:name w:val="header"/>
    <w:basedOn w:val="Normal"/>
    <w:link w:val="HeaderChar"/>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character" w:customStyle="1" w:styleId="HeaderChar">
    <w:name w:val="Header Char"/>
    <w:link w:val="Header"/>
    <w:locked/>
    <w:rPr>
      <w:rFonts w:eastAsia="SimSun"/>
      <w:b/>
      <w:snapToGrid w:val="0"/>
      <w:sz w:val="18"/>
      <w:lang w:val="en-GB" w:eastAsia="en-US" w:bidi="ar-SA"/>
    </w:rPr>
  </w:style>
  <w:style w:type="paragraph" w:customStyle="1" w:styleId="Bullet1GC">
    <w:name w:val="_Bullet 1_GC"/>
    <w:basedOn w:val="Normal"/>
    <w:pPr>
      <w:numPr>
        <w:numId w:val="3"/>
      </w:numPr>
      <w:spacing w:after="120"/>
      <w:ind w:right="1134"/>
    </w:pPr>
  </w:style>
  <w:style w:type="paragraph" w:customStyle="1" w:styleId="Bullet2GC">
    <w:name w:val="_Bullet 2_GC"/>
    <w:basedOn w:val="Normal"/>
    <w:pPr>
      <w:numPr>
        <w:numId w:val="4"/>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3">
    <w:name w:val="悬挂"/>
    <w:basedOn w:val="SingleTxtGC"/>
    <w:pPr>
      <w:ind w:left="1565" w:hanging="431"/>
    </w:pPr>
  </w:style>
  <w:style w:type="paragraph" w:customStyle="1" w:styleId="a4">
    <w:name w:val="表中文字"/>
    <w:basedOn w:val="SingleTxtGC"/>
    <w:pPr>
      <w:spacing w:before="40" w:line="240" w:lineRule="atLeast"/>
      <w:ind w:left="0" w:right="113"/>
    </w:pPr>
    <w:rPr>
      <w:sz w:val="18"/>
    </w:rPr>
  </w:style>
  <w:style w:type="paragraph" w:customStyle="1" w:styleId="a5">
    <w:name w:val="表数文字"/>
    <w:basedOn w:val="SingleTxtGC"/>
    <w:pPr>
      <w:spacing w:before="40" w:after="40" w:line="240" w:lineRule="atLeast"/>
      <w:ind w:left="0" w:right="113"/>
    </w:pPr>
    <w:rPr>
      <w:sz w:val="18"/>
    </w:rPr>
  </w:style>
  <w:style w:type="paragraph" w:customStyle="1" w:styleId="HMG">
    <w:name w:val="_ H __M_G"/>
    <w:basedOn w:val="Normal"/>
    <w:next w:val="Normal"/>
    <w:link w:val="CharChar7"/>
    <w:pPr>
      <w:keepNext/>
      <w:keepLines/>
      <w:tabs>
        <w:tab w:val="clear" w:pos="431"/>
        <w:tab w:val="right" w:pos="851"/>
      </w:tabs>
      <w:suppressAutoHyphens/>
      <w:overflowPunct/>
      <w:adjustRightInd/>
      <w:snapToGrid/>
      <w:spacing w:before="240" w:after="240" w:line="360" w:lineRule="exact"/>
      <w:ind w:leftChars="540" w:left="1134" w:right="1134" w:hanging="1134"/>
      <w:jc w:val="left"/>
    </w:pPr>
    <w:rPr>
      <w:b/>
      <w:snapToGrid/>
      <w:sz w:val="34"/>
      <w:lang w:val="en-GB" w:eastAsia="en-US"/>
    </w:rPr>
  </w:style>
  <w:style w:type="character" w:customStyle="1" w:styleId="CharChar7">
    <w:name w:val="Char Char7"/>
    <w:link w:val="HMG"/>
    <w:locked/>
    <w:rPr>
      <w:rFonts w:eastAsia="SimSun"/>
      <w:b/>
      <w:sz w:val="34"/>
      <w:lang w:val="en-GB" w:eastAsia="en-US" w:bidi="ar-SA"/>
    </w:rPr>
  </w:style>
  <w:style w:type="paragraph" w:customStyle="1" w:styleId="HChG">
    <w:name w:val="_ H _Ch_G"/>
    <w:basedOn w:val="Normal"/>
    <w:next w:val="Normal"/>
    <w:link w:val="HChGChar"/>
    <w:pPr>
      <w:keepNext/>
      <w:keepLines/>
      <w:tabs>
        <w:tab w:val="clear" w:pos="431"/>
        <w:tab w:val="right" w:pos="851"/>
      </w:tabs>
      <w:suppressAutoHyphens/>
      <w:overflowPunct/>
      <w:adjustRightInd/>
      <w:snapToGrid/>
      <w:spacing w:before="360" w:after="240" w:line="300" w:lineRule="exact"/>
      <w:ind w:leftChars="540" w:left="1134" w:right="1134" w:hanging="1134"/>
      <w:jc w:val="left"/>
    </w:pPr>
    <w:rPr>
      <w:b/>
      <w:snapToGrid/>
      <w:sz w:val="28"/>
      <w:lang w:val="en-GB" w:eastAsia="en-US"/>
    </w:rPr>
  </w:style>
  <w:style w:type="character" w:customStyle="1" w:styleId="HChGChar">
    <w:name w:val="_ H _Ch_G Char"/>
    <w:link w:val="HChG"/>
    <w:rPr>
      <w:rFonts w:eastAsia="SimSun"/>
      <w:b/>
      <w:sz w:val="28"/>
      <w:lang w:val="en-GB" w:eastAsia="en-US" w:bidi="ar-SA"/>
    </w:rPr>
  </w:style>
  <w:style w:type="paragraph" w:customStyle="1" w:styleId="SMG">
    <w:name w:val="__S_M_G"/>
    <w:basedOn w:val="Normal"/>
    <w:next w:val="Normal"/>
    <w:link w:val="CharChar6"/>
    <w:pPr>
      <w:keepNext/>
      <w:keepLines/>
      <w:tabs>
        <w:tab w:val="clear" w:pos="431"/>
      </w:tabs>
      <w:suppressAutoHyphens/>
      <w:overflowPunct/>
      <w:adjustRightInd/>
      <w:snapToGrid/>
      <w:spacing w:before="240" w:after="240" w:line="420" w:lineRule="exact"/>
      <w:ind w:leftChars="540" w:left="1134" w:right="1134"/>
      <w:jc w:val="left"/>
    </w:pPr>
    <w:rPr>
      <w:b/>
      <w:snapToGrid/>
      <w:sz w:val="40"/>
      <w:lang w:val="en-GB" w:eastAsia="en-US"/>
    </w:rPr>
  </w:style>
  <w:style w:type="character" w:customStyle="1" w:styleId="CharChar6">
    <w:name w:val="Char Char6"/>
    <w:link w:val="SMG"/>
    <w:locked/>
    <w:rPr>
      <w:rFonts w:eastAsia="SimSun"/>
      <w:b/>
      <w:sz w:val="40"/>
      <w:lang w:val="en-GB" w:eastAsia="en-US" w:bidi="ar-SA"/>
    </w:rPr>
  </w:style>
  <w:style w:type="paragraph" w:customStyle="1" w:styleId="SingleTxtG">
    <w:name w:val="_ Single Txt_G"/>
    <w:basedOn w:val="Normal"/>
    <w:link w:val="SingleTxtGChar"/>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1G">
    <w:name w:val="_ H_1_G"/>
    <w:basedOn w:val="Normal"/>
    <w:next w:val="Normal"/>
    <w:link w:val="H1GChar"/>
    <w:pPr>
      <w:keepNext/>
      <w:keepLines/>
      <w:tabs>
        <w:tab w:val="clear" w:pos="431"/>
        <w:tab w:val="right" w:pos="851"/>
      </w:tabs>
      <w:suppressAutoHyphens/>
      <w:overflowPunct/>
      <w:adjustRightInd/>
      <w:snapToGrid/>
      <w:spacing w:before="360" w:after="240" w:line="270" w:lineRule="exact"/>
      <w:ind w:leftChars="540" w:left="1134" w:right="1134" w:hanging="1134"/>
      <w:jc w:val="left"/>
    </w:pPr>
    <w:rPr>
      <w:b/>
      <w:snapToGrid/>
      <w:sz w:val="24"/>
      <w:lang w:val="en-GB" w:eastAsia="en-US"/>
    </w:rPr>
  </w:style>
  <w:style w:type="character" w:customStyle="1" w:styleId="H1GChar">
    <w:name w:val="_ H_1_G Char"/>
    <w:link w:val="H1G"/>
    <w:rPr>
      <w:rFonts w:eastAsia="SimSun"/>
      <w:b/>
      <w:sz w:val="24"/>
      <w:lang w:val="en-GB" w:eastAsia="en-US" w:bidi="ar-SA"/>
    </w:rPr>
  </w:style>
  <w:style w:type="table" w:styleId="TableGrid">
    <w:name w:val="Table Grid"/>
    <w:aliases w:val="正文文本缩进 3 Char,uvlaka 3 Char"/>
    <w:basedOn w:val="TableNormal"/>
    <w:semiHidden/>
    <w:pPr>
      <w:numPr>
        <w:numId w:val="39"/>
      </w:num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SLG">
    <w:name w:val="__S_L_G"/>
    <w:basedOn w:val="Normal"/>
    <w:next w:val="Normal"/>
    <w:pPr>
      <w:keepNext/>
      <w:keepLines/>
      <w:tabs>
        <w:tab w:val="clear" w:pos="431"/>
      </w:tabs>
      <w:suppressAutoHyphens/>
      <w:overflowPunct/>
      <w:adjustRightInd/>
      <w:snapToGrid/>
      <w:spacing w:before="240" w:after="240" w:line="580" w:lineRule="exact"/>
      <w:ind w:leftChars="540" w:left="1134" w:right="1134"/>
      <w:jc w:val="left"/>
    </w:pPr>
    <w:rPr>
      <w:b/>
      <w:snapToGrid/>
      <w:sz w:val="56"/>
      <w:lang w:val="en-GB" w:eastAsia="en-US"/>
    </w:rPr>
  </w:style>
  <w:style w:type="paragraph" w:customStyle="1" w:styleId="SSG">
    <w:name w:val="__S_S_G"/>
    <w:basedOn w:val="Normal"/>
    <w:next w:val="Normal"/>
    <w:link w:val="CharChar5"/>
    <w:pPr>
      <w:keepNext/>
      <w:keepLines/>
      <w:tabs>
        <w:tab w:val="clear" w:pos="431"/>
      </w:tabs>
      <w:suppressAutoHyphens/>
      <w:overflowPunct/>
      <w:adjustRightInd/>
      <w:snapToGrid/>
      <w:spacing w:before="240" w:after="240" w:line="300" w:lineRule="exact"/>
      <w:ind w:leftChars="540" w:left="1134" w:right="1134"/>
      <w:jc w:val="left"/>
    </w:pPr>
    <w:rPr>
      <w:b/>
      <w:snapToGrid/>
      <w:sz w:val="28"/>
      <w:lang w:val="en-GB" w:eastAsia="en-US"/>
    </w:rPr>
  </w:style>
  <w:style w:type="character" w:customStyle="1" w:styleId="CharChar5">
    <w:name w:val="Char Char5"/>
    <w:link w:val="SSG"/>
    <w:locked/>
    <w:rPr>
      <w:rFonts w:eastAsia="SimSun"/>
      <w:b/>
      <w:sz w:val="28"/>
      <w:lang w:val="en-GB" w:eastAsia="en-US" w:bidi="ar-SA"/>
    </w:rPr>
  </w:style>
  <w:style w:type="paragraph" w:customStyle="1" w:styleId="XLargeG">
    <w:name w:val="__XLarge_G"/>
    <w:basedOn w:val="Normal"/>
    <w:next w:val="Normal"/>
    <w:pPr>
      <w:keepNext/>
      <w:keepLines/>
      <w:tabs>
        <w:tab w:val="clear" w:pos="431"/>
      </w:tabs>
      <w:suppressAutoHyphens/>
      <w:overflowPunct/>
      <w:adjustRightInd/>
      <w:snapToGrid/>
      <w:spacing w:before="240" w:after="240" w:line="420" w:lineRule="exact"/>
      <w:ind w:leftChars="540" w:left="1134" w:right="1134"/>
      <w:jc w:val="left"/>
    </w:pPr>
    <w:rPr>
      <w:b/>
      <w:snapToGrid/>
      <w:sz w:val="40"/>
      <w:lang w:val="en-GB" w:eastAsia="en-US"/>
    </w:rPr>
  </w:style>
  <w:style w:type="paragraph" w:customStyle="1" w:styleId="Bullet1G">
    <w:name w:val="_Bullet 1_G"/>
    <w:basedOn w:val="Normal"/>
    <w:link w:val="CharChar4"/>
    <w:pPr>
      <w:numPr>
        <w:numId w:val="1"/>
      </w:numPr>
      <w:tabs>
        <w:tab w:val="clear" w:pos="431"/>
      </w:tabs>
      <w:suppressAutoHyphens/>
      <w:overflowPunct/>
      <w:adjustRightInd/>
      <w:snapToGrid/>
      <w:spacing w:after="120" w:line="240" w:lineRule="atLeast"/>
      <w:ind w:leftChars="540" w:right="1134"/>
    </w:pPr>
    <w:rPr>
      <w:snapToGrid/>
      <w:sz w:val="20"/>
      <w:lang w:val="en-GB" w:eastAsia="en-US"/>
    </w:rPr>
  </w:style>
  <w:style w:type="character" w:customStyle="1" w:styleId="CharChar4">
    <w:name w:val="Char Char4"/>
    <w:link w:val="Bullet1G"/>
    <w:locked/>
    <w:rPr>
      <w:rFonts w:eastAsia="SimSun"/>
      <w:lang w:val="en-GB" w:eastAsia="en-US" w:bidi="ar-SA"/>
    </w:rPr>
  </w:style>
  <w:style w:type="paragraph" w:customStyle="1" w:styleId="Bullet2G">
    <w:name w:val="_Bullet 2_G"/>
    <w:basedOn w:val="Normal"/>
    <w:pPr>
      <w:numPr>
        <w:numId w:val="2"/>
      </w:numPr>
      <w:tabs>
        <w:tab w:val="clear" w:pos="431"/>
      </w:tabs>
      <w:suppressAutoHyphens/>
      <w:overflowPunct/>
      <w:adjustRightInd/>
      <w:snapToGrid/>
      <w:spacing w:after="120" w:line="240" w:lineRule="atLeast"/>
      <w:ind w:leftChars="540" w:right="1134"/>
    </w:pPr>
    <w:rPr>
      <w:snapToGrid/>
      <w:sz w:val="20"/>
      <w:lang w:val="en-GB" w:eastAsia="en-US"/>
    </w:rPr>
  </w:style>
  <w:style w:type="paragraph" w:customStyle="1" w:styleId="H23G">
    <w:name w:val="_ H_2/3_G"/>
    <w:basedOn w:val="Normal"/>
    <w:next w:val="Normal"/>
    <w:pPr>
      <w:keepNext/>
      <w:keepLines/>
      <w:tabs>
        <w:tab w:val="clear" w:pos="431"/>
        <w:tab w:val="right" w:pos="851"/>
      </w:tabs>
      <w:suppressAutoHyphens/>
      <w:overflowPunct/>
      <w:adjustRightInd/>
      <w:snapToGrid/>
      <w:spacing w:before="240" w:after="120" w:line="240" w:lineRule="exact"/>
      <w:ind w:leftChars="540" w:left="1134" w:right="1134" w:hanging="1134"/>
      <w:jc w:val="left"/>
    </w:pPr>
    <w:rPr>
      <w:b/>
      <w:snapToGrid/>
      <w:sz w:val="20"/>
      <w:lang w:val="en-GB" w:eastAsia="en-US"/>
    </w:rPr>
  </w:style>
  <w:style w:type="paragraph" w:customStyle="1" w:styleId="H4G">
    <w:name w:val="_ H_4_G"/>
    <w:basedOn w:val="Normal"/>
    <w:next w:val="Normal"/>
    <w:pPr>
      <w:keepNext/>
      <w:keepLines/>
      <w:tabs>
        <w:tab w:val="clear" w:pos="431"/>
        <w:tab w:val="right" w:pos="851"/>
      </w:tabs>
      <w:suppressAutoHyphens/>
      <w:overflowPunct/>
      <w:adjustRightInd/>
      <w:snapToGrid/>
      <w:spacing w:before="240" w:after="120" w:line="240" w:lineRule="exact"/>
      <w:ind w:leftChars="540" w:left="1134" w:right="1134" w:hanging="1134"/>
      <w:jc w:val="left"/>
    </w:pPr>
    <w:rPr>
      <w:i/>
      <w:snapToGrid/>
      <w:sz w:val="20"/>
      <w:lang w:val="en-GB" w:eastAsia="en-US"/>
    </w:rPr>
  </w:style>
  <w:style w:type="paragraph" w:customStyle="1" w:styleId="H56G">
    <w:name w:val="_ H_5/6_G"/>
    <w:basedOn w:val="Normal"/>
    <w:next w:val="Normal"/>
    <w:link w:val="CharChar3"/>
    <w:pPr>
      <w:keepNext/>
      <w:keepLines/>
      <w:tabs>
        <w:tab w:val="clear" w:pos="431"/>
        <w:tab w:val="right" w:pos="851"/>
      </w:tabs>
      <w:suppressAutoHyphens/>
      <w:overflowPunct/>
      <w:adjustRightInd/>
      <w:snapToGrid/>
      <w:spacing w:before="240" w:after="120" w:line="240" w:lineRule="exact"/>
      <w:ind w:leftChars="540" w:left="1134" w:right="1134" w:hanging="1134"/>
      <w:jc w:val="left"/>
    </w:pPr>
    <w:rPr>
      <w:snapToGrid/>
      <w:sz w:val="20"/>
      <w:lang w:val="en-GB" w:eastAsia="en-US"/>
    </w:rPr>
  </w:style>
  <w:style w:type="character" w:customStyle="1" w:styleId="CharChar3">
    <w:name w:val="Char Char3"/>
    <w:link w:val="H56G"/>
    <w:locked/>
    <w:rPr>
      <w:rFonts w:eastAsia="SimSun"/>
      <w:lang w:val="en-GB" w:eastAsia="en-US" w:bidi="ar-SA"/>
    </w:rPr>
  </w:style>
  <w:style w:type="paragraph" w:styleId="CommentText">
    <w:name w:val="annotation text"/>
    <w:basedOn w:val="Normal"/>
    <w:link w:val="CommentTextChar"/>
    <w:semiHidden/>
    <w:pPr>
      <w:widowControl w:val="0"/>
      <w:tabs>
        <w:tab w:val="clear" w:pos="431"/>
      </w:tabs>
      <w:wordWrap w:val="0"/>
      <w:overflowPunct/>
      <w:autoSpaceDE w:val="0"/>
      <w:autoSpaceDN w:val="0"/>
      <w:adjustRightInd/>
      <w:snapToGrid/>
      <w:spacing w:after="120" w:line="240" w:lineRule="auto"/>
      <w:ind w:leftChars="540" w:left="540"/>
      <w:jc w:val="left"/>
    </w:pPr>
    <w:rPr>
      <w:rFonts w:eastAsia="산돌명조 M"/>
      <w:snapToGrid/>
      <w:kern w:val="2"/>
      <w:sz w:val="20"/>
      <w:lang w:eastAsia="ko-KR"/>
    </w:rPr>
  </w:style>
  <w:style w:type="character" w:customStyle="1" w:styleId="CommentTextChar">
    <w:name w:val="Comment Text Char"/>
    <w:link w:val="CommentText"/>
    <w:semiHidden/>
    <w:locked/>
    <w:rPr>
      <w:rFonts w:eastAsia="산돌명조 M"/>
      <w:kern w:val="2"/>
      <w:lang w:val="en-US" w:eastAsia="ko-KR" w:bidi="ar-SA"/>
    </w:rPr>
  </w:style>
  <w:style w:type="paragraph" w:styleId="BalloonText">
    <w:name w:val="Balloon Text"/>
    <w:basedOn w:val="Normal"/>
    <w:link w:val="BalloonTextChar"/>
    <w:semiHidden/>
    <w:pPr>
      <w:widowControl w:val="0"/>
      <w:tabs>
        <w:tab w:val="clear" w:pos="431"/>
      </w:tabs>
      <w:wordWrap w:val="0"/>
      <w:overflowPunct/>
      <w:autoSpaceDE w:val="0"/>
      <w:autoSpaceDN w:val="0"/>
      <w:adjustRightInd/>
      <w:snapToGrid/>
      <w:spacing w:after="120" w:line="240" w:lineRule="auto"/>
      <w:ind w:leftChars="540" w:left="540"/>
    </w:pPr>
    <w:rPr>
      <w:rFonts w:eastAsia="산돌명조 M"/>
      <w:snapToGrid/>
      <w:kern w:val="2"/>
      <w:sz w:val="18"/>
      <w:szCs w:val="18"/>
      <w:lang w:eastAsia="ko-KR"/>
    </w:rPr>
  </w:style>
  <w:style w:type="character" w:customStyle="1" w:styleId="BalloonTextChar">
    <w:name w:val="Balloon Text Char"/>
    <w:link w:val="BalloonText"/>
    <w:semiHidden/>
    <w:locked/>
    <w:rPr>
      <w:rFonts w:eastAsia="산돌명조 M"/>
      <w:kern w:val="2"/>
      <w:sz w:val="18"/>
      <w:szCs w:val="18"/>
      <w:lang w:val="en-US" w:eastAsia="ko-KR" w:bidi="ar-SA"/>
    </w:rPr>
  </w:style>
  <w:style w:type="paragraph" w:styleId="CommentSubject">
    <w:name w:val="annotation subject"/>
    <w:basedOn w:val="CommentText"/>
    <w:next w:val="CommentText"/>
    <w:link w:val="CommentSubjectChar"/>
    <w:semiHidden/>
    <w:rPr>
      <w:b/>
      <w:bCs/>
    </w:rPr>
  </w:style>
  <w:style w:type="character" w:customStyle="1" w:styleId="CommentSubjectChar">
    <w:name w:val="Comment Subject Char"/>
    <w:link w:val="CommentSubject"/>
    <w:semiHidden/>
    <w:locked/>
    <w:rPr>
      <w:rFonts w:eastAsia="산돌명조 M"/>
      <w:b/>
      <w:bCs/>
      <w:kern w:val="2"/>
      <w:lang w:val="en-US" w:eastAsia="ko-KR" w:bidi="ar-SA"/>
    </w:rPr>
  </w:style>
  <w:style w:type="paragraph" w:customStyle="1" w:styleId="a6">
    <w:name w:val="바탕글"/>
    <w:basedOn w:val="Normal"/>
    <w:pPr>
      <w:tabs>
        <w:tab w:val="clear" w:pos="431"/>
      </w:tabs>
      <w:overflowPunct/>
      <w:adjustRightInd/>
      <w:spacing w:after="120" w:line="384" w:lineRule="auto"/>
      <w:ind w:leftChars="540" w:left="540"/>
    </w:pPr>
    <w:rPr>
      <w:rFonts w:ascii="Batang" w:eastAsia="산돌명조 M" w:hAnsi="Batang" w:cs="Batang"/>
      <w:snapToGrid/>
      <w:color w:val="000000"/>
      <w:sz w:val="20"/>
      <w:lang w:eastAsia="ko-KR"/>
    </w:rPr>
  </w:style>
  <w:style w:type="paragraph" w:customStyle="1" w:styleId="a7">
    <w:name w:val="쪽"/>
    <w:basedOn w:val="Normal"/>
    <w:pPr>
      <w:tabs>
        <w:tab w:val="clear" w:pos="431"/>
      </w:tabs>
      <w:overflowPunct/>
      <w:adjustRightInd/>
      <w:snapToGrid/>
      <w:spacing w:before="100" w:beforeAutospacing="1" w:after="100" w:afterAutospacing="1" w:line="240" w:lineRule="auto"/>
      <w:ind w:leftChars="540" w:left="540"/>
      <w:jc w:val="left"/>
    </w:pPr>
    <w:rPr>
      <w:rFonts w:ascii="Gulim" w:eastAsia="산돌명조 M" w:hAnsi="Gulim" w:cs="Gulim"/>
      <w:snapToGrid/>
      <w:sz w:val="24"/>
      <w:szCs w:val="24"/>
      <w:lang w:eastAsia="ko-KR"/>
    </w:rPr>
  </w:style>
  <w:style w:type="paragraph" w:customStyle="1" w:styleId="hs1">
    <w:name w:val="hs1"/>
    <w:basedOn w:val="Normal"/>
    <w:pPr>
      <w:tabs>
        <w:tab w:val="clear" w:pos="431"/>
      </w:tabs>
      <w:overflowPunct/>
      <w:adjustRightInd/>
      <w:snapToGrid/>
      <w:spacing w:after="120" w:line="260" w:lineRule="atLeast"/>
      <w:ind w:leftChars="540" w:left="540"/>
    </w:pPr>
    <w:rPr>
      <w:rFonts w:ascii="Gulim" w:eastAsia="Gulim" w:hAnsi="Gulim" w:cs="Gulim"/>
      <w:snapToGrid/>
      <w:color w:val="000000"/>
      <w:sz w:val="20"/>
      <w:lang w:eastAsia="ko-KR"/>
    </w:rPr>
  </w:style>
  <w:style w:type="paragraph" w:styleId="NormalWeb">
    <w:name w:val="Normal (Web)"/>
    <w:basedOn w:val="Normal"/>
    <w:pPr>
      <w:tabs>
        <w:tab w:val="clear" w:pos="431"/>
      </w:tabs>
      <w:overflowPunct/>
      <w:adjustRightInd/>
      <w:snapToGrid/>
      <w:spacing w:before="100" w:beforeAutospacing="1" w:after="100" w:afterAutospacing="1" w:line="240" w:lineRule="auto"/>
      <w:ind w:leftChars="540" w:left="540"/>
      <w:jc w:val="left"/>
    </w:pPr>
    <w:rPr>
      <w:rFonts w:ascii="Gulim" w:eastAsia="Gulim" w:hAnsi="Gulim" w:cs="Gulim"/>
      <w:snapToGrid/>
      <w:sz w:val="24"/>
      <w:szCs w:val="24"/>
      <w:lang w:eastAsia="ko-KR"/>
    </w:rPr>
  </w:style>
  <w:style w:type="paragraph" w:styleId="Date">
    <w:name w:val="Date"/>
    <w:basedOn w:val="Normal"/>
    <w:next w:val="Normal"/>
    <w:link w:val="DateChar"/>
    <w:semiHidden/>
    <w:pPr>
      <w:widowControl w:val="0"/>
      <w:tabs>
        <w:tab w:val="clear" w:pos="431"/>
      </w:tabs>
      <w:wordWrap w:val="0"/>
      <w:overflowPunct/>
      <w:autoSpaceDE w:val="0"/>
      <w:autoSpaceDN w:val="0"/>
      <w:adjustRightInd/>
      <w:snapToGrid/>
      <w:spacing w:after="120" w:line="240" w:lineRule="auto"/>
      <w:ind w:leftChars="540" w:left="540"/>
    </w:pPr>
    <w:rPr>
      <w:rFonts w:eastAsia="산돌명조 M"/>
      <w:snapToGrid/>
      <w:sz w:val="20"/>
      <w:lang w:eastAsia="ko-KR"/>
    </w:rPr>
  </w:style>
  <w:style w:type="character" w:customStyle="1" w:styleId="DateChar">
    <w:name w:val="Date Char"/>
    <w:link w:val="Date"/>
    <w:semiHidden/>
    <w:locked/>
    <w:rPr>
      <w:rFonts w:eastAsia="산돌명조 M"/>
      <w:lang w:val="en-US" w:eastAsia="ko-KR" w:bidi="ar-SA"/>
    </w:rPr>
  </w:style>
  <w:style w:type="paragraph" w:styleId="BodyText">
    <w:name w:val="Body Text"/>
    <w:basedOn w:val="Normal"/>
    <w:link w:val="BodyTextChar"/>
    <w:pPr>
      <w:tabs>
        <w:tab w:val="clear" w:pos="431"/>
      </w:tabs>
      <w:overflowPunct/>
      <w:adjustRightInd/>
      <w:spacing w:after="120" w:line="384" w:lineRule="auto"/>
      <w:ind w:leftChars="540" w:left="600"/>
    </w:pPr>
    <w:rPr>
      <w:rFonts w:ascii="Batang" w:eastAsia="산돌명조 M" w:hAnsi="Batang" w:cs="Batang"/>
      <w:snapToGrid/>
      <w:color w:val="000000"/>
      <w:sz w:val="20"/>
      <w:lang w:eastAsia="ko-KR"/>
    </w:rPr>
  </w:style>
  <w:style w:type="character" w:customStyle="1" w:styleId="BodyTextChar">
    <w:name w:val="Body Text Char"/>
    <w:link w:val="BodyText"/>
    <w:locked/>
    <w:rPr>
      <w:rFonts w:ascii="Batang" w:eastAsia="산돌명조 M" w:hAnsi="Batang" w:cs="Batang"/>
      <w:color w:val="000000"/>
      <w:lang w:val="en-US" w:eastAsia="ko-KR" w:bidi="ar-SA"/>
    </w:rPr>
  </w:style>
  <w:style w:type="paragraph" w:customStyle="1" w:styleId="xl81">
    <w:name w:val="xl81"/>
    <w:basedOn w:val="Normal"/>
    <w:pPr>
      <w:tabs>
        <w:tab w:val="clear" w:pos="431"/>
      </w:tabs>
      <w:overflowPunct/>
      <w:adjustRightInd/>
      <w:spacing w:after="120" w:line="384" w:lineRule="auto"/>
      <w:ind w:leftChars="540" w:left="540"/>
    </w:pPr>
    <w:rPr>
      <w:rFonts w:ascii="Gulim" w:eastAsia="산돌명조 M" w:hAnsi="Gulim" w:cs="Gulim"/>
      <w:snapToGrid/>
      <w:color w:val="000000"/>
      <w:sz w:val="18"/>
      <w:szCs w:val="18"/>
      <w:lang w:eastAsia="ko-KR"/>
    </w:rPr>
  </w:style>
  <w:style w:type="paragraph" w:customStyle="1" w:styleId="xl65">
    <w:name w:val="xl65"/>
    <w:basedOn w:val="Normal"/>
    <w:pPr>
      <w:tabs>
        <w:tab w:val="clear" w:pos="431"/>
      </w:tabs>
      <w:overflowPunct/>
      <w:adjustRightInd/>
      <w:spacing w:after="120" w:line="384" w:lineRule="auto"/>
      <w:ind w:leftChars="540" w:left="540"/>
    </w:pPr>
    <w:rPr>
      <w:rFonts w:ascii="Malgun Gothic" w:eastAsia="산돌명조 M" w:hAnsi="Malgun Gothic" w:cs="Malgun Gothic"/>
      <w:snapToGrid/>
      <w:color w:val="000000"/>
      <w:sz w:val="22"/>
      <w:szCs w:val="22"/>
      <w:lang w:eastAsia="ko-KR"/>
    </w:rPr>
  </w:style>
  <w:style w:type="paragraph" w:customStyle="1" w:styleId="xl68">
    <w:name w:val="xl68"/>
    <w:basedOn w:val="Normal"/>
    <w:pPr>
      <w:tabs>
        <w:tab w:val="clear" w:pos="431"/>
      </w:tabs>
      <w:overflowPunct/>
      <w:adjustRightInd/>
      <w:spacing w:after="120" w:line="384" w:lineRule="auto"/>
      <w:ind w:leftChars="540" w:left="540"/>
      <w:jc w:val="center"/>
    </w:pPr>
    <w:rPr>
      <w:rFonts w:ascii="Malgun Gothic" w:eastAsia="산돌명조 M" w:hAnsi="Malgun Gothic" w:cs="Malgun Gothic"/>
      <w:snapToGrid/>
      <w:color w:val="000000"/>
      <w:sz w:val="20"/>
      <w:lang w:eastAsia="ko-KR"/>
    </w:rPr>
  </w:style>
  <w:style w:type="paragraph" w:customStyle="1" w:styleId="xl77">
    <w:name w:val="xl77"/>
    <w:basedOn w:val="Normal"/>
    <w:pPr>
      <w:tabs>
        <w:tab w:val="clear" w:pos="431"/>
      </w:tabs>
      <w:overflowPunct/>
      <w:adjustRightInd/>
      <w:spacing w:after="120" w:line="384" w:lineRule="auto"/>
      <w:ind w:leftChars="540" w:left="540"/>
      <w:jc w:val="right"/>
    </w:pPr>
    <w:rPr>
      <w:rFonts w:ascii="Malgun Gothic" w:eastAsia="산돌명조 M" w:hAnsi="Malgun Gothic" w:cs="Malgun Gothic"/>
      <w:snapToGrid/>
      <w:color w:val="000000"/>
      <w:sz w:val="20"/>
      <w:lang w:eastAsia="ko-KR"/>
    </w:rPr>
  </w:style>
  <w:style w:type="paragraph" w:customStyle="1" w:styleId="xl85">
    <w:name w:val="xl85"/>
    <w:basedOn w:val="Normal"/>
    <w:pPr>
      <w:tabs>
        <w:tab w:val="clear" w:pos="431"/>
      </w:tabs>
      <w:overflowPunct/>
      <w:adjustRightInd/>
      <w:spacing w:after="120" w:line="384" w:lineRule="auto"/>
      <w:ind w:leftChars="540" w:left="540"/>
      <w:jc w:val="center"/>
    </w:pPr>
    <w:rPr>
      <w:rFonts w:ascii="Gulim" w:eastAsia="산돌명조 M" w:hAnsi="Gulim" w:cs="Gulim"/>
      <w:snapToGrid/>
      <w:color w:val="000000"/>
      <w:sz w:val="18"/>
      <w:szCs w:val="18"/>
      <w:lang w:eastAsia="ko-KR"/>
    </w:rPr>
  </w:style>
  <w:style w:type="paragraph" w:customStyle="1" w:styleId="xl72">
    <w:name w:val="xl72"/>
    <w:basedOn w:val="Normal"/>
    <w:pPr>
      <w:tabs>
        <w:tab w:val="clear" w:pos="431"/>
      </w:tabs>
      <w:overflowPunct/>
      <w:adjustRightInd/>
      <w:spacing w:after="120" w:line="384" w:lineRule="auto"/>
      <w:ind w:leftChars="540" w:left="540"/>
      <w:jc w:val="center"/>
    </w:pPr>
    <w:rPr>
      <w:rFonts w:ascii="Malgun Gothic" w:eastAsia="산돌명조 M" w:hAnsi="Malgun Gothic" w:cs="Malgun Gothic"/>
      <w:snapToGrid/>
      <w:color w:val="000000"/>
      <w:sz w:val="20"/>
      <w:lang w:eastAsia="ko-KR"/>
    </w:rPr>
  </w:style>
  <w:style w:type="paragraph" w:customStyle="1" w:styleId="xl82">
    <w:name w:val="xl82"/>
    <w:basedOn w:val="Normal"/>
    <w:pPr>
      <w:tabs>
        <w:tab w:val="clear" w:pos="431"/>
      </w:tabs>
      <w:overflowPunct/>
      <w:adjustRightInd/>
      <w:spacing w:after="120" w:line="384" w:lineRule="auto"/>
      <w:ind w:leftChars="540" w:left="540"/>
      <w:jc w:val="center"/>
    </w:pPr>
    <w:rPr>
      <w:rFonts w:ascii="Gulim" w:eastAsia="산돌명조 M" w:hAnsi="Gulim" w:cs="Gulim"/>
      <w:snapToGrid/>
      <w:color w:val="000000"/>
      <w:sz w:val="18"/>
      <w:szCs w:val="18"/>
      <w:lang w:eastAsia="ko-KR"/>
    </w:rPr>
  </w:style>
  <w:style w:type="paragraph" w:customStyle="1" w:styleId="xl66">
    <w:name w:val="xl66"/>
    <w:basedOn w:val="Normal"/>
    <w:pPr>
      <w:tabs>
        <w:tab w:val="clear" w:pos="431"/>
      </w:tabs>
      <w:overflowPunct/>
      <w:adjustRightInd/>
      <w:spacing w:after="120" w:line="384" w:lineRule="auto"/>
      <w:ind w:leftChars="540" w:left="540"/>
    </w:pPr>
    <w:rPr>
      <w:rFonts w:ascii="Malgun Gothic" w:eastAsia="산돌명조 M" w:hAnsi="Malgun Gothic" w:cs="Malgun Gothic"/>
      <w:snapToGrid/>
      <w:color w:val="000000"/>
      <w:sz w:val="22"/>
      <w:szCs w:val="22"/>
      <w:lang w:eastAsia="ko-KR"/>
    </w:rPr>
  </w:style>
  <w:style w:type="paragraph" w:customStyle="1" w:styleId="xl67">
    <w:name w:val="xl67"/>
    <w:basedOn w:val="Normal"/>
    <w:pPr>
      <w:tabs>
        <w:tab w:val="clear" w:pos="431"/>
      </w:tabs>
      <w:overflowPunct/>
      <w:adjustRightInd/>
      <w:spacing w:after="120" w:line="384" w:lineRule="auto"/>
      <w:ind w:leftChars="540" w:left="540"/>
      <w:jc w:val="center"/>
    </w:pPr>
    <w:rPr>
      <w:rFonts w:ascii="Malgun Gothic" w:eastAsia="산돌명조 M" w:hAnsi="Malgun Gothic" w:cs="Malgun Gothic"/>
      <w:snapToGrid/>
      <w:color w:val="000000"/>
      <w:sz w:val="20"/>
      <w:lang w:eastAsia="ko-KR"/>
    </w:rPr>
  </w:style>
  <w:style w:type="paragraph" w:customStyle="1" w:styleId="xl69">
    <w:name w:val="xl69"/>
    <w:basedOn w:val="Normal"/>
    <w:pPr>
      <w:tabs>
        <w:tab w:val="clear" w:pos="431"/>
      </w:tabs>
      <w:overflowPunct/>
      <w:adjustRightInd/>
      <w:spacing w:after="120" w:line="384" w:lineRule="auto"/>
      <w:ind w:leftChars="540" w:left="540"/>
      <w:jc w:val="center"/>
    </w:pPr>
    <w:rPr>
      <w:rFonts w:ascii="Malgun Gothic" w:eastAsia="산돌명조 M" w:hAnsi="Malgun Gothic" w:cs="Malgun Gothic"/>
      <w:snapToGrid/>
      <w:color w:val="000000"/>
      <w:sz w:val="20"/>
      <w:lang w:eastAsia="ko-KR"/>
    </w:rPr>
  </w:style>
  <w:style w:type="paragraph" w:customStyle="1" w:styleId="xl75">
    <w:name w:val="xl75"/>
    <w:basedOn w:val="Normal"/>
    <w:pPr>
      <w:tabs>
        <w:tab w:val="clear" w:pos="431"/>
      </w:tabs>
      <w:overflowPunct/>
      <w:adjustRightInd/>
      <w:spacing w:after="120" w:line="384" w:lineRule="auto"/>
      <w:ind w:leftChars="540" w:left="540"/>
    </w:pPr>
    <w:rPr>
      <w:rFonts w:ascii="Dotum" w:eastAsia="산돌명조 M" w:hAnsi="Dotum" w:cs="Dotum"/>
      <w:snapToGrid/>
      <w:color w:val="000000"/>
      <w:sz w:val="20"/>
      <w:lang w:eastAsia="ko-KR"/>
    </w:rPr>
  </w:style>
  <w:style w:type="paragraph" w:customStyle="1" w:styleId="xl38">
    <w:name w:val="xl38"/>
    <w:basedOn w:val="Normal"/>
    <w:pPr>
      <w:tabs>
        <w:tab w:val="clear" w:pos="431"/>
      </w:tabs>
      <w:overflowPunct/>
      <w:adjustRightInd/>
      <w:spacing w:after="120" w:line="384" w:lineRule="auto"/>
      <w:ind w:leftChars="540" w:left="540"/>
      <w:jc w:val="center"/>
    </w:pPr>
    <w:rPr>
      <w:rFonts w:ascii="Dotum" w:eastAsia="산돌명조 M" w:hAnsi="Dotum" w:cs="Dotum"/>
      <w:snapToGrid/>
      <w:color w:val="000000"/>
      <w:sz w:val="20"/>
      <w:lang w:eastAsia="ko-KR"/>
    </w:rPr>
  </w:style>
  <w:style w:type="paragraph" w:customStyle="1" w:styleId="xl40">
    <w:name w:val="xl40"/>
    <w:basedOn w:val="Normal"/>
    <w:pPr>
      <w:tabs>
        <w:tab w:val="clear" w:pos="431"/>
      </w:tabs>
      <w:overflowPunct/>
      <w:adjustRightInd/>
      <w:spacing w:after="120" w:line="384" w:lineRule="auto"/>
      <w:ind w:leftChars="540" w:left="540"/>
      <w:jc w:val="center"/>
    </w:pPr>
    <w:rPr>
      <w:rFonts w:ascii="Dotum" w:eastAsia="산돌명조 M" w:hAnsi="Dotum" w:cs="Dotum"/>
      <w:snapToGrid/>
      <w:color w:val="000000"/>
      <w:sz w:val="20"/>
      <w:lang w:eastAsia="ko-KR"/>
    </w:rPr>
  </w:style>
  <w:style w:type="paragraph" w:customStyle="1" w:styleId="xl24">
    <w:name w:val="xl24"/>
    <w:basedOn w:val="Normal"/>
    <w:pPr>
      <w:tabs>
        <w:tab w:val="clear" w:pos="431"/>
      </w:tabs>
      <w:overflowPunct/>
      <w:adjustRightInd/>
      <w:spacing w:after="120" w:line="384" w:lineRule="auto"/>
      <w:ind w:leftChars="540" w:left="540"/>
      <w:jc w:val="center"/>
    </w:pPr>
    <w:rPr>
      <w:rFonts w:ascii="Dotum" w:eastAsia="산돌명조 M" w:hAnsi="Dotum" w:cs="Dotum"/>
      <w:snapToGrid/>
      <w:color w:val="000000"/>
      <w:sz w:val="18"/>
      <w:szCs w:val="18"/>
      <w:lang w:eastAsia="ko-KR"/>
    </w:rPr>
  </w:style>
  <w:style w:type="paragraph" w:customStyle="1" w:styleId="xl33">
    <w:name w:val="xl33"/>
    <w:basedOn w:val="Normal"/>
    <w:pPr>
      <w:tabs>
        <w:tab w:val="clear" w:pos="431"/>
      </w:tabs>
      <w:overflowPunct/>
      <w:adjustRightInd/>
      <w:spacing w:after="120" w:line="384" w:lineRule="auto"/>
      <w:ind w:leftChars="540" w:left="540"/>
      <w:jc w:val="center"/>
    </w:pPr>
    <w:rPr>
      <w:rFonts w:ascii="Dotum" w:eastAsia="산돌명조 M" w:hAnsi="Dotum" w:cs="Dotum"/>
      <w:snapToGrid/>
      <w:color w:val="000000"/>
      <w:sz w:val="20"/>
      <w:lang w:eastAsia="ko-KR"/>
    </w:rPr>
  </w:style>
  <w:style w:type="paragraph" w:customStyle="1" w:styleId="a8">
    <w:name w:val="표제목"/>
    <w:basedOn w:val="Normal"/>
    <w:pPr>
      <w:tabs>
        <w:tab w:val="clear" w:pos="431"/>
      </w:tabs>
      <w:overflowPunct/>
      <w:adjustRightInd/>
      <w:spacing w:before="600" w:after="120" w:line="312" w:lineRule="auto"/>
      <w:ind w:leftChars="540" w:left="540"/>
    </w:pPr>
    <w:rPr>
      <w:rFonts w:ascii="한양중고딕" w:eastAsia="한양중고딕" w:hAnsi="한양중고딕" w:cs="한양중고딕"/>
      <w:snapToGrid/>
      <w:color w:val="000000"/>
      <w:sz w:val="22"/>
      <w:szCs w:val="22"/>
      <w:lang w:eastAsia="ko-KR"/>
    </w:rPr>
  </w:style>
  <w:style w:type="paragraph" w:customStyle="1" w:styleId="a9">
    <w:name w:val="표내용"/>
    <w:basedOn w:val="Normal"/>
    <w:pPr>
      <w:tabs>
        <w:tab w:val="clear" w:pos="431"/>
      </w:tabs>
      <w:overflowPunct/>
      <w:adjustRightInd/>
      <w:spacing w:after="120" w:line="312" w:lineRule="auto"/>
      <w:ind w:leftChars="540" w:left="540"/>
    </w:pPr>
    <w:rPr>
      <w:rFonts w:ascii="휴먼명조" w:eastAsia="휴먼명조" w:hAnsi="HCI Tulip" w:cs="휴먼명조"/>
      <w:snapToGrid/>
      <w:color w:val="000000"/>
      <w:sz w:val="20"/>
      <w:lang w:eastAsia="ko-KR"/>
    </w:rPr>
  </w:style>
  <w:style w:type="paragraph" w:customStyle="1" w:styleId="aa">
    <w:name w:val="기본글"/>
    <w:basedOn w:val="Normal"/>
    <w:pPr>
      <w:tabs>
        <w:tab w:val="clear" w:pos="431"/>
      </w:tabs>
      <w:overflowPunct/>
      <w:adjustRightInd/>
      <w:spacing w:after="120" w:line="396" w:lineRule="auto"/>
      <w:ind w:leftChars="540" w:left="540"/>
    </w:pPr>
    <w:rPr>
      <w:rFonts w:ascii="-윤명조120" w:eastAsia="-윤명조120" w:cs="-윤명조120"/>
      <w:snapToGrid/>
      <w:color w:val="000000"/>
      <w:sz w:val="25"/>
      <w:szCs w:val="25"/>
      <w:lang w:eastAsia="ko-KR"/>
    </w:rPr>
  </w:style>
  <w:style w:type="paragraph" w:customStyle="1" w:styleId="6">
    <w:name w:val="6배"/>
    <w:basedOn w:val="Normal"/>
    <w:pPr>
      <w:tabs>
        <w:tab w:val="clear" w:pos="431"/>
      </w:tabs>
      <w:overflowPunct/>
      <w:adjustRightInd/>
      <w:spacing w:before="200" w:after="120" w:line="432" w:lineRule="auto"/>
      <w:ind w:leftChars="540" w:left="1200"/>
    </w:pPr>
    <w:rPr>
      <w:rFonts w:ascii="산돌명조 L" w:eastAsia="산돌명조 L" w:hAnsi="산돌명조 L" w:cs="산돌명조 L"/>
      <w:snapToGrid/>
      <w:color w:val="000000"/>
      <w:sz w:val="24"/>
      <w:szCs w:val="24"/>
      <w:lang w:eastAsia="ko-KR"/>
    </w:rPr>
  </w:style>
  <w:style w:type="paragraph" w:customStyle="1" w:styleId="ab">
    <w:name w:val="표미다시"/>
    <w:basedOn w:val="Normal"/>
    <w:pPr>
      <w:tabs>
        <w:tab w:val="clear" w:pos="431"/>
      </w:tabs>
      <w:overflowPunct/>
      <w:adjustRightInd/>
      <w:spacing w:after="120" w:line="288" w:lineRule="auto"/>
      <w:ind w:leftChars="540" w:left="540"/>
      <w:jc w:val="center"/>
    </w:pPr>
    <w:rPr>
      <w:rFonts w:ascii="#디나루" w:eastAsia="#디나루" w:hAnsi="#디나루" w:cs="#디나루"/>
      <w:snapToGrid/>
      <w:color w:val="000000"/>
      <w:sz w:val="18"/>
      <w:szCs w:val="18"/>
      <w:lang w:eastAsia="ko-KR"/>
    </w:rPr>
  </w:style>
  <w:style w:type="paragraph" w:customStyle="1" w:styleId="13">
    <w:name w:val="표내용중고딕간자13"/>
    <w:basedOn w:val="Normal"/>
    <w:pPr>
      <w:tabs>
        <w:tab w:val="clear" w:pos="431"/>
      </w:tabs>
      <w:overflowPunct/>
      <w:adjustRightInd/>
      <w:spacing w:after="120" w:line="288" w:lineRule="auto"/>
      <w:ind w:leftChars="540" w:left="40" w:right="40"/>
      <w:jc w:val="center"/>
    </w:pPr>
    <w:rPr>
      <w:rFonts w:ascii="한양중고딕" w:eastAsia="한양중고딕" w:hAnsi="한양중고딕" w:cs="한양중고딕"/>
      <w:snapToGrid/>
      <w:color w:val="000000"/>
      <w:sz w:val="26"/>
      <w:szCs w:val="26"/>
      <w:lang w:eastAsia="ko-KR"/>
    </w:rPr>
  </w:style>
  <w:style w:type="paragraph" w:customStyle="1" w:styleId="ac">
    <w:name w:val="표"/>
    <w:basedOn w:val="Normal"/>
    <w:pPr>
      <w:tabs>
        <w:tab w:val="clear" w:pos="431"/>
      </w:tabs>
      <w:overflowPunct/>
      <w:adjustRightInd/>
      <w:snapToGrid/>
      <w:spacing w:before="100" w:beforeAutospacing="1" w:after="100" w:afterAutospacing="1" w:line="240" w:lineRule="auto"/>
      <w:ind w:leftChars="540" w:left="540"/>
      <w:jc w:val="left"/>
    </w:pPr>
    <w:rPr>
      <w:rFonts w:ascii="Gulim" w:eastAsia="산돌명조 M" w:hAnsi="Gulim" w:cs="Gulim"/>
      <w:snapToGrid/>
      <w:sz w:val="24"/>
      <w:szCs w:val="24"/>
      <w:lang w:eastAsia="ko-KR"/>
    </w:rPr>
  </w:style>
  <w:style w:type="paragraph" w:customStyle="1" w:styleId="10">
    <w:name w:val="표단위(10)"/>
    <w:basedOn w:val="Normal"/>
    <w:pPr>
      <w:tabs>
        <w:tab w:val="clear" w:pos="431"/>
      </w:tabs>
      <w:overflowPunct/>
      <w:adjustRightInd/>
      <w:snapToGrid/>
      <w:spacing w:before="100" w:beforeAutospacing="1" w:after="100" w:afterAutospacing="1" w:line="240" w:lineRule="auto"/>
      <w:ind w:leftChars="540" w:left="540"/>
      <w:jc w:val="left"/>
    </w:pPr>
    <w:rPr>
      <w:rFonts w:ascii="Gulim" w:eastAsia="산돌명조 M" w:hAnsi="Gulim" w:cs="Gulim"/>
      <w:snapToGrid/>
      <w:sz w:val="24"/>
      <w:szCs w:val="24"/>
      <w:lang w:eastAsia="ko-KR"/>
    </w:rPr>
  </w:style>
  <w:style w:type="paragraph" w:customStyle="1" w:styleId="ad">
    <w:name w:val="개요"/>
    <w:basedOn w:val="Normal"/>
    <w:pPr>
      <w:tabs>
        <w:tab w:val="clear" w:pos="431"/>
      </w:tabs>
      <w:overflowPunct/>
      <w:adjustRightInd/>
      <w:snapToGrid/>
      <w:spacing w:before="100" w:beforeAutospacing="1" w:after="100" w:afterAutospacing="1" w:line="240" w:lineRule="auto"/>
      <w:ind w:leftChars="540" w:left="540"/>
      <w:jc w:val="left"/>
    </w:pPr>
    <w:rPr>
      <w:rFonts w:ascii="Gulim" w:eastAsia="산돌명조 M" w:hAnsi="Gulim" w:cs="Gulim"/>
      <w:snapToGrid/>
      <w:sz w:val="24"/>
      <w:szCs w:val="24"/>
      <w:lang w:eastAsia="ko-KR"/>
    </w:rPr>
  </w:style>
  <w:style w:type="paragraph" w:customStyle="1" w:styleId="1-1">
    <w:name w:val="1-1."/>
    <w:basedOn w:val="Normal"/>
    <w:pPr>
      <w:tabs>
        <w:tab w:val="clear" w:pos="431"/>
      </w:tabs>
      <w:overflowPunct/>
      <w:adjustRightInd/>
      <w:snapToGrid/>
      <w:spacing w:before="100" w:beforeAutospacing="1" w:after="100" w:afterAutospacing="1" w:line="240" w:lineRule="auto"/>
      <w:ind w:leftChars="540" w:left="540"/>
      <w:jc w:val="left"/>
    </w:pPr>
    <w:rPr>
      <w:rFonts w:ascii="Gulim" w:eastAsia="산돌명조 M" w:hAnsi="Gulim" w:cs="Gulim"/>
      <w:snapToGrid/>
      <w:sz w:val="24"/>
      <w:szCs w:val="24"/>
      <w:lang w:eastAsia="ko-KR"/>
    </w:rPr>
  </w:style>
  <w:style w:type="paragraph" w:styleId="ListParagraph">
    <w:name w:val="List Paragraph"/>
    <w:basedOn w:val="Normal"/>
    <w:link w:val="ListParagraphChar"/>
    <w:qFormat/>
    <w:pPr>
      <w:tabs>
        <w:tab w:val="clear" w:pos="431"/>
      </w:tabs>
      <w:overflowPunct/>
      <w:adjustRightInd/>
      <w:snapToGrid/>
      <w:spacing w:after="120" w:line="240" w:lineRule="auto"/>
      <w:ind w:leftChars="400" w:left="800"/>
      <w:jc w:val="left"/>
    </w:pPr>
    <w:rPr>
      <w:rFonts w:ascii="Gulim" w:eastAsia="산돌명조 M" w:hAnsi="Gulim"/>
      <w:snapToGrid/>
      <w:sz w:val="24"/>
      <w:szCs w:val="24"/>
      <w:lang w:eastAsia="ko-KR"/>
    </w:rPr>
  </w:style>
  <w:style w:type="character" w:customStyle="1" w:styleId="ListParagraphChar">
    <w:name w:val="List Paragraph Char"/>
    <w:link w:val="ListParagraph"/>
    <w:locked/>
    <w:rPr>
      <w:rFonts w:ascii="Gulim" w:eastAsia="산돌명조 M" w:hAnsi="Gulim"/>
      <w:sz w:val="24"/>
      <w:szCs w:val="24"/>
      <w:lang w:eastAsia="ko-KR" w:bidi="ar-SA"/>
    </w:rPr>
  </w:style>
  <w:style w:type="paragraph" w:styleId="Revision">
    <w:name w:val="Revision"/>
    <w:hidden/>
    <w:semiHidden/>
    <w:pPr>
      <w:spacing w:after="120" w:line="320" w:lineRule="exact"/>
      <w:ind w:leftChars="540" w:left="540"/>
      <w:jc w:val="right"/>
    </w:pPr>
    <w:rPr>
      <w:rFonts w:ascii="Calibri" w:eastAsia="산돌명조 M" w:hAnsi="Calibri" w:cs="Calibri"/>
      <w:sz w:val="22"/>
      <w:szCs w:val="22"/>
      <w:lang w:val="en-GB" w:eastAsia="ko-KR"/>
    </w:rPr>
  </w:style>
  <w:style w:type="paragraph" w:customStyle="1" w:styleId="xl103">
    <w:name w:val="xl103"/>
    <w:basedOn w:val="Normal"/>
    <w:pPr>
      <w:tabs>
        <w:tab w:val="clear" w:pos="431"/>
      </w:tabs>
      <w:overflowPunct/>
      <w:adjustRightInd/>
      <w:spacing w:after="120" w:line="384" w:lineRule="auto"/>
      <w:ind w:leftChars="540" w:left="540"/>
      <w:jc w:val="center"/>
    </w:pPr>
    <w:rPr>
      <w:rFonts w:ascii="Dotum" w:eastAsia="Dotum" w:hAnsi="Dotum" w:cs="Dotum"/>
      <w:snapToGrid/>
      <w:color w:val="000000"/>
      <w:sz w:val="20"/>
      <w:lang w:eastAsia="ko-KR"/>
    </w:rPr>
  </w:style>
  <w:style w:type="paragraph" w:customStyle="1" w:styleId="xl102">
    <w:name w:val="xl102"/>
    <w:basedOn w:val="Normal"/>
    <w:pPr>
      <w:tabs>
        <w:tab w:val="clear" w:pos="431"/>
      </w:tabs>
      <w:overflowPunct/>
      <w:adjustRightInd/>
      <w:spacing w:after="120" w:line="384" w:lineRule="auto"/>
      <w:ind w:leftChars="540" w:left="540"/>
      <w:jc w:val="right"/>
    </w:pPr>
    <w:rPr>
      <w:rFonts w:eastAsia="산돌명조 M"/>
      <w:snapToGrid/>
      <w:color w:val="000000"/>
      <w:sz w:val="20"/>
      <w:lang w:eastAsia="ko-KR"/>
    </w:rPr>
  </w:style>
  <w:style w:type="paragraph" w:customStyle="1" w:styleId="xl105">
    <w:name w:val="xl105"/>
    <w:basedOn w:val="Normal"/>
    <w:pPr>
      <w:tabs>
        <w:tab w:val="clear" w:pos="431"/>
      </w:tabs>
      <w:overflowPunct/>
      <w:adjustRightInd/>
      <w:spacing w:after="120" w:line="384" w:lineRule="auto"/>
      <w:ind w:leftChars="540" w:left="540"/>
      <w:jc w:val="center"/>
    </w:pPr>
    <w:rPr>
      <w:rFonts w:eastAsia="산돌명조 M"/>
      <w:snapToGrid/>
      <w:color w:val="000000"/>
      <w:sz w:val="20"/>
      <w:lang w:eastAsia="ko-KR"/>
    </w:rPr>
  </w:style>
  <w:style w:type="paragraph" w:customStyle="1" w:styleId="xl106">
    <w:name w:val="xl106"/>
    <w:basedOn w:val="Normal"/>
    <w:pPr>
      <w:tabs>
        <w:tab w:val="clear" w:pos="431"/>
      </w:tabs>
      <w:overflowPunct/>
      <w:adjustRightInd/>
      <w:spacing w:after="120" w:line="384" w:lineRule="auto"/>
      <w:ind w:leftChars="540" w:left="540"/>
    </w:pPr>
    <w:rPr>
      <w:rFonts w:eastAsia="산돌명조 M"/>
      <w:snapToGrid/>
      <w:color w:val="000000"/>
      <w:sz w:val="22"/>
      <w:szCs w:val="22"/>
      <w:lang w:eastAsia="ko-KR"/>
    </w:rPr>
  </w:style>
  <w:style w:type="paragraph" w:customStyle="1" w:styleId="MS">
    <w:name w:val="MS바탕글"/>
    <w:basedOn w:val="Normal"/>
    <w:pPr>
      <w:tabs>
        <w:tab w:val="clear" w:pos="431"/>
      </w:tabs>
      <w:overflowPunct/>
      <w:adjustRightInd/>
      <w:spacing w:after="120" w:line="384" w:lineRule="auto"/>
      <w:ind w:leftChars="540" w:left="540"/>
    </w:pPr>
    <w:rPr>
      <w:rFonts w:eastAsia="산돌명조 M"/>
      <w:snapToGrid/>
      <w:color w:val="000000"/>
      <w:sz w:val="20"/>
      <w:lang w:eastAsia="ko-KR"/>
    </w:rPr>
  </w:style>
  <w:style w:type="paragraph" w:customStyle="1" w:styleId="ae">
    <w:name w:val="패표"/>
    <w:basedOn w:val="Normal"/>
    <w:pPr>
      <w:tabs>
        <w:tab w:val="clear" w:pos="431"/>
      </w:tabs>
      <w:overflowPunct/>
      <w:adjustRightInd/>
      <w:snapToGrid/>
      <w:spacing w:before="100" w:beforeAutospacing="1" w:after="100" w:afterAutospacing="1" w:line="240" w:lineRule="auto"/>
      <w:ind w:leftChars="540" w:left="540"/>
      <w:jc w:val="left"/>
    </w:pPr>
    <w:rPr>
      <w:rFonts w:ascii="Gulim" w:eastAsia="Gulim" w:hAnsi="Gulim" w:cs="Gulim"/>
      <w:snapToGrid/>
      <w:sz w:val="24"/>
      <w:szCs w:val="24"/>
      <w:lang w:eastAsia="ko-KR"/>
    </w:rPr>
  </w:style>
  <w:style w:type="paragraph" w:customStyle="1" w:styleId="af">
    <w:name w:val="단위"/>
    <w:basedOn w:val="Normal"/>
    <w:pPr>
      <w:widowControl w:val="0"/>
      <w:tabs>
        <w:tab w:val="clear" w:pos="431"/>
      </w:tabs>
      <w:wordWrap w:val="0"/>
      <w:overflowPunct/>
      <w:autoSpaceDE w:val="0"/>
      <w:autoSpaceDN w:val="0"/>
      <w:adjustRightInd/>
      <w:snapToGrid/>
      <w:spacing w:after="120" w:line="360" w:lineRule="auto"/>
      <w:ind w:leftChars="540" w:left="540"/>
      <w:jc w:val="right"/>
    </w:pPr>
    <w:rPr>
      <w:rFonts w:eastAsia="산돌명조 M"/>
      <w:snapToGrid/>
      <w:kern w:val="2"/>
      <w:sz w:val="20"/>
      <w:lang w:eastAsia="ko-KR"/>
    </w:rPr>
  </w:style>
  <w:style w:type="paragraph" w:styleId="Subtitle">
    <w:name w:val="Subtitle"/>
    <w:basedOn w:val="Normal"/>
    <w:next w:val="Normal"/>
    <w:link w:val="SubtitleChar"/>
    <w:qFormat/>
    <w:pPr>
      <w:widowControl w:val="0"/>
      <w:tabs>
        <w:tab w:val="clear" w:pos="431"/>
      </w:tabs>
      <w:wordWrap w:val="0"/>
      <w:overflowPunct/>
      <w:autoSpaceDE w:val="0"/>
      <w:autoSpaceDN w:val="0"/>
      <w:adjustRightInd/>
      <w:snapToGrid/>
      <w:spacing w:after="60" w:line="240" w:lineRule="auto"/>
      <w:ind w:leftChars="540" w:left="540"/>
      <w:jc w:val="center"/>
      <w:outlineLvl w:val="1"/>
    </w:pPr>
    <w:rPr>
      <w:rFonts w:ascii="Malgun Gothic" w:eastAsia="Malgun Gothic" w:hAnsi="Malgun Gothic" w:cs="Malgun Gothic"/>
      <w:snapToGrid/>
      <w:kern w:val="2"/>
      <w:sz w:val="24"/>
      <w:szCs w:val="24"/>
      <w:lang w:eastAsia="ko-KR"/>
    </w:rPr>
  </w:style>
  <w:style w:type="character" w:customStyle="1" w:styleId="SubtitleChar">
    <w:name w:val="Subtitle Char"/>
    <w:link w:val="Subtitle"/>
    <w:locked/>
    <w:rPr>
      <w:rFonts w:ascii="Malgun Gothic" w:eastAsia="Malgun Gothic" w:hAnsi="Malgun Gothic" w:cs="Malgun Gothic"/>
      <w:kern w:val="2"/>
      <w:sz w:val="24"/>
      <w:szCs w:val="24"/>
      <w:lang w:val="en-US" w:eastAsia="ko-KR" w:bidi="ar-SA"/>
    </w:rPr>
  </w:style>
  <w:style w:type="paragraph" w:styleId="DocumentMap">
    <w:name w:val="Document Map"/>
    <w:basedOn w:val="Normal"/>
    <w:link w:val="DocumentMapChar"/>
    <w:semiHidden/>
    <w:pPr>
      <w:widowControl w:val="0"/>
      <w:tabs>
        <w:tab w:val="clear" w:pos="431"/>
      </w:tabs>
      <w:wordWrap w:val="0"/>
      <w:overflowPunct/>
      <w:autoSpaceDE w:val="0"/>
      <w:autoSpaceDN w:val="0"/>
      <w:adjustRightInd/>
      <w:snapToGrid/>
      <w:spacing w:after="120" w:line="240" w:lineRule="auto"/>
      <w:ind w:leftChars="540" w:left="540"/>
    </w:pPr>
    <w:rPr>
      <w:rFonts w:ascii="Gulim" w:eastAsia="Gulim" w:cs="Gulim"/>
      <w:snapToGrid/>
      <w:kern w:val="2"/>
      <w:sz w:val="18"/>
      <w:szCs w:val="18"/>
      <w:lang w:eastAsia="ko-KR"/>
    </w:rPr>
  </w:style>
  <w:style w:type="character" w:customStyle="1" w:styleId="DocumentMapChar">
    <w:name w:val="Document Map Char"/>
    <w:link w:val="DocumentMap"/>
    <w:semiHidden/>
    <w:locked/>
    <w:rPr>
      <w:rFonts w:ascii="Gulim" w:eastAsia="Gulim" w:cs="Gulim"/>
      <w:kern w:val="2"/>
      <w:sz w:val="18"/>
      <w:szCs w:val="18"/>
      <w:lang w:val="en-US" w:eastAsia="ko-KR" w:bidi="ar-SA"/>
    </w:rPr>
  </w:style>
  <w:style w:type="paragraph" w:customStyle="1" w:styleId="af0">
    <w:name w:val="소스"/>
    <w:basedOn w:val="Normal"/>
    <w:pPr>
      <w:widowControl w:val="0"/>
      <w:tabs>
        <w:tab w:val="clear" w:pos="431"/>
      </w:tabs>
      <w:wordWrap w:val="0"/>
      <w:overflowPunct/>
      <w:autoSpaceDE w:val="0"/>
      <w:autoSpaceDN w:val="0"/>
      <w:adjustRightInd/>
      <w:snapToGrid/>
      <w:spacing w:before="72" w:after="120" w:line="240" w:lineRule="exact"/>
      <w:ind w:leftChars="540" w:left="540"/>
    </w:pPr>
    <w:rPr>
      <w:rFonts w:eastAsia="Malgun Gothic"/>
      <w:snapToGrid/>
      <w:color w:val="000000"/>
      <w:kern w:val="2"/>
      <w:sz w:val="20"/>
      <w:szCs w:val="22"/>
      <w:lang w:eastAsia="ko-KR"/>
    </w:rPr>
  </w:style>
  <w:style w:type="paragraph" w:customStyle="1" w:styleId="article">
    <w:name w:val="article"/>
    <w:basedOn w:val="Normal"/>
    <w:pPr>
      <w:widowControl w:val="0"/>
      <w:tabs>
        <w:tab w:val="clear" w:pos="431"/>
      </w:tabs>
      <w:wordWrap w:val="0"/>
      <w:overflowPunct/>
      <w:autoSpaceDE w:val="0"/>
      <w:autoSpaceDN w:val="0"/>
      <w:adjustRightInd/>
      <w:snapToGrid/>
      <w:spacing w:after="120" w:line="360" w:lineRule="auto"/>
      <w:ind w:leftChars="540" w:left="540"/>
      <w:jc w:val="center"/>
    </w:pPr>
    <w:rPr>
      <w:rFonts w:eastAsia="Malgun Gothic"/>
      <w:b/>
      <w:bCs/>
      <w:snapToGrid/>
      <w:color w:val="000000"/>
      <w:kern w:val="2"/>
      <w:sz w:val="28"/>
      <w:szCs w:val="28"/>
      <w:lang w:eastAsia="ko-KR"/>
    </w:rPr>
  </w:style>
  <w:style w:type="paragraph" w:customStyle="1" w:styleId="1">
    <w:name w:val="표제목_1"/>
    <w:basedOn w:val="Normal"/>
    <w:pPr>
      <w:widowControl w:val="0"/>
      <w:tabs>
        <w:tab w:val="clear" w:pos="431"/>
      </w:tabs>
      <w:wordWrap w:val="0"/>
      <w:overflowPunct/>
      <w:autoSpaceDE w:val="0"/>
      <w:autoSpaceDN w:val="0"/>
      <w:adjustRightInd/>
      <w:snapToGrid/>
      <w:spacing w:after="240" w:line="276" w:lineRule="auto"/>
      <w:ind w:leftChars="540" w:left="540"/>
    </w:pPr>
    <w:rPr>
      <w:rFonts w:eastAsia="Malgun Gothic"/>
      <w:b/>
      <w:bCs/>
      <w:snapToGrid/>
      <w:color w:val="000000"/>
      <w:kern w:val="2"/>
      <w:sz w:val="24"/>
      <w:szCs w:val="24"/>
      <w:lang w:eastAsia="ko-KR"/>
    </w:rPr>
  </w:style>
  <w:style w:type="paragraph" w:styleId="PlainText">
    <w:name w:val="Plain Text"/>
    <w:basedOn w:val="Normal"/>
    <w:link w:val="PlainTextChar"/>
    <w:pPr>
      <w:widowControl w:val="0"/>
      <w:tabs>
        <w:tab w:val="clear" w:pos="431"/>
      </w:tabs>
      <w:overflowPunct/>
      <w:adjustRightInd/>
      <w:snapToGrid/>
      <w:spacing w:line="240" w:lineRule="auto"/>
    </w:pPr>
    <w:rPr>
      <w:rFonts w:ascii="Courier New" w:hAnsi="Courier New" w:cs="Courier New"/>
      <w:snapToGrid/>
      <w:kern w:val="2"/>
      <w:szCs w:val="24"/>
    </w:rPr>
  </w:style>
  <w:style w:type="character" w:customStyle="1" w:styleId="PlainTextChar">
    <w:name w:val="Plain Text Char"/>
    <w:basedOn w:val="DefaultParagraphFont"/>
    <w:link w:val="PlainText"/>
    <w:rPr>
      <w:rFonts w:ascii="Courier New" w:eastAsia="SimSun" w:hAnsi="Courier New" w:cs="Courier New"/>
      <w:kern w:val="2"/>
      <w:sz w:val="21"/>
      <w:szCs w:val="24"/>
      <w:lang w:val="en-US" w:eastAsia="zh-CN" w:bidi="ar-SA"/>
    </w:rPr>
  </w:style>
  <w:style w:type="paragraph" w:customStyle="1" w:styleId="Potpisnik">
    <w:name w:val="Potpisnik"/>
    <w:basedOn w:val="Normal"/>
    <w:next w:val="Normal"/>
    <w:pPr>
      <w:widowControl w:val="0"/>
      <w:tabs>
        <w:tab w:val="clear" w:pos="431"/>
      </w:tabs>
      <w:overflowPunct/>
      <w:adjustRightInd/>
      <w:snapToGrid/>
      <w:spacing w:line="240" w:lineRule="auto"/>
      <w:jc w:val="center"/>
    </w:pPr>
    <w:rPr>
      <w:snapToGrid/>
      <w:kern w:val="2"/>
      <w:sz w:val="24"/>
      <w:szCs w:val="24"/>
      <w:lang w:val="hr-HR"/>
    </w:rPr>
  </w:style>
  <w:style w:type="paragraph" w:customStyle="1" w:styleId="CharChar1CharChar">
    <w:name w:val="Char Char1 Char Char"/>
    <w:basedOn w:val="Normal"/>
    <w:pPr>
      <w:widowControl w:val="0"/>
      <w:tabs>
        <w:tab w:val="clear" w:pos="431"/>
      </w:tabs>
      <w:overflowPunct/>
      <w:adjustRightInd/>
      <w:snapToGrid/>
      <w:spacing w:after="160" w:line="240" w:lineRule="exact"/>
    </w:pPr>
    <w:rPr>
      <w:snapToGrid/>
      <w:kern w:val="2"/>
      <w:szCs w:val="24"/>
    </w:rPr>
  </w:style>
  <w:style w:type="paragraph" w:styleId="BodyText2">
    <w:name w:val="Body Text 2"/>
    <w:basedOn w:val="Normal"/>
    <w:link w:val="BodyText2Char"/>
    <w:pPr>
      <w:widowControl w:val="0"/>
      <w:tabs>
        <w:tab w:val="clear" w:pos="431"/>
      </w:tabs>
      <w:overflowPunct/>
      <w:adjustRightInd/>
      <w:snapToGrid/>
      <w:spacing w:after="120" w:line="480" w:lineRule="auto"/>
    </w:pPr>
    <w:rPr>
      <w:snapToGrid/>
      <w:kern w:val="2"/>
      <w:sz w:val="24"/>
      <w:szCs w:val="24"/>
      <w:lang w:val="hr-HR"/>
    </w:rPr>
  </w:style>
  <w:style w:type="character" w:customStyle="1" w:styleId="BodyText2Char">
    <w:name w:val="Body Text 2 Char"/>
    <w:basedOn w:val="DefaultParagraphFont"/>
    <w:link w:val="BodyText2"/>
    <w:rPr>
      <w:rFonts w:eastAsia="SimSun"/>
      <w:kern w:val="2"/>
      <w:sz w:val="24"/>
      <w:szCs w:val="24"/>
      <w:lang w:val="hr-HR" w:eastAsia="zh-CN" w:bidi="ar-SA"/>
    </w:rPr>
  </w:style>
  <w:style w:type="paragraph" w:styleId="BodyText3">
    <w:name w:val="Body Text 3"/>
    <w:basedOn w:val="Normal"/>
    <w:link w:val="BodyText3Char"/>
    <w:pPr>
      <w:widowControl w:val="0"/>
      <w:tabs>
        <w:tab w:val="clear" w:pos="431"/>
      </w:tabs>
      <w:overflowPunct/>
      <w:adjustRightInd/>
      <w:snapToGrid/>
      <w:spacing w:after="120" w:line="240" w:lineRule="auto"/>
    </w:pPr>
    <w:rPr>
      <w:snapToGrid/>
      <w:kern w:val="2"/>
      <w:sz w:val="16"/>
      <w:szCs w:val="16"/>
      <w:lang w:val="hr-HR"/>
    </w:rPr>
  </w:style>
  <w:style w:type="character" w:customStyle="1" w:styleId="BodyText3Char">
    <w:name w:val="Body Text 3 Char"/>
    <w:basedOn w:val="DefaultParagraphFont"/>
    <w:link w:val="BodyText3"/>
    <w:rPr>
      <w:rFonts w:eastAsia="SimSun"/>
      <w:kern w:val="2"/>
      <w:sz w:val="16"/>
      <w:szCs w:val="16"/>
      <w:lang w:val="hr-HR" w:eastAsia="zh-CN" w:bidi="ar-SA"/>
    </w:rPr>
  </w:style>
  <w:style w:type="paragraph" w:styleId="BodyTextIndent3">
    <w:name w:val="Body Text Indent 3"/>
    <w:aliases w:val="uvlaka 3"/>
    <w:basedOn w:val="Normal"/>
    <w:link w:val="BodyTextIndent3Char"/>
    <w:pPr>
      <w:widowControl w:val="0"/>
      <w:tabs>
        <w:tab w:val="clear" w:pos="431"/>
      </w:tabs>
      <w:overflowPunct/>
      <w:adjustRightInd/>
      <w:snapToGrid/>
      <w:spacing w:line="240" w:lineRule="auto"/>
      <w:ind w:left="720" w:hanging="360"/>
    </w:pPr>
    <w:rPr>
      <w:snapToGrid/>
      <w:kern w:val="2"/>
      <w:sz w:val="24"/>
      <w:szCs w:val="24"/>
      <w:lang w:val="hr-HR"/>
    </w:rPr>
  </w:style>
  <w:style w:type="character" w:customStyle="1" w:styleId="BodyTextIndent3Char">
    <w:name w:val="Body Text Indent 3 Char"/>
    <w:aliases w:val="uvlaka 3 Char1"/>
    <w:basedOn w:val="DefaultParagraphFont"/>
    <w:link w:val="BodyTextIndent3"/>
    <w:rPr>
      <w:rFonts w:eastAsia="SimSun"/>
      <w:kern w:val="2"/>
      <w:sz w:val="24"/>
      <w:szCs w:val="24"/>
      <w:lang w:val="hr-HR" w:eastAsia="zh-CN" w:bidi="ar-SA"/>
    </w:rPr>
  </w:style>
  <w:style w:type="paragraph" w:styleId="BodyTextIndent2">
    <w:name w:val="Body Text Indent 2"/>
    <w:basedOn w:val="Normal"/>
    <w:link w:val="BodyTextIndent2Char"/>
    <w:pPr>
      <w:widowControl w:val="0"/>
      <w:tabs>
        <w:tab w:val="clear" w:pos="431"/>
      </w:tabs>
      <w:overflowPunct/>
      <w:adjustRightInd/>
      <w:snapToGrid/>
      <w:spacing w:after="120" w:line="480" w:lineRule="auto"/>
      <w:ind w:left="283"/>
    </w:pPr>
    <w:rPr>
      <w:snapToGrid/>
      <w:kern w:val="2"/>
      <w:sz w:val="24"/>
      <w:szCs w:val="24"/>
      <w:lang w:val="hr-HR"/>
    </w:rPr>
  </w:style>
  <w:style w:type="character" w:customStyle="1" w:styleId="BodyTextIndent2Char">
    <w:name w:val="Body Text Indent 2 Char"/>
    <w:basedOn w:val="DefaultParagraphFont"/>
    <w:link w:val="BodyTextIndent2"/>
    <w:rPr>
      <w:rFonts w:eastAsia="SimSun"/>
      <w:kern w:val="2"/>
      <w:sz w:val="24"/>
      <w:szCs w:val="24"/>
      <w:lang w:val="hr-HR" w:eastAsia="zh-CN" w:bidi="ar-SA"/>
    </w:rPr>
  </w:style>
  <w:style w:type="paragraph" w:styleId="TOC1">
    <w:name w:val="toc 1"/>
    <w:basedOn w:val="Normal"/>
    <w:next w:val="Normal"/>
    <w:autoRedefine/>
    <w:pPr>
      <w:widowControl w:val="0"/>
      <w:tabs>
        <w:tab w:val="clear" w:pos="431"/>
        <w:tab w:val="right" w:leader="dot" w:pos="9062"/>
      </w:tabs>
      <w:overflowPunct/>
      <w:adjustRightInd/>
      <w:snapToGrid/>
      <w:spacing w:line="240" w:lineRule="auto"/>
    </w:pPr>
    <w:rPr>
      <w:b/>
      <w:bCs/>
      <w:noProof/>
      <w:snapToGrid/>
      <w:kern w:val="2"/>
      <w:sz w:val="36"/>
      <w:szCs w:val="36"/>
      <w:u w:val="single"/>
      <w:vertAlign w:val="superscript"/>
    </w:rPr>
  </w:style>
  <w:style w:type="paragraph" w:customStyle="1" w:styleId="Default">
    <w:name w:val="Default"/>
    <w:pPr>
      <w:autoSpaceDE w:val="0"/>
      <w:autoSpaceDN w:val="0"/>
      <w:adjustRightInd w:val="0"/>
      <w:spacing w:after="80" w:line="240" w:lineRule="atLeast"/>
      <w:ind w:leftChars="540" w:left="540"/>
      <w:jc w:val="both"/>
    </w:pPr>
    <w:rPr>
      <w:snapToGrid w:val="0"/>
      <w:color w:val="000000"/>
      <w:sz w:val="24"/>
      <w:szCs w:val="24"/>
      <w:lang w:val="hr-HR" w:eastAsia="zh-CN"/>
    </w:rPr>
  </w:style>
  <w:style w:type="paragraph" w:customStyle="1" w:styleId="clanak">
    <w:name w:val="clanak"/>
    <w:basedOn w:val="Normal"/>
    <w:pPr>
      <w:widowControl w:val="0"/>
      <w:tabs>
        <w:tab w:val="clear" w:pos="431"/>
      </w:tabs>
      <w:overflowPunct/>
      <w:adjustRightInd/>
      <w:snapToGrid/>
      <w:spacing w:before="100" w:beforeAutospacing="1" w:after="100" w:afterAutospacing="1" w:line="240" w:lineRule="auto"/>
      <w:jc w:val="center"/>
    </w:pPr>
    <w:rPr>
      <w:snapToGrid/>
      <w:kern w:val="2"/>
      <w:sz w:val="24"/>
      <w:szCs w:val="24"/>
      <w:lang w:val="hr-HR"/>
    </w:rPr>
  </w:style>
  <w:style w:type="paragraph" w:customStyle="1" w:styleId="Bezproreda">
    <w:name w:val="Bez proreda"/>
    <w:pPr>
      <w:spacing w:after="80" w:line="240" w:lineRule="atLeast"/>
      <w:ind w:leftChars="540" w:left="540"/>
      <w:jc w:val="both"/>
    </w:pPr>
    <w:rPr>
      <w:rFonts w:ascii="Calibri" w:hAnsi="Calibri" w:cs="Calibri"/>
      <w:snapToGrid w:val="0"/>
      <w:sz w:val="22"/>
      <w:szCs w:val="22"/>
      <w:lang w:val="hr-HR" w:eastAsia="zh-CN"/>
    </w:rPr>
  </w:style>
  <w:style w:type="paragraph" w:styleId="NoSpacing">
    <w:name w:val="No Spacing"/>
    <w:link w:val="NoSpacingChar"/>
    <w:qFormat/>
    <w:pPr>
      <w:spacing w:after="80" w:line="240" w:lineRule="atLeast"/>
      <w:ind w:leftChars="540" w:left="540"/>
      <w:jc w:val="both"/>
    </w:pPr>
    <w:rPr>
      <w:rFonts w:ascii="Calibri" w:hAnsi="Calibri"/>
      <w:snapToGrid w:val="0"/>
      <w:sz w:val="22"/>
      <w:szCs w:val="22"/>
      <w:lang w:val="hr-HR"/>
    </w:rPr>
  </w:style>
  <w:style w:type="character" w:customStyle="1" w:styleId="NoSpacingChar">
    <w:name w:val="No Spacing Char"/>
    <w:link w:val="NoSpacing"/>
    <w:locked/>
    <w:rPr>
      <w:rFonts w:ascii="Calibri" w:hAnsi="Calibri"/>
      <w:snapToGrid w:val="0"/>
      <w:sz w:val="22"/>
      <w:szCs w:val="22"/>
      <w:lang w:val="hr-HR" w:bidi="ar-SA"/>
    </w:rPr>
  </w:style>
  <w:style w:type="paragraph" w:customStyle="1" w:styleId="CharCharCharChar">
    <w:name w:val="Char Char Char Char"/>
    <w:basedOn w:val="Normal"/>
    <w:pPr>
      <w:widowControl w:val="0"/>
      <w:tabs>
        <w:tab w:val="clear" w:pos="431"/>
      </w:tabs>
      <w:overflowPunct/>
      <w:autoSpaceDE w:val="0"/>
      <w:autoSpaceDN w:val="0"/>
      <w:snapToGrid/>
      <w:spacing w:after="160" w:line="240" w:lineRule="exact"/>
    </w:pPr>
    <w:rPr>
      <w:noProof/>
      <w:snapToGrid/>
      <w:kern w:val="2"/>
      <w:szCs w:val="24"/>
    </w:rPr>
  </w:style>
  <w:style w:type="paragraph" w:customStyle="1" w:styleId="naslov-1">
    <w:name w:val="naslov - 1"/>
    <w:basedOn w:val="TOC1"/>
    <w:pPr>
      <w:tabs>
        <w:tab w:val="right" w:leader="dot" w:pos="8630"/>
      </w:tabs>
      <w:suppressAutoHyphens/>
      <w:jc w:val="left"/>
    </w:pPr>
    <w:rPr>
      <w:sz w:val="28"/>
      <w:szCs w:val="28"/>
      <w:u w:val="none"/>
      <w:vertAlign w:val="baseline"/>
    </w:rPr>
  </w:style>
  <w:style w:type="paragraph" w:styleId="BodyTextIndent">
    <w:name w:val="Body Text Indent"/>
    <w:basedOn w:val="Normal"/>
    <w:link w:val="BodyTextIndentChar"/>
    <w:pPr>
      <w:widowControl w:val="0"/>
      <w:tabs>
        <w:tab w:val="clear" w:pos="431"/>
      </w:tabs>
      <w:overflowPunct/>
      <w:adjustRightInd/>
      <w:snapToGrid/>
      <w:spacing w:after="120" w:line="240" w:lineRule="auto"/>
      <w:ind w:left="283"/>
    </w:pPr>
    <w:rPr>
      <w:snapToGrid/>
      <w:kern w:val="2"/>
      <w:sz w:val="24"/>
      <w:szCs w:val="24"/>
      <w:lang w:val="hr-HR"/>
    </w:rPr>
  </w:style>
  <w:style w:type="character" w:customStyle="1" w:styleId="BodyTextIndentChar">
    <w:name w:val="Body Text Indent Char"/>
    <w:basedOn w:val="DefaultParagraphFont"/>
    <w:link w:val="BodyTextIndent"/>
    <w:rPr>
      <w:rFonts w:eastAsia="SimSun"/>
      <w:kern w:val="2"/>
      <w:sz w:val="24"/>
      <w:szCs w:val="24"/>
      <w:lang w:val="hr-HR" w:eastAsia="zh-CN" w:bidi="ar-SA"/>
    </w:rPr>
  </w:style>
  <w:style w:type="paragraph" w:customStyle="1" w:styleId="T-98-2">
    <w:name w:val="T-9/8-2"/>
    <w:pPr>
      <w:widowControl w:val="0"/>
      <w:tabs>
        <w:tab w:val="left" w:pos="2153"/>
      </w:tabs>
      <w:autoSpaceDE w:val="0"/>
      <w:autoSpaceDN w:val="0"/>
      <w:adjustRightInd w:val="0"/>
      <w:spacing w:after="43" w:line="240" w:lineRule="atLeast"/>
      <w:ind w:leftChars="540" w:left="540" w:firstLine="342"/>
      <w:jc w:val="both"/>
    </w:pPr>
    <w:rPr>
      <w:snapToGrid w:val="0"/>
      <w:sz w:val="19"/>
      <w:szCs w:val="19"/>
      <w:lang w:val="hr-HR" w:eastAsia="zh-CN"/>
    </w:rPr>
  </w:style>
  <w:style w:type="paragraph" w:customStyle="1" w:styleId="Clanak0">
    <w:name w:val="Clanak"/>
    <w:next w:val="T-98-2"/>
    <w:pPr>
      <w:widowControl w:val="0"/>
      <w:adjustRightInd w:val="0"/>
      <w:spacing w:before="86" w:after="43" w:line="240" w:lineRule="atLeast"/>
      <w:ind w:leftChars="540" w:left="540"/>
      <w:jc w:val="center"/>
    </w:pPr>
    <w:rPr>
      <w:snapToGrid w:val="0"/>
      <w:sz w:val="19"/>
      <w:szCs w:val="19"/>
      <w:lang w:val="en-GB" w:eastAsia="zh-CN"/>
    </w:rPr>
  </w:style>
  <w:style w:type="paragraph" w:customStyle="1" w:styleId="t-98-20">
    <w:name w:val="t-98-2"/>
    <w:basedOn w:val="Normal"/>
    <w:pPr>
      <w:widowControl w:val="0"/>
      <w:tabs>
        <w:tab w:val="clear" w:pos="431"/>
      </w:tabs>
      <w:overflowPunct/>
      <w:adjustRightInd/>
      <w:snapToGrid/>
      <w:spacing w:before="100" w:beforeAutospacing="1" w:after="100" w:afterAutospacing="1" w:line="240" w:lineRule="auto"/>
    </w:pPr>
    <w:rPr>
      <w:snapToGrid/>
      <w:kern w:val="2"/>
      <w:sz w:val="24"/>
      <w:szCs w:val="24"/>
      <w:lang w:val="hr-HR"/>
    </w:rPr>
  </w:style>
  <w:style w:type="paragraph" w:customStyle="1" w:styleId="default0">
    <w:name w:val="default"/>
    <w:basedOn w:val="Normal"/>
    <w:pPr>
      <w:widowControl w:val="0"/>
      <w:tabs>
        <w:tab w:val="clear" w:pos="431"/>
      </w:tabs>
      <w:overflowPunct/>
      <w:autoSpaceDE w:val="0"/>
      <w:autoSpaceDN w:val="0"/>
      <w:adjustRightInd/>
      <w:snapToGrid/>
      <w:spacing w:line="240" w:lineRule="auto"/>
    </w:pPr>
    <w:rPr>
      <w:snapToGrid/>
      <w:color w:val="000000"/>
      <w:kern w:val="2"/>
      <w:sz w:val="24"/>
      <w:szCs w:val="24"/>
      <w:lang w:val="hr-HR"/>
    </w:rPr>
  </w:style>
  <w:style w:type="paragraph" w:customStyle="1" w:styleId="spip">
    <w:name w:val="spip"/>
    <w:basedOn w:val="Normal"/>
    <w:pPr>
      <w:widowControl w:val="0"/>
      <w:tabs>
        <w:tab w:val="clear" w:pos="431"/>
      </w:tabs>
      <w:overflowPunct/>
      <w:adjustRightInd/>
      <w:snapToGrid/>
      <w:spacing w:before="100" w:beforeAutospacing="1" w:after="100" w:afterAutospacing="1" w:line="240" w:lineRule="auto"/>
    </w:pPr>
    <w:rPr>
      <w:snapToGrid/>
      <w:kern w:val="2"/>
      <w:sz w:val="24"/>
      <w:szCs w:val="24"/>
      <w:lang w:val="hr-HR"/>
    </w:rPr>
  </w:style>
  <w:style w:type="paragraph" w:styleId="TOC2">
    <w:name w:val="toc 2"/>
    <w:basedOn w:val="Normal"/>
    <w:next w:val="Normal"/>
    <w:autoRedefine/>
    <w:pPr>
      <w:widowControl w:val="0"/>
      <w:tabs>
        <w:tab w:val="clear" w:pos="431"/>
      </w:tabs>
      <w:overflowPunct/>
      <w:adjustRightInd/>
      <w:snapToGrid/>
      <w:spacing w:line="240" w:lineRule="auto"/>
      <w:ind w:left="240"/>
    </w:pPr>
    <w:rPr>
      <w:snapToGrid/>
      <w:kern w:val="2"/>
      <w:sz w:val="24"/>
      <w:szCs w:val="24"/>
      <w:lang w:val="hr-HR"/>
    </w:rPr>
  </w:style>
  <w:style w:type="paragraph" w:customStyle="1" w:styleId="t-12-9-fett-s">
    <w:name w:val="t-12-9-fett-s"/>
    <w:basedOn w:val="Normal"/>
    <w:pPr>
      <w:widowControl w:val="0"/>
      <w:tabs>
        <w:tab w:val="clear" w:pos="431"/>
      </w:tabs>
      <w:overflowPunct/>
      <w:adjustRightInd/>
      <w:snapToGrid/>
      <w:spacing w:before="100" w:beforeAutospacing="1" w:after="100" w:afterAutospacing="1" w:line="240" w:lineRule="auto"/>
      <w:jc w:val="center"/>
    </w:pPr>
    <w:rPr>
      <w:b/>
      <w:bCs/>
      <w:snapToGrid/>
      <w:kern w:val="2"/>
      <w:sz w:val="28"/>
      <w:szCs w:val="28"/>
      <w:lang w:val="hr-HR"/>
    </w:rPr>
  </w:style>
  <w:style w:type="paragraph" w:customStyle="1" w:styleId="t-9-8">
    <w:name w:val="t-9-8"/>
    <w:basedOn w:val="Normal"/>
    <w:pPr>
      <w:widowControl w:val="0"/>
      <w:tabs>
        <w:tab w:val="clear" w:pos="431"/>
      </w:tabs>
      <w:overflowPunct/>
      <w:adjustRightInd/>
      <w:snapToGrid/>
      <w:spacing w:before="100" w:beforeAutospacing="1" w:after="100" w:afterAutospacing="1" w:line="240" w:lineRule="auto"/>
    </w:pPr>
    <w:rPr>
      <w:snapToGrid/>
      <w:kern w:val="2"/>
      <w:sz w:val="24"/>
      <w:szCs w:val="24"/>
      <w:lang w:val="hr-HR"/>
    </w:rPr>
  </w:style>
  <w:style w:type="paragraph" w:styleId="ListContinue2">
    <w:name w:val="List Continue 2"/>
    <w:basedOn w:val="Normal"/>
    <w:pPr>
      <w:widowControl w:val="0"/>
      <w:tabs>
        <w:tab w:val="clear" w:pos="431"/>
      </w:tabs>
      <w:overflowPunct/>
      <w:adjustRightInd/>
      <w:snapToGrid/>
      <w:spacing w:after="120" w:line="240" w:lineRule="auto"/>
      <w:ind w:left="720"/>
    </w:pPr>
    <w:rPr>
      <w:snapToGrid/>
      <w:kern w:val="2"/>
      <w:sz w:val="24"/>
      <w:szCs w:val="24"/>
      <w:lang w:val="hr-HR"/>
    </w:rPr>
  </w:style>
  <w:style w:type="character" w:customStyle="1" w:styleId="SingleTxtGCChar">
    <w:name w:val="_ Single Txt_GC Char"/>
    <w:basedOn w:val="DefaultParagraphFont"/>
    <w:link w:val="SingleTxtGC"/>
    <w:locked/>
    <w:rPr>
      <w:rFonts w:eastAsia="SimSun"/>
      <w:snapToGrid w:val="0"/>
      <w:sz w:val="21"/>
      <w:lang w:val="en-US" w:eastAsia="zh-CN" w:bidi="ar-SA"/>
    </w:rPr>
  </w:style>
  <w:style w:type="character" w:customStyle="1" w:styleId="SingleTxtGChar">
    <w:name w:val="_ Single Txt_G Char"/>
    <w:link w:val="SingleTxtG"/>
    <w:locked/>
    <w:rPr>
      <w:rFonts w:eastAsia="SimSun"/>
      <w:lang w:val="en-GB" w:eastAsia="en-US"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D\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2</TotalTime>
  <Pages>1</Pages>
  <Words>8378</Words>
  <Characters>47761</Characters>
  <Application>Microsoft Office Outlook</Application>
  <DocSecurity>4</DocSecurity>
  <Lines>398</Lines>
  <Paragraphs>112</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56027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dc:creator>
  <cp:keywords/>
  <dc:description/>
  <cp:lastModifiedBy>CSD</cp:lastModifiedBy>
  <cp:revision>4</cp:revision>
  <cp:lastPrinted>2013-08-19T12:07:00Z</cp:lastPrinted>
  <dcterms:created xsi:type="dcterms:W3CDTF">2013-08-19T12:07:00Z</dcterms:created>
  <dcterms:modified xsi:type="dcterms:W3CDTF">2013-08-19T12:08:00Z</dcterms:modified>
</cp:coreProperties>
</file>