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A64" w:rsidRDefault="00914A64" w:rsidP="00914A64">
      <w:pPr>
        <w:spacing w:line="60" w:lineRule="exact"/>
        <w:rPr>
          <w:sz w:val="6"/>
        </w:rPr>
        <w:sectPr w:rsidR="00914A64" w:rsidSect="00914A6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14A64" w:rsidRDefault="00914A64" w:rsidP="00914A64">
      <w:pPr>
        <w:spacing w:line="60" w:lineRule="exact"/>
        <w:rPr>
          <w:sz w:val="6"/>
        </w:rPr>
      </w:pPr>
    </w:p>
    <w:p w:rsidR="00F95B09" w:rsidRDefault="00F95B09" w:rsidP="00F95B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F95B09" w:rsidRDefault="00F95B09" w:rsidP="00F95B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第四十二届会议</w:t>
      </w:r>
    </w:p>
    <w:p w:rsidR="00F95B09" w:rsidRDefault="00F95B09" w:rsidP="00F95B09">
      <w:pPr>
        <w:pStyle w:val="SingleTxt"/>
        <w:ind w:left="0"/>
        <w:rPr>
          <w:rFonts w:hint="eastAsia"/>
        </w:rPr>
      </w:pPr>
      <w:r>
        <w:rPr>
          <w:rFonts w:hint="eastAsia"/>
        </w:rPr>
        <w:t>2008年10月20日至11月7日</w:t>
      </w:r>
    </w:p>
    <w:p w:rsidR="00F95B09" w:rsidRPr="00F95B09" w:rsidRDefault="00F95B09" w:rsidP="00F95B0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95B09" w:rsidRPr="00F95B09" w:rsidRDefault="00F95B09" w:rsidP="00F95B0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95B09" w:rsidRDefault="00F95B09" w:rsidP="00F95B0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F95B09" w:rsidRPr="00F95B09" w:rsidRDefault="00F95B09" w:rsidP="00F95B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80" w:lineRule="exact"/>
        <w:ind w:left="1264" w:right="1259" w:hanging="1264"/>
        <w:rPr>
          <w:rFonts w:hint="eastAsia"/>
          <w:sz w:val="10"/>
        </w:rPr>
      </w:pPr>
    </w:p>
    <w:p w:rsidR="00F95B09" w:rsidRPr="00F95B09" w:rsidRDefault="00F95B09" w:rsidP="00F95B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80" w:lineRule="exact"/>
        <w:ind w:left="1264" w:right="1259" w:hanging="1264"/>
        <w:rPr>
          <w:rFonts w:hint="eastAsia"/>
          <w:sz w:val="10"/>
        </w:rPr>
      </w:pPr>
    </w:p>
    <w:p w:rsidR="00F95B09" w:rsidRDefault="00F95B09" w:rsidP="00F95B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吉尔吉斯斯坦</w:t>
      </w:r>
    </w:p>
    <w:p w:rsidR="00F95B09" w:rsidRPr="00F95B09" w:rsidRDefault="00F95B09" w:rsidP="00F95B09">
      <w:pPr>
        <w:pStyle w:val="SingleTxt"/>
        <w:spacing w:after="0" w:line="120" w:lineRule="exact"/>
        <w:rPr>
          <w:rFonts w:hint="eastAsia"/>
          <w:sz w:val="10"/>
        </w:rPr>
      </w:pPr>
    </w:p>
    <w:p w:rsidR="00F95B09" w:rsidRPr="00F95B09" w:rsidRDefault="00F95B09" w:rsidP="00F95B09">
      <w:pPr>
        <w:pStyle w:val="SingleTxt"/>
        <w:spacing w:after="0" w:line="120" w:lineRule="exact"/>
        <w:rPr>
          <w:rFonts w:hint="eastAsia"/>
          <w:sz w:val="10"/>
        </w:rPr>
      </w:pPr>
    </w:p>
    <w:p w:rsidR="00F95B09" w:rsidRDefault="00F95B09" w:rsidP="00F95B09">
      <w:pPr>
        <w:pStyle w:val="SingleTxt"/>
        <w:spacing w:line="334" w:lineRule="exact"/>
        <w:rPr>
          <w:rFonts w:hint="eastAsia"/>
        </w:rPr>
      </w:pPr>
      <w:r>
        <w:rPr>
          <w:rFonts w:hint="eastAsia"/>
        </w:rPr>
        <w:t>1.</w:t>
      </w:r>
      <w:r>
        <w:rPr>
          <w:rFonts w:hint="eastAsia"/>
        </w:rPr>
        <w:tab/>
        <w:t>2008年10月23日，委员会第856次和第857次会议审议了吉尔吉斯斯坦第三次定期报告(CEDAW/C/KGZ/3)(见CEDAW/C/SR.856和857)。委员会的议题和问题清单载于CEDAW/C/KGZ/Q/3，吉尔吉斯斯坦就此所做的答复载于CEDAW/C/KGZ/</w:t>
      </w:r>
      <w:r>
        <w:t xml:space="preserve"> </w:t>
      </w:r>
      <w:r>
        <w:rPr>
          <w:rFonts w:hint="eastAsia"/>
        </w:rPr>
        <w:t>Q/3/Add.1。</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导言</w:t>
      </w:r>
    </w:p>
    <w:p w:rsidR="00F95B09" w:rsidRDefault="00F95B09" w:rsidP="00F95B09">
      <w:pPr>
        <w:pStyle w:val="SingleTxt"/>
        <w:spacing w:line="334" w:lineRule="exact"/>
        <w:rPr>
          <w:rFonts w:hint="eastAsia"/>
        </w:rPr>
      </w:pPr>
      <w:r>
        <w:rPr>
          <w:rFonts w:hint="eastAsia"/>
        </w:rPr>
        <w:t>2.</w:t>
      </w:r>
      <w:r>
        <w:rPr>
          <w:rFonts w:hint="eastAsia"/>
        </w:rPr>
        <w:tab/>
        <w:t>委员会感谢缔约国提交第三次定期报告。委员会注意到，报告总体上遵循委员会定期报告编写导则并提到委员会以往的结论意见，但委员会注意到，报告中按性别分列的统计数据不完整。委员会欢迎缔约国政府在审查了吉尔吉斯斯坦第二次定期报告之后于2004年通过《为执行委员会最后意见所开展活动的全球信息总库》，并请缔约国就本结论意见采取同样举措。然而，委员会感到遗憾的是，报告中所列若干活动的执行情况没有详细、全面地说明实际成果和所面临的障碍。</w:t>
      </w:r>
    </w:p>
    <w:p w:rsidR="00F95B09" w:rsidRDefault="00F95B09" w:rsidP="00F95B09">
      <w:pPr>
        <w:pStyle w:val="SingleTxt"/>
        <w:spacing w:line="334" w:lineRule="exact"/>
        <w:rPr>
          <w:rFonts w:hint="eastAsia"/>
        </w:rPr>
      </w:pPr>
      <w:r>
        <w:rPr>
          <w:rFonts w:hint="eastAsia"/>
        </w:rPr>
        <w:t>3.</w:t>
      </w:r>
      <w:r>
        <w:rPr>
          <w:rFonts w:hint="eastAsia"/>
        </w:rPr>
        <w:tab/>
        <w:t>委员会赞赏缔约国对会前工作组提出的议题和问题清单的书面答复，但注意到这些答复并非总是令人满意，也没有完全回答问题。</w:t>
      </w:r>
    </w:p>
    <w:p w:rsidR="00F95B09" w:rsidRDefault="00F95B09" w:rsidP="00F95B09">
      <w:pPr>
        <w:pStyle w:val="SingleTxt"/>
        <w:spacing w:line="334" w:lineRule="exact"/>
        <w:rPr>
          <w:rFonts w:hint="eastAsia"/>
        </w:rPr>
      </w:pPr>
      <w:r>
        <w:rPr>
          <w:rFonts w:hint="eastAsia"/>
        </w:rPr>
        <w:t>4.</w:t>
      </w:r>
      <w:r>
        <w:rPr>
          <w:rFonts w:hint="eastAsia"/>
        </w:rPr>
        <w:tab/>
        <w:t>委员会赞扬缔约国派遣由议会两性政策、青年和体育委员会主席率领的代表团，成员包括行政部门各机构代表</w:t>
      </w:r>
      <w:r w:rsidR="00FA5939">
        <w:rPr>
          <w:rFonts w:hint="eastAsia"/>
        </w:rPr>
        <w:t>(</w:t>
      </w:r>
      <w:r>
        <w:rPr>
          <w:rFonts w:hint="eastAsia"/>
        </w:rPr>
        <w:t>包括一名司法机构代表</w:t>
      </w:r>
      <w:r w:rsidR="00FA5939">
        <w:rPr>
          <w:rFonts w:hint="eastAsia"/>
        </w:rPr>
        <w:t>)</w:t>
      </w:r>
      <w:r>
        <w:rPr>
          <w:rFonts w:hint="eastAsia"/>
        </w:rPr>
        <w:t>。委员会赞赏代表团与委员会成员进行了坦诚、富有建设性的对话，尽管若干具体问题仍然没有得到答复。</w:t>
      </w:r>
    </w:p>
    <w:p w:rsidR="00F95B09" w:rsidRPr="00F95B09" w:rsidRDefault="00F95B09" w:rsidP="00F95B09">
      <w:pPr>
        <w:pStyle w:val="SingleTxt"/>
        <w:spacing w:line="336" w:lineRule="exact"/>
        <w:rPr>
          <w:rFonts w:ascii="SimHei" w:eastAsia="SimHei" w:hint="eastAsia"/>
          <w:color w:val="FF0000"/>
        </w:rPr>
      </w:pPr>
      <w:r w:rsidRPr="00F95B09">
        <w:rPr>
          <w:rFonts w:ascii="SimHei" w:eastAsia="SimHei" w:hint="eastAsia"/>
          <w:color w:val="FF0000"/>
        </w:rPr>
        <w:t>积极方面</w:t>
      </w:r>
    </w:p>
    <w:p w:rsidR="00F95B09" w:rsidRDefault="00F95B09" w:rsidP="00F95B09">
      <w:pPr>
        <w:pStyle w:val="SingleTxt"/>
        <w:spacing w:line="336" w:lineRule="exact"/>
        <w:rPr>
          <w:rFonts w:hint="eastAsia"/>
        </w:rPr>
      </w:pPr>
      <w:r>
        <w:rPr>
          <w:rFonts w:hint="eastAsia"/>
        </w:rPr>
        <w:t>5.</w:t>
      </w:r>
      <w:r>
        <w:rPr>
          <w:rFonts w:hint="eastAsia"/>
        </w:rPr>
        <w:tab/>
        <w:t>委员会赞扬缔约国承诺执行《公约》并采取一系列举措，以消除对妇女的歧视并推动两性平等，包括颁布《国家保障平等权利与平等机会法》。</w:t>
      </w:r>
    </w:p>
    <w:p w:rsidR="00F95B09" w:rsidRDefault="00F95B09" w:rsidP="00F95B09">
      <w:pPr>
        <w:pStyle w:val="SingleTxt"/>
        <w:spacing w:line="336" w:lineRule="exact"/>
        <w:rPr>
          <w:rFonts w:hint="eastAsia"/>
        </w:rPr>
      </w:pPr>
      <w:r>
        <w:rPr>
          <w:rFonts w:hint="eastAsia"/>
        </w:rPr>
        <w:t>6.</w:t>
      </w:r>
      <w:r>
        <w:rPr>
          <w:rFonts w:hint="eastAsia"/>
        </w:rPr>
        <w:tab/>
        <w:t>委员会欢迎缔约国修改选举立法，采用临时性配额，以保证议员候选人选举名单中一种性别的个人不超过70%。委员会满意地注意到，妇女在本届议会中的代表人数超过四分之一。</w:t>
      </w:r>
    </w:p>
    <w:p w:rsidR="00F95B09" w:rsidRPr="00F95B09" w:rsidRDefault="00F95B09" w:rsidP="00F95B09">
      <w:pPr>
        <w:pStyle w:val="SingleTxt"/>
        <w:spacing w:line="336" w:lineRule="exact"/>
        <w:rPr>
          <w:rFonts w:ascii="SimHei" w:eastAsia="SimHei" w:hint="eastAsia"/>
          <w:color w:val="FF0000"/>
        </w:rPr>
      </w:pPr>
      <w:r w:rsidRPr="00F95B09">
        <w:rPr>
          <w:rFonts w:ascii="SimHei" w:eastAsia="SimHei" w:hint="eastAsia"/>
          <w:color w:val="FF0000"/>
        </w:rPr>
        <w:t>主要关切领域和建议</w:t>
      </w:r>
    </w:p>
    <w:p w:rsidR="00F95B09" w:rsidRDefault="00F95B09" w:rsidP="00F95B09">
      <w:pPr>
        <w:pStyle w:val="SingleTxt"/>
        <w:spacing w:line="336" w:lineRule="exact"/>
        <w:rPr>
          <w:rFonts w:hint="eastAsia"/>
        </w:rPr>
      </w:pPr>
      <w:r>
        <w:rPr>
          <w:rFonts w:hint="eastAsia"/>
        </w:rPr>
        <w:t>7.</w:t>
      </w:r>
      <w:r>
        <w:rPr>
          <w:rFonts w:hint="eastAsia"/>
        </w:rPr>
        <w:tab/>
      </w:r>
      <w:r w:rsidRPr="00F95B09">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以及所遇到的主要障碍。委员会还吁请缔约国将本结论意见发交各相关部委和议会，以确保这些意见得到充分执行</w:t>
      </w:r>
      <w:r>
        <w:rPr>
          <w:rFonts w:hint="eastAsia"/>
        </w:rPr>
        <w:t>。</w:t>
      </w:r>
    </w:p>
    <w:p w:rsidR="00F95B09" w:rsidRPr="00F95B09" w:rsidRDefault="00F95B09" w:rsidP="00F95B09">
      <w:pPr>
        <w:pStyle w:val="SingleTxt"/>
        <w:spacing w:line="336" w:lineRule="exact"/>
        <w:rPr>
          <w:rFonts w:ascii="SimHei" w:eastAsia="SimHei" w:hint="eastAsia"/>
          <w:color w:val="FF0000"/>
        </w:rPr>
      </w:pPr>
      <w:r w:rsidRPr="00F95B09">
        <w:rPr>
          <w:rFonts w:ascii="SimHei" w:eastAsia="SimHei" w:hint="eastAsia"/>
          <w:color w:val="FF0000"/>
        </w:rPr>
        <w:t>议会</w:t>
      </w:r>
    </w:p>
    <w:p w:rsidR="00F95B09" w:rsidRDefault="00F95B09" w:rsidP="00F95B09">
      <w:pPr>
        <w:pStyle w:val="SingleTxt"/>
        <w:spacing w:line="336" w:lineRule="exact"/>
        <w:rPr>
          <w:rFonts w:hint="eastAsia"/>
        </w:rPr>
      </w:pPr>
      <w:r>
        <w:rPr>
          <w:rFonts w:hint="eastAsia"/>
        </w:rPr>
        <w:t>8.</w:t>
      </w:r>
      <w:r>
        <w:rPr>
          <w:rFonts w:hint="eastAsia"/>
        </w:rPr>
        <w:tab/>
      </w:r>
      <w:r w:rsidRPr="00F95B09">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程序，就执行本结论意见和《公约》规定的政府下一个报告过程采取必要措施</w:t>
      </w:r>
      <w:r>
        <w:rPr>
          <w:rFonts w:hint="eastAsia"/>
        </w:rPr>
        <w:t>。</w:t>
      </w:r>
    </w:p>
    <w:p w:rsidR="00F95B09" w:rsidRDefault="00F95B09" w:rsidP="00F95B09">
      <w:pPr>
        <w:pStyle w:val="SingleTxt"/>
        <w:spacing w:line="336" w:lineRule="exact"/>
        <w:rPr>
          <w:rFonts w:hint="eastAsia"/>
        </w:rPr>
      </w:pPr>
      <w:r>
        <w:rPr>
          <w:rFonts w:hint="eastAsia"/>
        </w:rPr>
        <w:t>9.</w:t>
      </w:r>
      <w:r>
        <w:rPr>
          <w:rFonts w:hint="eastAsia"/>
        </w:rPr>
        <w:tab/>
        <w:t>委员会注意到，《宪法》和立法</w:t>
      </w:r>
      <w:r w:rsidR="00FA5939">
        <w:rPr>
          <w:rFonts w:hint="eastAsia"/>
        </w:rPr>
        <w:t>(</w:t>
      </w:r>
      <w:r>
        <w:rPr>
          <w:rFonts w:hint="eastAsia"/>
        </w:rPr>
        <w:t>包括《国家保障平等权利与平等机会法》</w:t>
      </w:r>
      <w:r w:rsidR="00FA5939">
        <w:rPr>
          <w:rFonts w:hint="eastAsia"/>
        </w:rPr>
        <w:t>)</w:t>
      </w:r>
      <w:r>
        <w:rPr>
          <w:rFonts w:hint="eastAsia"/>
        </w:rPr>
        <w:t>均载有禁止歧视和平等权利的规定，但没有证据显示妇女的平等权利由于这些维护平等的法律保障而得到切实实现。</w:t>
      </w:r>
    </w:p>
    <w:p w:rsidR="00F95B09" w:rsidRDefault="00F95B09" w:rsidP="00F95B09">
      <w:pPr>
        <w:pStyle w:val="SingleTxt"/>
        <w:spacing w:line="336" w:lineRule="exact"/>
        <w:rPr>
          <w:rFonts w:hint="eastAsia"/>
        </w:rPr>
      </w:pPr>
      <w:r>
        <w:rPr>
          <w:rFonts w:hint="eastAsia"/>
        </w:rPr>
        <w:t>10.</w:t>
      </w:r>
      <w:r>
        <w:rPr>
          <w:rFonts w:hint="eastAsia"/>
        </w:rPr>
        <w:tab/>
      </w:r>
      <w:r w:rsidRPr="00F95B09">
        <w:rPr>
          <w:rFonts w:ascii="SimHei" w:eastAsia="SimHei" w:hint="eastAsia"/>
          <w:color w:val="FF0000"/>
        </w:rPr>
        <w:t>委员会鼓励缔约国提高政府官员、司法机构和公众对间接歧视的性质和《公约》中实质平等概念的认识。委员会还呼吁缔约国通过可计量指标监测各项法律、政策和方案对妇女的影响，评价为切实实现男女实质平等取得的进展，并在下一次报告中向委员会提交这方面的资料。委员会还邀请缔约国提出立法，规定国家有责任确保妇女能够实际行使平等权利</w:t>
      </w:r>
      <w:r>
        <w:rPr>
          <w:rFonts w:hint="eastAsia"/>
        </w:rPr>
        <w:t>。</w:t>
      </w:r>
    </w:p>
    <w:p w:rsidR="00F95B09" w:rsidRDefault="00F95B09" w:rsidP="00F95B09">
      <w:pPr>
        <w:pStyle w:val="SingleTxt"/>
        <w:spacing w:line="336" w:lineRule="exact"/>
        <w:rPr>
          <w:rFonts w:hint="eastAsia"/>
        </w:rPr>
      </w:pPr>
      <w:r>
        <w:rPr>
          <w:rFonts w:hint="eastAsia"/>
        </w:rPr>
        <w:t>11.</w:t>
      </w:r>
      <w:r>
        <w:rPr>
          <w:rFonts w:hint="eastAsia"/>
        </w:rPr>
        <w:tab/>
        <w:t>委员会感到关切的是，《国家保障平等权利与平等机会法》规定对所有立法以及区域和地方方案作出基于性别的法律分析，但很少进行这种分析。</w:t>
      </w:r>
    </w:p>
    <w:p w:rsidR="00F95B09" w:rsidRPr="00F95B09" w:rsidRDefault="00F95B09" w:rsidP="00F95B09">
      <w:pPr>
        <w:pStyle w:val="SingleTxt"/>
        <w:spacing w:line="336" w:lineRule="exact"/>
        <w:rPr>
          <w:rFonts w:hint="eastAsia"/>
          <w:spacing w:val="2"/>
        </w:rPr>
      </w:pPr>
      <w:r w:rsidRPr="00F95B09">
        <w:rPr>
          <w:rFonts w:hint="eastAsia"/>
          <w:spacing w:val="2"/>
        </w:rPr>
        <w:t>12.</w:t>
      </w:r>
      <w:r w:rsidRPr="00F95B09">
        <w:rPr>
          <w:rFonts w:hint="eastAsia"/>
          <w:spacing w:val="2"/>
        </w:rPr>
        <w:tab/>
      </w:r>
      <w:r w:rsidRPr="00F95B09">
        <w:rPr>
          <w:rFonts w:ascii="SimHei" w:eastAsia="SimHei" w:hint="eastAsia"/>
          <w:color w:val="FF0000"/>
          <w:spacing w:val="2"/>
        </w:rPr>
        <w:t>委员会促请缔约国采取紧急措施，对本国立法进行基于性别的法律分析，以便消除公开和隐蔽的歧视规定。委员会还敦促缔约国建立一种机制，以利用基于《公约》规范性标准的框架，对法律草案和方案进行系统的、基于性别的分析。</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《公约》的知名度</w:t>
      </w:r>
    </w:p>
    <w:p w:rsidR="00F95B09" w:rsidRDefault="00F95B09" w:rsidP="00F95B09">
      <w:pPr>
        <w:pStyle w:val="SingleTxt"/>
        <w:rPr>
          <w:rFonts w:hint="eastAsia"/>
        </w:rPr>
      </w:pPr>
      <w:r>
        <w:rPr>
          <w:rFonts w:hint="eastAsia"/>
        </w:rPr>
        <w:t>13.</w:t>
      </w:r>
      <w:r>
        <w:rPr>
          <w:rFonts w:hint="eastAsia"/>
        </w:rPr>
        <w:tab/>
        <w:t>委员会感到关切的是，尽管《公约》直接适用并从而成为吉尔吉斯斯坦法律的组成部分，但没有任何法院裁定提到《公约》，这表明包括法官、律师和检察官以及妇女本身在内，没有充分了解《公约》规定、《任择议定书》、委员会在这方面的判例以及委员会的一般性建议。此外，缔约国没有说明法院是否曾引用《公约》的规定。</w:t>
      </w:r>
    </w:p>
    <w:p w:rsidR="00F95B09" w:rsidRDefault="00F95B09" w:rsidP="00F95B09">
      <w:pPr>
        <w:pStyle w:val="SingleTxt"/>
        <w:rPr>
          <w:rFonts w:hint="eastAsia"/>
        </w:rPr>
      </w:pPr>
      <w:r>
        <w:rPr>
          <w:rFonts w:hint="eastAsia"/>
        </w:rPr>
        <w:t>14.</w:t>
      </w:r>
      <w:r>
        <w:rPr>
          <w:rFonts w:hint="eastAsia"/>
        </w:rPr>
        <w:tab/>
      </w:r>
      <w:r w:rsidRPr="00F95B09">
        <w:rPr>
          <w:rFonts w:ascii="SimHei" w:eastAsia="SimHei" w:hint="eastAsia"/>
          <w:color w:val="FF0000"/>
        </w:rPr>
        <w:t>委员会呼吁缔约国采取更加积极具体的措施，传播关于《公约》、《任择议定书》的程序和委员会一般性建议的资料，为检察官、法官、监察员和律师制定并执行涵盖《公约》和《任择议定书》所有相关方面的方案。委员会还建议，应以妇女</w:t>
      </w:r>
      <w:r w:rsidR="00FA5939">
        <w:rPr>
          <w:rFonts w:ascii="SimHei" w:eastAsia="SimHei" w:hint="eastAsia"/>
          <w:color w:val="FF0000"/>
        </w:rPr>
        <w:t>(</w:t>
      </w:r>
      <w:r w:rsidRPr="00F95B09">
        <w:rPr>
          <w:rFonts w:ascii="SimHei" w:eastAsia="SimHei" w:hint="eastAsia"/>
          <w:color w:val="FF0000"/>
        </w:rPr>
        <w:t>包括农村妇女</w:t>
      </w:r>
      <w:r w:rsidR="00FA5939">
        <w:rPr>
          <w:rFonts w:ascii="SimHei" w:eastAsia="SimHei" w:hint="eastAsia"/>
          <w:color w:val="FF0000"/>
        </w:rPr>
        <w:t>)</w:t>
      </w:r>
      <w:r w:rsidRPr="00F95B09">
        <w:rPr>
          <w:rFonts w:ascii="SimHei" w:eastAsia="SimHei" w:hint="eastAsia"/>
          <w:color w:val="FF0000"/>
        </w:rPr>
        <w:t>以及妇女问题非政府组织为对象，开展持久的提高认识和法律扫盲活动，以鼓励妇女利用《公约》规定的程序和侵犯妇女权利行为纠正措施、以及《国家保障平等权利与平等机会法》规定的申诉程序，并提高妇女能力。委员会要求在下一次报告中提供关于妇女根据现有法律规定提出申诉和相关成果的资料</w:t>
      </w:r>
      <w:r>
        <w:rPr>
          <w:rFonts w:hint="eastAsia"/>
        </w:rPr>
        <w:t>。</w:t>
      </w:r>
    </w:p>
    <w:p w:rsidR="00F95B09" w:rsidRDefault="00F95B09" w:rsidP="00F95B09">
      <w:pPr>
        <w:pStyle w:val="SingleTxt"/>
        <w:rPr>
          <w:rFonts w:hint="eastAsia"/>
        </w:rPr>
      </w:pPr>
      <w:r>
        <w:rPr>
          <w:rFonts w:hint="eastAsia"/>
        </w:rPr>
        <w:t>15.</w:t>
      </w:r>
      <w:r>
        <w:rPr>
          <w:rFonts w:hint="eastAsia"/>
        </w:rPr>
        <w:tab/>
        <w:t>委员会注意到缔约国在对问题清单的答复</w:t>
      </w:r>
      <w:r w:rsidR="00FA5939">
        <w:rPr>
          <w:rFonts w:hint="eastAsia"/>
        </w:rPr>
        <w:t>(</w:t>
      </w:r>
      <w:r>
        <w:rPr>
          <w:rFonts w:hint="eastAsia"/>
        </w:rPr>
        <w:t>书面答复第5页</w:t>
      </w:r>
      <w:r w:rsidR="00FA5939">
        <w:rPr>
          <w:rFonts w:hint="eastAsia"/>
        </w:rPr>
        <w:t>)</w:t>
      </w:r>
      <w:r>
        <w:rPr>
          <w:rFonts w:hint="eastAsia"/>
        </w:rPr>
        <w:t>中，列举实例说明了教育部对新的学校手册进行基于性别的分析的情况，但委员会对这些实例数量有限而且仅涉及到初级/基础教育感到关切。</w:t>
      </w:r>
    </w:p>
    <w:p w:rsidR="00F95B09" w:rsidRDefault="00F95B09" w:rsidP="00F95B09">
      <w:pPr>
        <w:pStyle w:val="SingleTxt"/>
        <w:rPr>
          <w:rFonts w:hint="eastAsia"/>
        </w:rPr>
      </w:pPr>
      <w:r>
        <w:rPr>
          <w:rFonts w:hint="eastAsia"/>
        </w:rPr>
        <w:t>16.</w:t>
      </w:r>
      <w:r>
        <w:rPr>
          <w:rFonts w:hint="eastAsia"/>
        </w:rPr>
        <w:tab/>
      </w:r>
      <w:r w:rsidRPr="00F95B09">
        <w:rPr>
          <w:rFonts w:ascii="SimHei" w:eastAsia="SimHei" w:hint="eastAsia"/>
          <w:color w:val="FF0000"/>
        </w:rPr>
        <w:t>委员会请缔约国采取一切必要措施，从两性平等角度分析所有现有手册和课程表，系统审查所有的新手册和课程表，尤其是中学教育中的这种手册和课程</w:t>
      </w:r>
      <w:r>
        <w:rPr>
          <w:rFonts w:hint="eastAsia"/>
        </w:rPr>
        <w:t>。</w:t>
      </w:r>
    </w:p>
    <w:p w:rsidR="00F95B09" w:rsidRDefault="00F95B09" w:rsidP="00F95B09">
      <w:pPr>
        <w:pStyle w:val="SingleTxt"/>
        <w:rPr>
          <w:rFonts w:hint="eastAsia"/>
        </w:rPr>
      </w:pPr>
      <w:r>
        <w:rPr>
          <w:rFonts w:hint="eastAsia"/>
        </w:rPr>
        <w:t>17.</w:t>
      </w:r>
      <w:r>
        <w:rPr>
          <w:rFonts w:hint="eastAsia"/>
        </w:rPr>
        <w:tab/>
        <w:t>委员会感到关切的是，目前存在不满18岁女童结婚以及未经登记结婚的情况，这违反了《公约》第16条第2款的规定。</w:t>
      </w:r>
    </w:p>
    <w:p w:rsidR="00F95B09" w:rsidRPr="00F95B09" w:rsidRDefault="00F95B09" w:rsidP="00F95B09">
      <w:pPr>
        <w:pStyle w:val="SingleTxt"/>
        <w:rPr>
          <w:rFonts w:ascii="SimHei" w:eastAsia="SimHei" w:hint="eastAsia"/>
          <w:color w:val="FF0000"/>
        </w:rPr>
      </w:pPr>
      <w:r>
        <w:rPr>
          <w:rFonts w:hint="eastAsia"/>
        </w:rPr>
        <w:t>18.</w:t>
      </w:r>
      <w:r>
        <w:rPr>
          <w:rFonts w:hint="eastAsia"/>
        </w:rPr>
        <w:tab/>
      </w:r>
      <w:r w:rsidRPr="00F95B09">
        <w:rPr>
          <w:rFonts w:ascii="SimHei" w:eastAsia="SimHei" w:hint="eastAsia"/>
          <w:color w:val="FF0000"/>
        </w:rPr>
        <w:t>委员会要求缔约国全面执行规定女男法定结婚年龄为18岁的婚姻和家庭法，并采取措施确保所有婚姻符合《公约》第16条第2款。委员会要求缔约国在下次报告中提供资料，说明为此所采取措施的措施以及这些措施对婚姻登记产生的影响。</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暴力侵害妇女行为</w:t>
      </w:r>
    </w:p>
    <w:p w:rsidR="00F95B09" w:rsidRDefault="00F95B09" w:rsidP="00F95B09">
      <w:pPr>
        <w:pStyle w:val="SingleTxt"/>
        <w:rPr>
          <w:rFonts w:hint="eastAsia"/>
        </w:rPr>
      </w:pPr>
      <w:r>
        <w:rPr>
          <w:rFonts w:hint="eastAsia"/>
        </w:rPr>
        <w:t>19.</w:t>
      </w:r>
      <w:r>
        <w:rPr>
          <w:rFonts w:hint="eastAsia"/>
        </w:rPr>
        <w:tab/>
        <w:t>委员会仍然感到关切的是，尽管制订了现有立法</w:t>
      </w:r>
      <w:r w:rsidR="00FA5939">
        <w:rPr>
          <w:rFonts w:hint="eastAsia"/>
        </w:rPr>
        <w:t>(</w:t>
      </w:r>
      <w:r>
        <w:rPr>
          <w:rFonts w:hint="eastAsia"/>
        </w:rPr>
        <w:t>关于防止家庭暴力的社会和依法保护的法律</w:t>
      </w:r>
      <w:r w:rsidR="00FA5939">
        <w:rPr>
          <w:rFonts w:hint="eastAsia"/>
        </w:rPr>
        <w:t>)</w:t>
      </w:r>
      <w:r>
        <w:rPr>
          <w:rFonts w:hint="eastAsia"/>
        </w:rPr>
        <w:t>，也做出了其它种种努力，但家庭暴力仍然很普遍。警方处理这类暴力行为的办法效果不佳，警务官员往往更喜欢将此类事件仅仅定性为流氓行径，委员会对此也感到关切。此外，暴力的受害者宁愿联系主要是由非政府组织管理的应急中心，而不是向国家机关举报。委员会还对缔约国报告中缺乏关于侵害妇女的性暴力、包括工作场所性骚扰的详细资料，表示关切。</w:t>
      </w:r>
    </w:p>
    <w:p w:rsidR="00F95B09" w:rsidRDefault="00F95B09" w:rsidP="00F95B09">
      <w:pPr>
        <w:pStyle w:val="SingleTxt"/>
        <w:rPr>
          <w:rFonts w:hint="eastAsia"/>
        </w:rPr>
      </w:pPr>
      <w:r>
        <w:rPr>
          <w:rFonts w:hint="eastAsia"/>
        </w:rPr>
        <w:t>20.</w:t>
      </w:r>
      <w:r>
        <w:rPr>
          <w:rFonts w:hint="eastAsia"/>
        </w:rPr>
        <w:tab/>
      </w:r>
      <w:r w:rsidRPr="00F95B09">
        <w:rPr>
          <w:rFonts w:ascii="SimHei" w:eastAsia="SimHei" w:hint="eastAsia"/>
          <w:color w:val="FF0000"/>
        </w:rPr>
        <w:t>根据以前的结论意见，委员会建议在全国发起提高公众防止家庭暴力意识的广泛宣传运动。委员会还建议缔约国确保其在这方面现有的法律框架得到有效实施，特别是执法人员的有效执行；确保加强警务人员培训方案；确保司法制度具备、并且有效地利用或加强现有机制，以确保家庭暴力受害者的权利得到适当的保护。委员会还建议，为打击暴力侵害妇女行为的各项方案分配充足的国家预算。委员会还要求在下次报告中提供关于包括性骚扰在内的性暴力以及消除性暴力的努力的详细资料</w:t>
      </w:r>
      <w:r>
        <w:rPr>
          <w:rFonts w:hint="eastAsia"/>
        </w:rPr>
        <w:t>。</w:t>
      </w:r>
    </w:p>
    <w:p w:rsidR="00F95B09" w:rsidRDefault="00F95B09" w:rsidP="00F95B09">
      <w:pPr>
        <w:pStyle w:val="SingleTxt"/>
        <w:spacing w:line="324" w:lineRule="exact"/>
        <w:rPr>
          <w:rFonts w:hint="eastAsia"/>
        </w:rPr>
      </w:pPr>
      <w:r>
        <w:rPr>
          <w:rFonts w:hint="eastAsia"/>
        </w:rPr>
        <w:t>21.</w:t>
      </w:r>
      <w:r>
        <w:rPr>
          <w:rFonts w:hint="eastAsia"/>
        </w:rPr>
        <w:tab/>
        <w:t>委员会仍然严重关切继续存在的抢新娘行为</w:t>
      </w:r>
      <w:r w:rsidR="00FA5939">
        <w:rPr>
          <w:rFonts w:hint="eastAsia"/>
        </w:rPr>
        <w:t>(</w:t>
      </w:r>
      <w:r>
        <w:rPr>
          <w:rFonts w:hint="eastAsia"/>
        </w:rPr>
        <w:t>尽管法律已禁止这种行为</w:t>
      </w:r>
      <w:r w:rsidR="00FA5939">
        <w:rPr>
          <w:rFonts w:hint="eastAsia"/>
        </w:rPr>
        <w:t>)</w:t>
      </w:r>
      <w:r>
        <w:rPr>
          <w:rFonts w:hint="eastAsia"/>
        </w:rPr>
        <w:t>，并指出其先前的结论意见中也着重强调了这一点。委员会还关切，这种习俗导致逼婚，违背了公约第16条。委员会也关切一夫多妻制的存在，尽管这在缔约国是受到法律禁止的。</w:t>
      </w:r>
    </w:p>
    <w:p w:rsidR="00F95B09" w:rsidRPr="00F95B09" w:rsidRDefault="00F95B09" w:rsidP="00F95B09">
      <w:pPr>
        <w:pStyle w:val="SingleTxt"/>
        <w:spacing w:line="324" w:lineRule="exact"/>
        <w:rPr>
          <w:rFonts w:ascii="SimHei" w:eastAsia="SimHei" w:hint="eastAsia"/>
          <w:color w:val="FF0000"/>
        </w:rPr>
      </w:pPr>
      <w:r>
        <w:rPr>
          <w:rFonts w:hint="eastAsia"/>
        </w:rPr>
        <w:t>22.</w:t>
      </w:r>
      <w:r>
        <w:rPr>
          <w:rFonts w:hint="eastAsia"/>
        </w:rPr>
        <w:tab/>
      </w:r>
      <w:r w:rsidRPr="00F95B09">
        <w:rPr>
          <w:rFonts w:ascii="SimHei" w:eastAsia="SimHei" w:hint="eastAsia"/>
          <w:color w:val="FF0000"/>
        </w:rPr>
        <w:t>委员会建议缔约国立即采取行动，确保完全遵守惩罚抢新娘、逼婚和一夫多妻制的法律。委员会特别敦促缔约国采取适当措施，以便使所有涉及这些现象的案件得到记录、调查和起诉，即便没有提出正式申诉。委员会还建议缔约国采取有效的紧急措施消除这些习俗，包括培训司法和执法官员以及不断开展提高公众意识的大型活动。媒体在这方面必须起到至关重要的作用。委员会也请缔约国研究这些现象存在并愈演愈烈的原因，以便更好地了解根除这些现象的最适当的措施是什么。</w:t>
      </w:r>
    </w:p>
    <w:p w:rsidR="00F95B09" w:rsidRPr="00F95B09" w:rsidRDefault="00F95B09" w:rsidP="00F95B09">
      <w:pPr>
        <w:pStyle w:val="SingleTxt"/>
        <w:spacing w:line="324" w:lineRule="exact"/>
        <w:rPr>
          <w:rFonts w:ascii="SimHei" w:eastAsia="SimHei" w:hint="eastAsia"/>
          <w:color w:val="FF0000"/>
        </w:rPr>
      </w:pPr>
      <w:r w:rsidRPr="00F95B09">
        <w:rPr>
          <w:rFonts w:ascii="SimHei" w:eastAsia="SimHei" w:hint="eastAsia"/>
          <w:color w:val="FF0000"/>
        </w:rPr>
        <w:t>定型观念和文化习俗</w:t>
      </w:r>
    </w:p>
    <w:p w:rsidR="00F95B09" w:rsidRDefault="00F95B09" w:rsidP="00F95B09">
      <w:pPr>
        <w:pStyle w:val="SingleTxt"/>
        <w:spacing w:line="324" w:lineRule="exact"/>
        <w:rPr>
          <w:rFonts w:hint="eastAsia"/>
        </w:rPr>
      </w:pPr>
      <w:r>
        <w:rPr>
          <w:rFonts w:hint="eastAsia"/>
        </w:rPr>
        <w:t>23.</w:t>
      </w:r>
      <w:r>
        <w:rPr>
          <w:rFonts w:hint="eastAsia"/>
        </w:rPr>
        <w:tab/>
        <w:t>委员会关切地注意到，始终存在一些</w:t>
      </w:r>
      <w:r w:rsidR="00FA5939">
        <w:rPr>
          <w:rFonts w:hint="eastAsia"/>
        </w:rPr>
        <w:t>(</w:t>
      </w:r>
      <w:r>
        <w:rPr>
          <w:rFonts w:hint="eastAsia"/>
        </w:rPr>
        <w:t>包括在媒体中</w:t>
      </w:r>
      <w:r w:rsidR="00FA5939">
        <w:rPr>
          <w:rFonts w:hint="eastAsia"/>
        </w:rPr>
        <w:t>)</w:t>
      </w:r>
      <w:r>
        <w:rPr>
          <w:rFonts w:hint="eastAsia"/>
        </w:rPr>
        <w:t>关于妇女在家庭和社会中的角色的定型观念。委员会还感到关切的是，这些观念导致妇女在一些领域处于不利的地位，包括她们在劳动力市场上的作用以及获得决策职位的机会，并影响到妇女在学科和专业方面的选择。</w:t>
      </w:r>
    </w:p>
    <w:p w:rsidR="00F95B09" w:rsidRPr="00F95B09" w:rsidRDefault="00F95B09" w:rsidP="00F95B09">
      <w:pPr>
        <w:pStyle w:val="SingleTxt"/>
        <w:spacing w:line="324" w:lineRule="exact"/>
        <w:rPr>
          <w:rFonts w:ascii="SimHei" w:eastAsia="SimHei" w:hint="eastAsia"/>
          <w:color w:val="FF0000"/>
        </w:rPr>
      </w:pPr>
      <w:r>
        <w:rPr>
          <w:rFonts w:hint="eastAsia"/>
        </w:rPr>
        <w:t>24.</w:t>
      </w:r>
      <w:r>
        <w:rPr>
          <w:rFonts w:hint="eastAsia"/>
        </w:rPr>
        <w:tab/>
      </w:r>
      <w:r w:rsidRPr="00F95B09">
        <w:rPr>
          <w:rFonts w:ascii="SimHei" w:eastAsia="SimHei" w:hint="eastAsia"/>
          <w:color w:val="FF0000"/>
        </w:rPr>
        <w:t>委员会建议缔约国根据《公约》第2条(f)款和第5条(a)款，加强各项政策并执行各种方案，包括开展针对男女特别是媒体的提高认识和教育活动，旨在消除关于男女在社会和家庭中的作用的定型观念。委员会还建议鼓励媒体传达积极的妇女形象，在全社会倡导两性平等的价值观念。委员会进一步吁请缔约国定期审查所采取的措施以评估其影响，采取适当的行动，并在其下一次报告中就此向委员会提出报告。</w:t>
      </w:r>
    </w:p>
    <w:p w:rsidR="00F95B09" w:rsidRPr="00F95B09" w:rsidRDefault="00F95B09" w:rsidP="00F95B09">
      <w:pPr>
        <w:pStyle w:val="SingleTxt"/>
        <w:spacing w:line="324" w:lineRule="exact"/>
        <w:rPr>
          <w:rFonts w:ascii="SimHei" w:eastAsia="SimHei" w:hint="eastAsia"/>
          <w:color w:val="FF0000"/>
        </w:rPr>
      </w:pPr>
      <w:r w:rsidRPr="00F95B09">
        <w:rPr>
          <w:rFonts w:ascii="SimHei" w:eastAsia="SimHei" w:hint="eastAsia"/>
          <w:color w:val="FF0000"/>
        </w:rPr>
        <w:t>提高妇女地位国家机构</w:t>
      </w:r>
    </w:p>
    <w:p w:rsidR="00F95B09" w:rsidRDefault="00F95B09" w:rsidP="00F95B09">
      <w:pPr>
        <w:pStyle w:val="SingleTxt"/>
        <w:spacing w:line="324" w:lineRule="exact"/>
        <w:rPr>
          <w:rFonts w:hint="eastAsia"/>
        </w:rPr>
      </w:pPr>
      <w:r>
        <w:rPr>
          <w:rFonts w:hint="eastAsia"/>
        </w:rPr>
        <w:t>25.</w:t>
      </w:r>
      <w:r>
        <w:rPr>
          <w:rFonts w:hint="eastAsia"/>
        </w:rPr>
        <w:tab/>
        <w:t>委员会注意到缔约国已表示正考虑设立一个专门处理性别问题的国家机构，关切这一机构的设立至今没有明确的任务规定和充足的财政和人力资源。</w:t>
      </w:r>
    </w:p>
    <w:p w:rsidR="00F95B09" w:rsidRDefault="00F95B09" w:rsidP="00F95B09">
      <w:pPr>
        <w:pStyle w:val="SingleTxt"/>
        <w:spacing w:line="324" w:lineRule="exact"/>
        <w:rPr>
          <w:rFonts w:hint="eastAsia"/>
        </w:rPr>
      </w:pPr>
      <w:r>
        <w:rPr>
          <w:rFonts w:hint="eastAsia"/>
        </w:rPr>
        <w:t>26.</w:t>
      </w:r>
      <w:r>
        <w:rPr>
          <w:rFonts w:hint="eastAsia"/>
        </w:rPr>
        <w:tab/>
      </w:r>
      <w:r w:rsidRPr="00F95B09">
        <w:rPr>
          <w:rFonts w:ascii="SimHei" w:eastAsia="SimHei" w:hint="eastAsia"/>
          <w:color w:val="FF0000"/>
        </w:rPr>
        <w:t>委员会建议缔约国紧急设立一个专门负责处理性别问题的专门机构</w:t>
      </w:r>
      <w:r w:rsidR="00FA5939">
        <w:rPr>
          <w:rFonts w:ascii="SimHei" w:eastAsia="SimHei" w:hint="eastAsia"/>
          <w:color w:val="FF0000"/>
        </w:rPr>
        <w:t>(</w:t>
      </w:r>
      <w:r w:rsidRPr="00F95B09">
        <w:rPr>
          <w:rFonts w:ascii="SimHei" w:eastAsia="SimHei" w:hint="eastAsia"/>
          <w:color w:val="FF0000"/>
        </w:rPr>
        <w:t>见缔约国对第5个问题的答复</w:t>
      </w:r>
      <w:r w:rsidR="00FA5939">
        <w:rPr>
          <w:rFonts w:ascii="SimHei" w:eastAsia="SimHei" w:hint="eastAsia"/>
          <w:color w:val="FF0000"/>
        </w:rPr>
        <w:t>)</w:t>
      </w:r>
      <w:r w:rsidRPr="00F95B09">
        <w:rPr>
          <w:rFonts w:ascii="SimHei" w:eastAsia="SimHei" w:hint="eastAsia"/>
          <w:color w:val="FF0000"/>
        </w:rPr>
        <w:t>，应为其提供足够的人力和财力资源以及明确的任务规定，以便能够制订、协调有效纳入主流的、有力的和一贯的对性别问题具有敏感认识的活动和方案，并让所有部委都对此负起责任</w:t>
      </w:r>
      <w:r>
        <w:rPr>
          <w:rFonts w:hint="eastAsia"/>
        </w:rPr>
        <w:t>。</w:t>
      </w:r>
    </w:p>
    <w:p w:rsidR="00F95B09" w:rsidRPr="00F95B09" w:rsidRDefault="00F95B09" w:rsidP="00F95B09">
      <w:pPr>
        <w:pStyle w:val="SingleTxt"/>
        <w:spacing w:line="326" w:lineRule="exact"/>
        <w:rPr>
          <w:rFonts w:ascii="SimHei" w:eastAsia="SimHei" w:hint="eastAsia"/>
          <w:color w:val="FF0000"/>
        </w:rPr>
      </w:pPr>
      <w:r w:rsidRPr="00F95B09">
        <w:rPr>
          <w:rFonts w:ascii="SimHei" w:eastAsia="SimHei" w:hint="eastAsia"/>
          <w:color w:val="FF0000"/>
        </w:rPr>
        <w:t>非政府组织</w:t>
      </w:r>
    </w:p>
    <w:p w:rsidR="00F95B09" w:rsidRDefault="00F95B09" w:rsidP="00F95B09">
      <w:pPr>
        <w:pStyle w:val="SingleTxt"/>
        <w:spacing w:line="326" w:lineRule="exact"/>
        <w:rPr>
          <w:rFonts w:hint="eastAsia"/>
        </w:rPr>
      </w:pPr>
      <w:r>
        <w:rPr>
          <w:rFonts w:hint="eastAsia"/>
        </w:rPr>
        <w:t>27.</w:t>
      </w:r>
      <w:r>
        <w:rPr>
          <w:rFonts w:hint="eastAsia"/>
        </w:rPr>
        <w:tab/>
        <w:t>委员会注意到，缔约国在对议题和问题清单的答复中表示，当局已开始与非政府组织进行更积极的合作，但委员会感到关切的是，在本报告的编写和最后定稿期间，似乎没有同非政府组织协商。</w:t>
      </w:r>
    </w:p>
    <w:p w:rsidR="00F95B09" w:rsidRDefault="00F95B09" w:rsidP="00F95B09">
      <w:pPr>
        <w:pStyle w:val="SingleTxt"/>
        <w:spacing w:line="326" w:lineRule="exact"/>
        <w:rPr>
          <w:rFonts w:hint="eastAsia"/>
        </w:rPr>
      </w:pPr>
      <w:r>
        <w:rPr>
          <w:rFonts w:hint="eastAsia"/>
        </w:rPr>
        <w:t>28.</w:t>
      </w:r>
      <w:r>
        <w:rPr>
          <w:rFonts w:hint="eastAsia"/>
        </w:rPr>
        <w:tab/>
      </w:r>
      <w:r w:rsidRPr="00F95B09">
        <w:rPr>
          <w:rFonts w:ascii="SimHei" w:eastAsia="SimHei" w:hint="eastAsia"/>
          <w:color w:val="FF0000"/>
        </w:rPr>
        <w:t>考虑到非政府组织在执行《公约》方面所发挥的重要作用，尤其是鉴于吉尔吉斯斯坦境内的大多数遭受暴力和贩运行为/性剥削的妇女受害者应急中心都由非政府组织管理，委员会敦促缔约国向非政府组织提供适当支持和资助。委员会请缔约国与民间社会进行更积极的持续互动，并使非政府组织参与其下一次定期报告的编写</w:t>
      </w:r>
      <w:r>
        <w:rPr>
          <w:rFonts w:hint="eastAsia"/>
        </w:rPr>
        <w:t>。</w:t>
      </w:r>
    </w:p>
    <w:p w:rsidR="00F95B09" w:rsidRPr="00F95B09" w:rsidRDefault="00F95B09" w:rsidP="00F95B09">
      <w:pPr>
        <w:pStyle w:val="SingleTxt"/>
        <w:spacing w:line="326" w:lineRule="exact"/>
        <w:rPr>
          <w:rFonts w:ascii="SimHei" w:eastAsia="SimHei"/>
          <w:color w:val="FF0000"/>
        </w:rPr>
      </w:pPr>
      <w:r w:rsidRPr="00F95B09">
        <w:rPr>
          <w:rFonts w:ascii="SimHei" w:eastAsia="SimHei" w:hint="eastAsia"/>
          <w:color w:val="FF0000"/>
        </w:rPr>
        <w:t>贩运</w:t>
      </w:r>
    </w:p>
    <w:p w:rsidR="00F95B09" w:rsidRDefault="00F95B09" w:rsidP="00F95B09">
      <w:pPr>
        <w:pStyle w:val="SingleTxt"/>
        <w:spacing w:line="326" w:lineRule="exact"/>
        <w:rPr>
          <w:rFonts w:hint="eastAsia"/>
        </w:rPr>
      </w:pPr>
      <w:r>
        <w:rPr>
          <w:rFonts w:hint="eastAsia"/>
        </w:rPr>
        <w:t>29.</w:t>
      </w:r>
      <w:r>
        <w:rPr>
          <w:rFonts w:hint="eastAsia"/>
        </w:rPr>
        <w:tab/>
        <w:t xml:space="preserve">令委员会关切的是，缔约国的报告和口头答复中没有提供有关吉尔吉斯斯坦境内贩运人口现象的适当资料和统计数据。 </w:t>
      </w:r>
    </w:p>
    <w:p w:rsidR="00F95B09" w:rsidRPr="00F95B09" w:rsidRDefault="00F95B09" w:rsidP="00F95B09">
      <w:pPr>
        <w:pStyle w:val="SingleTxt"/>
        <w:spacing w:line="326" w:lineRule="exact"/>
        <w:rPr>
          <w:rFonts w:ascii="SimHei" w:eastAsia="SimHei" w:hint="eastAsia"/>
          <w:color w:val="FF0000"/>
        </w:rPr>
      </w:pPr>
      <w:r>
        <w:rPr>
          <w:rFonts w:hint="eastAsia"/>
        </w:rPr>
        <w:t>30.</w:t>
      </w:r>
      <w:r>
        <w:rPr>
          <w:rFonts w:hint="eastAsia"/>
        </w:rPr>
        <w:tab/>
      </w:r>
      <w:r w:rsidRPr="00F95B09">
        <w:rPr>
          <w:rFonts w:ascii="SimHei" w:eastAsia="SimHei" w:hint="eastAsia"/>
          <w:color w:val="FF0000"/>
        </w:rPr>
        <w:t>委员会敦促缔约国提出有关贩运动态的全面研究报告，力求了解这个现象及其各方面的问题，以便使缔约国更好地理解其原因以及贩运者使用的方法，防止其发展，并确保受害者确实得到适当保护，对上述行为的负责者进行起诉和惩处。委员会请缔约国提交资料，说明在这方面采取的措施，包括提供详细统计数据。委员会还请缔约国有系统地开展宣传运动，说明贩运人口的风险和原因，特别着重提高农村妇女在这方面的法律知识水平。委员会又请缔约国建立针对移徙工人的有效监测制度，查明贩运活动的各个环节。</w:t>
      </w:r>
    </w:p>
    <w:p w:rsidR="00F95B09" w:rsidRPr="00F95B09" w:rsidRDefault="00F95B09" w:rsidP="00F95B09">
      <w:pPr>
        <w:pStyle w:val="SingleTxt"/>
        <w:spacing w:line="326" w:lineRule="exact"/>
        <w:rPr>
          <w:rFonts w:ascii="Times New Roman" w:eastAsia="SimHei"/>
          <w:color w:val="FF0000"/>
        </w:rPr>
      </w:pPr>
      <w:r w:rsidRPr="00F95B09">
        <w:rPr>
          <w:rFonts w:ascii="SimHei" w:eastAsia="SimHei" w:hint="eastAsia"/>
          <w:color w:val="FF0000"/>
        </w:rPr>
        <w:t>暂行特别措施</w:t>
      </w:r>
    </w:p>
    <w:p w:rsidR="00F95B09" w:rsidRDefault="00F95B09" w:rsidP="00F95B09">
      <w:pPr>
        <w:pStyle w:val="SingleTxt"/>
        <w:spacing w:line="326" w:lineRule="exact"/>
        <w:rPr>
          <w:rFonts w:hint="eastAsia"/>
        </w:rPr>
      </w:pPr>
      <w:r>
        <w:rPr>
          <w:rFonts w:hint="eastAsia"/>
        </w:rPr>
        <w:t>31.</w:t>
      </w:r>
      <w:r>
        <w:rPr>
          <w:rFonts w:hint="eastAsia"/>
        </w:rPr>
        <w:tab/>
        <w:t>委员会表示关切，《公约》第4条第1款规定的、经委员会第25号一般性建议说明的那类暂行特别措施没有得到充分利用，这些措施可以作为一种方法，用以加速实现《公约》各领域事实上或实质上的男女平等(特别是提高妇女在公共生活和各级决策、教育和参与经济生活等各领域担任负责职务的人数)。</w:t>
      </w:r>
    </w:p>
    <w:p w:rsidR="00F95B09" w:rsidRDefault="00F95B09" w:rsidP="00F95B09">
      <w:pPr>
        <w:pStyle w:val="SingleTxt"/>
        <w:spacing w:line="326" w:lineRule="exact"/>
      </w:pPr>
      <w:r>
        <w:rPr>
          <w:rFonts w:hint="eastAsia"/>
        </w:rPr>
        <w:t>32.</w:t>
      </w:r>
      <w:r>
        <w:rPr>
          <w:rFonts w:hint="eastAsia"/>
        </w:rPr>
        <w:tab/>
      </w:r>
      <w:r w:rsidRPr="00F95B09">
        <w:rPr>
          <w:rFonts w:ascii="SimHei" w:eastAsia="SimHei" w:hint="eastAsia"/>
          <w:color w:val="FF0000"/>
        </w:rPr>
        <w:t>委员会鼓励缔约国考虑根据《公约》第4条第1款和委员会第25号一般性建议进一步采用暂行特别措施，包括通过分配资源和制定奖励办法、定向征聘和制定有时限的目标和配额，以更快实现在各级决策、经济、教育和决策职位方面妇女与男子事实上的平等。委员会还建议缔约国在其平等方面的立法中纳入鼓励公共和私营部门采用暂行特别措施的规定</w:t>
      </w:r>
      <w:r>
        <w:rPr>
          <w:rFonts w:hint="eastAsia"/>
        </w:rPr>
        <w:t>。</w:t>
      </w:r>
    </w:p>
    <w:p w:rsidR="00F95B09" w:rsidRPr="00F95B09" w:rsidRDefault="00F95B09" w:rsidP="00F95B09">
      <w:pPr>
        <w:pStyle w:val="SingleTxt"/>
        <w:spacing w:line="326" w:lineRule="exact"/>
        <w:rPr>
          <w:rFonts w:ascii="SimHei" w:eastAsia="SimHei"/>
          <w:color w:val="FF0000"/>
        </w:rPr>
      </w:pPr>
      <w:r w:rsidRPr="00F95B09">
        <w:rPr>
          <w:rFonts w:ascii="SimHei" w:eastAsia="SimHei" w:hint="eastAsia"/>
          <w:color w:val="FF0000"/>
        </w:rPr>
        <w:t>政治参与和参与公共生活</w:t>
      </w:r>
    </w:p>
    <w:p w:rsidR="00F95B09" w:rsidRPr="00F95B09" w:rsidRDefault="00F95B09" w:rsidP="00F95B09">
      <w:pPr>
        <w:pStyle w:val="SingleTxt"/>
        <w:spacing w:line="326" w:lineRule="exact"/>
        <w:rPr>
          <w:spacing w:val="4"/>
        </w:rPr>
      </w:pPr>
      <w:r w:rsidRPr="00F95B09">
        <w:rPr>
          <w:rFonts w:hint="eastAsia"/>
          <w:spacing w:val="4"/>
        </w:rPr>
        <w:t>33.</w:t>
      </w:r>
      <w:r w:rsidRPr="00F95B09">
        <w:rPr>
          <w:rFonts w:hint="eastAsia"/>
          <w:spacing w:val="4"/>
        </w:rPr>
        <w:tab/>
        <w:t>委员会注意到议会中的女议员人数有所增多，以及关于审计院同性审计员人数最高不得超过70%的要求，但关切的是，妇女在公共和政治生活中的任职人数依然普遍偏低，尤其是担任决策职位的妇女人数，包括在各政党、地方代表机构、中央政府和地方政府的行政机构以及外交界担任最高职位的妇女人数偏低。</w:t>
      </w:r>
    </w:p>
    <w:p w:rsidR="00F95B09" w:rsidRPr="00F95B09" w:rsidRDefault="00F95B09" w:rsidP="00F95B09">
      <w:pPr>
        <w:pStyle w:val="SingleTxt"/>
        <w:rPr>
          <w:rFonts w:ascii="SimHei" w:eastAsia="SimHei"/>
          <w:color w:val="FF0000"/>
        </w:rPr>
      </w:pPr>
      <w:r>
        <w:rPr>
          <w:rFonts w:hint="eastAsia"/>
        </w:rPr>
        <w:t>34.</w:t>
      </w:r>
      <w:r>
        <w:rPr>
          <w:rFonts w:hint="eastAsia"/>
        </w:rPr>
        <w:tab/>
      </w:r>
      <w:r w:rsidRPr="00F95B09">
        <w:rPr>
          <w:rFonts w:ascii="SimHei" w:eastAsia="SimHei" w:hint="eastAsia"/>
          <w:color w:val="FF0000"/>
        </w:rPr>
        <w:t>委员会请缔约国采取措施，包括根据《公约》第4条第1款和委员会第23号和25号一般性建议采取暂行特别措施，加快妇女充分、平等进入民选和派任机构的速度，包括在国际一级。这些措施应包括有时限的数量目标，为现任和未来妇女领导人举办领导能力和谈判技能方面的培训课程，以及定期监测进展情况和所获成果。委员会还建议缔约国提请各政党注意此事。委员会还敦促缔约国开展运动，提高对妇女参与公共和政治生活及各级决策重要性的认识。</w:t>
      </w:r>
    </w:p>
    <w:p w:rsidR="00F95B09" w:rsidRDefault="00F95B09" w:rsidP="00F95B09">
      <w:pPr>
        <w:pStyle w:val="SingleTxt"/>
        <w:rPr>
          <w:rFonts w:hint="eastAsia"/>
        </w:rPr>
      </w:pPr>
      <w:r w:rsidRPr="00F95B09">
        <w:rPr>
          <w:rFonts w:ascii="SimHei" w:eastAsia="SimHei" w:hint="eastAsia"/>
          <w:color w:val="FF0000"/>
        </w:rPr>
        <w:t>就业</w:t>
      </w:r>
    </w:p>
    <w:p w:rsidR="00F95B09" w:rsidRDefault="00F95B09" w:rsidP="00F95B09">
      <w:pPr>
        <w:pStyle w:val="SingleTxt"/>
      </w:pPr>
      <w:r>
        <w:rPr>
          <w:rFonts w:hint="eastAsia"/>
        </w:rPr>
        <w:t>35.</w:t>
      </w:r>
      <w:r>
        <w:rPr>
          <w:rFonts w:hint="eastAsia"/>
        </w:rPr>
        <w:tab/>
        <w:t>委员会关注妇女在劳动力市场中的状况，包括妇女一直集中在传统就业领域、低薪职位、尤其是集中在非正规部门的问题；男女工资差别以及妇女失业率居高不下。</w:t>
      </w:r>
    </w:p>
    <w:p w:rsidR="00F95B09" w:rsidRPr="00F95B09" w:rsidRDefault="00F95B09" w:rsidP="00F95B09">
      <w:pPr>
        <w:pStyle w:val="SingleTxt"/>
        <w:rPr>
          <w:rFonts w:ascii="SimHei" w:eastAsia="SimHei" w:hint="eastAsia"/>
          <w:color w:val="FF0000"/>
        </w:rPr>
      </w:pPr>
      <w:r>
        <w:rPr>
          <w:rFonts w:hint="eastAsia"/>
        </w:rPr>
        <w:t>36.</w:t>
      </w:r>
      <w:r>
        <w:rPr>
          <w:rFonts w:hint="eastAsia"/>
        </w:rPr>
        <w:tab/>
      </w:r>
      <w:r w:rsidRPr="00F95B09">
        <w:rPr>
          <w:rFonts w:ascii="SimHei" w:eastAsia="SimHei" w:hint="eastAsia"/>
          <w:color w:val="FF0000"/>
        </w:rPr>
        <w:t>根据以前的结论意见，委员会敦促缔约国采取措施，除其他外根据《公约》第4条第1款和委员会第25号一般性建议采取暂行特别措施，确保劳动力市场中男女机会平等。委员会敦促缔约国确保所有创造就业方案敏感对待性别问题，并确保妇女切实从各项支持创业的方案中获益。委员会建议缔约国采取措施，缩小乃至消除当前的男女工资差异。委员会还建议加强现行准予兼顾家庭和工作责任的措施，并采取其他措施，倡导男女分担家务和家庭责任。</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卫生</w:t>
      </w:r>
    </w:p>
    <w:p w:rsidR="00F95B09" w:rsidRDefault="00F95B09" w:rsidP="00F95B09">
      <w:pPr>
        <w:pStyle w:val="SingleTxt"/>
        <w:rPr>
          <w:rFonts w:hint="eastAsia"/>
        </w:rPr>
      </w:pPr>
      <w:r>
        <w:rPr>
          <w:rFonts w:hint="eastAsia"/>
        </w:rPr>
        <w:t>37.</w:t>
      </w:r>
      <w:r>
        <w:rPr>
          <w:rFonts w:hint="eastAsia"/>
        </w:rPr>
        <w:tab/>
        <w:t>一般而言，委员会所关切的是妇女的健康状况，尤其是城市和农村地区之间在获取服务方面的差异。委员会感到关切的是，关于个人需支付医疗费用缴款的要求，可能会使妇女处于过于不利的地位。但委员会也注意到以下各类人免于缴款这些费用：不超过5岁的儿童、怀孕妇女、最近生产过的妇女以及年龄超过75岁者。委员会感到关切的是产妇和婴儿死亡率上升，妇女在怀孕期间贫血，包括18岁以下妇女中间的堕胎人数持续偏高，女孩体重不足，妇女中间结核病和性传播疾病发生率严重。委员会还关切妇女中间酒精中毒的问题以及缺乏关于农村妇女健康状况的按性别分列的统计数据。</w:t>
      </w:r>
    </w:p>
    <w:p w:rsidR="00F95B09" w:rsidRPr="00F95B09" w:rsidRDefault="00F95B09" w:rsidP="00F95B09">
      <w:pPr>
        <w:pStyle w:val="SingleTxt"/>
        <w:rPr>
          <w:rFonts w:ascii="SimHei" w:eastAsia="SimHei" w:hint="eastAsia"/>
          <w:color w:val="FF0000"/>
        </w:rPr>
      </w:pPr>
      <w:r>
        <w:rPr>
          <w:rFonts w:hint="eastAsia"/>
        </w:rPr>
        <w:t>38.</w:t>
      </w:r>
      <w:r>
        <w:rPr>
          <w:rFonts w:hint="eastAsia"/>
        </w:rPr>
        <w:tab/>
      </w:r>
      <w:r w:rsidRPr="00F95B09">
        <w:rPr>
          <w:rFonts w:ascii="SimHei" w:eastAsia="SimHei" w:hint="eastAsia"/>
          <w:color w:val="FF0000"/>
        </w:rPr>
        <w:t>委员会建议，缔约国按照关于妇女与健康问题的第24号一般性建议，全面落实一项针对妇女健康的整体的生命周期办法。委员会敦促缔约国确保人口各阶层以及农村妇女无障碍地获得负担得起的充分保健。它建议缔约国加强各种措施，降低产妇和婴儿死亡率，控制结核病和其他疾病在妇女中间的蔓延。它还敦促缔约国采取有效步骤，解决并防止妇女中间酒精中毒和吸毒成瘾的情况。委员会建议采取措施，让人们更清楚地了解和能够获得支付得起的避孕方法，并建议以青少年男女为对象，广泛推广性教育。委员会请缔约国在公共媒体中广播关于性健康和生殖健康的教育节目，提高公众在生殖健康领域中的意识。它还鼓励缔约国仔细监测提供保健服务的情况，以确保用对性别问题有敏感认识的方式，回应妇女对保健问题的所有关切，尤其是农村地区妇女的这种关切。委员会邀请缔约国将第24号一般性建议作为行动框架，确保所有保健政策和方案均纳入两性平等观点。</w:t>
      </w:r>
    </w:p>
    <w:p w:rsidR="00F95B09" w:rsidRDefault="00F95B09" w:rsidP="00F95B09">
      <w:pPr>
        <w:pStyle w:val="SingleTxt"/>
        <w:spacing w:line="330" w:lineRule="exact"/>
        <w:rPr>
          <w:rFonts w:hint="eastAsia"/>
        </w:rPr>
      </w:pPr>
      <w:r w:rsidRPr="00F95B09">
        <w:rPr>
          <w:rFonts w:ascii="SimHei" w:eastAsia="SimHei" w:hint="eastAsia"/>
          <w:color w:val="FF0000"/>
        </w:rPr>
        <w:t>离婚的经济后果</w:t>
      </w:r>
    </w:p>
    <w:p w:rsidR="00F95B09" w:rsidRPr="00B71126" w:rsidRDefault="00F95B09" w:rsidP="00F95B09">
      <w:pPr>
        <w:pStyle w:val="SingleTxt"/>
        <w:spacing w:line="330" w:lineRule="exact"/>
        <w:rPr>
          <w:rFonts w:hint="eastAsia"/>
          <w:spacing w:val="-2"/>
        </w:rPr>
      </w:pPr>
      <w:r w:rsidRPr="00B71126">
        <w:rPr>
          <w:rFonts w:hint="eastAsia"/>
          <w:spacing w:val="-2"/>
        </w:rPr>
        <w:t>39.</w:t>
      </w:r>
      <w:r w:rsidRPr="00B71126">
        <w:rPr>
          <w:rFonts w:hint="eastAsia"/>
          <w:spacing w:val="-2"/>
        </w:rPr>
        <w:tab/>
        <w:t>委员会对妇女由于离婚而面对的经济状况表示关切。委员会尤其</w:t>
      </w:r>
      <w:r w:rsidR="00B71126" w:rsidRPr="00B71126">
        <w:rPr>
          <w:rFonts w:hint="eastAsia"/>
          <w:spacing w:val="-2"/>
        </w:rPr>
        <w:t>关切</w:t>
      </w:r>
      <w:r w:rsidRPr="00B71126">
        <w:rPr>
          <w:rFonts w:hint="eastAsia"/>
          <w:spacing w:val="-2"/>
        </w:rPr>
        <w:t>农村和偏远地区妇女的状况，并关切缺乏具体条例实际保障妇女在事实婚姻中的财产权。</w:t>
      </w:r>
    </w:p>
    <w:p w:rsidR="00F95B09" w:rsidRPr="00F95B09" w:rsidRDefault="00F95B09" w:rsidP="00F95B09">
      <w:pPr>
        <w:pStyle w:val="SingleTxt"/>
        <w:spacing w:line="330" w:lineRule="exact"/>
        <w:rPr>
          <w:rFonts w:ascii="SimHei" w:eastAsia="SimHei" w:hint="eastAsia"/>
          <w:color w:val="FF0000"/>
          <w:spacing w:val="-4"/>
        </w:rPr>
      </w:pPr>
      <w:r w:rsidRPr="00F95B09">
        <w:rPr>
          <w:rFonts w:hint="eastAsia"/>
          <w:spacing w:val="-4"/>
        </w:rPr>
        <w:t>40.</w:t>
      </w:r>
      <w:r w:rsidRPr="00F95B09">
        <w:rPr>
          <w:rFonts w:hint="eastAsia"/>
          <w:spacing w:val="-4"/>
        </w:rPr>
        <w:tab/>
      </w:r>
      <w:r w:rsidRPr="00F95B09">
        <w:rPr>
          <w:rFonts w:ascii="SimHei" w:eastAsia="SimHei" w:hint="eastAsia"/>
          <w:color w:val="FF0000"/>
          <w:spacing w:val="-4"/>
        </w:rPr>
        <w:t>委员会请缔约国对事实婚姻的数量进行分析，以评价妇女在分居后的经济状况，并考虑制定法律和条例，保护妇女在婚姻解体后或事实结合情况中的财产权。委员会还请缔约国在下一次定期报告中列举关于在这方面进行的研究和成果的资料。</w:t>
      </w:r>
    </w:p>
    <w:p w:rsidR="00F95B09" w:rsidRPr="00F95B09" w:rsidRDefault="00F95B09" w:rsidP="00F95B09">
      <w:pPr>
        <w:pStyle w:val="SingleTxt"/>
        <w:spacing w:line="330" w:lineRule="exact"/>
        <w:rPr>
          <w:rFonts w:ascii="SimHei" w:eastAsia="SimHei" w:hint="eastAsia"/>
          <w:color w:val="FF0000"/>
        </w:rPr>
      </w:pPr>
      <w:r w:rsidRPr="00F95B09">
        <w:rPr>
          <w:rFonts w:ascii="SimHei" w:eastAsia="SimHei" w:hint="eastAsia"/>
          <w:color w:val="FF0000"/>
        </w:rPr>
        <w:t>弱势妇女群体</w:t>
      </w:r>
    </w:p>
    <w:p w:rsidR="00F95B09" w:rsidRDefault="00F95B09" w:rsidP="00F95B09">
      <w:pPr>
        <w:pStyle w:val="SingleTxt"/>
        <w:spacing w:line="330" w:lineRule="exact"/>
        <w:rPr>
          <w:rFonts w:hint="eastAsia"/>
        </w:rPr>
      </w:pPr>
      <w:r>
        <w:rPr>
          <w:rFonts w:hint="eastAsia"/>
        </w:rPr>
        <w:t>41.</w:t>
      </w:r>
      <w:r>
        <w:rPr>
          <w:rFonts w:hint="eastAsia"/>
        </w:rPr>
        <w:tab/>
        <w:t>委员会仍然对缺乏关于农村妇女的一般详细资料的情况感到关切。</w:t>
      </w:r>
    </w:p>
    <w:p w:rsidR="00F95B09" w:rsidRDefault="00F95B09" w:rsidP="00F95B09">
      <w:pPr>
        <w:pStyle w:val="SingleTxt"/>
        <w:spacing w:line="330" w:lineRule="exact"/>
        <w:rPr>
          <w:rFonts w:hint="eastAsia"/>
        </w:rPr>
      </w:pPr>
      <w:r>
        <w:rPr>
          <w:rFonts w:hint="eastAsia"/>
        </w:rPr>
        <w:t>42.</w:t>
      </w:r>
      <w:r>
        <w:rPr>
          <w:rFonts w:hint="eastAsia"/>
        </w:rPr>
        <w:tab/>
      </w:r>
      <w:r w:rsidRPr="00F95B09">
        <w:rPr>
          <w:rFonts w:ascii="SimHei" w:eastAsia="SimHei" w:hint="eastAsia"/>
          <w:color w:val="FF0000"/>
        </w:rPr>
        <w:t>委员会请缔约国在其第四次定期报告中，提供关于农村妇女状况的按年龄、性别、职业类别、收入等分类的综合统计数据</w:t>
      </w:r>
      <w:r>
        <w:rPr>
          <w:rFonts w:hint="eastAsia"/>
        </w:rPr>
        <w:t>。</w:t>
      </w:r>
    </w:p>
    <w:p w:rsidR="00F95B09" w:rsidRDefault="00F95B09" w:rsidP="00F95B09">
      <w:pPr>
        <w:pStyle w:val="SingleTxt"/>
        <w:spacing w:line="330" w:lineRule="exact"/>
        <w:rPr>
          <w:rFonts w:hint="eastAsia"/>
        </w:rPr>
      </w:pPr>
      <w:r>
        <w:rPr>
          <w:rFonts w:hint="eastAsia"/>
        </w:rPr>
        <w:t>43.</w:t>
      </w:r>
      <w:r>
        <w:rPr>
          <w:rFonts w:hint="eastAsia"/>
        </w:rPr>
        <w:tab/>
        <w:t>委员会对因性理由歧视和骚扰妇女行为的报告以及警务官员骚扰卖淫妇女的行为感到关切。</w:t>
      </w:r>
    </w:p>
    <w:p w:rsidR="00F95B09" w:rsidRPr="00F95B09" w:rsidRDefault="00F95B09" w:rsidP="00F95B09">
      <w:pPr>
        <w:pStyle w:val="SingleTxt"/>
        <w:spacing w:line="330" w:lineRule="exact"/>
        <w:rPr>
          <w:rFonts w:ascii="SimHei" w:eastAsia="SimHei" w:hint="eastAsia"/>
          <w:color w:val="FF0000"/>
        </w:rPr>
      </w:pPr>
      <w:r>
        <w:rPr>
          <w:rFonts w:hint="eastAsia"/>
        </w:rPr>
        <w:t>44.</w:t>
      </w:r>
      <w:r>
        <w:rPr>
          <w:rFonts w:hint="eastAsia"/>
        </w:rPr>
        <w:tab/>
      </w:r>
      <w:r w:rsidRPr="00F95B09">
        <w:rPr>
          <w:rFonts w:ascii="SimHei" w:eastAsia="SimHei" w:hint="eastAsia"/>
          <w:color w:val="FF0000"/>
        </w:rPr>
        <w:t>委员会敦促缔约国采取一切适当措施，确保《公约》无歧视地适用于所有妇女，并进一步采取一切必要步骤，保护她们免遭来自公众和个人的一切形式的歧视和暴力。</w:t>
      </w:r>
    </w:p>
    <w:p w:rsidR="00F95B09" w:rsidRPr="00F95B09" w:rsidRDefault="00F95B09" w:rsidP="00F95B09">
      <w:pPr>
        <w:pStyle w:val="SingleTxt"/>
        <w:spacing w:line="330" w:lineRule="exact"/>
        <w:rPr>
          <w:rFonts w:ascii="SimHei" w:eastAsia="SimHei" w:hint="eastAsia"/>
          <w:color w:val="FF0000"/>
        </w:rPr>
      </w:pPr>
      <w:r w:rsidRPr="00F95B09">
        <w:rPr>
          <w:rFonts w:ascii="SimHei" w:eastAsia="SimHei" w:hint="eastAsia"/>
          <w:color w:val="FF0000"/>
        </w:rPr>
        <w:t>《北京宣言和行动纲要》</w:t>
      </w:r>
    </w:p>
    <w:p w:rsidR="00F95B09" w:rsidRPr="00F95B09" w:rsidRDefault="00F95B09" w:rsidP="00F95B09">
      <w:pPr>
        <w:pStyle w:val="SingleTxt"/>
        <w:spacing w:line="330" w:lineRule="exact"/>
        <w:rPr>
          <w:rFonts w:ascii="SimHei" w:eastAsia="SimHei" w:hint="eastAsia"/>
          <w:color w:val="FF0000"/>
        </w:rPr>
      </w:pPr>
      <w:r>
        <w:rPr>
          <w:rFonts w:hint="eastAsia"/>
        </w:rPr>
        <w:t>45.</w:t>
      </w:r>
      <w:r>
        <w:rPr>
          <w:rFonts w:hint="eastAsia"/>
        </w:rPr>
        <w:tab/>
      </w:r>
      <w:r w:rsidRPr="00F95B09">
        <w:rPr>
          <w:rFonts w:ascii="SimHei" w:eastAsia="SimHei" w:hint="eastAsia"/>
          <w:color w:val="FF0000"/>
        </w:rPr>
        <w:t>委员会促请缔约国在履行《公约》义务时，充分利用加强《公约》各项规定的《北京宣言和行动纲要》，并请缔约国在下一次定期报告中提供有关资料。</w:t>
      </w:r>
    </w:p>
    <w:p w:rsidR="00F95B09" w:rsidRPr="00F95B09" w:rsidRDefault="00F95B09" w:rsidP="00F95B09">
      <w:pPr>
        <w:pStyle w:val="SingleTxt"/>
        <w:spacing w:line="330" w:lineRule="exact"/>
        <w:rPr>
          <w:rFonts w:ascii="SimHei" w:eastAsia="SimHei" w:hint="eastAsia"/>
          <w:color w:val="FF0000"/>
        </w:rPr>
      </w:pPr>
      <w:r w:rsidRPr="00F95B09">
        <w:rPr>
          <w:rFonts w:ascii="SimHei" w:eastAsia="SimHei" w:hint="eastAsia"/>
          <w:color w:val="FF0000"/>
        </w:rPr>
        <w:t>千年发展目标</w:t>
      </w:r>
    </w:p>
    <w:p w:rsidR="00F95B09" w:rsidRPr="00F95B09" w:rsidRDefault="00F95B09" w:rsidP="00F95B09">
      <w:pPr>
        <w:pStyle w:val="SingleTxt"/>
        <w:spacing w:line="330" w:lineRule="exact"/>
        <w:rPr>
          <w:rFonts w:ascii="SimHei" w:eastAsia="SimHei" w:hint="eastAsia"/>
          <w:color w:val="FF0000"/>
        </w:rPr>
      </w:pPr>
      <w:r>
        <w:rPr>
          <w:rFonts w:hint="eastAsia"/>
        </w:rPr>
        <w:t>46.</w:t>
      </w:r>
      <w:r w:rsidRPr="00F95B09">
        <w:rPr>
          <w:rFonts w:ascii="SimHei" w:eastAsia="SimHei" w:hint="eastAsia"/>
          <w:color w:val="FF0000"/>
        </w:rPr>
        <w:tab/>
        <w:t>委员会还强调，充分和有效地执行《公约》对实现千年发展目标不可或缺。委员会要求在实现千年发展目标的一切工作中纳入性别观点，明确体现《公约》各项规定，并请缔约国在下一次定期报告中提供有关资料。</w:t>
      </w:r>
    </w:p>
    <w:p w:rsidR="00F95B09" w:rsidRPr="00F95B09" w:rsidRDefault="00F95B09" w:rsidP="00F95B09">
      <w:pPr>
        <w:pStyle w:val="SingleTxt"/>
        <w:spacing w:line="330" w:lineRule="exact"/>
        <w:rPr>
          <w:rFonts w:ascii="SimHei" w:eastAsia="SimHei" w:hint="eastAsia"/>
          <w:color w:val="FF0000"/>
        </w:rPr>
      </w:pPr>
      <w:r w:rsidRPr="00F95B09">
        <w:rPr>
          <w:rFonts w:ascii="SimHei" w:eastAsia="SimHei" w:hint="eastAsia"/>
          <w:color w:val="FF0000"/>
        </w:rPr>
        <w:t>《公约》第2</w:t>
      </w:r>
      <w:r w:rsidR="00B71126">
        <w:rPr>
          <w:rFonts w:ascii="SimHei" w:eastAsia="SimHei" w:hint="eastAsia"/>
          <w:color w:val="FF0000"/>
        </w:rPr>
        <w:t>0</w:t>
      </w:r>
      <w:r w:rsidRPr="00F95B09">
        <w:rPr>
          <w:rFonts w:ascii="SimHei" w:eastAsia="SimHei" w:hint="eastAsia"/>
          <w:color w:val="FF0000"/>
        </w:rPr>
        <w:t>条第1款</w:t>
      </w:r>
    </w:p>
    <w:p w:rsidR="00F95B09" w:rsidRDefault="00F95B09" w:rsidP="00F95B09">
      <w:pPr>
        <w:pStyle w:val="SingleTxt"/>
        <w:spacing w:line="330" w:lineRule="exact"/>
        <w:rPr>
          <w:rFonts w:hint="eastAsia"/>
        </w:rPr>
      </w:pPr>
      <w:r>
        <w:rPr>
          <w:rFonts w:hint="eastAsia"/>
        </w:rPr>
        <w:t>47.</w:t>
      </w:r>
      <w:r>
        <w:rPr>
          <w:rFonts w:hint="eastAsia"/>
        </w:rPr>
        <w:tab/>
      </w:r>
      <w:r w:rsidRPr="00F95B09">
        <w:rPr>
          <w:rFonts w:ascii="SimHei" w:eastAsia="SimHei" w:hint="eastAsia"/>
          <w:color w:val="FF0000"/>
        </w:rPr>
        <w:t>委员会按照其先前的结论意见，</w:t>
      </w:r>
      <w:r>
        <w:rPr>
          <w:rStyle w:val="FootnoteReference"/>
          <w:rFonts w:ascii="SimHei" w:eastAsia="SimHei"/>
        </w:rPr>
        <w:footnoteReference w:id="1"/>
      </w:r>
      <w:r>
        <w:rPr>
          <w:rFonts w:ascii="Times New Roman" w:eastAsia="SimHei"/>
          <w:color w:val="FF0000"/>
        </w:rPr>
        <w:t xml:space="preserve"> </w:t>
      </w:r>
      <w:r w:rsidRPr="00F95B09">
        <w:rPr>
          <w:rFonts w:ascii="SimHei" w:eastAsia="SimHei" w:hint="eastAsia"/>
          <w:color w:val="FF0000"/>
        </w:rPr>
        <w:t>鉴于缔约国积极评估对关于委员会会议时间的《公约》第2</w:t>
      </w:r>
      <w:r w:rsidR="00B71126">
        <w:rPr>
          <w:rFonts w:ascii="SimHei" w:eastAsia="SimHei" w:hint="eastAsia"/>
          <w:color w:val="FF0000"/>
        </w:rPr>
        <w:t>0</w:t>
      </w:r>
      <w:r w:rsidRPr="00F95B09">
        <w:rPr>
          <w:rFonts w:ascii="SimHei" w:eastAsia="SimHei" w:hint="eastAsia"/>
          <w:color w:val="FF0000"/>
        </w:rPr>
        <w:t>条第1款的修正，鼓励它尽快接受这项修正案</w:t>
      </w:r>
      <w:r>
        <w:rPr>
          <w:rFonts w:hint="eastAsia"/>
        </w:rPr>
        <w:t>。</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其他条约的批准</w:t>
      </w:r>
    </w:p>
    <w:p w:rsidR="00F95B09" w:rsidRPr="00F95B09" w:rsidRDefault="00F95B09" w:rsidP="00F95B09">
      <w:pPr>
        <w:pStyle w:val="SingleTxt"/>
        <w:rPr>
          <w:rFonts w:ascii="SimHei" w:eastAsia="SimHei" w:hint="eastAsia"/>
          <w:color w:val="FF0000"/>
        </w:rPr>
      </w:pPr>
      <w:r>
        <w:rPr>
          <w:rFonts w:hint="eastAsia"/>
        </w:rPr>
        <w:t>48.</w:t>
      </w:r>
      <w:r>
        <w:rPr>
          <w:rFonts w:hint="eastAsia"/>
        </w:rPr>
        <w:tab/>
      </w:r>
      <w:r w:rsidRPr="00F95B09">
        <w:rPr>
          <w:rFonts w:ascii="SimHei" w:eastAsia="SimHei" w:hint="eastAsia"/>
          <w:color w:val="FF0000"/>
        </w:rPr>
        <w:t>委员会指出，各国参加九项主要国际人权文书，</w:t>
      </w:r>
      <w:r>
        <w:rPr>
          <w:rStyle w:val="FootnoteReference"/>
          <w:rFonts w:ascii="SimHei" w:eastAsia="SimHei"/>
        </w:rPr>
        <w:footnoteReference w:id="2"/>
      </w:r>
      <w:r w:rsidRPr="00F95B09">
        <w:rPr>
          <w:rFonts w:ascii="SimHei" w:eastAsia="SimHei" w:hint="eastAsia"/>
          <w:color w:val="FF0000"/>
        </w:rPr>
        <w:t xml:space="preserve"> 有助于促进妇女在生活的各个方面享受人权和基本自由。因此，委员会鼓励缔约国考虑批准它尚未成为缔约国的条约，即《残疾人权利公约》和《保护所有人免遭强迫失踪国际公约》。</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结论意见的传播</w:t>
      </w:r>
    </w:p>
    <w:p w:rsidR="00F95B09" w:rsidRPr="00F95B09" w:rsidRDefault="00F95B09" w:rsidP="00F95B09">
      <w:pPr>
        <w:pStyle w:val="SingleTxt"/>
        <w:rPr>
          <w:rFonts w:ascii="SimHei" w:eastAsia="SimHei" w:hint="eastAsia"/>
          <w:color w:val="FF0000"/>
        </w:rPr>
      </w:pPr>
      <w:r>
        <w:rPr>
          <w:rFonts w:hint="eastAsia"/>
        </w:rPr>
        <w:t>49.</w:t>
      </w:r>
      <w:r>
        <w:rPr>
          <w:rFonts w:hint="eastAsia"/>
        </w:rPr>
        <w:tab/>
      </w:r>
      <w:r w:rsidRPr="00F95B09">
        <w:rPr>
          <w:rFonts w:ascii="SimHei" w:eastAsia="SimHei" w:hint="eastAsia"/>
          <w:color w:val="FF0000"/>
        </w:rPr>
        <w:t>委员会请吉尔吉斯斯坦在国内用吉尔吉斯文和俄文广为传播本结论意见，使人民，包括政府官员、政界人士、议员以及妇女组织和人权组织，了解为确保妇女在法律上和事实上的平等而采取的步骤以及在这方面应进一步采取的步骤。委员会请缔约国继续加紧传播《公约》及其任择议定书、委员会各项一般性建议、《北京宣言和行动纲要》以及题为“2000年妇女：二十一世纪两性平等、发展与和平”的大会第二十三届特别会议成果，特别是向妇女组织和人权组织进行传播。</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结论意见的后续行动</w:t>
      </w:r>
    </w:p>
    <w:p w:rsidR="00F95B09" w:rsidRDefault="00F95B09" w:rsidP="00F95B09">
      <w:pPr>
        <w:pStyle w:val="SingleTxt"/>
        <w:rPr>
          <w:rFonts w:hint="eastAsia"/>
        </w:rPr>
      </w:pPr>
      <w:r>
        <w:rPr>
          <w:rFonts w:hint="eastAsia"/>
        </w:rPr>
        <w:t>50.</w:t>
      </w:r>
      <w:r>
        <w:rPr>
          <w:rFonts w:hint="eastAsia"/>
        </w:rPr>
        <w:tab/>
      </w:r>
      <w:r w:rsidRPr="00F95B09">
        <w:rPr>
          <w:rFonts w:ascii="SimHei" w:eastAsia="SimHei" w:hint="eastAsia"/>
          <w:color w:val="FF0000"/>
        </w:rPr>
        <w:t>委员会请缔约国在一年之内提供书面资料，说明为执行上文第20和22段所载建议所采取的步骤。委员会还请缔约国考虑在必要和适当时为执行上述建议寻求技术合作和援助。</w:t>
      </w:r>
    </w:p>
    <w:p w:rsidR="00F95B09" w:rsidRPr="00F95B09" w:rsidRDefault="00F95B09" w:rsidP="00F95B09">
      <w:pPr>
        <w:pStyle w:val="SingleTxt"/>
        <w:rPr>
          <w:rFonts w:ascii="SimHei" w:eastAsia="SimHei" w:hint="eastAsia"/>
          <w:color w:val="FF0000"/>
        </w:rPr>
      </w:pPr>
      <w:r w:rsidRPr="00F95B09">
        <w:rPr>
          <w:rFonts w:ascii="SimHei" w:eastAsia="SimHei" w:hint="eastAsia"/>
          <w:color w:val="FF0000"/>
        </w:rPr>
        <w:t>下一次报告的日期</w:t>
      </w:r>
    </w:p>
    <w:p w:rsidR="00EA31C3" w:rsidRDefault="00F95B09" w:rsidP="00F95B09">
      <w:pPr>
        <w:pStyle w:val="SingleTxt"/>
      </w:pPr>
      <w:r>
        <w:rPr>
          <w:rFonts w:hint="eastAsia"/>
        </w:rPr>
        <w:t>54.</w:t>
      </w:r>
      <w:r>
        <w:rPr>
          <w:rFonts w:hint="eastAsia"/>
        </w:rPr>
        <w:tab/>
      </w:r>
      <w:r w:rsidRPr="00F95B09">
        <w:rPr>
          <w:rFonts w:ascii="SimHei" w:eastAsia="SimHei" w:hint="eastAsia"/>
          <w:color w:val="FF0000"/>
        </w:rPr>
        <w:t>委员会请缔约国在根据《公约》第18条提交的下一次定期报告中答复本结论意见所提出的各项关切。委员会请缔约国如期于2012年10月提交其第四次定期报告</w:t>
      </w:r>
      <w:r>
        <w:rPr>
          <w:rFonts w:hint="eastAsia"/>
        </w:rPr>
        <w:t>。</w:t>
      </w:r>
    </w:p>
    <w:p w:rsidR="00FA5939" w:rsidRPr="00FA5939" w:rsidRDefault="00FA5939" w:rsidP="00FA5939">
      <w:pPr>
        <w:pStyle w:val="SingleTxt"/>
        <w:spacing w:after="0" w:line="240" w:lineRule="auto"/>
        <w:rPr>
          <w:rFonts w:ascii="Times New Roman"/>
          <w:sz w:val="20"/>
        </w:rPr>
      </w:pPr>
      <w:r>
        <w:rPr>
          <w:rFonts w:ascii="Times New Roman"/>
          <w:noProof/>
          <w:sz w:val="20"/>
        </w:rPr>
        <w:pict>
          <v:line id="_x0000_s1026" style="position:absolute;left:0;text-align:left;z-index:1;mso-position-horizontal:center" from="0,30pt" to="1in,30pt" strokeweight=".25pt"/>
        </w:pict>
      </w:r>
    </w:p>
    <w:sectPr w:rsidR="00FA5939" w:rsidRPr="00FA5939" w:rsidSect="00914A6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09:38:00Z" w:initials="Start">
    <w:p w:rsidR="00D058A5" w:rsidRDefault="00D058A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NO&gt;&gt;N0860272C&lt;&lt;ODS JOB NO&gt;&gt;</w:t>
      </w:r>
    </w:p>
    <w:p w:rsidR="00D058A5" w:rsidRDefault="00D058A5">
      <w:pPr>
        <w:pStyle w:val="CommentText"/>
      </w:pPr>
      <w:r>
        <w:t>&lt;&lt;ODS DOC SYMBOL1&gt;&gt;CEDAW/C/KGZ/CO/3&lt;&lt;ODS DOC SYMBOL1&gt;&gt;</w:t>
      </w:r>
    </w:p>
    <w:p w:rsidR="00D058A5" w:rsidRDefault="00D058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288" w:rsidRDefault="00F82288">
      <w:r>
        <w:separator/>
      </w:r>
    </w:p>
  </w:endnote>
  <w:endnote w:type="continuationSeparator" w:id="0">
    <w:p w:rsidR="00F82288" w:rsidRDefault="00F82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58A5" w:rsidTr="00914A64">
      <w:tblPrEx>
        <w:tblCellMar>
          <w:top w:w="0" w:type="dxa"/>
          <w:bottom w:w="0" w:type="dxa"/>
        </w:tblCellMar>
      </w:tblPrEx>
      <w:tc>
        <w:tcPr>
          <w:tcW w:w="5033" w:type="dxa"/>
          <w:shd w:val="clear" w:color="auto" w:fill="auto"/>
        </w:tcPr>
        <w:p w:rsidR="00D058A5" w:rsidRPr="00914A64" w:rsidRDefault="00D058A5" w:rsidP="00914A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08-60272 (C)</w:t>
          </w:r>
          <w:r>
            <w:rPr>
              <w:b w:val="0"/>
              <w:w w:val="103"/>
              <w:sz w:val="14"/>
            </w:rPr>
            <w:fldChar w:fldCharType="end"/>
          </w:r>
        </w:p>
      </w:tc>
      <w:tc>
        <w:tcPr>
          <w:tcW w:w="5033" w:type="dxa"/>
          <w:shd w:val="clear" w:color="auto" w:fill="auto"/>
        </w:tcPr>
        <w:p w:rsidR="00D058A5" w:rsidRPr="00914A64" w:rsidRDefault="00D058A5" w:rsidP="00914A64">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087F87">
            <w:rPr>
              <w:w w:val="103"/>
              <w:sz w:val="17"/>
            </w:rPr>
            <w:t>8</w:t>
          </w:r>
          <w:r>
            <w:rPr>
              <w:w w:val="103"/>
              <w:sz w:val="17"/>
            </w:rPr>
            <w:fldChar w:fldCharType="end"/>
          </w:r>
        </w:p>
      </w:tc>
    </w:tr>
  </w:tbl>
  <w:p w:rsidR="00D058A5" w:rsidRPr="00914A64" w:rsidRDefault="00D058A5" w:rsidP="00914A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58A5" w:rsidTr="00914A64">
      <w:tblPrEx>
        <w:tblCellMar>
          <w:top w:w="0" w:type="dxa"/>
          <w:bottom w:w="0" w:type="dxa"/>
        </w:tblCellMar>
      </w:tblPrEx>
      <w:tc>
        <w:tcPr>
          <w:tcW w:w="5033" w:type="dxa"/>
          <w:shd w:val="clear" w:color="auto" w:fill="auto"/>
        </w:tcPr>
        <w:p w:rsidR="00D058A5" w:rsidRPr="00914A64" w:rsidRDefault="00D058A5" w:rsidP="00914A64">
          <w:pPr>
            <w:pStyle w:val="Footer"/>
            <w:jc w:val="right"/>
          </w:pPr>
          <w:r>
            <w:fldChar w:fldCharType="begin"/>
          </w:r>
          <w:r>
            <w:instrText xml:space="preserve"> PAGE  \* MERGEFORMAT </w:instrText>
          </w:r>
          <w:r>
            <w:fldChar w:fldCharType="separate"/>
          </w:r>
          <w:r w:rsidR="00087F87">
            <w:t>7</w:t>
          </w:r>
          <w:r>
            <w:fldChar w:fldCharType="end"/>
          </w:r>
        </w:p>
      </w:tc>
      <w:tc>
        <w:tcPr>
          <w:tcW w:w="5033" w:type="dxa"/>
          <w:shd w:val="clear" w:color="auto" w:fill="auto"/>
        </w:tcPr>
        <w:p w:rsidR="00D058A5" w:rsidRPr="00914A64" w:rsidRDefault="00D058A5" w:rsidP="00914A6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08-60272 (C)</w:t>
          </w:r>
          <w:r>
            <w:rPr>
              <w:b w:val="0"/>
              <w:w w:val="103"/>
              <w:sz w:val="14"/>
            </w:rPr>
            <w:fldChar w:fldCharType="end"/>
          </w:r>
        </w:p>
      </w:tc>
    </w:tr>
  </w:tbl>
  <w:p w:rsidR="00D058A5" w:rsidRPr="00914A64" w:rsidRDefault="00D058A5" w:rsidP="00914A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8A5" w:rsidRDefault="00D058A5" w:rsidP="00914A6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08-60272 (C)</w:t>
    </w:r>
    <w:r>
      <w:rPr>
        <w:b w:val="0"/>
        <w:sz w:val="21"/>
      </w:rPr>
      <w:fldChar w:fldCharType="end"/>
    </w:r>
    <w:r>
      <w:rPr>
        <w:b w:val="0"/>
        <w:sz w:val="21"/>
      </w:rPr>
      <w:t xml:space="preserve">    201108    201108</w:t>
    </w:r>
  </w:p>
  <w:p w:rsidR="00D058A5" w:rsidRPr="00914A64" w:rsidRDefault="00D058A5" w:rsidP="00914A64">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*0860272*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288" w:rsidRPr="00F95B09" w:rsidRDefault="00F82288" w:rsidP="00F95B09">
      <w:pPr>
        <w:pStyle w:val="Footer"/>
        <w:spacing w:after="80"/>
        <w:ind w:left="792"/>
        <w:rPr>
          <w:sz w:val="16"/>
        </w:rPr>
      </w:pPr>
      <w:r w:rsidRPr="00F95B09">
        <w:rPr>
          <w:sz w:val="16"/>
        </w:rPr>
        <w:t>__________________</w:t>
      </w:r>
    </w:p>
  </w:footnote>
  <w:footnote w:type="continuationSeparator" w:id="0">
    <w:p w:rsidR="00F82288" w:rsidRPr="00F95B09" w:rsidRDefault="00F82288" w:rsidP="00F95B09">
      <w:pPr>
        <w:pStyle w:val="Footer"/>
        <w:spacing w:after="80"/>
        <w:ind w:left="792"/>
        <w:rPr>
          <w:sz w:val="16"/>
        </w:rPr>
      </w:pPr>
      <w:r w:rsidRPr="00F95B09">
        <w:rPr>
          <w:sz w:val="16"/>
        </w:rPr>
        <w:t>__________________</w:t>
      </w:r>
    </w:p>
  </w:footnote>
  <w:footnote w:id="1">
    <w:p w:rsidR="00D058A5" w:rsidRPr="00F95B09" w:rsidRDefault="00D058A5" w:rsidP="00F95B0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95B09">
        <w:rPr>
          <w:rFonts w:hint="eastAsia"/>
        </w:rPr>
        <w:t>《大会正式记录，第五十九届会议，补编第38号》(A/59/38)，第149段。</w:t>
      </w:r>
    </w:p>
  </w:footnote>
  <w:footnote w:id="2">
    <w:p w:rsidR="00D058A5" w:rsidRPr="00F95B09" w:rsidRDefault="00D058A5" w:rsidP="00F95B0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95B09">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58A5" w:rsidTr="00914A64">
      <w:tblPrEx>
        <w:tblCellMar>
          <w:top w:w="0" w:type="dxa"/>
          <w:bottom w:w="0" w:type="dxa"/>
        </w:tblCellMar>
      </w:tblPrEx>
      <w:trPr>
        <w:trHeight w:hRule="exact" w:val="864"/>
      </w:trPr>
      <w:tc>
        <w:tcPr>
          <w:tcW w:w="4838" w:type="dxa"/>
          <w:shd w:val="clear" w:color="auto" w:fill="auto"/>
          <w:vAlign w:val="bottom"/>
        </w:tcPr>
        <w:p w:rsidR="00D058A5" w:rsidRPr="00914A64" w:rsidRDefault="00D058A5" w:rsidP="00914A6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CEDAW/C/KGZ/CO/3</w:t>
          </w:r>
          <w:r>
            <w:rPr>
              <w:b/>
              <w:sz w:val="17"/>
            </w:rPr>
            <w:fldChar w:fldCharType="end"/>
          </w:r>
        </w:p>
      </w:tc>
      <w:tc>
        <w:tcPr>
          <w:tcW w:w="5033" w:type="dxa"/>
          <w:shd w:val="clear" w:color="auto" w:fill="auto"/>
          <w:vAlign w:val="bottom"/>
        </w:tcPr>
        <w:p w:rsidR="00D058A5" w:rsidRDefault="00D058A5" w:rsidP="00914A64">
          <w:pPr>
            <w:pStyle w:val="Header"/>
          </w:pPr>
        </w:p>
      </w:tc>
    </w:tr>
  </w:tbl>
  <w:p w:rsidR="00D058A5" w:rsidRPr="00914A64" w:rsidRDefault="00D058A5" w:rsidP="00914A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58A5" w:rsidTr="00914A64">
      <w:tblPrEx>
        <w:tblCellMar>
          <w:top w:w="0" w:type="dxa"/>
          <w:bottom w:w="0" w:type="dxa"/>
        </w:tblCellMar>
      </w:tblPrEx>
      <w:trPr>
        <w:trHeight w:hRule="exact" w:val="864"/>
      </w:trPr>
      <w:tc>
        <w:tcPr>
          <w:tcW w:w="4838" w:type="dxa"/>
          <w:shd w:val="clear" w:color="auto" w:fill="auto"/>
          <w:vAlign w:val="bottom"/>
        </w:tcPr>
        <w:p w:rsidR="00D058A5" w:rsidRDefault="00D058A5" w:rsidP="00914A64">
          <w:pPr>
            <w:pStyle w:val="Header"/>
          </w:pPr>
        </w:p>
      </w:tc>
      <w:tc>
        <w:tcPr>
          <w:tcW w:w="5033" w:type="dxa"/>
          <w:shd w:val="clear" w:color="auto" w:fill="auto"/>
          <w:vAlign w:val="bottom"/>
        </w:tcPr>
        <w:p w:rsidR="00D058A5" w:rsidRPr="00914A64" w:rsidRDefault="00D058A5" w:rsidP="00914A6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CEDAW/C/KGZ/CO/3</w:t>
          </w:r>
          <w:r>
            <w:rPr>
              <w:b/>
              <w:sz w:val="17"/>
            </w:rPr>
            <w:fldChar w:fldCharType="end"/>
          </w:r>
        </w:p>
      </w:tc>
    </w:tr>
  </w:tbl>
  <w:p w:rsidR="00D058A5" w:rsidRPr="00914A64" w:rsidRDefault="00D058A5" w:rsidP="00914A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058A5" w:rsidTr="00914A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58A5" w:rsidRDefault="00D058A5" w:rsidP="00914A64">
          <w:pPr>
            <w:pStyle w:val="Header"/>
            <w:spacing w:after="120"/>
          </w:pPr>
        </w:p>
      </w:tc>
      <w:tc>
        <w:tcPr>
          <w:tcW w:w="1872" w:type="dxa"/>
          <w:tcBorders>
            <w:bottom w:val="single" w:sz="4" w:space="0" w:color="auto"/>
          </w:tcBorders>
          <w:shd w:val="clear" w:color="auto" w:fill="auto"/>
          <w:vAlign w:val="bottom"/>
        </w:tcPr>
        <w:p w:rsidR="00D058A5" w:rsidRPr="00914A64" w:rsidRDefault="00D058A5" w:rsidP="00914A6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058A5" w:rsidRDefault="00D058A5" w:rsidP="00914A64">
          <w:pPr>
            <w:pStyle w:val="Header"/>
            <w:spacing w:after="120"/>
          </w:pPr>
        </w:p>
      </w:tc>
      <w:tc>
        <w:tcPr>
          <w:tcW w:w="6523" w:type="dxa"/>
          <w:gridSpan w:val="3"/>
          <w:tcBorders>
            <w:bottom w:val="single" w:sz="4" w:space="0" w:color="auto"/>
          </w:tcBorders>
          <w:shd w:val="clear" w:color="auto" w:fill="auto"/>
          <w:vAlign w:val="bottom"/>
        </w:tcPr>
        <w:p w:rsidR="00D058A5" w:rsidRPr="00914A64" w:rsidRDefault="00D058A5" w:rsidP="00914A64">
          <w:pPr>
            <w:spacing w:after="80" w:line="240" w:lineRule="auto"/>
            <w:jc w:val="right"/>
            <w:rPr>
              <w:rFonts w:ascii="Times New Roman"/>
              <w:position w:val="-4"/>
            </w:rPr>
          </w:pPr>
          <w:r>
            <w:rPr>
              <w:rFonts w:ascii="Times New Roman"/>
              <w:position w:val="-4"/>
              <w:sz w:val="40"/>
            </w:rPr>
            <w:t>CEDAW</w:t>
          </w:r>
          <w:r>
            <w:rPr>
              <w:rFonts w:ascii="Times New Roman"/>
              <w:position w:val="-4"/>
            </w:rPr>
            <w:t>/C/KGZ/CO/3</w:t>
          </w:r>
        </w:p>
      </w:tc>
    </w:tr>
    <w:tr w:rsidR="00D058A5" w:rsidRPr="00914A64" w:rsidTr="00914A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58A5" w:rsidRDefault="00D058A5" w:rsidP="00914A6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058A5" w:rsidRPr="00914A64" w:rsidRDefault="00D058A5" w:rsidP="00914A64">
          <w:pPr>
            <w:pStyle w:val="Header"/>
            <w:spacing w:before="109"/>
            <w:ind w:left="-72"/>
          </w:pPr>
        </w:p>
      </w:tc>
      <w:tc>
        <w:tcPr>
          <w:tcW w:w="5227" w:type="dxa"/>
          <w:gridSpan w:val="3"/>
          <w:tcBorders>
            <w:top w:val="single" w:sz="4" w:space="0" w:color="auto"/>
            <w:bottom w:val="single" w:sz="12" w:space="0" w:color="auto"/>
          </w:tcBorders>
          <w:shd w:val="clear" w:color="auto" w:fill="auto"/>
        </w:tcPr>
        <w:p w:rsidR="00D058A5" w:rsidRPr="00914A64" w:rsidRDefault="00D058A5" w:rsidP="00914A6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058A5" w:rsidRPr="00914A64" w:rsidRDefault="00D058A5" w:rsidP="00914A64">
          <w:pPr>
            <w:pStyle w:val="Header"/>
            <w:spacing w:before="109"/>
          </w:pPr>
        </w:p>
      </w:tc>
      <w:tc>
        <w:tcPr>
          <w:tcW w:w="3180" w:type="dxa"/>
          <w:gridSpan w:val="2"/>
          <w:tcBorders>
            <w:top w:val="single" w:sz="4" w:space="0" w:color="auto"/>
            <w:bottom w:val="single" w:sz="12" w:space="0" w:color="auto"/>
          </w:tcBorders>
          <w:shd w:val="clear" w:color="auto" w:fill="auto"/>
        </w:tcPr>
        <w:p w:rsidR="00D058A5" w:rsidRDefault="00D058A5" w:rsidP="00914A64">
          <w:pPr>
            <w:spacing w:before="240" w:line="240" w:lineRule="exact"/>
            <w:rPr>
              <w:rFonts w:ascii="Times New Roman"/>
            </w:rPr>
          </w:pPr>
          <w:r>
            <w:rPr>
              <w:rFonts w:ascii="Times New Roman"/>
            </w:rPr>
            <w:t>Distr.: General</w:t>
          </w:r>
        </w:p>
        <w:p w:rsidR="00D058A5" w:rsidRDefault="00D058A5" w:rsidP="00914A64">
          <w:pPr>
            <w:spacing w:line="240" w:lineRule="exact"/>
            <w:rPr>
              <w:rFonts w:ascii="Times New Roman"/>
            </w:rPr>
          </w:pPr>
          <w:r>
            <w:rPr>
              <w:rFonts w:ascii="Times New Roman"/>
            </w:rPr>
            <w:t>14 November 2008</w:t>
          </w:r>
        </w:p>
        <w:p w:rsidR="00D058A5" w:rsidRDefault="00D058A5" w:rsidP="00914A64">
          <w:pPr>
            <w:spacing w:line="240" w:lineRule="exact"/>
            <w:rPr>
              <w:rFonts w:ascii="Times New Roman"/>
            </w:rPr>
          </w:pPr>
          <w:r>
            <w:rPr>
              <w:rFonts w:ascii="Times New Roman"/>
            </w:rPr>
            <w:t>Chinese</w:t>
          </w:r>
        </w:p>
        <w:p w:rsidR="00D058A5" w:rsidRPr="00914A64" w:rsidRDefault="00D058A5" w:rsidP="00914A64">
          <w:pPr>
            <w:spacing w:line="240" w:lineRule="exact"/>
            <w:rPr>
              <w:rFonts w:ascii="Times New Roman"/>
            </w:rPr>
          </w:pPr>
          <w:r>
            <w:rPr>
              <w:rFonts w:ascii="Times New Roman"/>
            </w:rPr>
            <w:t>Original: English</w:t>
          </w:r>
        </w:p>
      </w:tc>
    </w:tr>
  </w:tbl>
  <w:p w:rsidR="00D058A5" w:rsidRPr="00914A64" w:rsidRDefault="00D058A5" w:rsidP="00914A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72*"/>
    <w:docVar w:name="CreationDt" w:val="20/11/2008 09:22:31"/>
    <w:docVar w:name="DocCategory" w:val="Doc"/>
    <w:docVar w:name="DocType" w:val="Final"/>
    <w:docVar w:name="FooterJN" w:val="08-60272 (C)"/>
    <w:docVar w:name="jobn" w:val="08-60272 (C)"/>
    <w:docVar w:name="jobnDT" w:val="08-60272 (C)   201108"/>
    <w:docVar w:name="jobnDTDT" w:val="08-60272 (C)   201108   201108"/>
    <w:docVar w:name="JobNo" w:val="0860272C"/>
    <w:docVar w:name="OandT" w:val="du"/>
    <w:docVar w:name="sss1" w:val="CEDAW/C/KGZ/CO/3"/>
    <w:docVar w:name="sss2" w:val="-"/>
    <w:docVar w:name="Symbol1" w:val="CEDAW/C/KGZ/CO/3"/>
    <w:docVar w:name="Symbol2" w:val="-"/>
  </w:docVars>
  <w:rsids>
    <w:rsidRoot w:val="00447D6C"/>
    <w:rsid w:val="0000347C"/>
    <w:rsid w:val="000125BC"/>
    <w:rsid w:val="00021A2B"/>
    <w:rsid w:val="00037B39"/>
    <w:rsid w:val="00044CA4"/>
    <w:rsid w:val="00045EFE"/>
    <w:rsid w:val="0007337D"/>
    <w:rsid w:val="000758DF"/>
    <w:rsid w:val="00076EB8"/>
    <w:rsid w:val="00087F87"/>
    <w:rsid w:val="00095C67"/>
    <w:rsid w:val="000961CF"/>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1D9F"/>
    <w:rsid w:val="00373A15"/>
    <w:rsid w:val="00394A02"/>
    <w:rsid w:val="003C7B20"/>
    <w:rsid w:val="003E4565"/>
    <w:rsid w:val="003E748F"/>
    <w:rsid w:val="003E7612"/>
    <w:rsid w:val="00414423"/>
    <w:rsid w:val="004411AD"/>
    <w:rsid w:val="004424EF"/>
    <w:rsid w:val="00447D6C"/>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A49F0"/>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5E77"/>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17EC6"/>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14A64"/>
    <w:rsid w:val="0096193C"/>
    <w:rsid w:val="009769E1"/>
    <w:rsid w:val="00977E0D"/>
    <w:rsid w:val="00986C04"/>
    <w:rsid w:val="009A2F76"/>
    <w:rsid w:val="009C4A5A"/>
    <w:rsid w:val="009D2AC2"/>
    <w:rsid w:val="009D711A"/>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71126"/>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32CF1"/>
    <w:rsid w:val="00C42033"/>
    <w:rsid w:val="00C464DD"/>
    <w:rsid w:val="00C76854"/>
    <w:rsid w:val="00C92AE0"/>
    <w:rsid w:val="00CB2B1E"/>
    <w:rsid w:val="00CC3E8B"/>
    <w:rsid w:val="00CC4E84"/>
    <w:rsid w:val="00CD5641"/>
    <w:rsid w:val="00CE64AC"/>
    <w:rsid w:val="00CF7718"/>
    <w:rsid w:val="00D058A5"/>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16F5"/>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2288"/>
    <w:rsid w:val="00F833CB"/>
    <w:rsid w:val="00F87754"/>
    <w:rsid w:val="00F90A4B"/>
    <w:rsid w:val="00F90C56"/>
    <w:rsid w:val="00F95B09"/>
    <w:rsid w:val="00FA5939"/>
    <w:rsid w:val="00FC1CE4"/>
    <w:rsid w:val="00FD594E"/>
    <w:rsid w:val="00FD75B9"/>
    <w:rsid w:val="00FE5FE8"/>
    <w:rsid w:val="00FF41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3425</Words>
  <Characters>3528</Characters>
  <Application>Microsoft Office Word</Application>
  <DocSecurity>4</DocSecurity>
  <Lines>130</Lines>
  <Paragraphs>79</Paragraphs>
  <ScaleCrop>false</ScaleCrop>
  <Company>United Nations</Company>
  <LinksUpToDate>false</LinksUpToDate>
  <CharactersWithSpaces>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2008-11-20T09:27:00Z</cp:lastPrinted>
  <dcterms:created xsi:type="dcterms:W3CDTF">2008-11-20T08:21:00Z</dcterms:created>
  <dcterms:modified xsi:type="dcterms:W3CDTF">2008-11-20T09:27:00Z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0860272</vt:lpwstr>
  </property>
  <property fmtid="{D5CDD505-2E9C-101B-9397-08002B2CF9AE}" pid="3" name="Symbol1">
    <vt:lpwstr>CEDAW/C/KGZ/CO/3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vt:lpwstr>
  </property>
</Properties>
</file>