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4A2B613F" w14:textId="77777777" w:rsidTr="00BC3629">
        <w:trPr>
          <w:trHeight w:hRule="exact" w:val="851"/>
        </w:trPr>
        <w:tc>
          <w:tcPr>
            <w:tcW w:w="142" w:type="dxa"/>
            <w:tcBorders>
              <w:bottom w:val="single" w:sz="4" w:space="0" w:color="auto"/>
            </w:tcBorders>
          </w:tcPr>
          <w:p w14:paraId="72D0E0C6" w14:textId="77777777" w:rsidR="002D5AAC" w:rsidRDefault="002D5AAC" w:rsidP="00037C83">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524C040A"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4943D411" w14:textId="1DF2BE21" w:rsidR="002D5AAC" w:rsidRDefault="00037C83" w:rsidP="00037C83">
            <w:pPr>
              <w:jc w:val="right"/>
            </w:pPr>
            <w:r w:rsidRPr="00037C83">
              <w:rPr>
                <w:sz w:val="40"/>
              </w:rPr>
              <w:t>CCPR</w:t>
            </w:r>
            <w:r>
              <w:t>/C/135/2/Add.2</w:t>
            </w:r>
          </w:p>
        </w:tc>
      </w:tr>
      <w:tr w:rsidR="002D5AAC" w:rsidRPr="00A20DB9" w14:paraId="406B09CB" w14:textId="77777777" w:rsidTr="00BC3629">
        <w:trPr>
          <w:trHeight w:hRule="exact" w:val="2835"/>
        </w:trPr>
        <w:tc>
          <w:tcPr>
            <w:tcW w:w="1280" w:type="dxa"/>
            <w:gridSpan w:val="2"/>
            <w:tcBorders>
              <w:top w:val="single" w:sz="4" w:space="0" w:color="auto"/>
              <w:bottom w:val="single" w:sz="12" w:space="0" w:color="auto"/>
            </w:tcBorders>
          </w:tcPr>
          <w:p w14:paraId="7D3E9C41" w14:textId="77777777" w:rsidR="002D5AAC" w:rsidRDefault="002E5067" w:rsidP="00BC3629">
            <w:pPr>
              <w:spacing w:before="120"/>
              <w:jc w:val="center"/>
            </w:pPr>
            <w:r>
              <w:rPr>
                <w:noProof/>
                <w:lang w:val="fr-CH" w:eastAsia="fr-CH"/>
              </w:rPr>
              <w:drawing>
                <wp:inline distT="0" distB="0" distL="0" distR="0" wp14:anchorId="33CBD091" wp14:editId="2D0D13B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5FD58CE"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721A7BF2" w14:textId="77777777" w:rsidR="002D5AAC" w:rsidRPr="00A20DB9" w:rsidRDefault="00037C83" w:rsidP="00BC3629">
            <w:pPr>
              <w:spacing w:before="240"/>
              <w:rPr>
                <w:lang w:val="en-US"/>
              </w:rPr>
            </w:pPr>
            <w:r w:rsidRPr="00A20DB9">
              <w:rPr>
                <w:lang w:val="en-US"/>
              </w:rPr>
              <w:t>Distr.: General</w:t>
            </w:r>
          </w:p>
          <w:p w14:paraId="5EC24E92" w14:textId="77777777" w:rsidR="00037C83" w:rsidRPr="00A20DB9" w:rsidRDefault="00037C83" w:rsidP="00037C83">
            <w:pPr>
              <w:spacing w:line="240" w:lineRule="exact"/>
              <w:rPr>
                <w:lang w:val="en-US"/>
              </w:rPr>
            </w:pPr>
            <w:r w:rsidRPr="00A20DB9">
              <w:rPr>
                <w:lang w:val="en-US"/>
              </w:rPr>
              <w:t>20 September 2022</w:t>
            </w:r>
          </w:p>
          <w:p w14:paraId="08EB3ABA" w14:textId="77777777" w:rsidR="00037C83" w:rsidRPr="00A20DB9" w:rsidRDefault="00037C83" w:rsidP="00037C83">
            <w:pPr>
              <w:spacing w:line="240" w:lineRule="exact"/>
              <w:rPr>
                <w:lang w:val="en-US"/>
              </w:rPr>
            </w:pPr>
            <w:r w:rsidRPr="00A20DB9">
              <w:rPr>
                <w:lang w:val="en-US"/>
              </w:rPr>
              <w:t>Russian</w:t>
            </w:r>
          </w:p>
          <w:p w14:paraId="4344C5F4" w14:textId="6DEA1CFF" w:rsidR="00037C83" w:rsidRPr="00A20DB9" w:rsidRDefault="00037C83" w:rsidP="00037C83">
            <w:pPr>
              <w:spacing w:line="240" w:lineRule="exact"/>
              <w:rPr>
                <w:lang w:val="en-US"/>
              </w:rPr>
            </w:pPr>
            <w:r w:rsidRPr="00A20DB9">
              <w:rPr>
                <w:lang w:val="en-US"/>
              </w:rPr>
              <w:t>Original: English</w:t>
            </w:r>
          </w:p>
        </w:tc>
      </w:tr>
    </w:tbl>
    <w:p w14:paraId="17116DAF" w14:textId="77777777" w:rsidR="003F2D5B" w:rsidRPr="003F2D5B" w:rsidRDefault="003F2D5B" w:rsidP="003F2D5B">
      <w:pPr>
        <w:spacing w:before="120"/>
        <w:rPr>
          <w:rFonts w:eastAsiaTheme="minorEastAsia"/>
          <w:sz w:val="32"/>
          <w:szCs w:val="32"/>
        </w:rPr>
      </w:pPr>
      <w:r w:rsidRPr="003F2D5B">
        <w:rPr>
          <w:b/>
          <w:bCs/>
          <w:sz w:val="24"/>
          <w:szCs w:val="28"/>
        </w:rPr>
        <w:t>Комитет по правам человека</w:t>
      </w:r>
    </w:p>
    <w:p w14:paraId="12A99364" w14:textId="46D76F84" w:rsidR="003F2D5B" w:rsidRPr="00FF5A45" w:rsidRDefault="003F2D5B" w:rsidP="003F2D5B">
      <w:pPr>
        <w:pStyle w:val="HChG"/>
        <w:rPr>
          <w:rFonts w:eastAsiaTheme="minorEastAsia"/>
        </w:rPr>
      </w:pPr>
      <w:r>
        <w:tab/>
      </w:r>
      <w:r>
        <w:tab/>
        <w:t xml:space="preserve">Доклад о последующей деятельности в связи </w:t>
      </w:r>
      <w:r>
        <w:br/>
        <w:t>с заключительными замечаниями Комитета по правам человека</w:t>
      </w:r>
      <w:r w:rsidRPr="003F2D5B">
        <w:rPr>
          <w:rStyle w:val="aa"/>
          <w:rFonts w:eastAsiaTheme="minorEastAsia"/>
          <w:b w:val="0"/>
          <w:bCs/>
          <w:sz w:val="20"/>
          <w:vertAlign w:val="baseline"/>
          <w:lang w:eastAsia="zh-CN"/>
        </w:rPr>
        <w:footnoteReference w:customMarkFollows="1" w:id="1"/>
        <w:t>*</w:t>
      </w:r>
      <w:bookmarkStart w:id="0" w:name="_Toc506807534"/>
      <w:bookmarkEnd w:id="0"/>
    </w:p>
    <w:p w14:paraId="0E881B61" w14:textId="77777777" w:rsidR="003F2D5B" w:rsidRPr="00FF5A45" w:rsidRDefault="003F2D5B" w:rsidP="003F2D5B">
      <w:pPr>
        <w:pStyle w:val="H23G"/>
        <w:rPr>
          <w:rFonts w:eastAsiaTheme="minorEastAsia"/>
        </w:rPr>
      </w:pPr>
      <w:r>
        <w:tab/>
      </w:r>
      <w:r>
        <w:tab/>
      </w:r>
      <w:r>
        <w:rPr>
          <w:bCs/>
        </w:rPr>
        <w:t>Добавление</w:t>
      </w:r>
    </w:p>
    <w:p w14:paraId="168F069F" w14:textId="4A6FFC12" w:rsidR="003F2D5B" w:rsidRDefault="003F2D5B" w:rsidP="003F2D5B">
      <w:pPr>
        <w:pStyle w:val="HChG"/>
        <w:rPr>
          <w:bCs/>
        </w:rPr>
      </w:pPr>
      <w:r>
        <w:tab/>
      </w:r>
      <w:r>
        <w:tab/>
      </w:r>
      <w:r>
        <w:rPr>
          <w:bCs/>
        </w:rPr>
        <w:t xml:space="preserve">Оценка информации о последующих мерах в связи </w:t>
      </w:r>
      <w:r>
        <w:rPr>
          <w:bCs/>
        </w:rPr>
        <w:br/>
        <w:t>с заключительными замечаниями Сальвадора</w:t>
      </w:r>
    </w:p>
    <w:tbl>
      <w:tblPr>
        <w:tblW w:w="6810" w:type="dxa"/>
        <w:tblInd w:w="1701" w:type="dxa"/>
        <w:tblLayout w:type="fixed"/>
        <w:tblCellMar>
          <w:left w:w="0" w:type="dxa"/>
          <w:right w:w="0" w:type="dxa"/>
        </w:tblCellMar>
        <w:tblLook w:val="01E0" w:firstRow="1" w:lastRow="1" w:firstColumn="1" w:lastColumn="1" w:noHBand="0" w:noVBand="0"/>
      </w:tblPr>
      <w:tblGrid>
        <w:gridCol w:w="2936"/>
        <w:gridCol w:w="3874"/>
      </w:tblGrid>
      <w:tr w:rsidR="003F2D5B" w:rsidRPr="0064331C" w14:paraId="3987E6DA" w14:textId="77777777" w:rsidTr="003F2D5B">
        <w:tc>
          <w:tcPr>
            <w:tcW w:w="2936" w:type="dxa"/>
          </w:tcPr>
          <w:p w14:paraId="15F0DB9A" w14:textId="25B6E831" w:rsidR="003F2D5B" w:rsidRPr="0064331C" w:rsidRDefault="003F2D5B">
            <w:pPr>
              <w:spacing w:after="120"/>
              <w:ind w:left="35"/>
              <w:rPr>
                <w:i/>
                <w:spacing w:val="4"/>
                <w:w w:val="103"/>
                <w:kern w:val="14"/>
              </w:rPr>
            </w:pPr>
            <w:r>
              <w:rPr>
                <w:i/>
                <w:iCs/>
              </w:rPr>
              <w:t xml:space="preserve">Заключительные замечания </w:t>
            </w:r>
            <w:r w:rsidR="00525EED">
              <w:rPr>
                <w:i/>
                <w:iCs/>
              </w:rPr>
              <w:br/>
            </w:r>
            <w:r>
              <w:rPr>
                <w:i/>
                <w:iCs/>
              </w:rPr>
              <w:t>(</w:t>
            </w:r>
            <w:r w:rsidR="004126F9">
              <w:rPr>
                <w:i/>
                <w:iCs/>
              </w:rPr>
              <w:t>сто двадцать вторая</w:t>
            </w:r>
            <w:r>
              <w:rPr>
                <w:i/>
                <w:iCs/>
              </w:rPr>
              <w:t xml:space="preserve"> сессия):</w:t>
            </w:r>
          </w:p>
        </w:tc>
        <w:tc>
          <w:tcPr>
            <w:tcW w:w="3874" w:type="dxa"/>
          </w:tcPr>
          <w:p w14:paraId="5425645B" w14:textId="43FD190E" w:rsidR="003F2D5B" w:rsidRPr="0064331C" w:rsidRDefault="00A20DB9">
            <w:pPr>
              <w:spacing w:after="120"/>
            </w:pPr>
            <w:hyperlink r:id="rId8" w:history="1">
              <w:r w:rsidR="003F2D5B" w:rsidRPr="003F2D5B">
                <w:rPr>
                  <w:rStyle w:val="af1"/>
                </w:rPr>
                <w:t>CCPR/C/SLV/CO/7</w:t>
              </w:r>
            </w:hyperlink>
            <w:r w:rsidR="003F2D5B">
              <w:t>, 28 и 29 марта 2018 года</w:t>
            </w:r>
          </w:p>
        </w:tc>
      </w:tr>
      <w:tr w:rsidR="003F2D5B" w:rsidRPr="0064331C" w14:paraId="4CF1CB81" w14:textId="77777777" w:rsidTr="003F2D5B">
        <w:tc>
          <w:tcPr>
            <w:tcW w:w="2936" w:type="dxa"/>
          </w:tcPr>
          <w:p w14:paraId="2DB01356" w14:textId="36449FF4" w:rsidR="003F2D5B" w:rsidRPr="0064331C" w:rsidRDefault="003F2D5B">
            <w:pPr>
              <w:spacing w:after="120"/>
              <w:ind w:left="35"/>
              <w:rPr>
                <w:i/>
              </w:rPr>
            </w:pPr>
            <w:r>
              <w:rPr>
                <w:i/>
                <w:iCs/>
              </w:rPr>
              <w:t>Пункты, предусматривающие последующую деятельность:</w:t>
            </w:r>
          </w:p>
        </w:tc>
        <w:tc>
          <w:tcPr>
            <w:tcW w:w="3874" w:type="dxa"/>
          </w:tcPr>
          <w:p w14:paraId="56E2916C" w14:textId="51ED2651" w:rsidR="003F2D5B" w:rsidRPr="0064331C" w:rsidRDefault="003F2D5B">
            <w:pPr>
              <w:spacing w:after="120"/>
            </w:pPr>
            <w:r>
              <w:t>16, 18 и 22</w:t>
            </w:r>
          </w:p>
        </w:tc>
      </w:tr>
      <w:tr w:rsidR="003F2D5B" w:rsidRPr="0064331C" w14:paraId="520F3C09" w14:textId="77777777" w:rsidTr="003F2D5B">
        <w:tc>
          <w:tcPr>
            <w:tcW w:w="2936" w:type="dxa"/>
          </w:tcPr>
          <w:p w14:paraId="7318E396" w14:textId="0C0ED5B4" w:rsidR="003F2D5B" w:rsidRPr="0064331C" w:rsidRDefault="003F2D5B">
            <w:pPr>
              <w:spacing w:after="120"/>
              <w:ind w:left="35"/>
              <w:rPr>
                <w:i/>
              </w:rPr>
            </w:pPr>
            <w:r>
              <w:rPr>
                <w:i/>
                <w:iCs/>
              </w:rPr>
              <w:t>Информация, полученная от государства-участника:</w:t>
            </w:r>
          </w:p>
        </w:tc>
        <w:tc>
          <w:tcPr>
            <w:tcW w:w="3874" w:type="dxa"/>
          </w:tcPr>
          <w:p w14:paraId="1CDFD586" w14:textId="5EC22EAC" w:rsidR="003F2D5B" w:rsidRPr="0064331C" w:rsidRDefault="003F2D5B">
            <w:pPr>
              <w:spacing w:after="120"/>
            </w:pPr>
            <w:hyperlink r:id="rId9" w:history="1">
              <w:r w:rsidRPr="003F2D5B">
                <w:rPr>
                  <w:rStyle w:val="af1"/>
                </w:rPr>
                <w:t>CCPR/C/SLV/FCO/7</w:t>
              </w:r>
            </w:hyperlink>
            <w:r>
              <w:t>, 5 октября 2020 года</w:t>
            </w:r>
          </w:p>
        </w:tc>
      </w:tr>
      <w:tr w:rsidR="003F2D5B" w:rsidRPr="0064331C" w14:paraId="53B73C7A" w14:textId="77777777" w:rsidTr="003F2D5B">
        <w:tc>
          <w:tcPr>
            <w:tcW w:w="2936" w:type="dxa"/>
          </w:tcPr>
          <w:p w14:paraId="2D7F149D" w14:textId="4ED9D0C5" w:rsidR="003F2D5B" w:rsidRPr="0064331C" w:rsidRDefault="003F2D5B">
            <w:pPr>
              <w:spacing w:after="120"/>
              <w:ind w:left="35"/>
              <w:rPr>
                <w:i/>
              </w:rPr>
            </w:pPr>
            <w:r>
              <w:rPr>
                <w:i/>
                <w:iCs/>
              </w:rPr>
              <w:t>Информация, полученная от заинтересованных сторон:</w:t>
            </w:r>
          </w:p>
        </w:tc>
        <w:tc>
          <w:tcPr>
            <w:tcW w:w="3874" w:type="dxa"/>
          </w:tcPr>
          <w:p w14:paraId="7F46A1B9" w14:textId="3897B1E6" w:rsidR="003F2D5B" w:rsidRPr="0064331C" w:rsidRDefault="003F2D5B">
            <w:pPr>
              <w:spacing w:after="120"/>
            </w:pPr>
            <w:hyperlink r:id="rId10" w:history="1">
              <w:r w:rsidRPr="003F2D5B">
                <w:rPr>
                  <w:rStyle w:val="af1"/>
                </w:rPr>
                <w:t>Коалиция НПО</w:t>
              </w:r>
            </w:hyperlink>
            <w:r>
              <w:t xml:space="preserve">, 7 сентября 2020 года; </w:t>
            </w:r>
            <w:hyperlink r:id="rId11" w:history="1">
              <w:r w:rsidRPr="003F2D5B">
                <w:rPr>
                  <w:rStyle w:val="af1"/>
                </w:rPr>
                <w:t>Коалиция ОГО (1)</w:t>
              </w:r>
            </w:hyperlink>
            <w:r>
              <w:t xml:space="preserve">, 21 апреля 2022 года; </w:t>
            </w:r>
            <w:hyperlink r:id="rId12" w:history="1">
              <w:r w:rsidRPr="00525EED">
                <w:rPr>
                  <w:rStyle w:val="af1"/>
                </w:rPr>
                <w:t>Коалиция ОГО (2)</w:t>
              </w:r>
            </w:hyperlink>
            <w:r>
              <w:t xml:space="preserve">, 26 апреля 2022 года; </w:t>
            </w:r>
            <w:hyperlink r:id="rId13" w:history="1">
              <w:r w:rsidRPr="00525EED">
                <w:rPr>
                  <w:rStyle w:val="af1"/>
                </w:rPr>
                <w:t>Центр за репродуктивные права</w:t>
              </w:r>
            </w:hyperlink>
            <w:r>
              <w:t>, 14 апреля 2022 года</w:t>
            </w:r>
          </w:p>
        </w:tc>
      </w:tr>
      <w:tr w:rsidR="003F2D5B" w:rsidRPr="0064331C" w14:paraId="6AF3B413" w14:textId="77777777" w:rsidTr="003F2D5B">
        <w:tc>
          <w:tcPr>
            <w:tcW w:w="2936" w:type="dxa"/>
          </w:tcPr>
          <w:p w14:paraId="37980158" w14:textId="0A9F57BB" w:rsidR="003F2D5B" w:rsidRPr="0064331C" w:rsidRDefault="003F2D5B">
            <w:pPr>
              <w:spacing w:after="120"/>
              <w:ind w:left="35"/>
              <w:rPr>
                <w:i/>
              </w:rPr>
            </w:pPr>
            <w:r>
              <w:rPr>
                <w:i/>
                <w:iCs/>
              </w:rPr>
              <w:t>Оценка Комитета:</w:t>
            </w:r>
          </w:p>
        </w:tc>
        <w:tc>
          <w:tcPr>
            <w:tcW w:w="3874" w:type="dxa"/>
          </w:tcPr>
          <w:p w14:paraId="5D784B75" w14:textId="4556E613" w:rsidR="003F2D5B" w:rsidRPr="0064331C" w:rsidRDefault="003F2D5B">
            <w:pPr>
              <w:spacing w:after="120"/>
            </w:pPr>
            <w:r>
              <w:t>16[C][B], 18[C][E] и 22[C]</w:t>
            </w:r>
          </w:p>
        </w:tc>
      </w:tr>
    </w:tbl>
    <w:p w14:paraId="51DFD29D" w14:textId="42277094" w:rsidR="003F2D5B" w:rsidRPr="00FF5A45" w:rsidRDefault="003F2D5B" w:rsidP="003F2D5B">
      <w:pPr>
        <w:pStyle w:val="H1G"/>
        <w:rPr>
          <w:rFonts w:eastAsia="SimSun"/>
        </w:rPr>
      </w:pPr>
      <w:r>
        <w:tab/>
      </w:r>
      <w:r>
        <w:tab/>
        <w:t xml:space="preserve">Пункт 16: Добровольное прерывание беременности </w:t>
      </w:r>
      <w:r>
        <w:br/>
        <w:t>и репродуктивные права</w:t>
      </w:r>
      <w:r w:rsidRPr="008D04DE">
        <w:rPr>
          <w:rStyle w:val="aa"/>
          <w:rFonts w:eastAsia="SimSun"/>
          <w:b w:val="0"/>
          <w:bCs/>
        </w:rPr>
        <w:footnoteReference w:id="2"/>
      </w:r>
    </w:p>
    <w:p w14:paraId="129FADB9" w14:textId="77777777" w:rsidR="003F2D5B" w:rsidRPr="00FF5A45" w:rsidRDefault="003F2D5B" w:rsidP="003F2D5B">
      <w:pPr>
        <w:pStyle w:val="H23G"/>
        <w:rPr>
          <w:rFonts w:eastAsia="SimSun"/>
        </w:rPr>
      </w:pPr>
      <w:r>
        <w:tab/>
      </w:r>
      <w:r>
        <w:tab/>
      </w:r>
      <w:r>
        <w:rPr>
          <w:bCs/>
        </w:rPr>
        <w:t>Резюме информации, полученной от государства-участника</w:t>
      </w:r>
    </w:p>
    <w:p w14:paraId="12D86023" w14:textId="7944DA39" w:rsidR="003F2D5B" w:rsidRPr="00FF5A45" w:rsidRDefault="003F2D5B" w:rsidP="003F2D5B">
      <w:pPr>
        <w:pStyle w:val="SingleTxtG"/>
      </w:pPr>
      <w:r>
        <w:tab/>
        <w:t xml:space="preserve">В период с 2014 года по июль 2019 года 147 женщин были привлечены к ответственности за совершение действий, связанных с неотложной акушерской помощью. Результатами этих судебных разбирательств стали 61 обвинительный приговор (27 </w:t>
      </w:r>
      <w:r>
        <w:rPr>
          <w:lang w:val="en-US"/>
        </w:rPr>
        <w:t>⸺</w:t>
      </w:r>
      <w:r>
        <w:t xml:space="preserve"> за аборт), 6 оправдательных приговоров, 3 отсрочки судебного разбирательства, 9 смягчений наказания, 1 помилование, 3 досрочных освобождения и 1 пересмотр приговора.</w:t>
      </w:r>
    </w:p>
    <w:p w14:paraId="11ECCE99" w14:textId="6174BCD5" w:rsidR="003F2D5B" w:rsidRPr="00FF5A45" w:rsidRDefault="003F2D5B" w:rsidP="003F2D5B">
      <w:pPr>
        <w:pStyle w:val="SingleTxtG"/>
      </w:pPr>
      <w:r>
        <w:tab/>
        <w:t xml:space="preserve">Конституция гарантирует право на защиту чести, личную и семейную тайну, физическую и моральную неприкосновенность. Уголовно-процессуальный кодекс </w:t>
      </w:r>
      <w:r>
        <w:lastRenderedPageBreak/>
        <w:t>предусматривает исключение из обязанности сообщать о преступлениях, на которые распространяются положения о профессиональной тайне. Лечение акушерских осложнений не является правонарушением по закону, и руководство Министерства здравоохранения не требует, чтобы медицинский персонал сообщал о случаях акушерских осложнений. Министерство разработало программу подготовки по безопасному ведению выкидышей и основанные на правах человека программы повышения осведомленности и обучения персонала по уходу за больными после выкидыша.</w:t>
      </w:r>
    </w:p>
    <w:p w14:paraId="44BE79AE" w14:textId="37CCFA92" w:rsidR="003F2D5B" w:rsidRPr="00FF5A45" w:rsidRDefault="003F2D5B" w:rsidP="003F2D5B">
      <w:pPr>
        <w:pStyle w:val="SingleTxtG"/>
      </w:pPr>
      <w:r>
        <w:tab/>
        <w:t xml:space="preserve">Национальная </w:t>
      </w:r>
      <w:proofErr w:type="spellStart"/>
      <w:r>
        <w:t>межсекторальная</w:t>
      </w:r>
      <w:proofErr w:type="spellEnd"/>
      <w:r>
        <w:t xml:space="preserve"> стратегия по предупреждению детской и подростковой беременности на 2017–2027 годы направлена на предотвращение беременности у девочек и подростков. Национальный стратегический план по комплексной охране здоровья матери и ребенка на 2015–2019 годы направлен на укрепление сексуального и репродуктивного здоровья, снижение материнской смертности и обеспечение доступа к медицинским услугам. Для лечения женщин детородного возраста предусмотрены и некоторые другие меры.</w:t>
      </w:r>
    </w:p>
    <w:p w14:paraId="5A4EE798" w14:textId="48B6A7BD" w:rsidR="003F2D5B" w:rsidRPr="00FF5A45" w:rsidRDefault="003F2D5B" w:rsidP="003F2D5B">
      <w:pPr>
        <w:pStyle w:val="SingleTxtG"/>
      </w:pPr>
      <w:r>
        <w:tab/>
        <w:t xml:space="preserve">Уровень материнской смертности значительно снизился в период с 2009 по </w:t>
      </w:r>
      <w:r>
        <w:br/>
        <w:t>2019 год. Несколько программ и стратегий обеспечивают помощь до зачатия, консультирование и информирование о сексуальных и репродуктивных правах. Существует онлайновая система информации о заболеваемости и смертности, а также проводится ежегодный анализ данных о смертности для оценки влияния осуществляемых стратегий.</w:t>
      </w:r>
    </w:p>
    <w:p w14:paraId="201794D4" w14:textId="224DD481" w:rsidR="003F2D5B" w:rsidRPr="00FF5A45" w:rsidRDefault="003F2D5B" w:rsidP="003F2D5B">
      <w:pPr>
        <w:pStyle w:val="SingleTxtG"/>
      </w:pPr>
      <w:r>
        <w:tab/>
        <w:t>Пациенты с инвалидностью не подвергаются хирургической стерилизации и не обеспечиваются средствами контрацепции без надлежащего консультирования и их письменного информированного согласия. Пациенты с когнитивными нарушениями могут добровольно получить доступ к контрацепции после консультации и оценки медицинского работника. Статья 147 Уголовного кодекса предусматривает согласие как смягчающее обстоятельство и основание для освобождения от уголовной ответственности. Медицинский персонал проходит обучение по вопросам сексуального и репродуктивного здоровья, прав человека и медицинских критериев Всемирной организации здравоохранения для использования противозачаточных средств.</w:t>
      </w:r>
    </w:p>
    <w:p w14:paraId="43B53DFD" w14:textId="77777777" w:rsidR="003F2D5B" w:rsidRPr="00FF5A45" w:rsidRDefault="003F2D5B" w:rsidP="003F2D5B">
      <w:pPr>
        <w:pStyle w:val="H23G"/>
        <w:rPr>
          <w:rFonts w:eastAsia="SimSun"/>
        </w:rPr>
      </w:pPr>
      <w:r>
        <w:tab/>
      </w:r>
      <w:r>
        <w:tab/>
      </w:r>
      <w:r>
        <w:rPr>
          <w:bCs/>
        </w:rPr>
        <w:t>Резюме информации, полученной от заинтересованных сторон</w:t>
      </w:r>
    </w:p>
    <w:p w14:paraId="1B17FCDD" w14:textId="77777777" w:rsidR="003F2D5B" w:rsidRPr="00FF5A45" w:rsidRDefault="003F2D5B" w:rsidP="003F2D5B">
      <w:pPr>
        <w:pStyle w:val="H4G"/>
        <w:rPr>
          <w:rFonts w:eastAsia="SimSun"/>
        </w:rPr>
      </w:pPr>
      <w:r>
        <w:tab/>
      </w:r>
      <w:r>
        <w:tab/>
      </w:r>
      <w:r>
        <w:rPr>
          <w:iCs/>
        </w:rPr>
        <w:t>Центр за репродуктивные права</w:t>
      </w:r>
    </w:p>
    <w:p w14:paraId="024C579F" w14:textId="1EDE2059" w:rsidR="003F2D5B" w:rsidRPr="00FF5A45" w:rsidRDefault="003F2D5B" w:rsidP="003F2D5B">
      <w:pPr>
        <w:pStyle w:val="SingleTxtG"/>
      </w:pPr>
      <w:r>
        <w:tab/>
        <w:t xml:space="preserve">По меньшей мере шесть женщин по-прежнему лишены свободы по причине акушерских осложнений; многие другие продолжают подвергаться преследованиям и рискуют быть лишенными свободы. Берта </w:t>
      </w:r>
      <w:proofErr w:type="spellStart"/>
      <w:r>
        <w:t>Арана</w:t>
      </w:r>
      <w:proofErr w:type="spellEnd"/>
      <w:r>
        <w:t xml:space="preserve"> остается в заключении, несмотря на решение Рабочей группы по произвольным задержаниям с требованием о ее освобождении, принятое в 2019 году.</w:t>
      </w:r>
    </w:p>
    <w:p w14:paraId="45CA1E1E" w14:textId="77777777" w:rsidR="003F2D5B" w:rsidRPr="00FF5A45" w:rsidRDefault="003F2D5B" w:rsidP="003F2D5B">
      <w:pPr>
        <w:pStyle w:val="H4G"/>
        <w:rPr>
          <w:rFonts w:eastAsia="SimSun"/>
        </w:rPr>
      </w:pPr>
      <w:r>
        <w:tab/>
      </w:r>
      <w:r>
        <w:tab/>
      </w:r>
      <w:r>
        <w:rPr>
          <w:iCs/>
        </w:rPr>
        <w:t>Коалиция ОГО (2) и Центр за репродуктивные права</w:t>
      </w:r>
    </w:p>
    <w:p w14:paraId="75F236F2" w14:textId="08D2C813" w:rsidR="003F2D5B" w:rsidRPr="00FF5A45" w:rsidRDefault="003F2D5B" w:rsidP="003F2D5B">
      <w:pPr>
        <w:pStyle w:val="SingleTxtG"/>
      </w:pPr>
      <w:r>
        <w:tab/>
        <w:t xml:space="preserve">В своем решении от 2 ноября 2021 года по делу </w:t>
      </w:r>
      <w:r w:rsidRPr="005D472C">
        <w:rPr>
          <w:i/>
          <w:iCs/>
        </w:rPr>
        <w:t xml:space="preserve">Мануэла и др. против Сальвадора </w:t>
      </w:r>
      <w:r>
        <w:t>Межамериканский суд по правам человека признал Сальвадор виновным, в частности, в произвольном задержании и нарушении врачебной тайны и гарантий надлежащей правовой процедуры. По данным Центра за репродуктивные права, после этого решения несколько женщин, которые были заключены в тюрьму за аборт, были освобождены. Тем не менее они были освобождены по процедуре смягчения приговора, которая не предусматривает снятия судимости, погашения судимости или возмещения ущерба.</w:t>
      </w:r>
    </w:p>
    <w:p w14:paraId="6832CEC8" w14:textId="7E3BD584" w:rsidR="003F2D5B" w:rsidRPr="00FF5A45" w:rsidRDefault="003F2D5B" w:rsidP="003F2D5B">
      <w:pPr>
        <w:pStyle w:val="H23G"/>
        <w:rPr>
          <w:rFonts w:eastAsia="SimSun"/>
        </w:rPr>
      </w:pPr>
      <w:r>
        <w:tab/>
      </w:r>
      <w:r>
        <w:tab/>
      </w:r>
      <w:r>
        <w:rPr>
          <w:bCs/>
        </w:rPr>
        <w:t>Оценка Комитета</w:t>
      </w:r>
    </w:p>
    <w:p w14:paraId="0033CC04" w14:textId="77777777" w:rsidR="003F2D5B" w:rsidRPr="00FF5A45" w:rsidRDefault="003F2D5B" w:rsidP="003F2D5B">
      <w:pPr>
        <w:pStyle w:val="SingleTxtG"/>
        <w:rPr>
          <w:b/>
          <w:bCs/>
        </w:rPr>
      </w:pPr>
      <w:r>
        <w:t>[C]</w:t>
      </w:r>
    </w:p>
    <w:p w14:paraId="5E266482" w14:textId="6CA1E8FD" w:rsidR="003F2D5B" w:rsidRPr="00FF5A45" w:rsidRDefault="003F2D5B" w:rsidP="003F2D5B">
      <w:pPr>
        <w:pStyle w:val="SingleTxtG"/>
        <w:rPr>
          <w:bCs/>
        </w:rPr>
      </w:pPr>
      <w:r>
        <w:tab/>
        <w:t xml:space="preserve">Комитет сожалеет об отсутствии законодательных мер, принятых с целью гарантировать безопасный, законный и эффективный доступ к добровольному прерыванию беременности. Отмечая освобождение некоторых женщин, заключенных </w:t>
      </w:r>
      <w:r>
        <w:lastRenderedPageBreak/>
        <w:t xml:space="preserve">в тюрьму за преступления, связанные с абортами, он по-прежнему обеспокоен продолжающейся криминализацией, преследованием и тюремным заключением в этой связи и отсутствием информации о конкретных мерах, принятых для обеспечения их прав на адвоката и надлежащее судебное разбирательство, а также соблюдения конфиденциальности пациента. Комитет повторяет свою рекомендацию и просит предоставить статистические данные о количестве женщин, подвергшихся уголовному преследованию и задержанных за преступления, связанные с абортами, включая Берту </w:t>
      </w:r>
      <w:proofErr w:type="spellStart"/>
      <w:r>
        <w:t>Арану</w:t>
      </w:r>
      <w:proofErr w:type="spellEnd"/>
      <w:r>
        <w:t>, за отчетный период, а также информацию о любых планах по их освобождению.</w:t>
      </w:r>
    </w:p>
    <w:p w14:paraId="01EAABC5" w14:textId="1A741771" w:rsidR="003F2D5B" w:rsidRPr="00FF5A45" w:rsidRDefault="003F2D5B" w:rsidP="003F2D5B">
      <w:pPr>
        <w:pStyle w:val="SingleTxtG"/>
      </w:pPr>
      <w:r>
        <w:tab/>
        <w:t>Отмечая гарантии против принудительной стерилизации людей с инвалидностью и организацию обучения медицинского персонала, Комитет сожалеет об отсутствии информации о конкретных мерах, принятых после принятия его заключительных замечаний для обеспечения полного и осознанного согласия инвалидов и организации обучения медицинского персонала по вопросам вредных воздействий и последствий принудительной стерилизации. Он повторяет свою рекомендацию.</w:t>
      </w:r>
    </w:p>
    <w:p w14:paraId="22CC4C95" w14:textId="77777777" w:rsidR="003F2D5B" w:rsidRPr="00FF5A45" w:rsidRDefault="003F2D5B" w:rsidP="003F2D5B">
      <w:pPr>
        <w:pStyle w:val="SingleTxtG"/>
        <w:rPr>
          <w:bCs/>
        </w:rPr>
      </w:pPr>
      <w:r>
        <w:t>[B]</w:t>
      </w:r>
    </w:p>
    <w:p w14:paraId="12A2A376" w14:textId="72B40252" w:rsidR="003F2D5B" w:rsidRPr="00FF5A45" w:rsidRDefault="003F2D5B" w:rsidP="003F2D5B">
      <w:pPr>
        <w:pStyle w:val="SingleTxtG"/>
      </w:pPr>
      <w:r>
        <w:tab/>
        <w:t>Комитет приветствует информацию о снижении уровня материнской смертности и национальных стратегиях по улучшению доступа к услугам сексуального и репродуктивного здоровья по всей стране, включая консультирование и помощь до зачатия. Он просит представить информацию о воздействии этих стратегий.</w:t>
      </w:r>
    </w:p>
    <w:p w14:paraId="04659A3F" w14:textId="13F99AF9" w:rsidR="003F2D5B" w:rsidRPr="00FF5A45" w:rsidRDefault="003F2D5B" w:rsidP="003F2D5B">
      <w:pPr>
        <w:pStyle w:val="H1G"/>
        <w:rPr>
          <w:rFonts w:eastAsia="SimSun"/>
        </w:rPr>
      </w:pPr>
      <w:r>
        <w:tab/>
      </w:r>
      <w:r>
        <w:tab/>
      </w:r>
      <w:r>
        <w:rPr>
          <w:bCs/>
        </w:rPr>
        <w:t xml:space="preserve">Пункт 18: </w:t>
      </w:r>
      <w:r w:rsidR="000233D7">
        <w:rPr>
          <w:bCs/>
        </w:rPr>
        <w:t>П</w:t>
      </w:r>
      <w:r>
        <w:rPr>
          <w:bCs/>
        </w:rPr>
        <w:t>раво на жизнь и личную неприкосновенность</w:t>
      </w:r>
    </w:p>
    <w:p w14:paraId="48DB1517" w14:textId="77777777" w:rsidR="003F2D5B" w:rsidRPr="00FF5A45" w:rsidRDefault="003F2D5B" w:rsidP="003F2D5B">
      <w:pPr>
        <w:pStyle w:val="H23G"/>
        <w:rPr>
          <w:rFonts w:eastAsia="SimSun"/>
        </w:rPr>
      </w:pPr>
      <w:r>
        <w:tab/>
      </w:r>
      <w:r>
        <w:tab/>
      </w:r>
      <w:r>
        <w:tab/>
      </w:r>
      <w:r>
        <w:rPr>
          <w:bCs/>
        </w:rPr>
        <w:t>Резюме информации, полученной от государства-участника</w:t>
      </w:r>
    </w:p>
    <w:p w14:paraId="17C4E1A9" w14:textId="7EC9ED6F" w:rsidR="003F2D5B" w:rsidRPr="00FF5A45" w:rsidRDefault="003F2D5B" w:rsidP="003F2D5B">
      <w:pPr>
        <w:pStyle w:val="SingleTxtG"/>
      </w:pPr>
      <w:r>
        <w:tab/>
        <w:t>a)</w:t>
      </w:r>
      <w:r>
        <w:tab/>
        <w:t xml:space="preserve">Специальное подразделение по расследованию серьезных нарушений прав человека, имевших место во время вооруженного конфликта, финансируется из регулярного бюджета Генеральной прокуратуры. План его работы поддерживается отделом по правам человека и различными прокуратурами. Подразделение получило техническую помощь и учебную подготовку от Управления Верховного комиссара </w:t>
      </w:r>
      <w:proofErr w:type="spellStart"/>
      <w:r>
        <w:t>Ораганизации</w:t>
      </w:r>
      <w:proofErr w:type="spellEnd"/>
      <w:r>
        <w:t xml:space="preserve"> Объединенных Наций по правам человека (УВКПЧ) и внесло вклад в разработку политики уголовного преследования за военные преступления и преступления против человечности, совершенные во время вооруженного конфликта. Оно имеет законное право запрашивать информацию для своих расследований, в том числе из архивов вооруженных сил.</w:t>
      </w:r>
    </w:p>
    <w:p w14:paraId="7711BCC0" w14:textId="23A6C006" w:rsidR="003F2D5B" w:rsidRPr="00FF5A45" w:rsidRDefault="003F2D5B" w:rsidP="003F2D5B">
      <w:pPr>
        <w:pStyle w:val="SingleTxtG"/>
      </w:pPr>
      <w:r>
        <w:tab/>
        <w:t>b)</w:t>
      </w:r>
      <w:r>
        <w:tab/>
        <w:t>Правительство приняло меры предосторожности, предписанные Межамериканской комиссией по правам человека в отношении бывшего генерального прокурора, в соответствии с соглашением, достигнутым с бенефициаром, надзор за которым осуществляет Комиссия. Генеральная прокуратура расследует случаи предполагаемого запугивания государственных служащих и членов гражданского общества, а организации гражданского общества сотрудничают в качестве стратегических союзников.</w:t>
      </w:r>
    </w:p>
    <w:p w14:paraId="7E82FFF7" w14:textId="4F217408" w:rsidR="003F2D5B" w:rsidRPr="00FF5A45" w:rsidRDefault="003F2D5B" w:rsidP="003F2D5B">
      <w:pPr>
        <w:pStyle w:val="SingleTxtG"/>
      </w:pPr>
      <w:r>
        <w:tab/>
        <w:t>c)</w:t>
      </w:r>
      <w:r>
        <w:tab/>
        <w:t>По состоянию на декабрь 2019 года Национальная комиссия по розыску детей, пропавших без вести во время внутреннего вооруженного конфликта, вынесла решения по 103 из 346 зарегистрированных дел и инициировала 16 процедур эксгумации. По состоянию на декабрь 2019 года Национальная комиссия по розыску взрослых, пропавших без вести во время внутреннего вооруженного конфликта, зарегистрировала 193 случая и выявила 1229 записей, и в настоящее время разрабатывает реестр исчезнувших лиц. Она провела одну эксгумацию. Воссоединения семей, пропавших без вести лиц или закрытых дел не было.</w:t>
      </w:r>
    </w:p>
    <w:p w14:paraId="02A2AE6E" w14:textId="516D262E" w:rsidR="003F2D5B" w:rsidRPr="00FF5A45" w:rsidRDefault="003F2D5B" w:rsidP="003F2D5B">
      <w:pPr>
        <w:pStyle w:val="SingleTxtG"/>
      </w:pPr>
      <w:r>
        <w:tab/>
        <w:t xml:space="preserve">В учебную программу Школы прокуратуры были включены модули по международному гуманитарному праву и методам расследования насильственных исчезновений. Генеральная прокуратура сотрудничала с УВКПЧ и Межамериканским институтом по правам человека и получала техническую помощь в поиске пропавших </w:t>
      </w:r>
      <w:r>
        <w:lastRenderedPageBreak/>
        <w:t>без вести. Проводятся расследования случаев насильственных исчезновений, убийств, массовых убийств, взрывов профсоюзных офисов, принудительной вербовки и других преступлений, совершенных во время вооруженного конфликта.</w:t>
      </w:r>
    </w:p>
    <w:p w14:paraId="360A63A4" w14:textId="77777777" w:rsidR="003F2D5B" w:rsidRPr="00FF5A45" w:rsidRDefault="003F2D5B" w:rsidP="003F2D5B">
      <w:pPr>
        <w:pStyle w:val="H23G"/>
        <w:rPr>
          <w:rFonts w:eastAsia="SimSun"/>
        </w:rPr>
      </w:pPr>
      <w:r>
        <w:tab/>
      </w:r>
      <w:r>
        <w:tab/>
      </w:r>
      <w:r>
        <w:rPr>
          <w:bCs/>
        </w:rPr>
        <w:t>Резюме информации, полученной от заинтересованных сторон</w:t>
      </w:r>
    </w:p>
    <w:p w14:paraId="479D4E77" w14:textId="0BC93ABE" w:rsidR="003F2D5B" w:rsidRPr="00FF5A45" w:rsidRDefault="003F2D5B" w:rsidP="003F2D5B">
      <w:pPr>
        <w:pStyle w:val="SingleTxtG"/>
      </w:pPr>
      <w:r>
        <w:tab/>
        <w:t>a)</w:t>
      </w:r>
      <w:r>
        <w:tab/>
        <w:t xml:space="preserve">По мнению коалиции НПО и коалиции ОГО (1), человеческие, финансовые и технические ресурсы для специального подразделения не обеспечены, а правовая поддержка недостаточна, чтобы гарантировать его дальнейшее существование. По данным коалиции НПО, подразделение состоит всего из пяти прокуроров, которые отвечают примерно за 182 дела. Утверждается, что Генеральная прокуратура не добилась никаких результатов по 160 делам, возбужденным Рабочей группой Сальвадора по борьбе с безнаказанностью. Политика уголовного преследования за военные преступления и преступления против человечности, совершенные во время вооруженного конфликта, изданная Генеральной прокуратурой в декабре 2018 года, не была реализована, и Генеральный прокурор публично отклонил приговор Конституционной палаты по Закону о всеобщей амнистии </w:t>
      </w:r>
      <w:r>
        <w:br/>
        <w:t>1993 года.</w:t>
      </w:r>
    </w:p>
    <w:p w14:paraId="78D80B6F" w14:textId="3E458341" w:rsidR="003F2D5B" w:rsidRPr="00FF5A45" w:rsidRDefault="003F2D5B" w:rsidP="003F2D5B">
      <w:pPr>
        <w:pStyle w:val="SingleTxtG"/>
      </w:pPr>
      <w:r>
        <w:tab/>
        <w:t>По данным коалиции НПО, несмотря на публичные заявления президента о готовности открыть военные архивы, запросы на ознакомление с военными материалами, поданные следственными судьями и Институтом по вопросам доступа к общественной информации, не были удовлетворены. По данным коалиции ОГО (1), законодательство, регулирующее доступ к военным архивам, не принято, а на практике государство препятствует доступу к соответствующим архивам вооруженных сил. По данным коалиции НПО, члены комиссии Института подверглись запугиванию посредством слежки, когда они ожидали входа на военные объекты для осмотра центрального архива.</w:t>
      </w:r>
    </w:p>
    <w:p w14:paraId="133BAA39" w14:textId="41DF549A" w:rsidR="003F2D5B" w:rsidRPr="00FF5A45" w:rsidRDefault="003F2D5B" w:rsidP="003F2D5B">
      <w:pPr>
        <w:pStyle w:val="SingleTxtG"/>
        <w:rPr>
          <w:b/>
          <w:bCs/>
        </w:rPr>
      </w:pPr>
      <w:r>
        <w:tab/>
        <w:t xml:space="preserve">b) </w:t>
      </w:r>
      <w:r>
        <w:tab/>
        <w:t>По данным коалиции ОГО (1), 1 мая 2021 года государство уволило Генерального прокурора и судей Конституционной палаты Верховного суда без надлежащей процедуры. В августе 2021 года государство утвердило поправки к Закону о судебной службе и Органическому закону о Генеральной прокуратуре, позволяющие отстранять судей, в том числе судей, занимающихся делами о нарушениях прав человека, совершенных во время вооруженного конфликта. Более того, правительство поддержало движение по принятию закона об иностранных агентах, который ограничит деятельность правозащитников и организаций гражданского общества.</w:t>
      </w:r>
    </w:p>
    <w:p w14:paraId="72FDFAC9" w14:textId="2FBD8006" w:rsidR="003F2D5B" w:rsidRPr="00FF5A45" w:rsidRDefault="003F2D5B" w:rsidP="003F2D5B">
      <w:pPr>
        <w:pStyle w:val="SingleTxtG"/>
      </w:pPr>
      <w:r>
        <w:tab/>
        <w:t>c)</w:t>
      </w:r>
      <w:r>
        <w:tab/>
        <w:t>По данным коалиции ОГО (1), государство по-прежнему выделяет недостаточное количество финансовых и человеческих ресурсов на поиск исчезнувших людей. По данным коалиции НПО, бюджеты двух национальных комиссий были урезаны в 2020 году. Государство не ратифицировало Международную конвенцию для защиты всех лиц от насильственных исчезновений. Обеспокоенность вызывают эффективное закрытие правительственной программы по возмещению ущерба жертвам серьезных нарушений прав человека, совершенных во время внутреннего вооруженного конфликта, и отсутствие диалога с жертвами и прозрачности в этом отношении.</w:t>
      </w:r>
    </w:p>
    <w:p w14:paraId="148AE60F" w14:textId="13E5251F" w:rsidR="003F2D5B" w:rsidRPr="00FF5A45" w:rsidRDefault="003F2D5B" w:rsidP="003F2D5B">
      <w:pPr>
        <w:pStyle w:val="SingleTxtG"/>
      </w:pPr>
      <w:r>
        <w:tab/>
        <w:t>Несмотря на постановление Межамериканского суда по правам человека о приостановке законодательного процесса, в феврале 2020 года был принят слегка завуалированный новый закон об амнистии (Специальный закон о правосудии переходного периода, репарациях и национальном примирении), на который президент наложил вето.</w:t>
      </w:r>
    </w:p>
    <w:p w14:paraId="2FA89CCD" w14:textId="77777777" w:rsidR="003F2D5B" w:rsidRPr="00FF5A45" w:rsidRDefault="003F2D5B" w:rsidP="003F2D5B">
      <w:pPr>
        <w:pStyle w:val="H23G"/>
        <w:rPr>
          <w:rFonts w:eastAsia="SimSun"/>
        </w:rPr>
      </w:pPr>
      <w:r>
        <w:tab/>
      </w:r>
      <w:r>
        <w:tab/>
      </w:r>
      <w:r>
        <w:rPr>
          <w:bCs/>
        </w:rPr>
        <w:t>Оценка Комитета</w:t>
      </w:r>
    </w:p>
    <w:p w14:paraId="729425A8" w14:textId="77777777" w:rsidR="003F2D5B" w:rsidRPr="00FF5A45" w:rsidRDefault="003F2D5B" w:rsidP="003F2D5B">
      <w:pPr>
        <w:pStyle w:val="SingleTxtG"/>
      </w:pPr>
      <w:r>
        <w:t>[C]: a) и b)</w:t>
      </w:r>
    </w:p>
    <w:p w14:paraId="38759F49" w14:textId="4A50C9A0" w:rsidR="003F2D5B" w:rsidRPr="00FF5A45" w:rsidRDefault="003F2D5B" w:rsidP="003F2D5B">
      <w:pPr>
        <w:pStyle w:val="SingleTxtG"/>
      </w:pPr>
      <w:r>
        <w:tab/>
        <w:t xml:space="preserve">Принимая к сведению информацию о регулярном бюджете специального подразделения, технической помощи и обучении, полученных от УВКПЧ, и доступе к информации, Комитет по-прежнему обеспокоен сообщениями о том, что подразделение не имеет достаточных ресурсов для рассмотрения своих дел и что его доступ к военным досье затруднен. Комитет повторяет свою рекомендацию и просит </w:t>
      </w:r>
      <w:r>
        <w:lastRenderedPageBreak/>
        <w:t>предоставить информацию о: a) ходе уголовных расследований и преследований за военные преступления и преступления против человечности, совершенные во время вооруженного конфликта; и b) предполагаемом запугивании членов комиссии Института по вопросам доступа к общественной информации.</w:t>
      </w:r>
    </w:p>
    <w:p w14:paraId="136C73BC" w14:textId="5C937A0D" w:rsidR="003F2D5B" w:rsidRPr="00FF5A45" w:rsidRDefault="003F2D5B" w:rsidP="003F2D5B">
      <w:pPr>
        <w:pStyle w:val="SingleTxtG"/>
      </w:pPr>
      <w:r>
        <w:tab/>
        <w:t>Комитет принимает к сведению информацию о работе двух национальных комиссий и ряде разрешенных дел, а также о разработке реестра исчезнувших лиц. Тем не менее он сожалеет об ограниченном прогрессе, достигнутом со времени принятия его заключительных замечаний, и об отсутствии информации о ресурсах, выделенных этим органам, а также о шагах, предпринятых для ратификации Международной конвенции для защиты всех лиц от насильственных исчезновений. Он повторяет свою рекомендацию и просит предоставить дополнительную информацию о: a) бюджетах, выделенных двум национальным комиссиям за отчетный период; и b) выполнении правительственной программы по возмещению ущерба жертвам серьезных нарушений прав человека, совершенных во время внутреннего вооруженного конфликта.</w:t>
      </w:r>
    </w:p>
    <w:p w14:paraId="42A0C053" w14:textId="77777777" w:rsidR="003F2D5B" w:rsidRPr="00FF5A45" w:rsidRDefault="003F2D5B" w:rsidP="003F2D5B">
      <w:pPr>
        <w:pStyle w:val="SingleTxtG"/>
      </w:pPr>
      <w:r>
        <w:t>[E]: b)</w:t>
      </w:r>
    </w:p>
    <w:p w14:paraId="2BFEFF81" w14:textId="27C8A781" w:rsidR="003F2D5B" w:rsidRPr="00FF5A45" w:rsidRDefault="003F2D5B" w:rsidP="003F2D5B">
      <w:pPr>
        <w:pStyle w:val="SingleTxtG"/>
      </w:pPr>
      <w:r>
        <w:tab/>
        <w:t>Отмечая осуществление мер предосторожности, Комитет выражает сожаление по поводу информации о мерах, принятых вопреки его рекомендациям, таких как увольнение Генерального прокурора и судей Конституционной палаты и внесение поправок в Закон о судебной службе и Органический закон о Генеральной прокуратуре, позволяющих отстранять судей. Он повторяет свою рекомендацию.</w:t>
      </w:r>
    </w:p>
    <w:p w14:paraId="709CB90C" w14:textId="7882DD81" w:rsidR="003F2D5B" w:rsidRPr="00FF5A45" w:rsidRDefault="003F2D5B" w:rsidP="003F2D5B">
      <w:pPr>
        <w:pStyle w:val="H1G"/>
        <w:rPr>
          <w:rFonts w:eastAsia="SimSun"/>
        </w:rPr>
      </w:pPr>
      <w:r>
        <w:tab/>
      </w:r>
      <w:r>
        <w:tab/>
      </w:r>
      <w:r>
        <w:rPr>
          <w:bCs/>
        </w:rPr>
        <w:t xml:space="preserve">Пункт 22: </w:t>
      </w:r>
      <w:r w:rsidR="0028651E">
        <w:rPr>
          <w:bCs/>
        </w:rPr>
        <w:t>В</w:t>
      </w:r>
      <w:r>
        <w:rPr>
          <w:bCs/>
        </w:rPr>
        <w:t xml:space="preserve">несудебные казни, насильственные исчезновения </w:t>
      </w:r>
      <w:r>
        <w:rPr>
          <w:bCs/>
        </w:rPr>
        <w:br/>
        <w:t>и пытки</w:t>
      </w:r>
    </w:p>
    <w:p w14:paraId="4774029C" w14:textId="77777777" w:rsidR="003F2D5B" w:rsidRPr="00FF5A45" w:rsidRDefault="003F2D5B" w:rsidP="003F2D5B">
      <w:pPr>
        <w:pStyle w:val="H23G"/>
        <w:rPr>
          <w:rFonts w:eastAsia="SimSun"/>
        </w:rPr>
      </w:pPr>
      <w:r>
        <w:tab/>
      </w:r>
      <w:r>
        <w:tab/>
      </w:r>
      <w:r>
        <w:rPr>
          <w:bCs/>
        </w:rPr>
        <w:t>Резюме информации, полученной от государства-участника</w:t>
      </w:r>
    </w:p>
    <w:p w14:paraId="48950140" w14:textId="38F7C85D" w:rsidR="003F2D5B" w:rsidRPr="00FF5A45" w:rsidRDefault="003F2D5B" w:rsidP="003F2D5B">
      <w:pPr>
        <w:pStyle w:val="SingleTxtG"/>
      </w:pPr>
      <w:r>
        <w:tab/>
        <w:t>С июня 2019 года правительство  осуществляет План территориального контроля, направленный на восстановление порядка на территориях, где доминируют преступные группы, борьбу с источниками финансирования таких групп и принятие мер по контролю в пенитенциарных учреждениях. План включает профилактические меры, в том числе программы технического обучения, университетские стипендии и программы создания рабочих мест для молодежи, в которых участвуют все государственные ведомства.</w:t>
      </w:r>
    </w:p>
    <w:p w14:paraId="175DC147" w14:textId="14CE70E1" w:rsidR="003F2D5B" w:rsidRPr="00FF5A45" w:rsidRDefault="003F2D5B" w:rsidP="003F2D5B">
      <w:pPr>
        <w:pStyle w:val="SingleTxtG"/>
      </w:pPr>
      <w:r>
        <w:tab/>
        <w:t>Правительство намерено бороться с нарушениями прав человека, независимо от того, кто их совершает — преступные группировки или отдельные лица, злоупотребляющие своими функциями по обеспечению безопасности. В 2017 году была создана нормативная база применения силы и летального оружия Национальной гражданской полицией, а в 2018 году была проведена кампания по повышению осведомленности об этой базе. Комитет по действиям полиции и правам человека разработал показатели для совместного мониторинга применения силы силами безопасности. Специализированные подразделения прокуратуры расследовали случаи предполагаемых внесудебных казней, что дало положительные результаты. Укреплены механизмы внутреннего надзора, контролирующие поведение полиции.</w:t>
      </w:r>
    </w:p>
    <w:p w14:paraId="02CC9025" w14:textId="77777777" w:rsidR="003F2D5B" w:rsidRPr="00FF5A45" w:rsidRDefault="003F2D5B" w:rsidP="003F2D5B">
      <w:pPr>
        <w:pStyle w:val="H23G"/>
        <w:rPr>
          <w:rFonts w:eastAsia="SimSun"/>
        </w:rPr>
      </w:pPr>
      <w:r>
        <w:tab/>
      </w:r>
      <w:r>
        <w:tab/>
      </w:r>
      <w:r>
        <w:rPr>
          <w:bCs/>
        </w:rPr>
        <w:t>Резюме информации, полученной от заинтересованных сторон</w:t>
      </w:r>
    </w:p>
    <w:p w14:paraId="7CC29CA0" w14:textId="77777777" w:rsidR="003F2D5B" w:rsidRPr="00FF5A45" w:rsidRDefault="003F2D5B" w:rsidP="003F2D5B">
      <w:pPr>
        <w:pStyle w:val="H4G"/>
        <w:rPr>
          <w:rFonts w:eastAsia="SimSun"/>
        </w:rPr>
      </w:pPr>
      <w:r>
        <w:tab/>
      </w:r>
      <w:r>
        <w:tab/>
      </w:r>
      <w:r>
        <w:rPr>
          <w:iCs/>
        </w:rPr>
        <w:t>Коалиция ОГО (1)</w:t>
      </w:r>
    </w:p>
    <w:p w14:paraId="50FFA761" w14:textId="4ECD1A17" w:rsidR="003F2D5B" w:rsidRPr="00FF5A45" w:rsidRDefault="003F2D5B" w:rsidP="003F2D5B">
      <w:pPr>
        <w:pStyle w:val="SingleTxtG"/>
      </w:pPr>
      <w:r>
        <w:tab/>
        <w:t>Государство приняло меры, противоречащие данной рекомендации, осуществляя План территориального контроля, в соответствии с которым финансовые и людские ресурсы вооруженных сил значительно увеличены в ущерб ресурсам Национальной гражданской полиции, а функции обеспечения правопорядка, выполняемые вооруженными силами, расширены.</w:t>
      </w:r>
    </w:p>
    <w:p w14:paraId="7AC50B60" w14:textId="42AE0911" w:rsidR="003F2D5B" w:rsidRPr="00FF5A45" w:rsidRDefault="003F2D5B" w:rsidP="003F2D5B">
      <w:pPr>
        <w:pStyle w:val="SingleTxtG"/>
      </w:pPr>
      <w:r>
        <w:tab/>
        <w:t xml:space="preserve">В период с 2015 по 2020 год в результате 2497 предполагаемых вооруженных столкновений между полицией и частными лицами погибли 1824 человека и </w:t>
      </w:r>
      <w:r>
        <w:br/>
        <w:t xml:space="preserve">36 сотрудников полиции или военных, что </w:t>
      </w:r>
      <w:proofErr w:type="gramStart"/>
      <w:r>
        <w:t>наглядно демонстрирует</w:t>
      </w:r>
      <w:proofErr w:type="gramEnd"/>
      <w:r>
        <w:t>, что полиция продолжает безнаказанно применять смертоносную силу.</w:t>
      </w:r>
    </w:p>
    <w:p w14:paraId="74526B97" w14:textId="45531E4D" w:rsidR="003F2D5B" w:rsidRPr="00FF5A45" w:rsidRDefault="003F2D5B" w:rsidP="003F2D5B">
      <w:pPr>
        <w:pStyle w:val="SingleTxtG"/>
      </w:pPr>
      <w:r>
        <w:lastRenderedPageBreak/>
        <w:tab/>
        <w:t>Количество случаев насильственного исчезновения в период с 2020 по 2021 год увеличилось на 19,4 процента. Власти продолжают демонстрировать неэффективность в поиске исчезнувших людей, называя такие случаи «добровольным отсутствием», даже в случае смерти исчезнувшего человека.</w:t>
      </w:r>
    </w:p>
    <w:p w14:paraId="18F67AAA" w14:textId="299E9F54" w:rsidR="003F2D5B" w:rsidRPr="00FF5A45" w:rsidRDefault="003F2D5B" w:rsidP="003F2D5B">
      <w:pPr>
        <w:pStyle w:val="SingleTxtG"/>
      </w:pPr>
      <w:r>
        <w:tab/>
        <w:t>Чрезвычайное положение, введенное 27 марта 2022 года в ответ на рост числа убийств, привело к реформированию уголовного законодательства, нарушению процессуальных прав и разрешению административного задержания на 15 суток.</w:t>
      </w:r>
    </w:p>
    <w:p w14:paraId="42CC9A82" w14:textId="77777777" w:rsidR="003F2D5B" w:rsidRPr="00FF5A45" w:rsidRDefault="003F2D5B" w:rsidP="003F2D5B">
      <w:pPr>
        <w:pStyle w:val="H23G"/>
        <w:rPr>
          <w:rFonts w:eastAsia="SimSun"/>
        </w:rPr>
      </w:pPr>
      <w:r>
        <w:tab/>
      </w:r>
      <w:r>
        <w:tab/>
      </w:r>
      <w:r>
        <w:rPr>
          <w:bCs/>
        </w:rPr>
        <w:t>Оценка Комитета</w:t>
      </w:r>
    </w:p>
    <w:p w14:paraId="3E504365" w14:textId="77777777" w:rsidR="003F2D5B" w:rsidRPr="00FF5A45" w:rsidRDefault="003F2D5B" w:rsidP="003F2D5B">
      <w:pPr>
        <w:pStyle w:val="SingleTxtG"/>
        <w:rPr>
          <w:bCs/>
        </w:rPr>
      </w:pPr>
      <w:r>
        <w:t>[C]</w:t>
      </w:r>
    </w:p>
    <w:p w14:paraId="28364F30" w14:textId="20BE4013" w:rsidR="003F2D5B" w:rsidRPr="00FF5A45" w:rsidRDefault="003F2D5B" w:rsidP="003F2D5B">
      <w:pPr>
        <w:pStyle w:val="SingleTxtG"/>
        <w:rPr>
          <w:bCs/>
        </w:rPr>
      </w:pPr>
      <w:r>
        <w:tab/>
        <w:t>Отмечая осуществление Плана территориального контроля и информацию о нормативной базе применения силы, Комитет сожалеет об отсутствии информации о мерах, принятых для усиления роли Национальной гражданской полиции и предоставления ей возможности взять на себя функции по поддержанию правопорядка, выполняемые вооруженными силами. Он повторяет свою рекомендацию и просит предоставить дополнительную информацию о: a) бюджете, выделенном военнослужащим, в сравнении с бюджетом Национальной гражданской полиции за отчетный период, а также о любом влиянии Плана территориального контроля на эти бюджеты; b) том, распространяется ли План территориального контроля как на вооруженные силы, так и на Национальную гражданскую полицию; и c) случаях злоупотребления функциями обеспечения безопасности за отчетный период, проведенных расследованиях и их результатах.</w:t>
      </w:r>
    </w:p>
    <w:p w14:paraId="4688A194" w14:textId="2FB3E38B" w:rsidR="003F2D5B" w:rsidRPr="00FF5A45" w:rsidRDefault="003F2D5B" w:rsidP="003F2D5B">
      <w:pPr>
        <w:pStyle w:val="SingleTxtG"/>
        <w:rPr>
          <w:bCs/>
        </w:rPr>
      </w:pPr>
      <w:r>
        <w:tab/>
        <w:t>Комитет принимает к сведению информацию о специализированных подразделениях прокуратуры, расследующих случаи внесудебных казней. Тем не менее он сожалеет об отсутствии какой-либо подробной информации об этих и других случаях произвольного задержания и насильственного исчезновения. Он настоятельно повторяет свою рекомендацию и просит предоставить статистические данные о жалобах на внесудебные казни, насильственные исчезновения и произвольные задержания, особенно о жалобах, полученных после введения чрезвычайного положения 27 марта 2022 года, включая информацию о проведенных расследованиях и их результатах, особенно о возмещении ущерба, предоставленном жертвам.</w:t>
      </w:r>
    </w:p>
    <w:p w14:paraId="02AB8D00" w14:textId="232D10BB" w:rsidR="003F2D5B" w:rsidRPr="00FF5A45" w:rsidRDefault="003F2D5B" w:rsidP="003F2D5B">
      <w:pPr>
        <w:pStyle w:val="SingleTxtG"/>
      </w:pPr>
      <w:r>
        <w:tab/>
        <w:t>Рекомендуемые действия: следует направить письмо, извещающее государство-участник о прекращении процедуры последующей деятельности. Запрашиваемая информация должна быть включена в следующий периодический доклад государства-участника.</w:t>
      </w:r>
    </w:p>
    <w:p w14:paraId="0A4CF180" w14:textId="12E7A97B" w:rsidR="003F2D5B" w:rsidRPr="00FF5A45" w:rsidRDefault="003F2D5B" w:rsidP="003F2D5B">
      <w:pPr>
        <w:pStyle w:val="SingleTxtG"/>
      </w:pPr>
      <w:r>
        <w:tab/>
        <w:t>Сроки представления следующего периодического доклада: 2027 год (страновой обзор в 2028 году в соответствии с планируемым циклом обзора).</w:t>
      </w:r>
    </w:p>
    <w:p w14:paraId="44D96D54" w14:textId="77777777" w:rsidR="003F2D5B" w:rsidRPr="00FF5A45" w:rsidRDefault="003F2D5B" w:rsidP="003F2D5B">
      <w:pPr>
        <w:spacing w:before="240"/>
        <w:jc w:val="center"/>
        <w:rPr>
          <w:u w:val="single"/>
        </w:rPr>
      </w:pPr>
      <w:r w:rsidRPr="00FF5A45">
        <w:rPr>
          <w:u w:val="single"/>
        </w:rPr>
        <w:tab/>
      </w:r>
      <w:r w:rsidRPr="00FF5A45">
        <w:rPr>
          <w:u w:val="single"/>
        </w:rPr>
        <w:tab/>
      </w:r>
      <w:r w:rsidRPr="00FF5A45">
        <w:rPr>
          <w:u w:val="single"/>
        </w:rPr>
        <w:tab/>
      </w:r>
    </w:p>
    <w:p w14:paraId="656376A7" w14:textId="29A7D36E" w:rsidR="00037C83" w:rsidRDefault="00037C83" w:rsidP="0075523D"/>
    <w:p w14:paraId="16A181EA" w14:textId="77777777" w:rsidR="00381C24" w:rsidRPr="00BC18B2" w:rsidRDefault="00381C24" w:rsidP="0075523D"/>
    <w:sectPr w:rsidR="00381C24" w:rsidRPr="00BC18B2" w:rsidSect="00037C83">
      <w:headerReference w:type="even" r:id="rId14"/>
      <w:headerReference w:type="default" r:id="rId15"/>
      <w:footerReference w:type="even" r:id="rId16"/>
      <w:footerReference w:type="default" r:id="rId17"/>
      <w:footerReference w:type="first" r:id="rId18"/>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95282A" w14:textId="77777777" w:rsidR="002C5097" w:rsidRPr="00A312BC" w:rsidRDefault="002C5097" w:rsidP="00A312BC"/>
  </w:endnote>
  <w:endnote w:type="continuationSeparator" w:id="0">
    <w:p w14:paraId="52919975" w14:textId="77777777" w:rsidR="002C5097" w:rsidRPr="00A312BC" w:rsidRDefault="002C509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6E0A7" w14:textId="6D113510" w:rsidR="00037C83" w:rsidRPr="00037C83" w:rsidRDefault="00037C83">
    <w:pPr>
      <w:pStyle w:val="a8"/>
    </w:pPr>
    <w:r w:rsidRPr="00037C83">
      <w:rPr>
        <w:b/>
        <w:sz w:val="18"/>
      </w:rPr>
      <w:fldChar w:fldCharType="begin"/>
    </w:r>
    <w:r w:rsidRPr="00037C83">
      <w:rPr>
        <w:b/>
        <w:sz w:val="18"/>
      </w:rPr>
      <w:instrText xml:space="preserve"> PAGE  \* MERGEFORMAT </w:instrText>
    </w:r>
    <w:r w:rsidRPr="00037C83">
      <w:rPr>
        <w:b/>
        <w:sz w:val="18"/>
      </w:rPr>
      <w:fldChar w:fldCharType="separate"/>
    </w:r>
    <w:r w:rsidRPr="00037C83">
      <w:rPr>
        <w:b/>
        <w:noProof/>
        <w:sz w:val="18"/>
      </w:rPr>
      <w:t>2</w:t>
    </w:r>
    <w:r w:rsidRPr="00037C83">
      <w:rPr>
        <w:b/>
        <w:sz w:val="18"/>
      </w:rPr>
      <w:fldChar w:fldCharType="end"/>
    </w:r>
    <w:r>
      <w:rPr>
        <w:b/>
        <w:sz w:val="18"/>
      </w:rPr>
      <w:tab/>
    </w:r>
    <w:r>
      <w:t>GE.22-14914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5B716" w14:textId="2EFB7BC8" w:rsidR="00037C83" w:rsidRPr="00037C83" w:rsidRDefault="00037C83" w:rsidP="00037C83">
    <w:pPr>
      <w:pStyle w:val="a8"/>
      <w:tabs>
        <w:tab w:val="clear" w:pos="9639"/>
        <w:tab w:val="right" w:pos="9638"/>
      </w:tabs>
      <w:rPr>
        <w:b/>
        <w:sz w:val="18"/>
      </w:rPr>
    </w:pPr>
    <w:r>
      <w:t>GE.22-14914</w:t>
    </w:r>
    <w:r>
      <w:tab/>
    </w:r>
    <w:r w:rsidRPr="00037C83">
      <w:rPr>
        <w:b/>
        <w:sz w:val="18"/>
      </w:rPr>
      <w:fldChar w:fldCharType="begin"/>
    </w:r>
    <w:r w:rsidRPr="00037C83">
      <w:rPr>
        <w:b/>
        <w:sz w:val="18"/>
      </w:rPr>
      <w:instrText xml:space="preserve"> PAGE  \* MERGEFORMAT </w:instrText>
    </w:r>
    <w:r w:rsidRPr="00037C83">
      <w:rPr>
        <w:b/>
        <w:sz w:val="18"/>
      </w:rPr>
      <w:fldChar w:fldCharType="separate"/>
    </w:r>
    <w:r w:rsidRPr="00037C83">
      <w:rPr>
        <w:b/>
        <w:noProof/>
        <w:sz w:val="18"/>
      </w:rPr>
      <w:t>3</w:t>
    </w:r>
    <w:r w:rsidRPr="00037C8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09EA2" w14:textId="0D3594A7" w:rsidR="00042B72" w:rsidRPr="00037C83" w:rsidRDefault="00037C83" w:rsidP="00037C83">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11A0B306" wp14:editId="24710F9C">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22-14914  (R)</w:t>
    </w:r>
    <w:r>
      <w:rPr>
        <w:noProof/>
      </w:rPr>
      <w:drawing>
        <wp:anchor distT="0" distB="0" distL="114300" distR="114300" simplePos="0" relativeHeight="251659264" behindDoc="0" locked="0" layoutInCell="1" allowOverlap="1" wp14:anchorId="3F502CA7" wp14:editId="761959E3">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111122  211222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ACA97" w14:textId="77777777" w:rsidR="002C5097" w:rsidRPr="001075E9" w:rsidRDefault="002C5097" w:rsidP="001075E9">
      <w:pPr>
        <w:tabs>
          <w:tab w:val="right" w:pos="2155"/>
        </w:tabs>
        <w:spacing w:after="80" w:line="240" w:lineRule="auto"/>
        <w:ind w:left="680"/>
        <w:rPr>
          <w:u w:val="single"/>
        </w:rPr>
      </w:pPr>
      <w:r>
        <w:rPr>
          <w:u w:val="single"/>
        </w:rPr>
        <w:tab/>
      </w:r>
    </w:p>
  </w:footnote>
  <w:footnote w:type="continuationSeparator" w:id="0">
    <w:p w14:paraId="61FBE4C2" w14:textId="77777777" w:rsidR="002C5097" w:rsidRDefault="002C5097" w:rsidP="00407B78">
      <w:pPr>
        <w:tabs>
          <w:tab w:val="right" w:pos="2155"/>
        </w:tabs>
        <w:spacing w:after="80"/>
        <w:ind w:left="680"/>
        <w:rPr>
          <w:u w:val="single"/>
        </w:rPr>
      </w:pPr>
      <w:r>
        <w:rPr>
          <w:u w:val="single"/>
        </w:rPr>
        <w:tab/>
      </w:r>
    </w:p>
  </w:footnote>
  <w:footnote w:id="1">
    <w:p w14:paraId="64441854" w14:textId="5BF020BE" w:rsidR="003F2D5B" w:rsidRPr="00FF5A45" w:rsidRDefault="003F2D5B" w:rsidP="003F2D5B">
      <w:pPr>
        <w:pStyle w:val="ad"/>
      </w:pPr>
      <w:r>
        <w:tab/>
      </w:r>
      <w:r w:rsidRPr="003F2D5B">
        <w:rPr>
          <w:sz w:val="20"/>
          <w:szCs w:val="22"/>
        </w:rPr>
        <w:t>*</w:t>
      </w:r>
      <w:r>
        <w:tab/>
        <w:t>Принят Комитетом на его сто тридцать пятой сессии (27 июня ⸺ 27 июля 2022 года).</w:t>
      </w:r>
    </w:p>
  </w:footnote>
  <w:footnote w:id="2">
    <w:p w14:paraId="236643DB" w14:textId="0EF42A42" w:rsidR="003F2D5B" w:rsidRPr="00FF5A45" w:rsidRDefault="003F2D5B" w:rsidP="003F2D5B">
      <w:pPr>
        <w:pStyle w:val="ad"/>
      </w:pPr>
      <w:r>
        <w:tab/>
      </w:r>
      <w:r w:rsidRPr="003F2D5B">
        <w:rPr>
          <w:rStyle w:val="aa"/>
        </w:rPr>
        <w:footnoteRef/>
      </w:r>
      <w:r>
        <w:tab/>
        <w:t xml:space="preserve">Пункты, содержащие рекомендации Комитета, в настоящем документе не воспроизводятся в связи с ограничением объема, установленным в резолюции </w:t>
      </w:r>
      <w:hyperlink r:id="rId1" w:history="1">
        <w:r w:rsidRPr="00993090">
          <w:rPr>
            <w:rStyle w:val="af1"/>
          </w:rPr>
          <w:t>68/268</w:t>
        </w:r>
      </w:hyperlink>
      <w:r>
        <w:t xml:space="preserve"> Генеральной Ассамблеи, п. 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8608B" w14:textId="479500F4" w:rsidR="00037C83" w:rsidRPr="00037C83" w:rsidRDefault="00A20DB9">
    <w:pPr>
      <w:pStyle w:val="a5"/>
    </w:pPr>
    <w:r>
      <w:fldChar w:fldCharType="begin"/>
    </w:r>
    <w:r>
      <w:instrText xml:space="preserve"> TITLE  \* MERGEFORMAT </w:instrText>
    </w:r>
    <w:r>
      <w:fldChar w:fldCharType="separate"/>
    </w:r>
    <w:r>
      <w:t>CCPR/C/135/2/Add.2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D2408" w14:textId="08C5AB99" w:rsidR="00037C83" w:rsidRPr="00037C83" w:rsidRDefault="00A20DB9" w:rsidP="00037C83">
    <w:pPr>
      <w:pStyle w:val="a5"/>
      <w:jc w:val="right"/>
    </w:pPr>
    <w:r>
      <w:fldChar w:fldCharType="begin"/>
    </w:r>
    <w:r>
      <w:instrText xml:space="preserve"> TITLE  \* MERGEFORMAT </w:instrText>
    </w:r>
    <w:r>
      <w:fldChar w:fldCharType="separate"/>
    </w:r>
    <w:r>
      <w:t>CCPR/C/135/2/Add.2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097"/>
    <w:rsid w:val="000233D7"/>
    <w:rsid w:val="00033EE1"/>
    <w:rsid w:val="000358F2"/>
    <w:rsid w:val="00037C83"/>
    <w:rsid w:val="00042B72"/>
    <w:rsid w:val="000558BD"/>
    <w:rsid w:val="000A7DD1"/>
    <w:rsid w:val="000B57E7"/>
    <w:rsid w:val="000B6373"/>
    <w:rsid w:val="000F09DF"/>
    <w:rsid w:val="000F61B2"/>
    <w:rsid w:val="001075E9"/>
    <w:rsid w:val="00110212"/>
    <w:rsid w:val="00180183"/>
    <w:rsid w:val="0018024D"/>
    <w:rsid w:val="0018649F"/>
    <w:rsid w:val="00196389"/>
    <w:rsid w:val="001B3EF6"/>
    <w:rsid w:val="001C7A89"/>
    <w:rsid w:val="00202BC3"/>
    <w:rsid w:val="0020782A"/>
    <w:rsid w:val="00254812"/>
    <w:rsid w:val="0028651E"/>
    <w:rsid w:val="002A2EFC"/>
    <w:rsid w:val="002C0E18"/>
    <w:rsid w:val="002C5097"/>
    <w:rsid w:val="002D5AAC"/>
    <w:rsid w:val="002E00F0"/>
    <w:rsid w:val="002E5067"/>
    <w:rsid w:val="002F405F"/>
    <w:rsid w:val="002F7EEC"/>
    <w:rsid w:val="00301299"/>
    <w:rsid w:val="00305C08"/>
    <w:rsid w:val="00307FB6"/>
    <w:rsid w:val="00317339"/>
    <w:rsid w:val="00322004"/>
    <w:rsid w:val="0032326A"/>
    <w:rsid w:val="003402C2"/>
    <w:rsid w:val="00375F01"/>
    <w:rsid w:val="00381C24"/>
    <w:rsid w:val="00385439"/>
    <w:rsid w:val="003958D0"/>
    <w:rsid w:val="003B00E5"/>
    <w:rsid w:val="003F2D5B"/>
    <w:rsid w:val="00407B78"/>
    <w:rsid w:val="004126F9"/>
    <w:rsid w:val="00424203"/>
    <w:rsid w:val="00452493"/>
    <w:rsid w:val="00454E07"/>
    <w:rsid w:val="00472C5C"/>
    <w:rsid w:val="004969B2"/>
    <w:rsid w:val="004E2CAF"/>
    <w:rsid w:val="0050108D"/>
    <w:rsid w:val="0051243B"/>
    <w:rsid w:val="00513081"/>
    <w:rsid w:val="00517901"/>
    <w:rsid w:val="00525EED"/>
    <w:rsid w:val="00526683"/>
    <w:rsid w:val="00542AD2"/>
    <w:rsid w:val="005709E0"/>
    <w:rsid w:val="00572E19"/>
    <w:rsid w:val="005961C8"/>
    <w:rsid w:val="005D472C"/>
    <w:rsid w:val="005D7914"/>
    <w:rsid w:val="005E2B41"/>
    <w:rsid w:val="005F0B42"/>
    <w:rsid w:val="00666B97"/>
    <w:rsid w:val="00681A10"/>
    <w:rsid w:val="006A1ED8"/>
    <w:rsid w:val="006C2031"/>
    <w:rsid w:val="006D461A"/>
    <w:rsid w:val="006F35EE"/>
    <w:rsid w:val="007021FF"/>
    <w:rsid w:val="00712895"/>
    <w:rsid w:val="0075523D"/>
    <w:rsid w:val="00757357"/>
    <w:rsid w:val="00787D3A"/>
    <w:rsid w:val="00791B9D"/>
    <w:rsid w:val="007D18CD"/>
    <w:rsid w:val="00825F8D"/>
    <w:rsid w:val="00834B71"/>
    <w:rsid w:val="0086445C"/>
    <w:rsid w:val="00894693"/>
    <w:rsid w:val="008A08D7"/>
    <w:rsid w:val="008B6909"/>
    <w:rsid w:val="00906890"/>
    <w:rsid w:val="00911BE4"/>
    <w:rsid w:val="00931A71"/>
    <w:rsid w:val="00951972"/>
    <w:rsid w:val="009608F3"/>
    <w:rsid w:val="009918E2"/>
    <w:rsid w:val="00993090"/>
    <w:rsid w:val="009A24AC"/>
    <w:rsid w:val="009D21FD"/>
    <w:rsid w:val="009F38B9"/>
    <w:rsid w:val="00A14DA8"/>
    <w:rsid w:val="00A20DB9"/>
    <w:rsid w:val="00A312BC"/>
    <w:rsid w:val="00A34D07"/>
    <w:rsid w:val="00A84021"/>
    <w:rsid w:val="00A84D35"/>
    <w:rsid w:val="00A917B3"/>
    <w:rsid w:val="00AB4B51"/>
    <w:rsid w:val="00AD6F87"/>
    <w:rsid w:val="00B10CC7"/>
    <w:rsid w:val="00B136DB"/>
    <w:rsid w:val="00B539E7"/>
    <w:rsid w:val="00B62458"/>
    <w:rsid w:val="00BC18B2"/>
    <w:rsid w:val="00BC3629"/>
    <w:rsid w:val="00BD33EE"/>
    <w:rsid w:val="00BF1A04"/>
    <w:rsid w:val="00C0177C"/>
    <w:rsid w:val="00C106D6"/>
    <w:rsid w:val="00C46D5A"/>
    <w:rsid w:val="00C60F0C"/>
    <w:rsid w:val="00C805C9"/>
    <w:rsid w:val="00C92939"/>
    <w:rsid w:val="00CA1679"/>
    <w:rsid w:val="00CB151C"/>
    <w:rsid w:val="00CC607B"/>
    <w:rsid w:val="00CE5A1A"/>
    <w:rsid w:val="00CF55F6"/>
    <w:rsid w:val="00D33D63"/>
    <w:rsid w:val="00D90028"/>
    <w:rsid w:val="00D90138"/>
    <w:rsid w:val="00D9090B"/>
    <w:rsid w:val="00DD78D1"/>
    <w:rsid w:val="00DE32CD"/>
    <w:rsid w:val="00DF71B9"/>
    <w:rsid w:val="00E005F7"/>
    <w:rsid w:val="00E06BEE"/>
    <w:rsid w:val="00E46656"/>
    <w:rsid w:val="00E73F76"/>
    <w:rsid w:val="00EA2C9F"/>
    <w:rsid w:val="00EA420E"/>
    <w:rsid w:val="00ED0BDA"/>
    <w:rsid w:val="00EF1360"/>
    <w:rsid w:val="00EF3220"/>
    <w:rsid w:val="00F43903"/>
    <w:rsid w:val="00F54E65"/>
    <w:rsid w:val="00F94155"/>
    <w:rsid w:val="00F9783F"/>
    <w:rsid w:val="00FC1877"/>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62D27"/>
  <w15:docId w15:val="{3AA53F37-61E4-4F7E-8F8A-AE7680F8B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 w:type="character" w:styleId="af3">
    <w:name w:val="Unresolved Mention"/>
    <w:basedOn w:val="a0"/>
    <w:uiPriority w:val="99"/>
    <w:semiHidden/>
    <w:unhideWhenUsed/>
    <w:rsid w:val="003F2D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ru/CCPR/C/SLV/CO/7" TargetMode="External"/><Relationship Id="rId13" Type="http://schemas.openxmlformats.org/officeDocument/2006/relationships/hyperlink" Target="https://tbinternet.ohchr.org/_layouts/15/treatybodyexternal/Download.aspx?symbolno=INT%2fCCPR%2fNGS%2fSLV%2f48452&amp;Lang=en"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tbinternet.ohchr.org/_layouts/15/treatybodyexternal/Download.aspx?symbolno=INT%2fCCPR%2fNGS%2fSLV%2f48757&amp;Lang=en"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binternet.ohchr.org/_layouts/15/treatybodyexternal/Download.aspx?symbolno=INT%2fCCPR%2fNGS%2fSLV%2f48549&amp;Lang=en"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tbinternet.ohchr.org/_layouts/15/treatybodyexternal/Download.aspx?symbolno=INT%2fCCPR%2fNGS%2fSLV%2f43295&amp;Lang=en"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CCPR/C/SLV/FCO/7"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ru/A/RES/68/2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2791</Words>
  <Characters>15909</Characters>
  <Application>Microsoft Office Word</Application>
  <DocSecurity>0</DocSecurity>
  <Lines>132</Lines>
  <Paragraphs>37</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CCPR/C/135/2/Add.2</vt:lpstr>
      <vt:lpstr>A/</vt:lpstr>
      <vt:lpstr>A/</vt:lpstr>
    </vt:vector>
  </TitlesOfParts>
  <Company>DCM</Company>
  <LinksUpToDate>false</LinksUpToDate>
  <CharactersWithSpaces>18663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CCPR/C/135/2/Add.2</dc:title>
  <dc:subject/>
  <dc:creator>Ekaterina SALYNSKAYA</dc:creator>
  <cp:keywords/>
  <cp:lastModifiedBy>Ekaterina Salynskaya</cp:lastModifiedBy>
  <cp:revision>3</cp:revision>
  <cp:lastPrinted>2022-12-21T09:54:00Z</cp:lastPrinted>
  <dcterms:created xsi:type="dcterms:W3CDTF">2022-12-21T09:54:00Z</dcterms:created>
  <dcterms:modified xsi:type="dcterms:W3CDTF">2022-12-21T09:54:00Z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