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14:paraId="62E48F33" w14:textId="77777777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07E9FA1" w14:textId="77777777" w:rsidR="000354E9" w:rsidRPr="00DB58B5" w:rsidRDefault="000354E9" w:rsidP="00967B5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4BE9E3B" w14:textId="77777777"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FC926DB" w14:textId="77777777" w:rsidR="000354E9" w:rsidRPr="00DB58B5" w:rsidRDefault="00967B57" w:rsidP="00967B57">
            <w:pPr>
              <w:jc w:val="right"/>
            </w:pPr>
            <w:r w:rsidRPr="00967B57">
              <w:rPr>
                <w:sz w:val="40"/>
              </w:rPr>
              <w:t>CRC</w:t>
            </w:r>
            <w:r>
              <w:t>/C/87/D/88/2019</w:t>
            </w:r>
          </w:p>
        </w:tc>
      </w:tr>
      <w:tr w:rsidR="000354E9" w:rsidRPr="00DB58B5" w14:paraId="57615C71" w14:textId="77777777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5568A3D" w14:textId="77777777"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087C34A" wp14:editId="435B9CF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0249E3" w14:textId="77777777"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9C34C6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6D94988" w14:textId="77777777" w:rsidR="000354E9" w:rsidRDefault="00967B57" w:rsidP="008F3CA0">
            <w:pPr>
              <w:spacing w:before="240"/>
            </w:pPr>
            <w:r>
              <w:t>Distr. générale</w:t>
            </w:r>
          </w:p>
          <w:p w14:paraId="48E6A57F" w14:textId="77777777" w:rsidR="00967B57" w:rsidRDefault="00967B57" w:rsidP="00967B57">
            <w:pPr>
              <w:spacing w:line="240" w:lineRule="exact"/>
            </w:pPr>
            <w:r>
              <w:t>6 juillet 2021</w:t>
            </w:r>
          </w:p>
          <w:p w14:paraId="5367D0BA" w14:textId="77777777" w:rsidR="00967B57" w:rsidRDefault="00967B57" w:rsidP="00967B57">
            <w:pPr>
              <w:spacing w:line="240" w:lineRule="exact"/>
            </w:pPr>
            <w:r>
              <w:t>Français</w:t>
            </w:r>
          </w:p>
          <w:p w14:paraId="50BF565F" w14:textId="77777777" w:rsidR="00967B57" w:rsidRPr="00DB58B5" w:rsidRDefault="00967B57" w:rsidP="00967B57">
            <w:pPr>
              <w:spacing w:line="240" w:lineRule="exact"/>
            </w:pPr>
            <w:r>
              <w:t>Original : espagnol</w:t>
            </w:r>
          </w:p>
        </w:tc>
      </w:tr>
    </w:tbl>
    <w:p w14:paraId="4D244466" w14:textId="77777777"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9C34C6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14:paraId="0360E5BC" w14:textId="77777777" w:rsidR="009C34C6" w:rsidRPr="009C34C6" w:rsidRDefault="009C34C6" w:rsidP="009C34C6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9C34C6">
        <w:rPr>
          <w:lang w:val="fr-FR"/>
        </w:rPr>
        <w:t>Décision adoptée par le Comité au titre du Protocole facultatif à la Convention relative aux droits de l</w:t>
      </w:r>
      <w:r>
        <w:rPr>
          <w:lang w:val="fr-FR"/>
        </w:rPr>
        <w:t>’</w:t>
      </w:r>
      <w:r w:rsidRPr="009C34C6">
        <w:rPr>
          <w:lang w:val="fr-FR"/>
        </w:rPr>
        <w:t>enfant établissant une procédure de présentation de communications, concernant la communication n</w:t>
      </w:r>
      <w:r w:rsidRPr="009C34C6">
        <w:rPr>
          <w:vertAlign w:val="superscript"/>
          <w:lang w:val="fr-FR"/>
        </w:rPr>
        <w:t>o</w:t>
      </w:r>
      <w:r>
        <w:rPr>
          <w:lang w:val="fr-FR"/>
        </w:rPr>
        <w:t> </w:t>
      </w:r>
      <w:r w:rsidRPr="009C34C6">
        <w:rPr>
          <w:lang w:val="fr-FR"/>
        </w:rPr>
        <w:t>88/2019</w:t>
      </w:r>
      <w:r w:rsidRPr="009C34C6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  <w:r w:rsidRPr="009C34C6">
        <w:rPr>
          <w:b w:val="0"/>
          <w:bCs/>
          <w:vertAlign w:val="superscript"/>
          <w:lang w:val="fr-FR"/>
        </w:rPr>
        <w:t>,</w:t>
      </w:r>
      <w:r w:rsidRPr="009C34C6">
        <w:rPr>
          <w:b w:val="0"/>
          <w:bCs/>
          <w:sz w:val="18"/>
          <w:vertAlign w:val="superscript"/>
          <w:lang w:val="fr-FR"/>
        </w:rPr>
        <w:t xml:space="preserve"> </w:t>
      </w:r>
      <w:r w:rsidRPr="009C34C6">
        <w:rPr>
          <w:rStyle w:val="Appelnotedebasdep"/>
          <w:b w:val="0"/>
          <w:bCs/>
          <w:sz w:val="20"/>
          <w:vertAlign w:val="baseline"/>
        </w:rPr>
        <w:footnoteReference w:customMarkFollows="1" w:id="3"/>
        <w:t>**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9"/>
        <w:gridCol w:w="4166"/>
      </w:tblGrid>
      <w:tr w:rsidR="009C34C6" w:rsidRPr="009C34C6" w14:paraId="76B95E38" w14:textId="77777777" w:rsidTr="002A38C4">
        <w:tc>
          <w:tcPr>
            <w:tcW w:w="2639" w:type="dxa"/>
            <w:shd w:val="clear" w:color="auto" w:fill="auto"/>
          </w:tcPr>
          <w:p w14:paraId="375A0742" w14:textId="77777777" w:rsidR="009C34C6" w:rsidRPr="009C34C6" w:rsidRDefault="009C34C6" w:rsidP="009C34C6">
            <w:pPr>
              <w:pStyle w:val="SingleTxtG"/>
              <w:kinsoku/>
              <w:overflowPunct/>
              <w:autoSpaceDE/>
              <w:autoSpaceDN/>
              <w:adjustRightInd/>
              <w:snapToGrid/>
              <w:ind w:left="0" w:right="0"/>
              <w:jc w:val="left"/>
              <w:rPr>
                <w:rFonts w:eastAsia="Times New Roman"/>
                <w:i/>
                <w:lang w:val="es-ES" w:eastAsia="es-ES"/>
              </w:rPr>
            </w:pPr>
            <w:r w:rsidRPr="009C34C6">
              <w:rPr>
                <w:rFonts w:eastAsia="Times New Roman"/>
                <w:i/>
                <w:lang w:val="es-ES" w:eastAsia="es-ES"/>
              </w:rPr>
              <w:t>Communication présentée par :</w:t>
            </w:r>
          </w:p>
        </w:tc>
        <w:tc>
          <w:tcPr>
            <w:tcW w:w="4166" w:type="dxa"/>
            <w:shd w:val="clear" w:color="auto" w:fill="auto"/>
          </w:tcPr>
          <w:p w14:paraId="13D53E07" w14:textId="77777777" w:rsidR="009C34C6" w:rsidRPr="009C34C6" w:rsidRDefault="009C34C6" w:rsidP="009C34C6">
            <w:pPr>
              <w:pStyle w:val="SingleTxtG"/>
              <w:kinsoku/>
              <w:overflowPunct/>
              <w:autoSpaceDE/>
              <w:autoSpaceDN/>
              <w:adjustRightInd/>
              <w:snapToGrid/>
              <w:ind w:left="0" w:right="0"/>
              <w:jc w:val="left"/>
              <w:rPr>
                <w:rFonts w:eastAsia="Times New Roman"/>
                <w:iCs/>
                <w:lang w:val="es-ES" w:eastAsia="es-ES"/>
              </w:rPr>
            </w:pPr>
            <w:r w:rsidRPr="009C34C6">
              <w:rPr>
                <w:rFonts w:eastAsia="Times New Roman"/>
                <w:iCs/>
                <w:lang w:val="es-ES" w:eastAsia="es-ES"/>
              </w:rPr>
              <w:t>A. E. A. (représenté par un conseil, Albert Parés Casanova)</w:t>
            </w:r>
          </w:p>
        </w:tc>
      </w:tr>
      <w:tr w:rsidR="009C34C6" w:rsidRPr="009C34C6" w14:paraId="01EA9311" w14:textId="77777777" w:rsidTr="002A38C4">
        <w:tc>
          <w:tcPr>
            <w:tcW w:w="2639" w:type="dxa"/>
            <w:shd w:val="clear" w:color="auto" w:fill="auto"/>
          </w:tcPr>
          <w:p w14:paraId="406075B7" w14:textId="77777777" w:rsidR="009C34C6" w:rsidRPr="009C34C6" w:rsidRDefault="009C34C6" w:rsidP="009C34C6">
            <w:pPr>
              <w:pStyle w:val="SingleTxtG"/>
              <w:kinsoku/>
              <w:overflowPunct/>
              <w:autoSpaceDE/>
              <w:autoSpaceDN/>
              <w:adjustRightInd/>
              <w:snapToGrid/>
              <w:ind w:left="0" w:right="0"/>
              <w:jc w:val="left"/>
              <w:rPr>
                <w:rFonts w:eastAsia="Times New Roman"/>
                <w:i/>
                <w:lang w:val="es-ES" w:eastAsia="es-ES"/>
              </w:rPr>
            </w:pPr>
            <w:r w:rsidRPr="009C34C6">
              <w:rPr>
                <w:rFonts w:eastAsia="Times New Roman"/>
                <w:i/>
                <w:lang w:val="es-ES" w:eastAsia="es-ES"/>
              </w:rPr>
              <w:t>Victime(s) présumée(s)</w:t>
            </w:r>
            <w:r w:rsidR="008307B3">
              <w:rPr>
                <w:rFonts w:eastAsia="Times New Roman"/>
                <w:i/>
                <w:lang w:val="es-ES" w:eastAsia="es-ES"/>
              </w:rPr>
              <w:t xml:space="preserve"> :</w:t>
            </w:r>
            <w:bookmarkStart w:id="0" w:name="_GoBack"/>
            <w:bookmarkEnd w:id="0"/>
          </w:p>
        </w:tc>
        <w:tc>
          <w:tcPr>
            <w:tcW w:w="4166" w:type="dxa"/>
            <w:shd w:val="clear" w:color="auto" w:fill="auto"/>
          </w:tcPr>
          <w:p w14:paraId="4F90D28F" w14:textId="77777777" w:rsidR="009C34C6" w:rsidRPr="009C34C6" w:rsidRDefault="009C34C6" w:rsidP="009C34C6">
            <w:pPr>
              <w:pStyle w:val="SingleTxtG"/>
              <w:kinsoku/>
              <w:overflowPunct/>
              <w:autoSpaceDE/>
              <w:autoSpaceDN/>
              <w:adjustRightInd/>
              <w:snapToGrid/>
              <w:ind w:left="0" w:right="0"/>
              <w:jc w:val="left"/>
              <w:rPr>
                <w:rFonts w:eastAsia="Times New Roman"/>
                <w:iCs/>
                <w:lang w:val="es-ES" w:eastAsia="es-ES"/>
              </w:rPr>
            </w:pPr>
            <w:r w:rsidRPr="009C34C6">
              <w:rPr>
                <w:rFonts w:eastAsia="Times New Roman"/>
                <w:iCs/>
                <w:lang w:val="es-ES" w:eastAsia="es-ES"/>
              </w:rPr>
              <w:t>L</w:t>
            </w:r>
            <w:r>
              <w:rPr>
                <w:rFonts w:eastAsia="Times New Roman"/>
                <w:iCs/>
                <w:lang w:val="es-ES" w:eastAsia="es-ES"/>
              </w:rPr>
              <w:t>’</w:t>
            </w:r>
            <w:r w:rsidRPr="009C34C6">
              <w:rPr>
                <w:rFonts w:eastAsia="Times New Roman"/>
                <w:iCs/>
                <w:lang w:val="es-ES" w:eastAsia="es-ES"/>
              </w:rPr>
              <w:t>auteur</w:t>
            </w:r>
          </w:p>
        </w:tc>
      </w:tr>
      <w:tr w:rsidR="009C34C6" w:rsidRPr="009C34C6" w14:paraId="7B374EFE" w14:textId="77777777" w:rsidTr="002A38C4">
        <w:tc>
          <w:tcPr>
            <w:tcW w:w="2639" w:type="dxa"/>
            <w:shd w:val="clear" w:color="auto" w:fill="auto"/>
          </w:tcPr>
          <w:p w14:paraId="1F18A1DC" w14:textId="77777777" w:rsidR="009C34C6" w:rsidRPr="009C34C6" w:rsidRDefault="009C34C6" w:rsidP="009C34C6">
            <w:pPr>
              <w:spacing w:after="120"/>
              <w:rPr>
                <w:i/>
              </w:rPr>
            </w:pPr>
            <w:r w:rsidRPr="009C34C6">
              <w:rPr>
                <w:i/>
                <w:iCs/>
                <w:lang w:val="fr-FR"/>
              </w:rPr>
              <w:t>État partie</w:t>
            </w:r>
            <w:r w:rsidR="008307B3">
              <w:rPr>
                <w:i/>
                <w:iCs/>
                <w:lang w:val="fr-FR"/>
              </w:rPr>
              <w:t xml:space="preserve"> </w:t>
            </w:r>
            <w:r w:rsidRPr="009C34C6">
              <w:rPr>
                <w:i/>
                <w:iCs/>
                <w:lang w:val="fr-FR"/>
              </w:rPr>
              <w:t>:</w:t>
            </w:r>
          </w:p>
        </w:tc>
        <w:tc>
          <w:tcPr>
            <w:tcW w:w="4166" w:type="dxa"/>
            <w:shd w:val="clear" w:color="auto" w:fill="auto"/>
          </w:tcPr>
          <w:p w14:paraId="0F062E9F" w14:textId="77777777" w:rsidR="009C34C6" w:rsidRPr="009C34C6" w:rsidRDefault="009C34C6" w:rsidP="009C34C6">
            <w:pPr>
              <w:spacing w:after="120"/>
            </w:pPr>
            <w:r w:rsidRPr="009C34C6">
              <w:rPr>
                <w:lang w:val="fr-FR"/>
              </w:rPr>
              <w:t>Espagne</w:t>
            </w:r>
          </w:p>
        </w:tc>
      </w:tr>
      <w:tr w:rsidR="009C34C6" w:rsidRPr="009C34C6" w14:paraId="490935B8" w14:textId="77777777" w:rsidTr="002A38C4">
        <w:tc>
          <w:tcPr>
            <w:tcW w:w="2639" w:type="dxa"/>
            <w:shd w:val="clear" w:color="auto" w:fill="auto"/>
          </w:tcPr>
          <w:p w14:paraId="13DE602F" w14:textId="77777777" w:rsidR="009C34C6" w:rsidRPr="009C34C6" w:rsidRDefault="009C34C6" w:rsidP="009C34C6">
            <w:pPr>
              <w:spacing w:after="120"/>
              <w:rPr>
                <w:i/>
              </w:rPr>
            </w:pPr>
            <w:r w:rsidRPr="009C34C6">
              <w:rPr>
                <w:i/>
                <w:iCs/>
                <w:lang w:val="fr-FR"/>
              </w:rPr>
              <w:t>Date de la communication :</w:t>
            </w:r>
          </w:p>
        </w:tc>
        <w:tc>
          <w:tcPr>
            <w:tcW w:w="4166" w:type="dxa"/>
            <w:shd w:val="clear" w:color="auto" w:fill="auto"/>
          </w:tcPr>
          <w:p w14:paraId="551CB2EE" w14:textId="77777777" w:rsidR="009C34C6" w:rsidRPr="009C34C6" w:rsidRDefault="009C34C6" w:rsidP="009C34C6">
            <w:pPr>
              <w:spacing w:after="120"/>
              <w:rPr>
                <w:lang w:val="fr-FR"/>
              </w:rPr>
            </w:pPr>
            <w:r w:rsidRPr="009C34C6">
              <w:rPr>
                <w:lang w:val="fr-FR"/>
              </w:rPr>
              <w:t>20 juin 2019 (date de la lettre initiale)</w:t>
            </w:r>
          </w:p>
        </w:tc>
      </w:tr>
      <w:tr w:rsidR="009C34C6" w:rsidRPr="009C34C6" w14:paraId="7B814F2D" w14:textId="77777777" w:rsidTr="002A38C4">
        <w:tc>
          <w:tcPr>
            <w:tcW w:w="2639" w:type="dxa"/>
            <w:shd w:val="clear" w:color="auto" w:fill="auto"/>
          </w:tcPr>
          <w:p w14:paraId="015EA4D8" w14:textId="77777777" w:rsidR="009C34C6" w:rsidRPr="009C34C6" w:rsidRDefault="009C34C6" w:rsidP="009C34C6">
            <w:pPr>
              <w:spacing w:after="120"/>
              <w:rPr>
                <w:i/>
              </w:rPr>
            </w:pPr>
            <w:r w:rsidRPr="009C34C6">
              <w:rPr>
                <w:i/>
                <w:iCs/>
                <w:lang w:val="fr-FR"/>
              </w:rPr>
              <w:t>Objet :</w:t>
            </w:r>
          </w:p>
        </w:tc>
        <w:tc>
          <w:tcPr>
            <w:tcW w:w="4166" w:type="dxa"/>
            <w:shd w:val="clear" w:color="auto" w:fill="auto"/>
            <w:vAlign w:val="bottom"/>
          </w:tcPr>
          <w:p w14:paraId="26E6B382" w14:textId="77777777" w:rsidR="009C34C6" w:rsidRPr="009C34C6" w:rsidRDefault="009C34C6" w:rsidP="009C34C6">
            <w:pPr>
              <w:spacing w:after="120"/>
              <w:rPr>
                <w:lang w:val="fr-FR"/>
              </w:rPr>
            </w:pPr>
            <w:r w:rsidRPr="009C34C6">
              <w:rPr>
                <w:lang w:val="fr-FR"/>
              </w:rPr>
              <w:t>Procédure de détermination de l</w:t>
            </w:r>
            <w:r>
              <w:rPr>
                <w:lang w:val="fr-FR"/>
              </w:rPr>
              <w:t>’</w:t>
            </w:r>
            <w:r w:rsidRPr="009C34C6">
              <w:rPr>
                <w:lang w:val="fr-FR"/>
              </w:rPr>
              <w:t>âge d</w:t>
            </w:r>
            <w:r>
              <w:rPr>
                <w:lang w:val="fr-FR"/>
              </w:rPr>
              <w:t>’</w:t>
            </w:r>
            <w:r w:rsidRPr="009C34C6">
              <w:rPr>
                <w:lang w:val="fr-FR"/>
              </w:rPr>
              <w:t>un migrant mineur non accompagné</w:t>
            </w:r>
          </w:p>
        </w:tc>
      </w:tr>
      <w:tr w:rsidR="009C34C6" w:rsidRPr="009C34C6" w14:paraId="65985B35" w14:textId="77777777" w:rsidTr="002A38C4">
        <w:tc>
          <w:tcPr>
            <w:tcW w:w="2639" w:type="dxa"/>
            <w:shd w:val="clear" w:color="auto" w:fill="auto"/>
          </w:tcPr>
          <w:p w14:paraId="2AC76B98" w14:textId="77777777" w:rsidR="009C34C6" w:rsidRPr="009C34C6" w:rsidRDefault="009C34C6" w:rsidP="009C34C6">
            <w:pPr>
              <w:spacing w:after="120"/>
              <w:rPr>
                <w:i/>
              </w:rPr>
            </w:pPr>
            <w:r w:rsidRPr="009C34C6">
              <w:rPr>
                <w:i/>
                <w:iCs/>
                <w:lang w:val="fr-FR"/>
              </w:rPr>
              <w:t>Question(s) de fond :</w:t>
            </w:r>
          </w:p>
        </w:tc>
        <w:tc>
          <w:tcPr>
            <w:tcW w:w="4166" w:type="dxa"/>
            <w:shd w:val="clear" w:color="auto" w:fill="auto"/>
            <w:vAlign w:val="bottom"/>
          </w:tcPr>
          <w:p w14:paraId="3F777A37" w14:textId="77777777" w:rsidR="009C34C6" w:rsidRPr="009C34C6" w:rsidRDefault="009C34C6" w:rsidP="009C34C6">
            <w:pPr>
              <w:spacing w:after="120"/>
              <w:rPr>
                <w:lang w:val="fr-FR"/>
              </w:rPr>
            </w:pPr>
            <w:r w:rsidRPr="009C34C6">
              <w:rPr>
                <w:lang w:val="fr-FR"/>
              </w:rPr>
              <w:t>Intérêt supérieur de l</w:t>
            </w:r>
            <w:r>
              <w:rPr>
                <w:lang w:val="fr-FR"/>
              </w:rPr>
              <w:t>’</w:t>
            </w:r>
            <w:r w:rsidRPr="009C34C6">
              <w:rPr>
                <w:lang w:val="fr-FR"/>
              </w:rPr>
              <w:t>enfant, droit à l</w:t>
            </w:r>
            <w:r>
              <w:rPr>
                <w:lang w:val="fr-FR"/>
              </w:rPr>
              <w:t>’</w:t>
            </w:r>
            <w:r w:rsidRPr="009C34C6">
              <w:rPr>
                <w:lang w:val="fr-FR"/>
              </w:rPr>
              <w:t>identité, droit d</w:t>
            </w:r>
            <w:r>
              <w:rPr>
                <w:lang w:val="fr-FR"/>
              </w:rPr>
              <w:t>’</w:t>
            </w:r>
            <w:r w:rsidRPr="009C34C6">
              <w:rPr>
                <w:lang w:val="fr-FR"/>
              </w:rPr>
              <w:t>être entendu, droit à un tuteur, droit au développement, droit à une protection et à une assistance spéciales de la part de l</w:t>
            </w:r>
            <w:r>
              <w:rPr>
                <w:lang w:val="fr-FR"/>
              </w:rPr>
              <w:t>’</w:t>
            </w:r>
            <w:r w:rsidRPr="009C34C6">
              <w:rPr>
                <w:lang w:val="fr-FR"/>
              </w:rPr>
              <w:t>État.</w:t>
            </w:r>
          </w:p>
        </w:tc>
      </w:tr>
      <w:tr w:rsidR="009C34C6" w:rsidRPr="009C34C6" w14:paraId="71C84529" w14:textId="77777777" w:rsidTr="002A38C4">
        <w:tc>
          <w:tcPr>
            <w:tcW w:w="2639" w:type="dxa"/>
            <w:shd w:val="clear" w:color="auto" w:fill="auto"/>
          </w:tcPr>
          <w:p w14:paraId="20EFE82F" w14:textId="77777777" w:rsidR="009C34C6" w:rsidRPr="009C34C6" w:rsidRDefault="009C34C6" w:rsidP="009C34C6">
            <w:pPr>
              <w:spacing w:after="120"/>
              <w:rPr>
                <w:i/>
                <w:lang w:val="fr-FR"/>
              </w:rPr>
            </w:pPr>
            <w:r w:rsidRPr="009C34C6">
              <w:rPr>
                <w:i/>
                <w:iCs/>
                <w:lang w:val="fr-FR"/>
              </w:rPr>
              <w:t>Article(s) de la Convention :</w:t>
            </w:r>
          </w:p>
        </w:tc>
        <w:tc>
          <w:tcPr>
            <w:tcW w:w="4166" w:type="dxa"/>
            <w:shd w:val="clear" w:color="auto" w:fill="auto"/>
            <w:vAlign w:val="bottom"/>
          </w:tcPr>
          <w:p w14:paraId="2EAB0414" w14:textId="77777777" w:rsidR="009C34C6" w:rsidRPr="009C34C6" w:rsidRDefault="009C34C6" w:rsidP="009C34C6">
            <w:pPr>
              <w:spacing w:after="120"/>
            </w:pPr>
            <w:r w:rsidRPr="009C34C6">
              <w:rPr>
                <w:lang w:val="fr-FR"/>
              </w:rPr>
              <w:t>3, 8, 18 (par. 2), 20 (par. 1), 27 et 29</w:t>
            </w:r>
          </w:p>
        </w:tc>
      </w:tr>
    </w:tbl>
    <w:p w14:paraId="2B122431" w14:textId="77777777" w:rsidR="009C34C6" w:rsidRPr="009C34C6" w:rsidRDefault="009C34C6" w:rsidP="009C34C6">
      <w:pPr>
        <w:pStyle w:val="SingleTxtG"/>
        <w:spacing w:before="120"/>
        <w:rPr>
          <w:lang w:val="fr-FR"/>
        </w:rPr>
      </w:pPr>
      <w:r w:rsidRPr="009C34C6">
        <w:rPr>
          <w:lang w:val="fr-FR"/>
        </w:rPr>
        <w:t>1.</w:t>
      </w:r>
      <w:r w:rsidRPr="009C34C6">
        <w:rPr>
          <w:lang w:val="fr-FR"/>
        </w:rPr>
        <w:tab/>
        <w:t>L</w:t>
      </w:r>
      <w:r>
        <w:rPr>
          <w:lang w:val="fr-FR"/>
        </w:rPr>
        <w:t>’</w:t>
      </w:r>
      <w:r w:rsidRPr="009C34C6">
        <w:rPr>
          <w:lang w:val="fr-FR"/>
        </w:rPr>
        <w:t>auteur de la communication est A. E. A., de nationalité marocaine, né le 7 novembre 2002. Il affirme que l</w:t>
      </w:r>
      <w:r>
        <w:rPr>
          <w:lang w:val="fr-FR"/>
        </w:rPr>
        <w:t>’</w:t>
      </w:r>
      <w:r w:rsidRPr="009C34C6">
        <w:rPr>
          <w:lang w:val="fr-FR"/>
        </w:rPr>
        <w:t>État partie a violé les droits qu</w:t>
      </w:r>
      <w:r>
        <w:rPr>
          <w:lang w:val="fr-FR"/>
        </w:rPr>
        <w:t>’</w:t>
      </w:r>
      <w:r w:rsidRPr="009C34C6">
        <w:rPr>
          <w:lang w:val="fr-FR"/>
        </w:rPr>
        <w:t xml:space="preserve">il tient </w:t>
      </w:r>
      <w:r w:rsidRPr="008307B3">
        <w:rPr>
          <w:lang w:val="fr-FR"/>
        </w:rPr>
        <w:t>des articles 3,</w:t>
      </w:r>
      <w:r w:rsidRPr="009C34C6">
        <w:rPr>
          <w:lang w:val="fr-FR"/>
        </w:rPr>
        <w:t xml:space="preserve"> 8, 18 (par.</w:t>
      </w:r>
      <w:r>
        <w:rPr>
          <w:lang w:val="fr-FR"/>
        </w:rPr>
        <w:t> </w:t>
      </w:r>
      <w:r w:rsidRPr="009C34C6">
        <w:rPr>
          <w:lang w:val="fr-FR"/>
        </w:rPr>
        <w:t>2), 20 (par. 1), 27 et 29 de la Convention. Il soutient, entre autres choses, que les autorités espagnoles n</w:t>
      </w:r>
      <w:r>
        <w:rPr>
          <w:lang w:val="fr-FR"/>
        </w:rPr>
        <w:t>’</w:t>
      </w:r>
      <w:r w:rsidRPr="009C34C6">
        <w:rPr>
          <w:lang w:val="fr-FR"/>
        </w:rPr>
        <w:t>ont pas pris en compte l</w:t>
      </w:r>
      <w:r>
        <w:rPr>
          <w:lang w:val="fr-FR"/>
        </w:rPr>
        <w:t>’</w:t>
      </w:r>
      <w:r w:rsidRPr="009C34C6">
        <w:rPr>
          <w:lang w:val="fr-FR"/>
        </w:rPr>
        <w:t>intérêt supérieur de l</w:t>
      </w:r>
      <w:r>
        <w:rPr>
          <w:lang w:val="fr-FR"/>
        </w:rPr>
        <w:t>’</w:t>
      </w:r>
      <w:r w:rsidRPr="009C34C6">
        <w:rPr>
          <w:lang w:val="fr-FR"/>
        </w:rPr>
        <w:t>enfant dans leurs décisions et qu</w:t>
      </w:r>
      <w:r>
        <w:rPr>
          <w:lang w:val="fr-FR"/>
        </w:rPr>
        <w:t>’</w:t>
      </w:r>
      <w:r w:rsidRPr="009C34C6">
        <w:rPr>
          <w:lang w:val="fr-FR"/>
        </w:rPr>
        <w:t>il n</w:t>
      </w:r>
      <w:r>
        <w:rPr>
          <w:lang w:val="fr-FR"/>
        </w:rPr>
        <w:t>’</w:t>
      </w:r>
      <w:r w:rsidRPr="009C34C6">
        <w:rPr>
          <w:lang w:val="fr-FR"/>
        </w:rPr>
        <w:t>a pas été protégé en tant qu</w:t>
      </w:r>
      <w:r>
        <w:rPr>
          <w:lang w:val="fr-FR"/>
        </w:rPr>
        <w:t>’</w:t>
      </w:r>
      <w:r w:rsidRPr="009C34C6">
        <w:rPr>
          <w:lang w:val="fr-FR"/>
        </w:rPr>
        <w:t>enfant. Il est représenté par un conseil. Le Protocole facultatif est entré en vigueur pour l</w:t>
      </w:r>
      <w:r>
        <w:rPr>
          <w:lang w:val="fr-FR"/>
        </w:rPr>
        <w:t>’</w:t>
      </w:r>
      <w:r w:rsidRPr="009C34C6">
        <w:rPr>
          <w:lang w:val="fr-FR"/>
        </w:rPr>
        <w:t>État partie le 14 avril 2014.</w:t>
      </w:r>
    </w:p>
    <w:p w14:paraId="72032DA9" w14:textId="77777777" w:rsidR="009C34C6" w:rsidRPr="009C34C6" w:rsidRDefault="009C34C6" w:rsidP="009C34C6">
      <w:pPr>
        <w:pStyle w:val="SingleTxtG"/>
        <w:rPr>
          <w:lang w:val="fr-FR"/>
        </w:rPr>
      </w:pPr>
      <w:r w:rsidRPr="009C34C6">
        <w:rPr>
          <w:lang w:val="fr-FR"/>
        </w:rPr>
        <w:t>2.</w:t>
      </w:r>
      <w:r w:rsidRPr="009C34C6">
        <w:rPr>
          <w:lang w:val="fr-FR"/>
        </w:rPr>
        <w:tab/>
        <w:t>Le 8 mai 2019, l</w:t>
      </w:r>
      <w:r>
        <w:rPr>
          <w:lang w:val="fr-FR"/>
        </w:rPr>
        <w:t>’</w:t>
      </w:r>
      <w:r w:rsidRPr="009C34C6">
        <w:rPr>
          <w:lang w:val="fr-FR"/>
        </w:rPr>
        <w:t>auteur a été intercepté alors qu</w:t>
      </w:r>
      <w:r>
        <w:rPr>
          <w:lang w:val="fr-FR"/>
        </w:rPr>
        <w:t>’</w:t>
      </w:r>
      <w:r w:rsidRPr="009C34C6">
        <w:rPr>
          <w:lang w:val="fr-FR"/>
        </w:rPr>
        <w:t>il tentait d</w:t>
      </w:r>
      <w:r>
        <w:rPr>
          <w:lang w:val="fr-FR"/>
        </w:rPr>
        <w:t>’</w:t>
      </w:r>
      <w:r w:rsidRPr="009C34C6">
        <w:rPr>
          <w:lang w:val="fr-FR"/>
        </w:rPr>
        <w:t>accoster à Algésiras à bord d</w:t>
      </w:r>
      <w:r>
        <w:rPr>
          <w:lang w:val="fr-FR"/>
        </w:rPr>
        <w:t>’</w:t>
      </w:r>
      <w:r w:rsidRPr="009C34C6">
        <w:rPr>
          <w:lang w:val="fr-FR"/>
        </w:rPr>
        <w:t>une embarcation de fortune. À son arrivée, l</w:t>
      </w:r>
      <w:r>
        <w:rPr>
          <w:lang w:val="fr-FR"/>
        </w:rPr>
        <w:t>’</w:t>
      </w:r>
      <w:r w:rsidRPr="009C34C6">
        <w:rPr>
          <w:lang w:val="fr-FR"/>
        </w:rPr>
        <w:t>auteur, qui était sans papiers, a affirmé avoir moins de 18 ans. À une date non précisée, le tribunal d</w:t>
      </w:r>
      <w:r>
        <w:rPr>
          <w:lang w:val="fr-FR"/>
        </w:rPr>
        <w:t>’</w:t>
      </w:r>
      <w:r w:rsidRPr="009C34C6">
        <w:rPr>
          <w:lang w:val="fr-FR"/>
        </w:rPr>
        <w:t xml:space="preserve">instruction </w:t>
      </w:r>
      <w:r w:rsidRPr="009C34C6">
        <w:rPr>
          <w:rFonts w:eastAsia="MS Mincho"/>
          <w:szCs w:val="22"/>
          <w:lang w:val="fr-FR"/>
        </w:rPr>
        <w:t>n</w:t>
      </w:r>
      <w:r w:rsidRPr="009C34C6">
        <w:rPr>
          <w:rFonts w:eastAsia="MS Mincho"/>
          <w:szCs w:val="22"/>
          <w:vertAlign w:val="superscript"/>
          <w:lang w:val="fr-FR"/>
        </w:rPr>
        <w:t>o</w:t>
      </w:r>
      <w:r>
        <w:rPr>
          <w:lang w:val="fr-FR"/>
        </w:rPr>
        <w:t> </w:t>
      </w:r>
      <w:r w:rsidRPr="009C34C6">
        <w:rPr>
          <w:lang w:val="fr-FR"/>
        </w:rPr>
        <w:t>30 de Barcelone a ordonné son placement dans un centre de détention pour étrangers adultes.</w:t>
      </w:r>
    </w:p>
    <w:p w14:paraId="7EFB9FA1" w14:textId="77777777" w:rsidR="009C34C6" w:rsidRPr="009C34C6" w:rsidRDefault="009C34C6" w:rsidP="009C34C6">
      <w:pPr>
        <w:pStyle w:val="SingleTxtG"/>
        <w:rPr>
          <w:lang w:val="fr-FR"/>
        </w:rPr>
      </w:pPr>
      <w:r w:rsidRPr="009C34C6">
        <w:rPr>
          <w:lang w:val="fr-FR"/>
        </w:rPr>
        <w:t>3.</w:t>
      </w:r>
      <w:r w:rsidRPr="009C34C6">
        <w:rPr>
          <w:lang w:val="fr-FR"/>
        </w:rPr>
        <w:tab/>
        <w:t>Le 28 mai 2019, l</w:t>
      </w:r>
      <w:r>
        <w:rPr>
          <w:lang w:val="fr-FR"/>
        </w:rPr>
        <w:t>’</w:t>
      </w:r>
      <w:r w:rsidRPr="009C34C6">
        <w:rPr>
          <w:lang w:val="fr-FR"/>
        </w:rPr>
        <w:t>auteur a été soumis à des examens médicaux visant à déterminer son âge. L</w:t>
      </w:r>
      <w:r>
        <w:rPr>
          <w:lang w:val="fr-FR"/>
        </w:rPr>
        <w:t>’</w:t>
      </w:r>
      <w:r w:rsidRPr="009C34C6">
        <w:rPr>
          <w:lang w:val="fr-FR"/>
        </w:rPr>
        <w:t>analyse de la radiographie de son poignet a permis d</w:t>
      </w:r>
      <w:r>
        <w:rPr>
          <w:lang w:val="fr-FR"/>
        </w:rPr>
        <w:t>’</w:t>
      </w:r>
      <w:r w:rsidRPr="009C34C6">
        <w:rPr>
          <w:lang w:val="fr-FR"/>
        </w:rPr>
        <w:t>établir qu</w:t>
      </w:r>
      <w:r>
        <w:rPr>
          <w:lang w:val="fr-FR"/>
        </w:rPr>
        <w:t>’</w:t>
      </w:r>
      <w:r w:rsidRPr="009C34C6">
        <w:rPr>
          <w:lang w:val="fr-FR"/>
        </w:rPr>
        <w:t>il avait 19 ans tandis que celle du panoramique dentaire a amené à conclure qu</w:t>
      </w:r>
      <w:r>
        <w:rPr>
          <w:lang w:val="fr-FR"/>
        </w:rPr>
        <w:t>’</w:t>
      </w:r>
      <w:r w:rsidRPr="009C34C6">
        <w:rPr>
          <w:lang w:val="fr-FR"/>
        </w:rPr>
        <w:t>il avait 18 ans. Il a été conclu que l</w:t>
      </w:r>
      <w:r>
        <w:rPr>
          <w:lang w:val="fr-FR"/>
        </w:rPr>
        <w:t>’</w:t>
      </w:r>
      <w:r w:rsidRPr="009C34C6">
        <w:rPr>
          <w:lang w:val="fr-FR"/>
        </w:rPr>
        <w:t>auteur avait plus de 18 ans.</w:t>
      </w:r>
    </w:p>
    <w:p w14:paraId="1627F1C8" w14:textId="77777777" w:rsidR="009C34C6" w:rsidRPr="009C34C6" w:rsidRDefault="009C34C6" w:rsidP="009C34C6">
      <w:pPr>
        <w:pStyle w:val="SingleTxtG"/>
        <w:rPr>
          <w:lang w:val="fr-FR"/>
        </w:rPr>
      </w:pPr>
      <w:r w:rsidRPr="009C34C6">
        <w:rPr>
          <w:lang w:val="fr-FR"/>
        </w:rPr>
        <w:lastRenderedPageBreak/>
        <w:t>4.</w:t>
      </w:r>
      <w:r w:rsidRPr="009C34C6">
        <w:rPr>
          <w:lang w:val="fr-FR"/>
        </w:rPr>
        <w:tab/>
        <w:t>Le 25 juin 2019, le Groupe de travail des communications, agissant au nom du Comité et se fondant sur l</w:t>
      </w:r>
      <w:r>
        <w:rPr>
          <w:lang w:val="fr-FR"/>
        </w:rPr>
        <w:t>’</w:t>
      </w:r>
      <w:r w:rsidRPr="009C34C6">
        <w:rPr>
          <w:lang w:val="fr-FR"/>
        </w:rPr>
        <w:t>article 6 du Protocole facultatif, a décidé d</w:t>
      </w:r>
      <w:r>
        <w:rPr>
          <w:lang w:val="fr-FR"/>
        </w:rPr>
        <w:t>’</w:t>
      </w:r>
      <w:r w:rsidRPr="009C34C6">
        <w:rPr>
          <w:lang w:val="fr-FR"/>
        </w:rPr>
        <w:t xml:space="preserve">enregistrer la communication et </w:t>
      </w:r>
      <w:r w:rsidR="008307B3">
        <w:rPr>
          <w:lang w:val="fr-FR"/>
        </w:rPr>
        <w:t xml:space="preserve">de </w:t>
      </w:r>
      <w:r w:rsidRPr="009C34C6">
        <w:rPr>
          <w:lang w:val="fr-FR"/>
        </w:rPr>
        <w:t>demander à l</w:t>
      </w:r>
      <w:r>
        <w:rPr>
          <w:lang w:val="fr-FR"/>
        </w:rPr>
        <w:t>’</w:t>
      </w:r>
      <w:r w:rsidRPr="009C34C6">
        <w:rPr>
          <w:lang w:val="fr-FR"/>
        </w:rPr>
        <w:t>État partie de prendre des mesures provisoires consistant à suspendre l</w:t>
      </w:r>
      <w:r>
        <w:rPr>
          <w:lang w:val="fr-FR"/>
        </w:rPr>
        <w:t>’</w:t>
      </w:r>
      <w:r w:rsidRPr="009C34C6">
        <w:rPr>
          <w:lang w:val="fr-FR"/>
        </w:rPr>
        <w:t>exécution de la décision d</w:t>
      </w:r>
      <w:r>
        <w:rPr>
          <w:lang w:val="fr-FR"/>
        </w:rPr>
        <w:t>’</w:t>
      </w:r>
      <w:r w:rsidRPr="009C34C6">
        <w:rPr>
          <w:lang w:val="fr-FR"/>
        </w:rPr>
        <w:t>expulsion visant l</w:t>
      </w:r>
      <w:r>
        <w:rPr>
          <w:lang w:val="fr-FR"/>
        </w:rPr>
        <w:t>’</w:t>
      </w:r>
      <w:r w:rsidRPr="009C34C6">
        <w:rPr>
          <w:lang w:val="fr-FR"/>
        </w:rPr>
        <w:t>auteur tant que sa communication serait à l</w:t>
      </w:r>
      <w:r>
        <w:rPr>
          <w:lang w:val="fr-FR"/>
        </w:rPr>
        <w:t>’</w:t>
      </w:r>
      <w:r w:rsidRPr="009C34C6">
        <w:rPr>
          <w:lang w:val="fr-FR"/>
        </w:rPr>
        <w:t>examen et à placer l</w:t>
      </w:r>
      <w:r>
        <w:rPr>
          <w:lang w:val="fr-FR"/>
        </w:rPr>
        <w:t>’</w:t>
      </w:r>
      <w:r w:rsidRPr="009C34C6">
        <w:rPr>
          <w:lang w:val="fr-FR"/>
        </w:rPr>
        <w:t>intéressé dans un centre de protection pour mineurs.</w:t>
      </w:r>
    </w:p>
    <w:p w14:paraId="157336BD" w14:textId="77777777" w:rsidR="009C34C6" w:rsidRPr="009C34C6" w:rsidRDefault="009C34C6" w:rsidP="009C34C6">
      <w:pPr>
        <w:pStyle w:val="SingleTxtG"/>
        <w:rPr>
          <w:lang w:val="fr-FR"/>
        </w:rPr>
      </w:pPr>
      <w:r w:rsidRPr="009C34C6">
        <w:rPr>
          <w:lang w:val="fr-FR"/>
        </w:rPr>
        <w:t>5.</w:t>
      </w:r>
      <w:r w:rsidRPr="009C34C6">
        <w:rPr>
          <w:lang w:val="fr-FR"/>
        </w:rPr>
        <w:tab/>
        <w:t>Le 2 janvier 2020, l</w:t>
      </w:r>
      <w:r>
        <w:rPr>
          <w:lang w:val="fr-FR"/>
        </w:rPr>
        <w:t>’</w:t>
      </w:r>
      <w:r w:rsidRPr="009C34C6">
        <w:rPr>
          <w:lang w:val="fr-FR"/>
        </w:rPr>
        <w:t>État partie a présenté ses observations sur la recevabilité et le fond de la communication. Le 6 mars 2020, le conseil de l</w:t>
      </w:r>
      <w:r>
        <w:rPr>
          <w:lang w:val="fr-FR"/>
        </w:rPr>
        <w:t>’</w:t>
      </w:r>
      <w:r w:rsidRPr="009C34C6">
        <w:rPr>
          <w:lang w:val="fr-FR"/>
        </w:rPr>
        <w:t>auteur a présenté des commentaires sur les observations de l</w:t>
      </w:r>
      <w:r>
        <w:rPr>
          <w:lang w:val="fr-FR"/>
        </w:rPr>
        <w:t>’</w:t>
      </w:r>
      <w:r w:rsidRPr="009C34C6">
        <w:rPr>
          <w:lang w:val="fr-FR"/>
        </w:rPr>
        <w:t>État partie concernant la recevabilité et le fond.</w:t>
      </w:r>
    </w:p>
    <w:p w14:paraId="0007A32B" w14:textId="77777777" w:rsidR="009C34C6" w:rsidRPr="009C34C6" w:rsidRDefault="009C34C6" w:rsidP="009C34C6">
      <w:pPr>
        <w:pStyle w:val="SingleTxtG"/>
        <w:rPr>
          <w:lang w:val="fr-FR"/>
        </w:rPr>
      </w:pPr>
      <w:r w:rsidRPr="009C34C6">
        <w:rPr>
          <w:lang w:val="fr-FR"/>
        </w:rPr>
        <w:t>6.</w:t>
      </w:r>
      <w:r w:rsidRPr="009C34C6">
        <w:rPr>
          <w:lang w:val="fr-FR"/>
        </w:rPr>
        <w:tab/>
        <w:t>Le 3 novembre 2020, le conseil de l</w:t>
      </w:r>
      <w:r>
        <w:rPr>
          <w:lang w:val="fr-FR"/>
        </w:rPr>
        <w:t>’</w:t>
      </w:r>
      <w:r w:rsidRPr="009C34C6">
        <w:rPr>
          <w:lang w:val="fr-FR"/>
        </w:rPr>
        <w:t>auteur a informé le Comité qu</w:t>
      </w:r>
      <w:r>
        <w:rPr>
          <w:lang w:val="fr-FR"/>
        </w:rPr>
        <w:t>’</w:t>
      </w:r>
      <w:r w:rsidRPr="009C34C6">
        <w:rPr>
          <w:lang w:val="fr-FR"/>
        </w:rPr>
        <w:t>il n</w:t>
      </w:r>
      <w:r>
        <w:rPr>
          <w:lang w:val="fr-FR"/>
        </w:rPr>
        <w:t>’</w:t>
      </w:r>
      <w:r w:rsidRPr="009C34C6">
        <w:rPr>
          <w:lang w:val="fr-FR"/>
        </w:rPr>
        <w:t>avait plus de nouvelles de son client et qu</w:t>
      </w:r>
      <w:r>
        <w:rPr>
          <w:lang w:val="fr-FR"/>
        </w:rPr>
        <w:t>’</w:t>
      </w:r>
      <w:r w:rsidRPr="009C34C6">
        <w:rPr>
          <w:lang w:val="fr-FR"/>
        </w:rPr>
        <w:t>il ignorait où il se trouvait.</w:t>
      </w:r>
    </w:p>
    <w:p w14:paraId="400B4611" w14:textId="77777777" w:rsidR="009C34C6" w:rsidRPr="009C34C6" w:rsidRDefault="009C34C6" w:rsidP="009C34C6">
      <w:pPr>
        <w:pStyle w:val="SingleTxtG"/>
        <w:rPr>
          <w:lang w:val="fr-FR"/>
        </w:rPr>
      </w:pPr>
      <w:r w:rsidRPr="009C34C6">
        <w:rPr>
          <w:lang w:val="fr-FR"/>
        </w:rPr>
        <w:t>7.</w:t>
      </w:r>
      <w:r w:rsidRPr="009C34C6">
        <w:rPr>
          <w:lang w:val="fr-FR"/>
        </w:rPr>
        <w:tab/>
        <w:t>Réuni le 31 mai 2021, le Comité, ayant examiné les informations fournies par le conseil de l</w:t>
      </w:r>
      <w:r>
        <w:rPr>
          <w:lang w:val="fr-FR"/>
        </w:rPr>
        <w:t>’</w:t>
      </w:r>
      <w:r w:rsidRPr="009C34C6">
        <w:rPr>
          <w:lang w:val="fr-FR"/>
        </w:rPr>
        <w:t>auteur selon lesquelles il n</w:t>
      </w:r>
      <w:r>
        <w:rPr>
          <w:lang w:val="fr-FR"/>
        </w:rPr>
        <w:t>’</w:t>
      </w:r>
      <w:r w:rsidRPr="009C34C6">
        <w:rPr>
          <w:lang w:val="fr-FR"/>
        </w:rPr>
        <w:t>avait plus de nouvelles de son client, a décidé de mettre fin à l</w:t>
      </w:r>
      <w:r>
        <w:rPr>
          <w:lang w:val="fr-FR"/>
        </w:rPr>
        <w:t>’</w:t>
      </w:r>
      <w:r w:rsidRPr="009C34C6">
        <w:rPr>
          <w:lang w:val="fr-FR"/>
        </w:rPr>
        <w:t>examen de la communication, conformément à l</w:t>
      </w:r>
      <w:r>
        <w:rPr>
          <w:lang w:val="fr-FR"/>
        </w:rPr>
        <w:t>’</w:t>
      </w:r>
      <w:r w:rsidRPr="009C34C6">
        <w:rPr>
          <w:lang w:val="fr-FR"/>
        </w:rPr>
        <w:t>article</w:t>
      </w:r>
      <w:r w:rsidR="008307B3">
        <w:rPr>
          <w:lang w:val="fr-FR"/>
        </w:rPr>
        <w:t> </w:t>
      </w:r>
      <w:r w:rsidRPr="009C34C6">
        <w:rPr>
          <w:lang w:val="fr-FR"/>
        </w:rPr>
        <w:t>26 de son règlement intérieur au titre du Protocole facultatif à la Convention relative aux droits de l</w:t>
      </w:r>
      <w:r>
        <w:rPr>
          <w:lang w:val="fr-FR"/>
        </w:rPr>
        <w:t>’</w:t>
      </w:r>
      <w:r w:rsidRPr="009C34C6">
        <w:rPr>
          <w:lang w:val="fr-FR"/>
        </w:rPr>
        <w:t>enfant établissant une procédure de présentation de communications.</w:t>
      </w:r>
    </w:p>
    <w:p w14:paraId="0B8BE2C8" w14:textId="77777777" w:rsidR="007341B7" w:rsidRPr="009C34C6" w:rsidRDefault="009C34C6" w:rsidP="009C34C6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7341B7" w:rsidRPr="009C34C6" w:rsidSect="00967B5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74F2D" w14:textId="77777777" w:rsidR="00052F66" w:rsidRDefault="00052F66" w:rsidP="00F95C08">
      <w:pPr>
        <w:spacing w:line="240" w:lineRule="auto"/>
      </w:pPr>
    </w:p>
  </w:endnote>
  <w:endnote w:type="continuationSeparator" w:id="0">
    <w:p w14:paraId="3E833BD1" w14:textId="77777777" w:rsidR="00052F66" w:rsidRPr="00AC3823" w:rsidRDefault="00052F66" w:rsidP="00AC3823">
      <w:pPr>
        <w:pStyle w:val="Pieddepage"/>
      </w:pPr>
    </w:p>
  </w:endnote>
  <w:endnote w:type="continuationNotice" w:id="1">
    <w:p w14:paraId="05F22A30" w14:textId="77777777" w:rsidR="00052F66" w:rsidRDefault="00052F6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8DD3F2" w14:textId="77777777" w:rsidR="00967B57" w:rsidRPr="00967B57" w:rsidRDefault="00967B57" w:rsidP="00967B57">
    <w:pPr>
      <w:pStyle w:val="Pieddepage"/>
      <w:tabs>
        <w:tab w:val="right" w:pos="9638"/>
      </w:tabs>
    </w:pPr>
    <w:r w:rsidRPr="00967B57">
      <w:rPr>
        <w:b/>
        <w:sz w:val="18"/>
      </w:rPr>
      <w:fldChar w:fldCharType="begin"/>
    </w:r>
    <w:r w:rsidRPr="00967B57">
      <w:rPr>
        <w:b/>
        <w:sz w:val="18"/>
      </w:rPr>
      <w:instrText xml:space="preserve"> PAGE  \* MERGEFORMAT </w:instrText>
    </w:r>
    <w:r w:rsidRPr="00967B57">
      <w:rPr>
        <w:b/>
        <w:sz w:val="18"/>
      </w:rPr>
      <w:fldChar w:fldCharType="separate"/>
    </w:r>
    <w:r w:rsidRPr="00967B57">
      <w:rPr>
        <w:b/>
        <w:noProof/>
        <w:sz w:val="18"/>
      </w:rPr>
      <w:t>2</w:t>
    </w:r>
    <w:r w:rsidRPr="00967B57">
      <w:rPr>
        <w:b/>
        <w:sz w:val="18"/>
      </w:rPr>
      <w:fldChar w:fldCharType="end"/>
    </w:r>
    <w:r>
      <w:rPr>
        <w:b/>
        <w:sz w:val="18"/>
      </w:rPr>
      <w:tab/>
    </w:r>
    <w:r>
      <w:t>GE.21-09225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58D42" w14:textId="77777777" w:rsidR="00967B57" w:rsidRPr="00967B57" w:rsidRDefault="00967B57" w:rsidP="00967B57">
    <w:pPr>
      <w:pStyle w:val="Pieddepage"/>
      <w:tabs>
        <w:tab w:val="right" w:pos="9638"/>
      </w:tabs>
      <w:rPr>
        <w:b/>
        <w:sz w:val="18"/>
      </w:rPr>
    </w:pPr>
    <w:r>
      <w:t>GE.21-09225</w:t>
    </w:r>
    <w:r>
      <w:tab/>
    </w:r>
    <w:r w:rsidRPr="00967B57">
      <w:rPr>
        <w:b/>
        <w:sz w:val="18"/>
      </w:rPr>
      <w:fldChar w:fldCharType="begin"/>
    </w:r>
    <w:r w:rsidRPr="00967B57">
      <w:rPr>
        <w:b/>
        <w:sz w:val="18"/>
      </w:rPr>
      <w:instrText xml:space="preserve"> PAGE  \* MERGEFORMAT </w:instrText>
    </w:r>
    <w:r w:rsidRPr="00967B57">
      <w:rPr>
        <w:b/>
        <w:sz w:val="18"/>
      </w:rPr>
      <w:fldChar w:fldCharType="separate"/>
    </w:r>
    <w:r w:rsidRPr="00967B57">
      <w:rPr>
        <w:b/>
        <w:noProof/>
        <w:sz w:val="18"/>
      </w:rPr>
      <w:t>3</w:t>
    </w:r>
    <w:r w:rsidRPr="00967B5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1D277" w14:textId="77777777" w:rsidR="002D14A3" w:rsidRPr="00967B57" w:rsidRDefault="00967B57" w:rsidP="00967B57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D8C805B" wp14:editId="722512E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21-09225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D5DC4BA" wp14:editId="7150F38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200821    230821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9D6440" w14:textId="77777777" w:rsidR="00052F66" w:rsidRPr="00AC3823" w:rsidRDefault="00052F6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59558B" w14:textId="77777777" w:rsidR="00052F66" w:rsidRPr="00AC3823" w:rsidRDefault="00052F66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475CC3D" w14:textId="77777777" w:rsidR="00052F66" w:rsidRPr="00AC3823" w:rsidRDefault="00052F66">
      <w:pPr>
        <w:spacing w:line="240" w:lineRule="auto"/>
        <w:rPr>
          <w:sz w:val="2"/>
          <w:szCs w:val="2"/>
        </w:rPr>
      </w:pPr>
    </w:p>
  </w:footnote>
  <w:footnote w:id="2">
    <w:p w14:paraId="499C5C36" w14:textId="77777777" w:rsidR="009C34C6" w:rsidRPr="009C34C6" w:rsidRDefault="009C34C6">
      <w:pPr>
        <w:pStyle w:val="Notedebasdepage"/>
      </w:pPr>
      <w:r>
        <w:rPr>
          <w:rStyle w:val="Appelnotedebasdep"/>
        </w:rPr>
        <w:tab/>
      </w:r>
      <w:r w:rsidRPr="009C34C6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>Adoptée par le Comité à sa quatre-vingt-septième session (17 mai-4 juin 2021).</w:t>
      </w:r>
    </w:p>
  </w:footnote>
  <w:footnote w:id="3">
    <w:p w14:paraId="0E8A645A" w14:textId="77777777" w:rsidR="009C34C6" w:rsidRPr="009C34C6" w:rsidRDefault="009C34C6">
      <w:pPr>
        <w:pStyle w:val="Notedebasdepage"/>
      </w:pPr>
      <w:r>
        <w:rPr>
          <w:rStyle w:val="Appelnotedebasdep"/>
        </w:rPr>
        <w:tab/>
      </w:r>
      <w:r w:rsidRPr="009C34C6">
        <w:rPr>
          <w:rStyle w:val="Appelnotedebasdep"/>
          <w:sz w:val="20"/>
          <w:vertAlign w:val="baseline"/>
        </w:rPr>
        <w:t>**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>Les membres du Comité dont le nom suit ont participé à l’examen de la communication</w:t>
      </w:r>
      <w:r>
        <w:rPr>
          <w:lang w:val="fr-FR"/>
        </w:rPr>
        <w:t> </w:t>
      </w:r>
      <w:r>
        <w:rPr>
          <w:lang w:val="fr-FR"/>
        </w:rPr>
        <w:t>: Suzanne Aho Assouma, Hynd Ayoubi Idrissi, Rinchen Chophel, Bragi Gudbrandsson, Philip Jaffé, Sopio Kiladze, Gehad Madi, Faith Marshall-Harris, Benyam Dawit Mezmur, Otani Mikiko, Luis Ernesto Pedernera Reyna, Zara Ratou, Aïssatou Alassane Sidikou, Ann Marie Skelton, Velina Todorova et Benoit Van Keirsbilck.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9BC10" w14:textId="395D9BEB" w:rsidR="00967B57" w:rsidRPr="00967B57" w:rsidRDefault="00967B57">
    <w:pPr>
      <w:pStyle w:val="En-tte"/>
    </w:pPr>
    <w:fldSimple w:instr=" TITLE  \* MERGEFORMAT ">
      <w:r w:rsidR="00E178E0">
        <w:t>CRC/C/87/D/88/2019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43C53" w14:textId="6AA83626" w:rsidR="00967B57" w:rsidRPr="00967B57" w:rsidRDefault="00967B57" w:rsidP="00967B57">
    <w:pPr>
      <w:pStyle w:val="En-tte"/>
      <w:jc w:val="right"/>
    </w:pPr>
    <w:fldSimple w:instr=" TITLE  \* MERGEFORMAT ">
      <w:r w:rsidR="00E178E0">
        <w:t>CRC/C/87/D/88/2019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F66"/>
    <w:rsid w:val="00017F94"/>
    <w:rsid w:val="00023842"/>
    <w:rsid w:val="000334F9"/>
    <w:rsid w:val="000354E9"/>
    <w:rsid w:val="00052F66"/>
    <w:rsid w:val="0007796D"/>
    <w:rsid w:val="000B7790"/>
    <w:rsid w:val="00111F2F"/>
    <w:rsid w:val="0014365E"/>
    <w:rsid w:val="00176178"/>
    <w:rsid w:val="001F525A"/>
    <w:rsid w:val="00223272"/>
    <w:rsid w:val="0024779E"/>
    <w:rsid w:val="00260A30"/>
    <w:rsid w:val="002D14A3"/>
    <w:rsid w:val="00311E81"/>
    <w:rsid w:val="00340ED0"/>
    <w:rsid w:val="00411C8E"/>
    <w:rsid w:val="00446FE5"/>
    <w:rsid w:val="00452396"/>
    <w:rsid w:val="00485B35"/>
    <w:rsid w:val="004D7A2C"/>
    <w:rsid w:val="005505B7"/>
    <w:rsid w:val="00573BE5"/>
    <w:rsid w:val="00586ED3"/>
    <w:rsid w:val="00596AA9"/>
    <w:rsid w:val="0071601D"/>
    <w:rsid w:val="007341B7"/>
    <w:rsid w:val="00760CBC"/>
    <w:rsid w:val="007A62E6"/>
    <w:rsid w:val="007F61AD"/>
    <w:rsid w:val="0080684C"/>
    <w:rsid w:val="008307B3"/>
    <w:rsid w:val="00840413"/>
    <w:rsid w:val="00871C75"/>
    <w:rsid w:val="008776DC"/>
    <w:rsid w:val="008C54BD"/>
    <w:rsid w:val="008F3CA0"/>
    <w:rsid w:val="00967B57"/>
    <w:rsid w:val="009705C8"/>
    <w:rsid w:val="009C34C6"/>
    <w:rsid w:val="00A30353"/>
    <w:rsid w:val="00AC3823"/>
    <w:rsid w:val="00AE323C"/>
    <w:rsid w:val="00B00181"/>
    <w:rsid w:val="00B24A9B"/>
    <w:rsid w:val="00B765F7"/>
    <w:rsid w:val="00BA0CA9"/>
    <w:rsid w:val="00C02897"/>
    <w:rsid w:val="00D3439C"/>
    <w:rsid w:val="00DB1831"/>
    <w:rsid w:val="00DD3BFD"/>
    <w:rsid w:val="00DF6678"/>
    <w:rsid w:val="00E178E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38073A9"/>
  <w15:docId w15:val="{630BDE9B-9B28-4E8E-A14B-2A95377D7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311E8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,Footnote number,ftref,Footnotes refss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9C34C6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2</Pages>
  <Words>512</Words>
  <Characters>2919</Characters>
  <Application>Microsoft Office Word</Application>
  <DocSecurity>0</DocSecurity>
  <Lines>324</Lines>
  <Paragraphs>137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>CRC/C/87/D/88/2019</vt:lpstr>
      <vt:lpstr>    Décision adoptée par le Comité au titre du Protocole facultatif à la Conventio</vt:lpstr>
    </vt:vector>
  </TitlesOfParts>
  <Company>DCM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CRC/C/87/D/88/2019</dc:title>
  <dc:subject/>
  <dc:creator>Valerie BERTIN</dc:creator>
  <cp:keywords/>
  <cp:lastModifiedBy>Valerie Bertin</cp:lastModifiedBy>
  <cp:revision>3</cp:revision>
  <cp:lastPrinted>2021-08-23T05:34:00Z</cp:lastPrinted>
  <dcterms:created xsi:type="dcterms:W3CDTF">2021-08-23T05:34:00Z</dcterms:created>
  <dcterms:modified xsi:type="dcterms:W3CDTF">2021-08-23T05:35:00Z</dcterms:modified>
</cp:coreProperties>
</file>