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rFonts w:hint="eastAsia"/>
        </w:rPr>
      </w:pPr>
      <w:r>
        <w:rPr>
          <w:rFonts w:hint="eastAsia"/>
        </w:rPr>
        <w:t>经济、社会、文化权利委员会</w:t>
      </w:r>
    </w:p>
    <w:p w:rsidR="00000000" w:rsidRDefault="00000000">
      <w:pPr>
        <w:rPr>
          <w:rFonts w:hint="eastAsia"/>
        </w:rPr>
      </w:pPr>
      <w:r>
        <w:rPr>
          <w:rFonts w:hint="eastAsia"/>
        </w:rPr>
        <w:t>第二十六届</w:t>
      </w:r>
      <w:r>
        <w:rPr>
          <w:rFonts w:hint="eastAsia"/>
        </w:rPr>
        <w:t>(</w:t>
      </w:r>
      <w:r>
        <w:rPr>
          <w:rFonts w:hint="eastAsia"/>
        </w:rPr>
        <w:t>特别</w:t>
      </w:r>
      <w:r>
        <w:rPr>
          <w:rFonts w:hint="eastAsia"/>
        </w:rPr>
        <w:t>)</w:t>
      </w:r>
      <w:r>
        <w:rPr>
          <w:rFonts w:hint="eastAsia"/>
        </w:rPr>
        <w:t>会议</w:t>
      </w:r>
    </w:p>
    <w:p w:rsidR="00000000" w:rsidRDefault="00000000">
      <w:pPr>
        <w:spacing w:after="320"/>
        <w:rPr>
          <w:rFonts w:hint="eastAsia"/>
        </w:rPr>
      </w:pPr>
      <w:r>
        <w:rPr>
          <w:rFonts w:hint="eastAsia"/>
        </w:rPr>
        <w:t>2001</w:t>
      </w:r>
      <w:r>
        <w:rPr>
          <w:rFonts w:hint="eastAsia"/>
        </w:rPr>
        <w:t>年</w:t>
      </w:r>
      <w:r>
        <w:rPr>
          <w:rFonts w:hint="eastAsia"/>
        </w:rPr>
        <w:t>8</w:t>
      </w:r>
      <w:r>
        <w:rPr>
          <w:rFonts w:hint="eastAsia"/>
        </w:rPr>
        <w:t>月</w:t>
      </w:r>
      <w:r>
        <w:rPr>
          <w:rFonts w:hint="eastAsia"/>
        </w:rPr>
        <w:t>13</w:t>
      </w:r>
      <w:r>
        <w:rPr>
          <w:rFonts w:hint="eastAsia"/>
        </w:rPr>
        <w:t>日至</w:t>
      </w:r>
      <w:r>
        <w:rPr>
          <w:rFonts w:hint="eastAsia"/>
        </w:rPr>
        <w:t>31</w:t>
      </w:r>
      <w:r>
        <w:rPr>
          <w:rFonts w:hint="eastAsia"/>
        </w:rPr>
        <w:t>日</w:t>
      </w:r>
    </w:p>
    <w:p w:rsidR="00000000" w:rsidRDefault="00000000">
      <w:pPr>
        <w:pStyle w:val="Heading2"/>
        <w:rPr>
          <w:rFonts w:hint="eastAsia"/>
        </w:rPr>
      </w:pPr>
      <w:r>
        <w:rPr>
          <w:rFonts w:hint="eastAsia"/>
        </w:rPr>
        <w:t>审议缔约国根据《公约》第十六和</w:t>
      </w:r>
      <w:r>
        <w:br/>
      </w:r>
      <w:r>
        <w:rPr>
          <w:rFonts w:hint="eastAsia"/>
        </w:rPr>
        <w:t>第十七条提交的报告</w:t>
      </w:r>
    </w:p>
    <w:p w:rsidR="00000000" w:rsidRDefault="00000000">
      <w:pPr>
        <w:pStyle w:val="Heading3"/>
        <w:rPr>
          <w:rFonts w:hint="eastAsia"/>
        </w:rPr>
      </w:pPr>
      <w:r>
        <w:rPr>
          <w:rFonts w:hint="eastAsia"/>
        </w:rPr>
        <w:t>经济、社会、文化权利委员会的结论性意见</w:t>
      </w:r>
    </w:p>
    <w:p w:rsidR="00000000" w:rsidRDefault="00000000">
      <w:pPr>
        <w:pStyle w:val="Heading3"/>
        <w:rPr>
          <w:rFonts w:hint="eastAsia"/>
        </w:rPr>
      </w:pPr>
      <w:r>
        <w:rPr>
          <w:rFonts w:hint="eastAsia"/>
        </w:rPr>
        <w:t>以色列</w:t>
      </w:r>
    </w:p>
    <w:p w:rsidR="00000000" w:rsidRDefault="00000000">
      <w:pPr>
        <w:rPr>
          <w:rFonts w:hint="eastAsia"/>
        </w:rPr>
      </w:pPr>
      <w:r>
        <w:rPr>
          <w:rFonts w:hint="eastAsia"/>
        </w:rPr>
        <w:tab/>
        <w:t xml:space="preserve">1.  </w:t>
      </w:r>
      <w:r>
        <w:rPr>
          <w:rFonts w:hint="eastAsia"/>
        </w:rPr>
        <w:t>委员会在</w:t>
      </w:r>
      <w:r>
        <w:rPr>
          <w:rFonts w:hint="eastAsia"/>
        </w:rPr>
        <w:t>2001</w:t>
      </w:r>
      <w:r>
        <w:rPr>
          <w:rFonts w:hint="eastAsia"/>
        </w:rPr>
        <w:t>年</w:t>
      </w:r>
      <w:r>
        <w:rPr>
          <w:rFonts w:hint="eastAsia"/>
        </w:rPr>
        <w:t>8</w:t>
      </w:r>
      <w:r>
        <w:rPr>
          <w:rFonts w:hint="eastAsia"/>
        </w:rPr>
        <w:t>月</w:t>
      </w:r>
      <w:r>
        <w:rPr>
          <w:rFonts w:hint="eastAsia"/>
        </w:rPr>
        <w:t>17</w:t>
      </w:r>
      <w:r>
        <w:rPr>
          <w:rFonts w:hint="eastAsia"/>
        </w:rPr>
        <w:t>日举行的第</w:t>
      </w:r>
      <w:r>
        <w:rPr>
          <w:rFonts w:hint="eastAsia"/>
        </w:rPr>
        <w:t>39</w:t>
      </w:r>
      <w:r>
        <w:rPr>
          <w:rFonts w:hint="eastAsia"/>
        </w:rPr>
        <w:t>次会议上审议了以色列响应委员会</w:t>
      </w:r>
      <w:r>
        <w:rPr>
          <w:rFonts w:hint="eastAsia"/>
        </w:rPr>
        <w:t>1998</w:t>
      </w:r>
      <w:r>
        <w:rPr>
          <w:rFonts w:hint="eastAsia"/>
        </w:rPr>
        <w:t>年第</w:t>
      </w:r>
      <w:r>
        <w:rPr>
          <w:rFonts w:hint="eastAsia"/>
        </w:rPr>
        <w:t>19</w:t>
      </w:r>
      <w:r>
        <w:rPr>
          <w:rFonts w:hint="eastAsia"/>
        </w:rPr>
        <w:t>次会议关于该缔约国就执行《公约》所提初步报告</w:t>
      </w:r>
      <w:r>
        <w:rPr>
          <w:rFonts w:hint="eastAsia"/>
        </w:rPr>
        <w:t>(E/1990/5/A</w:t>
      </w:r>
      <w:r>
        <w:t>dd.39)</w:t>
      </w:r>
      <w:r>
        <w:rPr>
          <w:rFonts w:hint="eastAsia"/>
        </w:rPr>
        <w:t>通过的结论性意见</w:t>
      </w:r>
      <w:r>
        <w:rPr>
          <w:rFonts w:hint="eastAsia"/>
        </w:rPr>
        <w:t>(E/C.12/1/A</w:t>
      </w:r>
      <w:r>
        <w:t xml:space="preserve">dd.27, </w:t>
      </w:r>
      <w:r>
        <w:rPr>
          <w:rFonts w:hint="eastAsia"/>
        </w:rPr>
        <w:t>第</w:t>
      </w:r>
      <w:r>
        <w:rPr>
          <w:rFonts w:hint="eastAsia"/>
        </w:rPr>
        <w:t>32</w:t>
      </w:r>
      <w:r>
        <w:rPr>
          <w:rFonts w:hint="eastAsia"/>
        </w:rPr>
        <w:t>段</w:t>
      </w:r>
      <w:r>
        <w:rPr>
          <w:rFonts w:hint="eastAsia"/>
        </w:rPr>
        <w:t>)</w:t>
      </w:r>
      <w:r>
        <w:rPr>
          <w:rFonts w:hint="eastAsia"/>
        </w:rPr>
        <w:t>提交补充资料</w:t>
      </w:r>
      <w:r>
        <w:rPr>
          <w:rFonts w:hint="eastAsia"/>
        </w:rPr>
        <w:t>(E/1989/5/A</w:t>
      </w:r>
      <w:r>
        <w:t>dd.14)</w:t>
      </w:r>
      <w:r>
        <w:rPr>
          <w:rFonts w:hint="eastAsia"/>
        </w:rPr>
        <w:t>，并在其</w:t>
      </w:r>
      <w:r>
        <w:rPr>
          <w:rFonts w:hint="eastAsia"/>
        </w:rPr>
        <w:t>2001</w:t>
      </w:r>
      <w:r>
        <w:rPr>
          <w:rFonts w:hint="eastAsia"/>
        </w:rPr>
        <w:t>年</w:t>
      </w:r>
      <w:r>
        <w:rPr>
          <w:rFonts w:hint="eastAsia"/>
        </w:rPr>
        <w:t>8</w:t>
      </w:r>
      <w:r>
        <w:rPr>
          <w:rFonts w:hint="eastAsia"/>
        </w:rPr>
        <w:t>月</w:t>
      </w:r>
      <w:r>
        <w:rPr>
          <w:rFonts w:hint="eastAsia"/>
        </w:rPr>
        <w:t>23</w:t>
      </w:r>
      <w:r>
        <w:rPr>
          <w:rFonts w:hint="eastAsia"/>
        </w:rPr>
        <w:t>日举行的第</w:t>
      </w:r>
      <w:r>
        <w:rPr>
          <w:rFonts w:hint="eastAsia"/>
        </w:rPr>
        <w:t>47</w:t>
      </w:r>
      <w:r>
        <w:rPr>
          <w:rFonts w:hint="eastAsia"/>
        </w:rPr>
        <w:t>次会议上通过了下列结论性意见。</w:t>
      </w:r>
    </w:p>
    <w:p w:rsidR="00000000" w:rsidRDefault="00000000">
      <w:pPr>
        <w:rPr>
          <w:rFonts w:hint="eastAsia"/>
        </w:rPr>
      </w:pPr>
      <w:r>
        <w:rPr>
          <w:rFonts w:hint="eastAsia"/>
        </w:rPr>
        <w:tab/>
        <w:t xml:space="preserve">2.  </w:t>
      </w:r>
      <w:r>
        <w:rPr>
          <w:rFonts w:hint="eastAsia"/>
        </w:rPr>
        <w:t>委员会在其关于以色列初步报告结论性意见第</w:t>
      </w:r>
      <w:r>
        <w:rPr>
          <w:rFonts w:hint="eastAsia"/>
        </w:rPr>
        <w:t>32</w:t>
      </w:r>
      <w:r>
        <w:rPr>
          <w:rFonts w:hint="eastAsia"/>
        </w:rPr>
        <w:t>段，要求该缔约国“就在被占领领土实现经济、社会和文化权利提供补充资料，以便完成初步报告，从而保证完全履行其报告义务”。委员会要求在</w:t>
      </w:r>
      <w:r>
        <w:rPr>
          <w:rFonts w:hint="eastAsia"/>
        </w:rPr>
        <w:t>2000</w:t>
      </w:r>
      <w:r>
        <w:rPr>
          <w:rFonts w:hint="eastAsia"/>
        </w:rPr>
        <w:t>年</w:t>
      </w:r>
      <w:r>
        <w:rPr>
          <w:rFonts w:hint="eastAsia"/>
        </w:rPr>
        <w:t>11</w:t>
      </w:r>
      <w:r>
        <w:rPr>
          <w:rFonts w:hint="eastAsia"/>
        </w:rPr>
        <w:t>月</w:t>
      </w:r>
      <w:r>
        <w:rPr>
          <w:rFonts w:hint="eastAsia"/>
        </w:rPr>
        <w:t>12</w:t>
      </w:r>
      <w:r>
        <w:rPr>
          <w:rFonts w:hint="eastAsia"/>
        </w:rPr>
        <w:t>日第二十四届会议及时提交补充资料。</w:t>
      </w:r>
    </w:p>
    <w:p w:rsidR="00000000" w:rsidRDefault="00000000">
      <w:pPr>
        <w:rPr>
          <w:rFonts w:hint="eastAsia"/>
        </w:rPr>
      </w:pPr>
      <w:r>
        <w:rPr>
          <w:rFonts w:hint="eastAsia"/>
        </w:rPr>
        <w:tab/>
        <w:t xml:space="preserve">3.  </w:t>
      </w:r>
      <w:r>
        <w:rPr>
          <w:rFonts w:hint="eastAsia"/>
        </w:rPr>
        <w:t>以色列常驻联合国日内瓦办事处代表团在</w:t>
      </w:r>
      <w:r>
        <w:rPr>
          <w:rFonts w:hint="eastAsia"/>
        </w:rPr>
        <w:t>2000</w:t>
      </w:r>
      <w:r>
        <w:rPr>
          <w:rFonts w:hint="eastAsia"/>
        </w:rPr>
        <w:t>年</w:t>
      </w:r>
      <w:r>
        <w:rPr>
          <w:rFonts w:hint="eastAsia"/>
        </w:rPr>
        <w:t>11</w:t>
      </w:r>
      <w:r>
        <w:rPr>
          <w:rFonts w:hint="eastAsia"/>
        </w:rPr>
        <w:t>月</w:t>
      </w:r>
      <w:r>
        <w:rPr>
          <w:rFonts w:hint="eastAsia"/>
        </w:rPr>
        <w:t>3</w:t>
      </w:r>
      <w:r>
        <w:rPr>
          <w:rFonts w:hint="eastAsia"/>
        </w:rPr>
        <w:t>日普通照会通知委员会，补充资料将载于该缔约国第二次定期报告，该缔约国计划不迟于</w:t>
      </w:r>
      <w:r>
        <w:rPr>
          <w:rFonts w:hint="eastAsia"/>
        </w:rPr>
        <w:t>2001</w:t>
      </w:r>
      <w:r>
        <w:rPr>
          <w:rFonts w:hint="eastAsia"/>
        </w:rPr>
        <w:t>年</w:t>
      </w:r>
      <w:r>
        <w:rPr>
          <w:rFonts w:hint="eastAsia"/>
        </w:rPr>
        <w:t>3</w:t>
      </w:r>
      <w:r>
        <w:rPr>
          <w:rFonts w:hint="eastAsia"/>
        </w:rPr>
        <w:t>月，将提交定期报告。</w:t>
      </w:r>
    </w:p>
    <w:p w:rsidR="00000000" w:rsidRDefault="00000000">
      <w:pPr>
        <w:rPr>
          <w:rFonts w:hint="eastAsia"/>
        </w:rPr>
      </w:pPr>
      <w:r>
        <w:rPr>
          <w:rFonts w:hint="eastAsia"/>
        </w:rPr>
        <w:tab/>
        <w:t xml:space="preserve">4.  </w:t>
      </w:r>
      <w:r>
        <w:rPr>
          <w:rFonts w:hint="eastAsia"/>
        </w:rPr>
        <w:t>在</w:t>
      </w:r>
      <w:r>
        <w:rPr>
          <w:rFonts w:hint="eastAsia"/>
        </w:rPr>
        <w:t>2000</w:t>
      </w:r>
      <w:r>
        <w:rPr>
          <w:rFonts w:hint="eastAsia"/>
        </w:rPr>
        <w:t>年</w:t>
      </w:r>
      <w:r>
        <w:rPr>
          <w:rFonts w:hint="eastAsia"/>
        </w:rPr>
        <w:t>12</w:t>
      </w:r>
      <w:r>
        <w:rPr>
          <w:rFonts w:hint="eastAsia"/>
        </w:rPr>
        <w:t>月</w:t>
      </w:r>
      <w:r>
        <w:rPr>
          <w:rFonts w:hint="eastAsia"/>
        </w:rPr>
        <w:t>1</w:t>
      </w:r>
      <w:r>
        <w:rPr>
          <w:rFonts w:hint="eastAsia"/>
        </w:rPr>
        <w:t>日致以色列常驻代表的信</w:t>
      </w:r>
      <w:r>
        <w:rPr>
          <w:rFonts w:hint="eastAsia"/>
        </w:rPr>
        <w:t xml:space="preserve">(E/2001/22 </w:t>
      </w:r>
      <w:r>
        <w:t>–</w:t>
      </w:r>
      <w:r>
        <w:rPr>
          <w:rFonts w:hint="eastAsia"/>
        </w:rPr>
        <w:t xml:space="preserve"> E/C.12/2000/21)</w:t>
      </w:r>
      <w:r>
        <w:rPr>
          <w:rFonts w:hint="eastAsia"/>
          <w:spacing w:val="0"/>
        </w:rPr>
        <w:t>中，委员会主席提醒该缔约国，委员会曾要求该国向第二十四届会议及时提交补充资料，并强调所要求的关于被占领领土的补充资料，其中若干是“为了补足该缔约国的初</w:t>
      </w:r>
      <w:r>
        <w:rPr>
          <w:rFonts w:hint="eastAsia"/>
          <w:spacing w:val="20"/>
        </w:rPr>
        <w:t>步报告并确保完全履行其报告义务”。由于补充资料形成该缔约国初步报告的一部</w:t>
      </w:r>
      <w:r>
        <w:rPr>
          <w:rFonts w:hint="eastAsia"/>
        </w:rPr>
        <w:t>分，它应当不与该缔约国第二次定期报告同时提交，而且要分别审议。</w:t>
      </w:r>
    </w:p>
    <w:p w:rsidR="00000000" w:rsidRDefault="00000000">
      <w:pPr>
        <w:rPr>
          <w:rFonts w:hint="eastAsia"/>
        </w:rPr>
      </w:pPr>
      <w:r>
        <w:rPr>
          <w:rFonts w:hint="eastAsia"/>
        </w:rPr>
        <w:tab/>
        <w:t xml:space="preserve">5.  </w:t>
      </w:r>
      <w:r>
        <w:rPr>
          <w:rFonts w:hint="eastAsia"/>
        </w:rPr>
        <w:t>主席促请该缔约国在</w:t>
      </w:r>
      <w:r>
        <w:rPr>
          <w:rFonts w:hint="eastAsia"/>
        </w:rPr>
        <w:t>2001</w:t>
      </w:r>
      <w:r>
        <w:rPr>
          <w:rFonts w:hint="eastAsia"/>
        </w:rPr>
        <w:t>年</w:t>
      </w:r>
      <w:r>
        <w:rPr>
          <w:rFonts w:hint="eastAsia"/>
        </w:rPr>
        <w:t>3</w:t>
      </w:r>
      <w:r>
        <w:rPr>
          <w:rFonts w:hint="eastAsia"/>
        </w:rPr>
        <w:t>月</w:t>
      </w:r>
      <w:r>
        <w:rPr>
          <w:rFonts w:hint="eastAsia"/>
        </w:rPr>
        <w:t>1</w:t>
      </w:r>
      <w:r>
        <w:rPr>
          <w:rFonts w:hint="eastAsia"/>
        </w:rPr>
        <w:t>日以前就实现被占领领土上经济、社会、文化权利提交更新资料，特别注意结论性意见已经确认的问题以及</w:t>
      </w:r>
      <w:r>
        <w:rPr>
          <w:rFonts w:hint="eastAsia"/>
        </w:rPr>
        <w:t>2000</w:t>
      </w:r>
      <w:r>
        <w:rPr>
          <w:rFonts w:hint="eastAsia"/>
        </w:rPr>
        <w:t>年</w:t>
      </w:r>
      <w:r>
        <w:rPr>
          <w:rFonts w:hint="eastAsia"/>
        </w:rPr>
        <w:t>12</w:t>
      </w:r>
      <w:r>
        <w:rPr>
          <w:rFonts w:hint="eastAsia"/>
        </w:rPr>
        <w:t>月</w:t>
      </w:r>
      <w:r>
        <w:rPr>
          <w:rFonts w:hint="eastAsia"/>
        </w:rPr>
        <w:t>1</w:t>
      </w:r>
      <w:r>
        <w:rPr>
          <w:rFonts w:hint="eastAsia"/>
        </w:rPr>
        <w:t>日致该缔约国信件提到的问题。委员会订于</w:t>
      </w:r>
      <w:r>
        <w:rPr>
          <w:rFonts w:hint="eastAsia"/>
        </w:rPr>
        <w:t>2001</w:t>
      </w:r>
      <w:r>
        <w:rPr>
          <w:rFonts w:hint="eastAsia"/>
        </w:rPr>
        <w:t>年</w:t>
      </w:r>
      <w:r>
        <w:rPr>
          <w:rFonts w:hint="eastAsia"/>
        </w:rPr>
        <w:t>5</w:t>
      </w:r>
      <w:r>
        <w:rPr>
          <w:rFonts w:hint="eastAsia"/>
        </w:rPr>
        <w:t>月</w:t>
      </w:r>
      <w:r>
        <w:rPr>
          <w:rFonts w:hint="eastAsia"/>
        </w:rPr>
        <w:t>4</w:t>
      </w:r>
      <w:r>
        <w:rPr>
          <w:rFonts w:hint="eastAsia"/>
        </w:rPr>
        <w:t>日下午审议这一补充资料，请该缔约国参加讨论。</w:t>
      </w:r>
    </w:p>
    <w:p w:rsidR="00000000" w:rsidRDefault="00000000">
      <w:pPr>
        <w:rPr>
          <w:rFonts w:hint="eastAsia"/>
        </w:rPr>
      </w:pPr>
      <w:r>
        <w:rPr>
          <w:rFonts w:hint="eastAsia"/>
        </w:rPr>
        <w:tab/>
        <w:t>6.  2001</w:t>
      </w:r>
      <w:r>
        <w:rPr>
          <w:rFonts w:hint="eastAsia"/>
        </w:rPr>
        <w:t>年</w:t>
      </w:r>
      <w:r>
        <w:rPr>
          <w:rFonts w:hint="eastAsia"/>
        </w:rPr>
        <w:t>4</w:t>
      </w:r>
      <w:r>
        <w:rPr>
          <w:rFonts w:hint="eastAsia"/>
        </w:rPr>
        <w:t>月</w:t>
      </w:r>
      <w:r>
        <w:rPr>
          <w:rFonts w:hint="eastAsia"/>
        </w:rPr>
        <w:t>20</w:t>
      </w:r>
      <w:r>
        <w:rPr>
          <w:rFonts w:hint="eastAsia"/>
        </w:rPr>
        <w:t>日收到补充资料，太迟不能译成议事规则第</w:t>
      </w:r>
      <w:r>
        <w:rPr>
          <w:rFonts w:hint="eastAsia"/>
        </w:rPr>
        <w:t>24</w:t>
      </w:r>
      <w:r>
        <w:rPr>
          <w:rFonts w:hint="eastAsia"/>
        </w:rPr>
        <w:t>条所规定的工作语文以提交第二十四届委员会。结果</w:t>
      </w:r>
      <w:r>
        <w:rPr>
          <w:rFonts w:hint="eastAsia"/>
        </w:rPr>
        <w:t>,</w:t>
      </w:r>
      <w:r>
        <w:rPr>
          <w:rFonts w:hint="eastAsia"/>
        </w:rPr>
        <w:t>补充资料的审议不得不推延到委员会</w:t>
      </w:r>
      <w:r>
        <w:rPr>
          <w:rFonts w:hint="eastAsia"/>
        </w:rPr>
        <w:t>2001</w:t>
      </w:r>
      <w:r>
        <w:rPr>
          <w:rFonts w:hint="eastAsia"/>
        </w:rPr>
        <w:t>年</w:t>
      </w:r>
      <w:r>
        <w:rPr>
          <w:rFonts w:hint="eastAsia"/>
        </w:rPr>
        <w:t>8</w:t>
      </w:r>
      <w:r>
        <w:rPr>
          <w:rFonts w:hint="eastAsia"/>
        </w:rPr>
        <w:t>月特别会议。</w:t>
      </w:r>
      <w:r>
        <w:rPr>
          <w:rFonts w:hint="eastAsia"/>
        </w:rPr>
        <w:t>2001</w:t>
      </w:r>
      <w:r>
        <w:rPr>
          <w:rFonts w:hint="eastAsia"/>
        </w:rPr>
        <w:t>年</w:t>
      </w:r>
      <w:r>
        <w:rPr>
          <w:rFonts w:hint="eastAsia"/>
        </w:rPr>
        <w:t>5</w:t>
      </w:r>
      <w:r>
        <w:rPr>
          <w:rFonts w:hint="eastAsia"/>
        </w:rPr>
        <w:t>月</w:t>
      </w:r>
      <w:r>
        <w:rPr>
          <w:rFonts w:hint="eastAsia"/>
        </w:rPr>
        <w:t>11</w:t>
      </w:r>
      <w:r>
        <w:rPr>
          <w:rFonts w:hint="eastAsia"/>
        </w:rPr>
        <w:t>日的信将此延期事通知该缔约国。</w:t>
      </w:r>
    </w:p>
    <w:p w:rsidR="00000000" w:rsidRDefault="00000000">
      <w:pPr>
        <w:rPr>
          <w:rFonts w:hint="eastAsia"/>
        </w:rPr>
      </w:pPr>
      <w:r>
        <w:rPr>
          <w:rFonts w:hint="eastAsia"/>
        </w:rPr>
        <w:tab/>
        <w:t xml:space="preserve">7.  </w:t>
      </w:r>
      <w:r>
        <w:rPr>
          <w:rFonts w:hint="eastAsia"/>
        </w:rPr>
        <w:t>委员会第二十五届会议引用议事规则第</w:t>
      </w:r>
      <w:r>
        <w:rPr>
          <w:rFonts w:hint="eastAsia"/>
        </w:rPr>
        <w:t>64</w:t>
      </w:r>
      <w:r>
        <w:rPr>
          <w:rFonts w:hint="eastAsia"/>
        </w:rPr>
        <w:t>条，其中规定委员会根据它审议缔约国提交的报告和专门机构提交的报告，可提出一般性建议，以便协助经济及社会理事会按照《公约》第</w:t>
      </w:r>
      <w:r>
        <w:rPr>
          <w:rFonts w:hint="eastAsia"/>
        </w:rPr>
        <w:t>21</w:t>
      </w:r>
      <w:r>
        <w:rPr>
          <w:rFonts w:hint="eastAsia"/>
        </w:rPr>
        <w:t>和</w:t>
      </w:r>
      <w:r>
        <w:rPr>
          <w:rFonts w:hint="eastAsia"/>
        </w:rPr>
        <w:t>22</w:t>
      </w:r>
      <w:r>
        <w:rPr>
          <w:rFonts w:hint="eastAsia"/>
        </w:rPr>
        <w:t>条采取行动。因此，主席于</w:t>
      </w:r>
      <w:r>
        <w:rPr>
          <w:rFonts w:hint="eastAsia"/>
        </w:rPr>
        <w:t>2001</w:t>
      </w:r>
      <w:r>
        <w:rPr>
          <w:rFonts w:hint="eastAsia"/>
        </w:rPr>
        <w:t>年</w:t>
      </w:r>
      <w:r>
        <w:rPr>
          <w:rFonts w:hint="eastAsia"/>
        </w:rPr>
        <w:t>5</w:t>
      </w:r>
      <w:r>
        <w:rPr>
          <w:rFonts w:hint="eastAsia"/>
        </w:rPr>
        <w:t>月</w:t>
      </w:r>
      <w:r>
        <w:rPr>
          <w:rFonts w:hint="eastAsia"/>
        </w:rPr>
        <w:t>11</w:t>
      </w:r>
      <w:r>
        <w:rPr>
          <w:rFonts w:hint="eastAsia"/>
        </w:rPr>
        <w:t>日向经社理事会主席发出一封信</w:t>
      </w:r>
      <w:r>
        <w:rPr>
          <w:rFonts w:hint="eastAsia"/>
        </w:rPr>
        <w:t>(E/2001/77)</w:t>
      </w:r>
      <w:r>
        <w:rPr>
          <w:rFonts w:hint="eastAsia"/>
        </w:rPr>
        <w:t>，附去同一天发给该缔约国信件的复本，其中引述委员会注意到的据称对《公约》的违犯。</w:t>
      </w:r>
    </w:p>
    <w:p w:rsidR="00000000" w:rsidRDefault="00000000">
      <w:pPr>
        <w:rPr>
          <w:rFonts w:hint="eastAsia"/>
        </w:rPr>
      </w:pPr>
      <w:r>
        <w:rPr>
          <w:rFonts w:hint="eastAsia"/>
        </w:rPr>
        <w:tab/>
        <w:t xml:space="preserve">8.  </w:t>
      </w:r>
      <w:r>
        <w:rPr>
          <w:rFonts w:hint="eastAsia"/>
        </w:rPr>
        <w:t>在</w:t>
      </w:r>
      <w:r>
        <w:rPr>
          <w:rFonts w:hint="eastAsia"/>
        </w:rPr>
        <w:t>2001</w:t>
      </w:r>
      <w:r>
        <w:rPr>
          <w:rFonts w:hint="eastAsia"/>
        </w:rPr>
        <w:t>年</w:t>
      </w:r>
      <w:r>
        <w:rPr>
          <w:rFonts w:hint="eastAsia"/>
        </w:rPr>
        <w:t>8</w:t>
      </w:r>
      <w:r>
        <w:rPr>
          <w:rFonts w:hint="eastAsia"/>
        </w:rPr>
        <w:t>月</w:t>
      </w:r>
      <w:r>
        <w:rPr>
          <w:rFonts w:hint="eastAsia"/>
        </w:rPr>
        <w:t>14</w:t>
      </w:r>
      <w:r>
        <w:rPr>
          <w:rFonts w:hint="eastAsia"/>
        </w:rPr>
        <w:t>日一份普通照会，以色列驻联合国日内瓦办事处常驻代表团通知委员会，由于准备订于南非德班举行的反种族主义、种族歧视、仇外心理及相关的不容忍现象会议事务的复杂，该缔约国代表团不能到日内瓦参加委员会的特别会议。该缔约国通知委员会，它已提交第二次定期报告，因而要求委员会在未来一届会议上把先前提交委员会的补充资料和第二次定期报告一道审议。</w:t>
      </w:r>
    </w:p>
    <w:p w:rsidR="00000000" w:rsidRDefault="00000000">
      <w:pPr>
        <w:rPr>
          <w:rFonts w:hint="eastAsia"/>
        </w:rPr>
      </w:pPr>
      <w:r>
        <w:rPr>
          <w:rFonts w:hint="eastAsia"/>
        </w:rPr>
        <w:tab/>
        <w:t xml:space="preserve">9.  </w:t>
      </w:r>
      <w:r>
        <w:rPr>
          <w:rFonts w:hint="eastAsia"/>
        </w:rPr>
        <w:t>在委员会</w:t>
      </w:r>
      <w:r>
        <w:rPr>
          <w:rFonts w:hint="eastAsia"/>
        </w:rPr>
        <w:t>2001</w:t>
      </w:r>
      <w:r>
        <w:rPr>
          <w:rFonts w:hint="eastAsia"/>
        </w:rPr>
        <w:t>年</w:t>
      </w:r>
      <w:r>
        <w:rPr>
          <w:rFonts w:hint="eastAsia"/>
        </w:rPr>
        <w:t>8</w:t>
      </w:r>
      <w:r>
        <w:rPr>
          <w:rFonts w:hint="eastAsia"/>
        </w:rPr>
        <w:t>月</w:t>
      </w:r>
      <w:r>
        <w:rPr>
          <w:rFonts w:hint="eastAsia"/>
        </w:rPr>
        <w:t>17</w:t>
      </w:r>
      <w:r>
        <w:rPr>
          <w:rFonts w:hint="eastAsia"/>
        </w:rPr>
        <w:t>日第</w:t>
      </w:r>
      <w:r>
        <w:rPr>
          <w:rFonts w:hint="eastAsia"/>
        </w:rPr>
        <w:t>39</w:t>
      </w:r>
      <w:r>
        <w:rPr>
          <w:rFonts w:hint="eastAsia"/>
        </w:rPr>
        <w:t>次会议上，以色列政府代表宣读了一份说明，但是不肯参加订于该次会议以补充资料的审议。因此，委员会决定根据其第二十五届会议所作决定，审议补充资料。</w:t>
      </w:r>
    </w:p>
    <w:p w:rsidR="00000000" w:rsidRDefault="00000000">
      <w:pPr>
        <w:rPr>
          <w:rFonts w:hint="eastAsia"/>
        </w:rPr>
      </w:pPr>
      <w:r>
        <w:rPr>
          <w:rFonts w:hint="eastAsia"/>
        </w:rPr>
        <w:tab/>
        <w:t xml:space="preserve">10.  </w:t>
      </w:r>
      <w:r>
        <w:rPr>
          <w:rFonts w:hint="eastAsia"/>
        </w:rPr>
        <w:t>委员会注意到，该缔约国提交的补充资料没有包括在被占领领土实现经</w:t>
      </w:r>
      <w:r>
        <w:rPr>
          <w:rFonts w:hint="eastAsia"/>
          <w:spacing w:val="0"/>
        </w:rPr>
        <w:t>济、社会、文化权利的资料，东耶路撒冷除外。在缺少其他被占领领土这类资料</w:t>
      </w:r>
      <w:r>
        <w:rPr>
          <w:rFonts w:hint="eastAsia"/>
        </w:rPr>
        <w:t>而且委员会第九届会议已开始实施议事规则关于未曾提交报告或报告已过期的情况下，委员会着手讨论被占领领土的情况，这就完成对该缔约国初步报告的审议。</w:t>
      </w:r>
    </w:p>
    <w:p w:rsidR="00000000" w:rsidRDefault="00000000">
      <w:pPr>
        <w:rPr>
          <w:rFonts w:hint="eastAsia"/>
        </w:rPr>
      </w:pPr>
      <w:r>
        <w:rPr>
          <w:rFonts w:hint="eastAsia"/>
        </w:rPr>
        <w:tab/>
        <w:t xml:space="preserve">11.  </w:t>
      </w:r>
      <w:r>
        <w:rPr>
          <w:rFonts w:hint="eastAsia"/>
        </w:rPr>
        <w:t>委员会感到惋惜的是，该缔约国拒绝就被占领领土提交报告和它的立场：《公约》不适用于“不属于它主权领土和管辖权的地区”。委员会对这个问题的看法已经鲜明地载于它先前的结论性意见</w:t>
      </w:r>
      <w:r>
        <w:rPr>
          <w:rFonts w:hint="eastAsia"/>
        </w:rPr>
        <w:t>(E/C.12/1/A</w:t>
      </w:r>
      <w:r>
        <w:t>dd.27</w:t>
      </w:r>
      <w:r>
        <w:rPr>
          <w:rFonts w:hint="eastAsia"/>
        </w:rPr>
        <w:t>)</w:t>
      </w:r>
      <w:r>
        <w:rPr>
          <w:rFonts w:hint="eastAsia"/>
        </w:rPr>
        <w:t>。委员会注意到该缔约国提交委员会补充资料第</w:t>
      </w:r>
      <w:r>
        <w:rPr>
          <w:rFonts w:hint="eastAsia"/>
        </w:rPr>
        <w:t>5</w:t>
      </w:r>
      <w:r>
        <w:rPr>
          <w:rFonts w:hint="eastAsia"/>
        </w:rPr>
        <w:t>段的声明：按照同巴勒斯坦人达成的协议，“以色列在西岸和加沙地带继续行使”权力和职责。</w:t>
      </w:r>
    </w:p>
    <w:p w:rsidR="00000000" w:rsidRDefault="00000000">
      <w:pPr>
        <w:rPr>
          <w:rFonts w:hint="eastAsia"/>
        </w:rPr>
      </w:pPr>
      <w:r>
        <w:rPr>
          <w:rFonts w:hint="eastAsia"/>
        </w:rPr>
        <w:tab/>
        <w:t xml:space="preserve">12.  </w:t>
      </w:r>
      <w:r>
        <w:rPr>
          <w:rFonts w:hint="eastAsia"/>
        </w:rPr>
        <w:t>委员会否定该缔约国的论点：按照国际法人权与人道主义法有所区分以支持它主张委员会任务规定“不能适用于加沙地带和西岸”。委员会提醒该缔约国，即使在武装冲突期间，必须尊重基本人权，而基本的经济、社会、文化权利作为最低限度人权的一部分，根据习惯性国际法，也要得到保障，同时国际人道主义法也如此规定。</w:t>
      </w:r>
    </w:p>
    <w:p w:rsidR="00000000" w:rsidRDefault="00000000">
      <w:pPr>
        <w:rPr>
          <w:rFonts w:hint="eastAsia"/>
        </w:rPr>
      </w:pPr>
      <w:r>
        <w:rPr>
          <w:rFonts w:hint="eastAsia"/>
        </w:rPr>
        <w:tab/>
        <w:t xml:space="preserve">13.  </w:t>
      </w:r>
      <w:r>
        <w:rPr>
          <w:rFonts w:hint="eastAsia"/>
        </w:rPr>
        <w:t>委员会非常关切该缔约国继续严重违犯被占领领土上经济、社会、文化权利，特别是该缔约国采取严厉措施限制平民在被占领领土内外各点的迁徙，切断他们对食物、饮水、保健、教育和工作的获得。委员会特别关切，该缔约国关闭政策在很多情况，使得平民到不了医疗站，紧急情况常常造成在检查站的死亡。委员会感到震惊的是，报告说以色列安全部队驱回红十字会及近东救济和工程处试图向受影响地区送交食物、饮水和医疗救济品的供应队。</w:t>
      </w:r>
    </w:p>
    <w:p w:rsidR="00000000" w:rsidRDefault="00000000">
      <w:pPr>
        <w:rPr>
          <w:rFonts w:hint="eastAsia"/>
        </w:rPr>
      </w:pPr>
      <w:r>
        <w:rPr>
          <w:rFonts w:hint="eastAsia"/>
        </w:rPr>
        <w:tab/>
        <w:t xml:space="preserve">14.  </w:t>
      </w:r>
      <w:r>
        <w:rPr>
          <w:rFonts w:hint="eastAsia"/>
        </w:rPr>
        <w:t>委员会继续关切，该缔约国“返回法”否认本土巴勒斯坦难民有权返回家园和取回财产。</w:t>
      </w:r>
    </w:p>
    <w:p w:rsidR="00000000" w:rsidRDefault="00000000">
      <w:pPr>
        <w:rPr>
          <w:rFonts w:hint="eastAsia"/>
        </w:rPr>
      </w:pPr>
      <w:r>
        <w:rPr>
          <w:rFonts w:hint="eastAsia"/>
        </w:rPr>
        <w:tab/>
        <w:t xml:space="preserve">15.  </w:t>
      </w:r>
      <w:r>
        <w:rPr>
          <w:rFonts w:hint="eastAsia"/>
        </w:rPr>
        <w:t>委员会促请该缔约国行使权力和职责</w:t>
      </w:r>
      <w:r>
        <w:rPr>
          <w:rFonts w:hint="eastAsia"/>
        </w:rPr>
        <w:t>,</w:t>
      </w:r>
      <w:r>
        <w:rPr>
          <w:rFonts w:hint="eastAsia"/>
        </w:rPr>
        <w:t>结束暴力、人命丧失和强加于平民在被占领领土内外各点间的迁徙。在这方面，委员会促请该缔约国毫不拖延地执行《公约》赋与它的义务，停止造成违反被占领领土上居住的人口的经济、社会、文化权利的决定和措施。委员会深信，《经济、社会、文化权利国际公约》的执行在实现以色列和巴勒斯坦持久和平上能够起着关键作用。</w:t>
      </w:r>
    </w:p>
    <w:p w:rsidR="00000000" w:rsidRDefault="00000000">
      <w:pPr>
        <w:rPr>
          <w:rFonts w:hint="eastAsia"/>
        </w:rPr>
      </w:pPr>
      <w:r>
        <w:rPr>
          <w:rFonts w:hint="eastAsia"/>
        </w:rPr>
        <w:tab/>
        <w:t xml:space="preserve">16.  </w:t>
      </w:r>
      <w:r>
        <w:rPr>
          <w:rFonts w:hint="eastAsia"/>
        </w:rPr>
        <w:t>委员会重申它要求该缔约国就在所有被占领领土上实现经济、社会、文化权利提供资料。这项资料应当及时提交，以便在临时订于</w:t>
      </w:r>
      <w:r>
        <w:rPr>
          <w:rFonts w:hint="eastAsia"/>
        </w:rPr>
        <w:t>2003</w:t>
      </w:r>
      <w:r>
        <w:rPr>
          <w:rFonts w:hint="eastAsia"/>
        </w:rPr>
        <w:t>年</w:t>
      </w:r>
      <w:r>
        <w:rPr>
          <w:rFonts w:hint="eastAsia"/>
        </w:rPr>
        <w:t>4</w:t>
      </w:r>
      <w:r>
        <w:rPr>
          <w:rFonts w:hint="eastAsia"/>
        </w:rPr>
        <w:t>月</w:t>
      </w:r>
      <w:r>
        <w:rPr>
          <w:rFonts w:hint="eastAsia"/>
        </w:rPr>
        <w:t>/5</w:t>
      </w:r>
      <w:r>
        <w:rPr>
          <w:rFonts w:hint="eastAsia"/>
        </w:rPr>
        <w:t>月举行的委员会第三十届会议上，连同该缔约国第二次定期报告一道审议。已经提交的资料的其余部分，也将连同第二次定期报告予以审议。</w:t>
      </w:r>
    </w:p>
    <w:p w:rsidR="00000000" w:rsidRDefault="00000000"/>
    <w:p w:rsidR="00000000" w:rsidRDefault="00000000">
      <w:pPr>
        <w:jc w:val="center"/>
        <w:rPr>
          <w:rFonts w:hint="eastAsia"/>
        </w:rPr>
      </w:pPr>
      <w:r>
        <w:t>--  --  --  --  --</w:t>
      </w:r>
    </w:p>
    <w:sectPr w:rsidR="00000000">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191"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Univers (WN)">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01-44464 (C)</w:t>
          </w:r>
        </w:p>
      </w:tc>
      <w:tc>
        <w:tcPr>
          <w:tcW w:w="1050" w:type="dxa"/>
        </w:tcPr>
        <w:p w:rsidR="00000000" w:rsidRDefault="00000000">
          <w:pPr>
            <w:pStyle w:val="Footer"/>
          </w:pPr>
          <w:r>
            <w:t>250901</w:t>
          </w:r>
        </w:p>
      </w:tc>
      <w:tc>
        <w:tcPr>
          <w:tcW w:w="6061" w:type="dxa"/>
        </w:tcPr>
        <w:p w:rsidR="00000000" w:rsidRDefault="00000000">
          <w:pPr>
            <w:pStyle w:val="Footer"/>
          </w:pPr>
          <w:r>
            <w:t>280901</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E/C.12/1/Add.69</w:t>
    </w:r>
  </w:p>
  <w:p w:rsidR="00000000" w:rsidRDefault="00000000">
    <w:pPr>
      <w:pStyle w:val="1R2"/>
      <w:framePr w:w="0" w:hRule="auto" w:hSpace="0" w:wrap="auto" w:vAnchor="margin" w:hAnchor="text" w:xAlign="left" w:yAlign="inline"/>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ab/>
    </w:r>
    <w:r>
      <w:tab/>
    </w:r>
    <w:r>
      <w:tab/>
    </w:r>
    <w:r>
      <w:tab/>
      <w:t>E/C.12/1/Add.69</w:t>
    </w:r>
  </w:p>
  <w:p w:rsidR="00000000" w:rsidRDefault="00000000">
    <w:pPr>
      <w:pStyle w:val="1R2"/>
      <w:framePr w:w="0" w:hRule="auto" w:hSpace="0" w:wrap="auto" w:vAnchor="margin" w:hAnchor="text" w:xAlign="left" w:yAlign="inline"/>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1"/>
    </w:pPr>
    <w:r>
      <w:rPr>
        <w:noProof/>
      </w:rPr>
      <w:pict>
        <v:rect id="_x0000_s1025" style="position:absolute;margin-left:541.05pt;margin-top:59.05pt;width:30.05pt;height:36pt;z-index:-5;mso-position-horizontal-relative:page;mso-position-vertical-relative:page" o:allowincell="f" filled="f" stroked="f" strokeweight="0">
          <v:textbox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a1"/>
      <w:spacing w:after="160"/>
    </w:pPr>
    <w:r>
      <w:fldChar w:fldCharType="begin"/>
    </w:r>
    <w:r>
      <w:instrText xml:space="preserve">PRIVATE </w:instrText>
    </w:r>
    <w:r>
      <w:fldChar w:fldCharType="end"/>
    </w:r>
  </w:p>
  <w:p w:rsidR="00000000" w:rsidRDefault="00000000">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a1"/>
    </w:pPr>
    <w:r>
      <w:pict>
        <v:rect id="_x0000_s1029" style="position:absolute;margin-left:66.7pt;margin-top:110.5pt;width:66.05pt;height:56pt;z-index:-1;mso-position-horizontal-relative:page;mso-position-vertical-relative:page" o:allowincell="f" filled="f" stroked="f" strokeweight="0">
          <v:textbox inset="0,0,0,0">
            <w:txbxContent>
              <w:p w:rsidR="00000000" w:rsidRDefault="00000000">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56.25pt" fillcolor="window">
                      <v:imagedata r:id="rId1" o:title="" croptop="-107f" cropbottom="-92f" cropleft="-3348f" cropright="-3348f"/>
                    </v:shape>
                  </w:pict>
                </w:r>
              </w:p>
            </w:txbxContent>
          </v:textbox>
          <w10:wrap anchorx="page" anchory="page"/>
        </v:rect>
      </w:pict>
    </w:r>
  </w:p>
  <w:p w:rsidR="00000000" w:rsidRDefault="00000000">
    <w:pPr>
      <w:pStyle w:val="1R2"/>
      <w:framePr w:wrap="around"/>
    </w:pPr>
    <w:r>
      <w:t>Distr.</w:t>
    </w:r>
  </w:p>
  <w:p w:rsidR="00000000" w:rsidRDefault="00000000">
    <w:pPr>
      <w:pStyle w:val="1R2"/>
      <w:framePr w:wrap="around"/>
    </w:pPr>
    <w:r>
      <w:t>GENERAL</w:t>
    </w:r>
  </w:p>
  <w:p w:rsidR="00000000" w:rsidRDefault="00000000">
    <w:pPr>
      <w:pStyle w:val="1R2"/>
      <w:framePr w:wrap="around"/>
    </w:pPr>
  </w:p>
  <w:p w:rsidR="00000000" w:rsidRDefault="00000000">
    <w:pPr>
      <w:pStyle w:val="1R2"/>
      <w:framePr w:wrap="around"/>
    </w:pPr>
    <w:r>
      <w:t>E/C.12/1/Add.69</w:t>
    </w:r>
  </w:p>
  <w:p w:rsidR="00000000" w:rsidRDefault="00000000">
    <w:pPr>
      <w:pStyle w:val="1R2"/>
      <w:framePr w:wrap="around"/>
    </w:pPr>
    <w:r>
      <w:t>31 August 2001</w:t>
    </w:r>
  </w:p>
  <w:p w:rsidR="00000000" w:rsidRDefault="00000000">
    <w:pPr>
      <w:pStyle w:val="1R2"/>
      <w:framePr w:wrap="around"/>
    </w:pPr>
    <w:r>
      <w:t>CHINESE</w:t>
    </w:r>
  </w:p>
  <w:p w:rsidR="00000000" w:rsidRDefault="00000000">
    <w:pPr>
      <w:pStyle w:val="1R2"/>
      <w:framePr w:wrap="around"/>
    </w:pPr>
    <w:r>
      <w:t>Original:</w:t>
    </w:r>
    <w:r>
      <w:tab/>
      <w:t>ENGLISH</w:t>
    </w:r>
  </w:p>
  <w:p w:rsidR="00000000" w:rsidRDefault="00000000">
    <w:pPr>
      <w:pStyle w:val="a1"/>
    </w:pPr>
  </w:p>
  <w:p w:rsidR="00000000" w:rsidRDefault="00000000">
    <w:pPr>
      <w:pStyle w:val="a1"/>
    </w:pPr>
  </w:p>
  <w:p w:rsidR="00000000" w:rsidRDefault="00000000">
    <w:pPr>
      <w:pStyle w:val="a1"/>
    </w:pPr>
    <w:r>
      <w:pict>
        <v:rect id="_x0000_s1027" style="position:absolute;margin-left:151.05pt;margin-top:121.45pt;width:192.05pt;height:31.25pt;z-index:-3;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a1"/>
    </w:pPr>
    <w:r>
      <w:pict>
        <v:rect id="_x0000_s1028" style="position:absolute;margin-left:-12pt;margin-top:235.85pt;width:492.05pt;height:.05pt;z-index:-2;mso-position-horizontal-relative:margin;mso-position-vertical-relative:page" o:allowincell="f" fillcolor="black" strokeweight="4pt">
          <v:fill color2="black"/>
          <w10:wrap anchorx="margin" anchory="page"/>
        </v:rect>
      </w:pict>
    </w:r>
  </w:p>
  <w:p w:rsidR="00000000" w:rsidRDefault="00000000">
    <w:pPr>
      <w:pStyle w:val="a1"/>
    </w:pPr>
  </w:p>
  <w:p w:rsidR="00000000" w:rsidRDefault="00000000">
    <w:pPr>
      <w:pStyle w:val="a1"/>
    </w:pPr>
  </w:p>
  <w:p w:rsidR="00000000" w:rsidRDefault="00000000">
    <w:pPr>
      <w:pStyle w:val="a1"/>
    </w:pPr>
    <w:r>
      <w:fldChar w:fldCharType="begin"/>
    </w:r>
    <w:r>
      <w:instrText>ADVANCE \Y 252.30</w:instrText>
    </w:r>
    <w:r>
      <w:fldChar w:fldCharType="end"/>
    </w:r>
  </w:p>
  <w:p w:rsidR="00000000" w:rsidRDefault="00000000">
    <w:pPr>
      <w:pStyle w:val="a1"/>
    </w:pPr>
  </w:p>
  <w:p w:rsidR="00000000" w:rsidRDefault="00000000">
    <w:pPr>
      <w:pStyle w:val="a1"/>
    </w:pPr>
  </w:p>
  <w:p w:rsidR="00000000" w:rsidRDefault="00000000">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40562"/>
    <w:multiLevelType w:val="singleLevel"/>
    <w:tmpl w:val="08A4E756"/>
    <w:lvl w:ilvl="0">
      <w:start w:val="1"/>
      <w:numFmt w:val="lowerLetter"/>
      <w:lvlText w:val="(%1)"/>
      <w:lvlJc w:val="left"/>
      <w:pPr>
        <w:tabs>
          <w:tab w:val="num" w:pos="1531"/>
        </w:tabs>
        <w:ind w:left="1531" w:hanging="510"/>
      </w:pPr>
      <w:rPr>
        <w:rFonts w:hint="eastAsia"/>
      </w:rPr>
    </w:lvl>
  </w:abstractNum>
  <w:abstractNum w:abstractNumId="1">
    <w:nsid w:val="22E44274"/>
    <w:multiLevelType w:val="hybridMultilevel"/>
    <w:tmpl w:val="684A63C8"/>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2D95CC5"/>
    <w:multiLevelType w:val="singleLevel"/>
    <w:tmpl w:val="C92E6F64"/>
    <w:lvl w:ilvl="0">
      <w:start w:val="1"/>
      <w:numFmt w:val="lowerLetter"/>
      <w:lvlText w:val="(%1)"/>
      <w:legacy w:legacy="1" w:legacySpace="0" w:legacyIndent="425"/>
      <w:lvlJc w:val="left"/>
      <w:pPr>
        <w:ind w:left="1446" w:hanging="425"/>
      </w:pPr>
    </w:lvl>
  </w:abstractNum>
  <w:abstractNum w:abstractNumId="3">
    <w:nsid w:val="33BF5892"/>
    <w:multiLevelType w:val="singleLevel"/>
    <w:tmpl w:val="B2E22F84"/>
    <w:lvl w:ilvl="0">
      <w:start w:val="1"/>
      <w:numFmt w:val="chineseCountingThousand"/>
      <w:lvlText w:val="(%1)"/>
      <w:lvlJc w:val="left"/>
      <w:pPr>
        <w:tabs>
          <w:tab w:val="num" w:pos="1021"/>
        </w:tabs>
        <w:ind w:left="1021" w:hanging="511"/>
      </w:pPr>
      <w:rPr>
        <w:rFonts w:hint="eastAsia"/>
        <w:sz w:val="21"/>
      </w:rPr>
    </w:lvl>
  </w:abstractNum>
  <w:abstractNum w:abstractNumId="4">
    <w:nsid w:val="39D90235"/>
    <w:multiLevelType w:val="singleLevel"/>
    <w:tmpl w:val="5366C8E2"/>
    <w:lvl w:ilvl="0">
      <w:start w:val="1"/>
      <w:numFmt w:val="bullet"/>
      <w:pStyle w:val="a"/>
      <w:lvlText w:val=""/>
      <w:lvlJc w:val="left"/>
      <w:pPr>
        <w:tabs>
          <w:tab w:val="num" w:pos="510"/>
        </w:tabs>
        <w:ind w:left="510" w:hanging="510"/>
      </w:pPr>
      <w:rPr>
        <w:rFonts w:ascii="Symbol" w:hAnsi="Symbol" w:hint="default"/>
      </w:rPr>
    </w:lvl>
  </w:abstractNum>
  <w:abstractNum w:abstractNumId="5">
    <w:nsid w:val="507317FD"/>
    <w:multiLevelType w:val="singleLevel"/>
    <w:tmpl w:val="4DFAD5FA"/>
    <w:lvl w:ilvl="0">
      <w:start w:val="1"/>
      <w:numFmt w:val="bullet"/>
      <w:pStyle w:val="a0"/>
      <w:lvlText w:val=""/>
      <w:lvlJc w:val="left"/>
      <w:pPr>
        <w:tabs>
          <w:tab w:val="num" w:pos="510"/>
        </w:tabs>
        <w:ind w:left="510" w:hanging="510"/>
      </w:pPr>
      <w:rPr>
        <w:rFonts w:ascii="Symbol" w:hAnsi="Symbol" w:hint="default"/>
        <w:sz w:val="16"/>
      </w:rPr>
    </w:lvl>
  </w:abstractNum>
  <w:abstractNum w:abstractNumId="6">
    <w:nsid w:val="77350EFD"/>
    <w:multiLevelType w:val="hybridMultilevel"/>
    <w:tmpl w:val="69E6189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5"/>
  </w:num>
  <w:num w:numId="3">
    <w:abstractNumId w:val="4"/>
  </w:num>
  <w:num w:numId="4">
    <w:abstractNumId w:val="2"/>
  </w:num>
  <w:num w:numId="5">
    <w:abstractNumId w:val="3"/>
  </w:num>
  <w:num w:numId="6">
    <w:abstractNumId w:val="5"/>
  </w:num>
  <w:num w:numId="7">
    <w:abstractNumId w:val="4"/>
  </w:num>
  <w:num w:numId="8">
    <w:abstractNumId w:val="2"/>
  </w:num>
  <w:num w:numId="9">
    <w:abstractNumId w:val="3"/>
  </w:num>
  <w:num w:numId="10">
    <w:abstractNumId w:val="5"/>
  </w:num>
  <w:num w:numId="11">
    <w:abstractNumId w:val="4"/>
  </w:num>
  <w:num w:numId="12">
    <w:abstractNumId w:val="2"/>
  </w:num>
  <w:num w:numId="13">
    <w:abstractNumId w:val="3"/>
  </w:num>
  <w:num w:numId="14">
    <w:abstractNumId w:val="5"/>
  </w:num>
  <w:num w:numId="15">
    <w:abstractNumId w:val="4"/>
  </w:num>
  <w:num w:numId="16">
    <w:abstractNumId w:val="5"/>
  </w:num>
  <w:num w:numId="17">
    <w:abstractNumId w:val="4"/>
  </w:num>
  <w:num w:numId="18">
    <w:abstractNumId w:val="0"/>
  </w:num>
  <w:num w:numId="19">
    <w:abstractNumId w:val="5"/>
  </w:num>
  <w:num w:numId="20">
    <w:abstractNumId w:val="4"/>
  </w:num>
  <w:num w:numId="21">
    <w:abstractNumId w:val="6"/>
  </w:num>
  <w:num w:numId="22">
    <w:abstractNumId w:val="1"/>
  </w:num>
  <w:num w:numId="23">
    <w:abstractNumId w:val="1"/>
  </w:num>
  <w:num w:numId="24">
    <w:abstractNumId w:val="5"/>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widowControl w:val="0"/>
      <w:tabs>
        <w:tab w:val="left" w:pos="1202"/>
        <w:tab w:val="left" w:pos="6124"/>
        <w:tab w:val="left" w:pos="6634"/>
        <w:tab w:val="left" w:pos="7144"/>
        <w:tab w:val="left" w:pos="7655"/>
        <w:tab w:val="left" w:pos="8165"/>
      </w:tabs>
      <w:spacing w:line="264" w:lineRule="auto"/>
      <w:jc w:val="left"/>
    </w:pPr>
    <w:rPr>
      <w:rFonts w:ascii="Courier New" w:hAnsi="Courier New"/>
      <w:snapToGrid/>
      <w:spacing w:val="0"/>
      <w:sz w:val="20"/>
    </w:rPr>
  </w:style>
  <w:style w:type="paragraph" w:styleId="Footer">
    <w:name w:val="footer"/>
    <w:basedOn w:val="Normal"/>
    <w:semiHidden/>
    <w:pPr>
      <w:widowControl w:val="0"/>
      <w:tabs>
        <w:tab w:val="left" w:pos="510"/>
        <w:tab w:val="left" w:pos="1021"/>
        <w:tab w:val="left" w:pos="1531"/>
      </w:tabs>
      <w:spacing w:line="264" w:lineRule="auto"/>
      <w:jc w:val="left"/>
    </w:pPr>
    <w:rPr>
      <w:rFonts w:ascii="Courier New" w:hAnsi="Courier New"/>
      <w:snapToGrid/>
      <w:spacing w:val="0"/>
      <w:sz w:val="20"/>
    </w:rPr>
  </w:style>
  <w:style w:type="character" w:styleId="PageNumber">
    <w:name w:val="page number"/>
    <w:semiHidden/>
    <w:rPr>
      <w:rFonts w:ascii="Courier New" w:eastAsia="SimSun" w:hAnsi="Courier New"/>
      <w:spacing w:val="0"/>
      <w:w w:val="100"/>
      <w:position w:val="0"/>
      <w:sz w:val="20"/>
    </w:rPr>
  </w:style>
  <w:style w:type="paragraph" w:styleId="FootnoteText">
    <w:name w:val="footnote text"/>
    <w:basedOn w:val="Normal"/>
    <w:semiHidden/>
    <w:pPr>
      <w:keepLines/>
      <w:widowControl w:val="0"/>
      <w:spacing w:line="288" w:lineRule="auto"/>
      <w:ind w:firstLine="510"/>
    </w:pPr>
    <w:rPr>
      <w:rFonts w:eastAsia="KaiTi_GB2312"/>
      <w:snapToGrid/>
      <w:spacing w:val="0"/>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customStyle="1" w:styleId="a2">
    <w:name w:val="表决"/>
    <w:basedOn w:val="Normal"/>
    <w:pPr>
      <w:ind w:left="2042" w:hanging="1021"/>
    </w:pPr>
  </w:style>
  <w:style w:type="paragraph" w:styleId="NormalIndent">
    <w:name w:val="Normal Indent"/>
    <w:basedOn w:val="Normal"/>
    <w:semiHidden/>
    <w:pPr>
      <w:widowControl w:val="0"/>
      <w:ind w:firstLine="510"/>
    </w:pPr>
  </w:style>
  <w:style w:type="paragraph" w:customStyle="1" w:styleId="a3">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widowControl w:val="0"/>
      <w:tabs>
        <w:tab w:val="left" w:pos="1021"/>
        <w:tab w:val="left" w:pos="1531"/>
      </w:tabs>
      <w:spacing w:line="240" w:lineRule="auto"/>
    </w:pPr>
    <w:rPr>
      <w:rFonts w:ascii="SimHei" w:eastAsia="SimHei"/>
      <w:snapToGrid/>
      <w:spacing w:val="60"/>
      <w:sz w:val="32"/>
    </w:rPr>
  </w:style>
  <w:style w:type="paragraph" w:customStyle="1" w:styleId="1R1">
    <w:name w:val="页眉1R1"/>
    <w:basedOn w:val="Normal"/>
    <w:pPr>
      <w:widowControl w:val="0"/>
      <w:tabs>
        <w:tab w:val="left" w:pos="1021"/>
        <w:tab w:val="left" w:pos="1531"/>
      </w:tabs>
      <w:suppressAutoHyphens/>
      <w:spacing w:line="240" w:lineRule="auto"/>
    </w:pPr>
    <w:rPr>
      <w:rFonts w:ascii="Univers (WN)" w:hAnsi="Univers (WN)"/>
      <w:b/>
      <w:snapToGrid/>
      <w:spacing w:val="0"/>
      <w:sz w:val="60"/>
    </w:rPr>
  </w:style>
  <w:style w:type="paragraph" w:customStyle="1" w:styleId="1m2">
    <w:name w:val="页眉1m2"/>
    <w:basedOn w:val="Normal"/>
    <w:pPr>
      <w:widowControl w:val="0"/>
      <w:tabs>
        <w:tab w:val="left" w:pos="1021"/>
        <w:tab w:val="left" w:pos="1531"/>
      </w:tabs>
      <w:suppressAutoHyphens/>
      <w:spacing w:line="360" w:lineRule="auto"/>
    </w:pPr>
    <w:rPr>
      <w:rFonts w:ascii="SimHei" w:eastAsia="SimHei"/>
      <w:snapToGrid/>
      <w:spacing w:val="60"/>
      <w:sz w:val="40"/>
    </w:rPr>
  </w:style>
  <w:style w:type="paragraph" w:customStyle="1" w:styleId="1m1">
    <w:name w:val="页眉1m1"/>
    <w:basedOn w:val="Normal"/>
    <w:pPr>
      <w:widowControl w:val="0"/>
      <w:tabs>
        <w:tab w:val="left" w:pos="1021"/>
        <w:tab w:val="left" w:pos="1531"/>
      </w:tabs>
      <w:suppressAutoHyphens/>
      <w:spacing w:line="360" w:lineRule="auto"/>
    </w:pPr>
    <w:rPr>
      <w:rFonts w:ascii="SimHei" w:eastAsia="SimHei"/>
      <w:snapToGrid/>
      <w:spacing w:val="40"/>
      <w:sz w:val="40"/>
    </w:rPr>
  </w:style>
  <w:style w:type="paragraph" w:customStyle="1" w:styleId="1R2">
    <w:name w:val="页眉1R2"/>
    <w:basedOn w:val="Normal"/>
    <w:pPr>
      <w:framePr w:w="3101" w:h="1977" w:hSpace="180" w:wrap="around" w:vAnchor="page" w:hAnchor="page" w:x="8549" w:y="2638"/>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customStyle="1" w:styleId="a4">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rPr>
      <w:snapToGrid w:val="0"/>
    </w:rPr>
  </w:style>
  <w:style w:type="paragraph" w:customStyle="1" w:styleId="a5">
    <w:name w:val="居中页眉"/>
    <w:basedOn w:val="Header"/>
    <w:pPr>
      <w:tabs>
        <w:tab w:val="left" w:pos="1202"/>
      </w:tabs>
      <w:snapToGrid/>
      <w:spacing w:line="288" w:lineRule="auto"/>
    </w:pPr>
  </w:style>
  <w:style w:type="paragraph" w:customStyle="1" w:styleId="a6">
    <w:name w:val="悬挂"/>
    <w:basedOn w:val="Normal"/>
    <w:pPr>
      <w:ind w:left="1531" w:hanging="510"/>
    </w:pPr>
  </w:style>
  <w:style w:type="paragraph" w:customStyle="1" w:styleId="a0">
    <w:name w:val="悬挂符号－"/>
    <w:basedOn w:val="a6"/>
    <w:pPr>
      <w:numPr>
        <w:numId w:val="24"/>
      </w:numPr>
      <w:tabs>
        <w:tab w:val="clear" w:pos="510"/>
      </w:tabs>
    </w:pPr>
  </w:style>
  <w:style w:type="paragraph" w:customStyle="1" w:styleId="a7">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
    <w:name w:val="悬挂符号●"/>
    <w:basedOn w:val="Normal"/>
    <w:pPr>
      <w:numPr>
        <w:numId w:val="25"/>
      </w:numPr>
      <w:tabs>
        <w:tab w:val="clear" w:pos="510"/>
      </w:tabs>
    </w:pPr>
  </w:style>
  <w:style w:type="paragraph" w:customStyle="1" w:styleId="x">
    <w:name w:val="悬挂[(x)"/>
    <w:basedOn w:val="Normal"/>
    <w:pPr>
      <w:ind w:left="1531" w:hanging="595"/>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0">
    <w:name w:val="悬挂“(x)"/>
    <w:basedOn w:val="Normal"/>
    <w:pPr>
      <w:adjustRightInd/>
      <w:ind w:left="1531" w:hanging="794"/>
    </w:pPr>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8">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9">
    <w:name w:val="楷体"/>
    <w:basedOn w:val="Normal"/>
    <w:pPr>
      <w:widowControl w:val="0"/>
    </w:pPr>
    <w:rPr>
      <w:rFonts w:eastAsia="KaiTi_GB2312"/>
      <w:snapToGrid/>
      <w:spacing w:val="0"/>
    </w:rPr>
  </w:style>
  <w:style w:type="paragraph" w:customStyle="1" w:styleId="aa">
    <w:name w:val="表中文字"/>
    <w:basedOn w:val="Normal"/>
    <w:pPr>
      <w:spacing w:line="320" w:lineRule="exact"/>
    </w:pPr>
    <w:rPr>
      <w:spacing w:val="0"/>
      <w:sz w:val="21"/>
    </w:rPr>
  </w:style>
  <w:style w:type="paragraph" w:customStyle="1" w:styleId="ab">
    <w:name w:val="横眉"/>
    <w:basedOn w:val="Header"/>
    <w:autoRedefine/>
    <w:pPr>
      <w:tabs>
        <w:tab w:val="left" w:pos="1202"/>
      </w:tabs>
      <w:snapToGrid/>
      <w:spacing w:line="160" w:lineRule="exact"/>
    </w:pPr>
  </w:style>
  <w:style w:type="paragraph" w:customStyle="1" w:styleId="ac">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styleId="BodyText">
    <w:name w:val="Body Text"/>
    <w:basedOn w:val="Normal"/>
    <w:semiHidden/>
    <w:pPr>
      <w:widowControl w:val="0"/>
    </w:pPr>
    <w:rPr>
      <w:snapToGrid/>
    </w:rPr>
  </w:style>
  <w:style w:type="paragraph" w:customStyle="1" w:styleId="cdL1">
    <w:name w:val="cdL1"/>
    <w:basedOn w:val="Normal"/>
    <w:pPr>
      <w:widowControl w:val="0"/>
      <w:tabs>
        <w:tab w:val="left" w:pos="510"/>
      </w:tabs>
    </w:pPr>
    <w:rPr>
      <w:snapToGrid/>
      <w:spacing w:val="0"/>
    </w:rPr>
  </w:style>
  <w:style w:type="paragraph" w:customStyle="1" w:styleId="ad">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TEMPLAT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0</Words>
  <Characters>0</Characters>
  <Application>Microsoft Office Word</Application>
  <DocSecurity>4</DocSecurity>
  <Lines>1</Lines>
  <Paragraphs>1</Paragraphs>
  <ScaleCrop>false</ScaleCrop>
  <HeadingPairs>
    <vt:vector size="4" baseType="variant">
      <vt:variant>
        <vt:lpstr>题目</vt:lpstr>
      </vt:variant>
      <vt:variant>
        <vt:i4>1</vt:i4>
      </vt:variant>
      <vt:variant>
        <vt:lpstr>标题</vt:lpstr>
      </vt:variant>
      <vt:variant>
        <vt:i4>3</vt:i4>
      </vt:variant>
    </vt:vector>
  </HeadingPairs>
  <TitlesOfParts>
    <vt:vector size="4" baseType="lpstr">
      <vt:lpstr>E.dot</vt:lpstr>
      <vt:lpstr>    审议缔约国根据《公约》第十六和 第十七条提交的报告</vt:lpstr>
      <vt:lpstr>        经济、社会、文化权利委员会的结论性意见</vt:lpstr>
      <vt:lpstr>        以色列</vt:lpstr>
    </vt:vector>
  </TitlesOfParts>
  <Company>ONU</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Kong</dc:creator>
  <cp:keywords/>
  <cp:lastModifiedBy>linl</cp:lastModifiedBy>
  <cp:revision>2</cp:revision>
  <cp:lastPrinted>2001-09-28T08:26:00Z</cp:lastPrinted>
  <dcterms:created xsi:type="dcterms:W3CDTF">2001-09-28T14:37:00Z</dcterms:created>
  <dcterms:modified xsi:type="dcterms:W3CDTF">2001-09-28T14:37:00Z</dcterms:modified>
</cp:coreProperties>
</file>