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D306C0" w14:paraId="71D403A6" w14:textId="77777777" w:rsidTr="00DC18BF">
        <w:trPr>
          <w:trHeight w:hRule="exact" w:val="851"/>
        </w:trPr>
        <w:tc>
          <w:tcPr>
            <w:tcW w:w="1280" w:type="dxa"/>
            <w:tcBorders>
              <w:bottom w:val="single" w:sz="4" w:space="0" w:color="auto"/>
            </w:tcBorders>
          </w:tcPr>
          <w:p w14:paraId="037DE1C2" w14:textId="77777777" w:rsidR="00494EB8" w:rsidRPr="00D306C0" w:rsidRDefault="00494EB8" w:rsidP="005B4286">
            <w:pPr>
              <w:pStyle w:val="H1GC"/>
            </w:pPr>
          </w:p>
        </w:tc>
        <w:tc>
          <w:tcPr>
            <w:tcW w:w="2273" w:type="dxa"/>
            <w:tcBorders>
              <w:bottom w:val="single" w:sz="4" w:space="0" w:color="auto"/>
            </w:tcBorders>
            <w:vAlign w:val="bottom"/>
          </w:tcPr>
          <w:p w14:paraId="0F4A788A" w14:textId="77777777" w:rsidR="00494EB8" w:rsidRPr="00D306C0" w:rsidRDefault="00494EB8" w:rsidP="00DC18BF">
            <w:pPr>
              <w:spacing w:after="80" w:line="300" w:lineRule="exact"/>
              <w:rPr>
                <w:rFonts w:ascii="Time New Roman" w:eastAsia="黑体" w:hAnsi="Time New Roman" w:hint="eastAsia"/>
                <w:sz w:val="28"/>
              </w:rPr>
            </w:pPr>
            <w:r w:rsidRPr="00D306C0">
              <w:rPr>
                <w:rFonts w:ascii="宋体" w:eastAsia="黑体" w:hAnsi="宋体" w:cs="宋体" w:hint="eastAsia"/>
                <w:sz w:val="28"/>
              </w:rPr>
              <w:t>联</w:t>
            </w:r>
            <w:r w:rsidRPr="00D306C0">
              <w:rPr>
                <w:rFonts w:ascii="Time New Roman" w:eastAsia="黑体" w:hAnsi="Time New Roman" w:hint="eastAsia"/>
                <w:sz w:val="28"/>
              </w:rPr>
              <w:t xml:space="preserve"> </w:t>
            </w:r>
            <w:r w:rsidRPr="00D306C0">
              <w:rPr>
                <w:rFonts w:ascii="宋体" w:eastAsia="黑体" w:hAnsi="宋体" w:cs="宋体" w:hint="eastAsia"/>
                <w:sz w:val="28"/>
              </w:rPr>
              <w:t>合</w:t>
            </w:r>
            <w:r w:rsidRPr="00D306C0">
              <w:rPr>
                <w:rFonts w:ascii="Time New Roman" w:eastAsia="黑体" w:hAnsi="Time New Roman" w:hint="eastAsia"/>
                <w:sz w:val="28"/>
              </w:rPr>
              <w:t xml:space="preserve"> </w:t>
            </w:r>
            <w:r w:rsidRPr="00D306C0">
              <w:rPr>
                <w:rFonts w:ascii="宋体" w:eastAsia="黑体" w:hAnsi="宋体" w:cs="宋体" w:hint="eastAsia"/>
                <w:sz w:val="28"/>
              </w:rPr>
              <w:t>国</w:t>
            </w:r>
          </w:p>
        </w:tc>
        <w:tc>
          <w:tcPr>
            <w:tcW w:w="6086" w:type="dxa"/>
            <w:gridSpan w:val="2"/>
            <w:tcBorders>
              <w:bottom w:val="single" w:sz="4" w:space="0" w:color="auto"/>
            </w:tcBorders>
            <w:vAlign w:val="bottom"/>
          </w:tcPr>
          <w:p w14:paraId="36FF0E4A" w14:textId="77777777" w:rsidR="00494EB8" w:rsidRPr="00D306C0" w:rsidRDefault="003B12D7" w:rsidP="00DC18BF">
            <w:pPr>
              <w:spacing w:line="240" w:lineRule="atLeast"/>
              <w:jc w:val="right"/>
              <w:rPr>
                <w:sz w:val="20"/>
                <w:szCs w:val="21"/>
              </w:rPr>
            </w:pPr>
            <w:r w:rsidRPr="00D306C0">
              <w:rPr>
                <w:sz w:val="40"/>
                <w:szCs w:val="21"/>
              </w:rPr>
              <w:t>CAT</w:t>
            </w:r>
            <w:r w:rsidRPr="00D306C0">
              <w:rPr>
                <w:sz w:val="20"/>
                <w:szCs w:val="21"/>
              </w:rPr>
              <w:t>/C/KGZ/CO/3</w:t>
            </w:r>
          </w:p>
        </w:tc>
      </w:tr>
      <w:tr w:rsidR="00494EB8" w:rsidRPr="00D306C0" w14:paraId="34472298" w14:textId="77777777" w:rsidTr="00DC18BF">
        <w:trPr>
          <w:trHeight w:hRule="exact" w:val="2835"/>
        </w:trPr>
        <w:tc>
          <w:tcPr>
            <w:tcW w:w="1280" w:type="dxa"/>
            <w:tcBorders>
              <w:top w:val="single" w:sz="4" w:space="0" w:color="auto"/>
              <w:bottom w:val="single" w:sz="12" w:space="0" w:color="auto"/>
            </w:tcBorders>
          </w:tcPr>
          <w:p w14:paraId="6D9CDE2E" w14:textId="77777777" w:rsidR="00494EB8" w:rsidRPr="00D306C0" w:rsidRDefault="00494EB8" w:rsidP="00DC18BF">
            <w:pPr>
              <w:spacing w:line="120" w:lineRule="atLeast"/>
              <w:rPr>
                <w:sz w:val="10"/>
                <w:szCs w:val="10"/>
              </w:rPr>
            </w:pPr>
          </w:p>
          <w:p w14:paraId="360473B0" w14:textId="77777777" w:rsidR="00494EB8" w:rsidRPr="00D306C0" w:rsidRDefault="00494EB8" w:rsidP="00DC18BF">
            <w:pPr>
              <w:spacing w:line="120" w:lineRule="atLeast"/>
              <w:rPr>
                <w:sz w:val="10"/>
                <w:szCs w:val="10"/>
              </w:rPr>
            </w:pPr>
            <w:r w:rsidRPr="00D306C0">
              <w:rPr>
                <w:rFonts w:hint="eastAsia"/>
                <w:noProof/>
                <w:snapToGrid/>
              </w:rPr>
              <w:drawing>
                <wp:inline distT="0" distB="0" distL="0" distR="0" wp14:anchorId="2E92635B" wp14:editId="40FA676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D6ECD8" w14:textId="77777777" w:rsidR="00494EB8" w:rsidRPr="00D306C0" w:rsidRDefault="00494EB8" w:rsidP="00DC18BF">
            <w:pPr>
              <w:spacing w:before="320" w:line="240" w:lineRule="exact"/>
              <w:rPr>
                <w:rFonts w:ascii="Time New Roman" w:eastAsia="黑体" w:hAnsi="Time New Roman" w:hint="eastAsia"/>
                <w:sz w:val="32"/>
                <w:szCs w:val="32"/>
              </w:rPr>
            </w:pPr>
            <w:r w:rsidRPr="00D306C0">
              <w:rPr>
                <w:rFonts w:ascii="Time New Roman" w:eastAsia="黑体" w:hAnsi="Time New Roman" w:hint="eastAsia"/>
                <w:sz w:val="32"/>
                <w:szCs w:val="32"/>
              </w:rPr>
              <w:t>禁止酷刑和其他残忍、不人道</w:t>
            </w:r>
          </w:p>
          <w:p w14:paraId="4749065E" w14:textId="77777777" w:rsidR="00494EB8" w:rsidRPr="00D306C0" w:rsidRDefault="00494EB8" w:rsidP="00DC18BF">
            <w:pPr>
              <w:spacing w:before="160" w:line="240" w:lineRule="exact"/>
              <w:rPr>
                <w:rFonts w:ascii="Time New Roman" w:eastAsia="黑体" w:hAnsi="Time New Roman" w:hint="eastAsia"/>
                <w:sz w:val="32"/>
                <w:szCs w:val="32"/>
              </w:rPr>
            </w:pPr>
            <w:r w:rsidRPr="00D306C0">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57860D34" w14:textId="36D76781" w:rsidR="00494EB8" w:rsidRPr="00D306C0" w:rsidRDefault="00494EB8" w:rsidP="00DC18BF">
            <w:pPr>
              <w:spacing w:before="240" w:line="240" w:lineRule="atLeast"/>
              <w:rPr>
                <w:sz w:val="20"/>
              </w:rPr>
            </w:pPr>
            <w:r w:rsidRPr="00D306C0">
              <w:rPr>
                <w:sz w:val="20"/>
              </w:rPr>
              <w:t xml:space="preserve">Distr.: </w:t>
            </w:r>
            <w:r w:rsidR="00C30704" w:rsidRPr="00D306C0">
              <w:rPr>
                <w:sz w:val="20"/>
              </w:rPr>
              <w:t>General</w:t>
            </w:r>
          </w:p>
          <w:p w14:paraId="4CB5618D" w14:textId="2D3DCC67" w:rsidR="00494EB8" w:rsidRPr="00D306C0" w:rsidRDefault="00C30704" w:rsidP="00DC18BF">
            <w:pPr>
              <w:spacing w:line="240" w:lineRule="atLeast"/>
              <w:rPr>
                <w:sz w:val="20"/>
              </w:rPr>
            </w:pPr>
            <w:r w:rsidRPr="00D306C0">
              <w:rPr>
                <w:sz w:val="20"/>
              </w:rPr>
              <w:t>21 December 2021</w:t>
            </w:r>
          </w:p>
          <w:p w14:paraId="656C3A02" w14:textId="77777777" w:rsidR="00494EB8" w:rsidRPr="00D306C0" w:rsidRDefault="00494EB8" w:rsidP="00DC18BF">
            <w:pPr>
              <w:spacing w:line="240" w:lineRule="atLeast"/>
              <w:rPr>
                <w:sz w:val="20"/>
              </w:rPr>
            </w:pPr>
            <w:r w:rsidRPr="00D306C0">
              <w:rPr>
                <w:sz w:val="20"/>
              </w:rPr>
              <w:t xml:space="preserve">Chinese </w:t>
            </w:r>
          </w:p>
          <w:p w14:paraId="03FA4C20" w14:textId="77777777" w:rsidR="00494EB8" w:rsidRPr="00D306C0" w:rsidRDefault="00494EB8" w:rsidP="00DC18BF">
            <w:pPr>
              <w:spacing w:line="240" w:lineRule="atLeast"/>
            </w:pPr>
            <w:r w:rsidRPr="00D306C0">
              <w:rPr>
                <w:sz w:val="20"/>
              </w:rPr>
              <w:t>Original: English</w:t>
            </w:r>
          </w:p>
        </w:tc>
      </w:tr>
    </w:tbl>
    <w:p w14:paraId="46045865" w14:textId="77777777" w:rsidR="00F011F5" w:rsidRPr="00D306C0" w:rsidRDefault="00F011F5" w:rsidP="006C70CF">
      <w:pPr>
        <w:spacing w:before="120"/>
        <w:rPr>
          <w:rFonts w:ascii="Time New Roman" w:eastAsia="黑体" w:hAnsi="Time New Roman" w:hint="eastAsia"/>
          <w:sz w:val="24"/>
          <w:szCs w:val="24"/>
        </w:rPr>
      </w:pPr>
      <w:r w:rsidRPr="00D306C0">
        <w:rPr>
          <w:rFonts w:ascii="Time New Roman" w:eastAsia="黑体" w:hAnsi="Time New Roman" w:hint="eastAsia"/>
          <w:sz w:val="24"/>
          <w:szCs w:val="24"/>
        </w:rPr>
        <w:t>禁止酷刑委员会</w:t>
      </w:r>
    </w:p>
    <w:p w14:paraId="6106B571" w14:textId="68921F08" w:rsidR="00C30704" w:rsidRPr="00D306C0" w:rsidRDefault="00D306C0" w:rsidP="00D306C0">
      <w:pPr>
        <w:pStyle w:val="HChGC"/>
      </w:pPr>
      <w:r w:rsidRPr="00D306C0">
        <w:tab/>
      </w:r>
      <w:r w:rsidRPr="00D306C0">
        <w:tab/>
      </w:r>
      <w:r w:rsidR="00C30704" w:rsidRPr="00D306C0">
        <w:t>关于吉尔吉斯斯坦第三次定期报告的结论性意见</w:t>
      </w:r>
      <w:r w:rsidR="00C30704" w:rsidRPr="00D306C0">
        <w:footnoteReference w:customMarkFollows="1" w:id="2"/>
        <w:t>*</w:t>
      </w:r>
    </w:p>
    <w:p w14:paraId="596B95BA" w14:textId="00AAA2C6" w:rsidR="00C30704" w:rsidRPr="00C30704" w:rsidRDefault="00C30704" w:rsidP="00C30704">
      <w:pPr>
        <w:pStyle w:val="SingleTxtGC"/>
      </w:pPr>
      <w:r w:rsidRPr="00C30704">
        <w:rPr>
          <w:spacing w:val="-2"/>
        </w:rPr>
        <w:t>1.</w:t>
      </w:r>
      <w:r w:rsidRPr="00C30704">
        <w:rPr>
          <w:spacing w:val="-2"/>
        </w:rPr>
        <w:tab/>
      </w:r>
      <w:r w:rsidRPr="00C30704">
        <w:rPr>
          <w:spacing w:val="-2"/>
        </w:rPr>
        <w:t>禁止酷刑委员会在</w:t>
      </w:r>
      <w:r w:rsidRPr="00C30704">
        <w:rPr>
          <w:spacing w:val="-2"/>
        </w:rPr>
        <w:t>2021</w:t>
      </w:r>
      <w:r w:rsidRPr="00C30704">
        <w:rPr>
          <w:spacing w:val="-2"/>
        </w:rPr>
        <w:t>年</w:t>
      </w:r>
      <w:r w:rsidRPr="00C30704">
        <w:rPr>
          <w:spacing w:val="-2"/>
        </w:rPr>
        <w:t>11</w:t>
      </w:r>
      <w:r w:rsidRPr="00C30704">
        <w:rPr>
          <w:spacing w:val="-2"/>
        </w:rPr>
        <w:t>月</w:t>
      </w:r>
      <w:r w:rsidRPr="00C30704">
        <w:rPr>
          <w:spacing w:val="-2"/>
        </w:rPr>
        <w:t>10</w:t>
      </w:r>
      <w:r w:rsidRPr="00C30704">
        <w:rPr>
          <w:spacing w:val="-2"/>
        </w:rPr>
        <w:t>日和</w:t>
      </w:r>
      <w:r w:rsidRPr="00C30704">
        <w:rPr>
          <w:spacing w:val="-2"/>
        </w:rPr>
        <w:t>11</w:t>
      </w:r>
      <w:r w:rsidRPr="00C30704">
        <w:rPr>
          <w:spacing w:val="-2"/>
        </w:rPr>
        <w:t>日举行的第</w:t>
      </w:r>
      <w:r w:rsidRPr="00C30704">
        <w:rPr>
          <w:spacing w:val="-2"/>
        </w:rPr>
        <w:t>1844</w:t>
      </w:r>
      <w:r w:rsidRPr="00C30704">
        <w:rPr>
          <w:spacing w:val="-2"/>
        </w:rPr>
        <w:t>和</w:t>
      </w:r>
      <w:r w:rsidRPr="00C30704">
        <w:rPr>
          <w:spacing w:val="-2"/>
        </w:rPr>
        <w:t>1847</w:t>
      </w:r>
      <w:r w:rsidRPr="00C30704">
        <w:rPr>
          <w:spacing w:val="-2"/>
        </w:rPr>
        <w:t>次会议</w:t>
      </w:r>
      <w:r w:rsidRPr="00C30704">
        <w:rPr>
          <w:spacing w:val="-2"/>
          <w:vertAlign w:val="superscript"/>
        </w:rPr>
        <w:footnoteReference w:id="3"/>
      </w:r>
      <w:r w:rsidRPr="00D306C0">
        <w:rPr>
          <w:rFonts w:hint="eastAsia"/>
          <w:spacing w:val="-2"/>
        </w:rPr>
        <w:t xml:space="preserve"> </w:t>
      </w:r>
      <w:r w:rsidRPr="00C30704">
        <w:t>上审议了吉尔吉斯斯坦的第三次定期报告</w:t>
      </w:r>
      <w:r w:rsidRPr="00C30704">
        <w:rPr>
          <w:vertAlign w:val="superscript"/>
        </w:rPr>
        <w:footnoteReference w:id="4"/>
      </w:r>
      <w:r w:rsidRPr="00C30704">
        <w:t>，并在</w:t>
      </w:r>
      <w:r w:rsidRPr="00C30704">
        <w:t>2021</w:t>
      </w:r>
      <w:r w:rsidRPr="00C30704">
        <w:t>年</w:t>
      </w:r>
      <w:r w:rsidRPr="00C30704">
        <w:t>11</w:t>
      </w:r>
      <w:r w:rsidRPr="00C30704">
        <w:t>月</w:t>
      </w:r>
      <w:r w:rsidRPr="00C30704">
        <w:t>26</w:t>
      </w:r>
      <w:r w:rsidRPr="00C30704">
        <w:t>日举行的第</w:t>
      </w:r>
      <w:r w:rsidRPr="00C30704">
        <w:t>1868</w:t>
      </w:r>
      <w:r w:rsidRPr="00C30704">
        <w:t>次会议上通过了本结论性意见。</w:t>
      </w:r>
    </w:p>
    <w:p w14:paraId="0F5BED12" w14:textId="77777777" w:rsidR="00C30704" w:rsidRPr="00D306C0" w:rsidRDefault="00C30704" w:rsidP="00D306C0">
      <w:pPr>
        <w:pStyle w:val="H1GC"/>
      </w:pPr>
      <w:r w:rsidRPr="00D306C0">
        <w:tab/>
        <w:t>A.</w:t>
      </w:r>
      <w:r w:rsidRPr="00D306C0">
        <w:tab/>
      </w:r>
      <w:r w:rsidRPr="00D306C0">
        <w:t>导言</w:t>
      </w:r>
    </w:p>
    <w:p w14:paraId="54A27F9D" w14:textId="77777777" w:rsidR="00C30704" w:rsidRPr="00C30704" w:rsidRDefault="00C30704" w:rsidP="00C30704">
      <w:pPr>
        <w:pStyle w:val="SingleTxtGC"/>
      </w:pPr>
      <w:r w:rsidRPr="00C30704">
        <w:t>2.</w:t>
      </w:r>
      <w:r w:rsidRPr="00C30704">
        <w:tab/>
      </w:r>
      <w:r w:rsidRPr="00C30704">
        <w:t>委员会赞赏缔约国接受简化报告程序，该程序使缔约国</w:t>
      </w:r>
      <w:r w:rsidRPr="00C30704">
        <w:rPr>
          <w:rFonts w:hint="eastAsia"/>
        </w:rPr>
        <w:t>可以</w:t>
      </w:r>
      <w:r w:rsidRPr="00C30704">
        <w:t>与委员会进行更有重点的对话。但委员会感到遗憾的是，报告迟交了一年多。</w:t>
      </w:r>
    </w:p>
    <w:p w14:paraId="79068D16" w14:textId="77777777" w:rsidR="00C30704" w:rsidRPr="00C30704" w:rsidRDefault="00C30704" w:rsidP="00C30704">
      <w:pPr>
        <w:pStyle w:val="SingleTxtGC"/>
      </w:pPr>
      <w:r w:rsidRPr="00C30704">
        <w:t>3.</w:t>
      </w:r>
      <w:r w:rsidRPr="00C30704">
        <w:tab/>
      </w:r>
      <w:r w:rsidRPr="00C30704">
        <w:t>委员会赞赏与缔约国代表团进行的建设性对话，并感谢代表团</w:t>
      </w:r>
      <w:r w:rsidRPr="00C30704">
        <w:rPr>
          <w:rFonts w:hint="eastAsia"/>
        </w:rPr>
        <w:t>对</w:t>
      </w:r>
      <w:r w:rsidRPr="00C30704">
        <w:t>审议报告期间提出的问题与关注作出</w:t>
      </w:r>
      <w:r w:rsidRPr="00C30704">
        <w:rPr>
          <w:rFonts w:hint="eastAsia"/>
        </w:rPr>
        <w:t>的</w:t>
      </w:r>
      <w:r w:rsidRPr="00C30704">
        <w:t>口头答复。</w:t>
      </w:r>
    </w:p>
    <w:p w14:paraId="0B5F8A25" w14:textId="788C1E36" w:rsidR="00C30704" w:rsidRPr="00D306C0" w:rsidRDefault="00D306C0" w:rsidP="00D306C0">
      <w:pPr>
        <w:pStyle w:val="H1GC"/>
      </w:pPr>
      <w:r w:rsidRPr="00D306C0">
        <w:tab/>
        <w:t>B.</w:t>
      </w:r>
      <w:r w:rsidRPr="00D306C0">
        <w:tab/>
      </w:r>
      <w:r w:rsidR="00C30704" w:rsidRPr="00D306C0">
        <w:t>积极方面</w:t>
      </w:r>
    </w:p>
    <w:p w14:paraId="6B43585F" w14:textId="77777777" w:rsidR="00C30704" w:rsidRPr="00C30704" w:rsidRDefault="00C30704" w:rsidP="00C30704">
      <w:pPr>
        <w:pStyle w:val="SingleTxtGC"/>
      </w:pPr>
      <w:r w:rsidRPr="00C30704">
        <w:t>4.</w:t>
      </w:r>
      <w:r w:rsidRPr="00C30704">
        <w:tab/>
      </w:r>
      <w:r w:rsidRPr="00C30704">
        <w:t>委员会欢迎缔约国于</w:t>
      </w:r>
      <w:r w:rsidRPr="00C30704">
        <w:t>2019</w:t>
      </w:r>
      <w:r w:rsidRPr="00C30704">
        <w:t>年批准了《残疾人权利公约》。</w:t>
      </w:r>
    </w:p>
    <w:p w14:paraId="11A237CA" w14:textId="77777777" w:rsidR="00C30704" w:rsidRPr="00C30704" w:rsidRDefault="00C30704" w:rsidP="00C30704">
      <w:pPr>
        <w:pStyle w:val="SingleTxtGC"/>
      </w:pPr>
      <w:r w:rsidRPr="00C30704">
        <w:t>5.</w:t>
      </w:r>
      <w:r w:rsidRPr="00C30704">
        <w:tab/>
      </w:r>
      <w:r w:rsidRPr="00C30704">
        <w:t>委员会还欢迎缔约国修订《公约》相关领域立法的举措，包括：</w:t>
      </w:r>
    </w:p>
    <w:p w14:paraId="1742FCDA" w14:textId="77777777" w:rsidR="00C30704" w:rsidRPr="00C30704" w:rsidRDefault="00C30704" w:rsidP="00C30704">
      <w:pPr>
        <w:pStyle w:val="SingleTxtGC"/>
      </w:pPr>
      <w:r w:rsidRPr="00C30704">
        <w:tab/>
        <w:t>(a)</w:t>
      </w:r>
      <w:r w:rsidRPr="00C30704">
        <w:tab/>
        <w:t>2021</w:t>
      </w:r>
      <w:r w:rsidRPr="00C30704">
        <w:t>年</w:t>
      </w:r>
      <w:r w:rsidRPr="00C30704">
        <w:t>4</w:t>
      </w:r>
      <w:r w:rsidRPr="00C30704">
        <w:t>月通过了《宪法》第</w:t>
      </w:r>
      <w:r w:rsidRPr="00C30704">
        <w:t>56</w:t>
      </w:r>
      <w:r w:rsidRPr="00C30704">
        <w:t>条，规定任何人都不应遭受酷刑或其他残忍、不人道或有辱人格的待遇或处罚，并将酷刑定为犯罪；</w:t>
      </w:r>
    </w:p>
    <w:p w14:paraId="7FEB0112" w14:textId="77777777" w:rsidR="00C30704" w:rsidRPr="00C30704" w:rsidRDefault="00C30704" w:rsidP="00C30704">
      <w:pPr>
        <w:pStyle w:val="SingleTxtGC"/>
      </w:pPr>
      <w:r w:rsidRPr="00C30704">
        <w:tab/>
        <w:t>(b)</w:t>
      </w:r>
      <w:r w:rsidRPr="00C30704">
        <w:tab/>
        <w:t>2019</w:t>
      </w:r>
      <w:r w:rsidRPr="00C30704">
        <w:t>年</w:t>
      </w:r>
      <w:r w:rsidRPr="00C30704">
        <w:t>1</w:t>
      </w:r>
      <w:r w:rsidRPr="00C30704">
        <w:t>月通过了新的《刑法》和新的《刑事诉讼法》，其中规定酷刑和虐待为非法行为，不得采用通过酷刑和其他虐待行为获得的证据，并对酷刑罪规定了适当处罚；</w:t>
      </w:r>
    </w:p>
    <w:p w14:paraId="7595137C" w14:textId="77777777" w:rsidR="00C30704" w:rsidRPr="00C30704" w:rsidRDefault="00C30704" w:rsidP="00C30704">
      <w:pPr>
        <w:pStyle w:val="SingleTxtGC"/>
      </w:pPr>
      <w:r w:rsidRPr="00C30704">
        <w:tab/>
        <w:t>(c)</w:t>
      </w:r>
      <w:r w:rsidRPr="00C30704">
        <w:tab/>
        <w:t>2017</w:t>
      </w:r>
      <w:r w:rsidRPr="00C30704">
        <w:t>年通过了《防止家庭暴力法》，将家庭暴力定为犯罪；</w:t>
      </w:r>
    </w:p>
    <w:p w14:paraId="7319774D" w14:textId="77777777" w:rsidR="00C30704" w:rsidRPr="00C30704" w:rsidRDefault="00C30704" w:rsidP="00C30704">
      <w:pPr>
        <w:pStyle w:val="SingleTxtGC"/>
      </w:pPr>
      <w:r w:rsidRPr="00C30704">
        <w:tab/>
        <w:t>(d)</w:t>
      </w:r>
      <w:r w:rsidRPr="00C30704">
        <w:tab/>
      </w:r>
      <w:r w:rsidRPr="00C30704">
        <w:t>为防止未达法定婚龄的早婚现象，于</w:t>
      </w:r>
      <w:r w:rsidRPr="00C30704">
        <w:t>2016</w:t>
      </w:r>
      <w:r w:rsidRPr="00C30704">
        <w:t>年</w:t>
      </w:r>
      <w:r w:rsidRPr="00C30704">
        <w:t>11</w:t>
      </w:r>
      <w:r w:rsidRPr="00C30704">
        <w:t>月修订了《刑法》和《家庭法》；</w:t>
      </w:r>
    </w:p>
    <w:p w14:paraId="3302BD89" w14:textId="77777777" w:rsidR="00C30704" w:rsidRPr="00C30704" w:rsidRDefault="00C30704" w:rsidP="00C30704">
      <w:pPr>
        <w:pStyle w:val="SingleTxtGC"/>
      </w:pPr>
      <w:r w:rsidRPr="00C30704">
        <w:tab/>
        <w:t>(e)</w:t>
      </w:r>
      <w:r w:rsidRPr="00C30704">
        <w:tab/>
        <w:t>2021</w:t>
      </w:r>
      <w:r w:rsidRPr="00C30704">
        <w:t>年</w:t>
      </w:r>
      <w:r w:rsidRPr="00C30704">
        <w:t>4</w:t>
      </w:r>
      <w:r w:rsidRPr="00C30704">
        <w:t>月通过了《刑事执行法》和《轻罪法》。</w:t>
      </w:r>
    </w:p>
    <w:p w14:paraId="0B2DEE4A" w14:textId="77777777" w:rsidR="00C30704" w:rsidRPr="00C30704" w:rsidRDefault="00C30704" w:rsidP="00C30704">
      <w:pPr>
        <w:pStyle w:val="SingleTxtGC"/>
      </w:pPr>
      <w:r w:rsidRPr="00C30704">
        <w:lastRenderedPageBreak/>
        <w:t>6.</w:t>
      </w:r>
      <w:r w:rsidRPr="00C30704">
        <w:tab/>
      </w:r>
      <w:r w:rsidRPr="00C30704">
        <w:t>委员会赞扬缔约国主动修订其政策和程序，以便更好地保护人权和适用《公约》，特别是：</w:t>
      </w:r>
    </w:p>
    <w:p w14:paraId="7C1B453A" w14:textId="77777777" w:rsidR="00C30704" w:rsidRPr="00C30704" w:rsidRDefault="00C30704" w:rsidP="00C30704">
      <w:pPr>
        <w:pStyle w:val="SingleTxtGC"/>
      </w:pPr>
      <w:r w:rsidRPr="00C30704">
        <w:tab/>
        <w:t>(a)</w:t>
      </w:r>
      <w:r w:rsidRPr="00C30704">
        <w:tab/>
      </w:r>
      <w:r w:rsidRPr="00C30704">
        <w:t>通过了《</w:t>
      </w:r>
      <w:r w:rsidRPr="00C30704">
        <w:t>2019-2021</w:t>
      </w:r>
      <w:r w:rsidRPr="00C30704">
        <w:t>年人权行动计划》；</w:t>
      </w:r>
    </w:p>
    <w:p w14:paraId="3D3BB2B0" w14:textId="77777777" w:rsidR="00C30704" w:rsidRPr="00C30704" w:rsidRDefault="00C30704" w:rsidP="00C30704">
      <w:pPr>
        <w:pStyle w:val="SingleTxtGC"/>
      </w:pPr>
      <w:r w:rsidRPr="00C30704">
        <w:tab/>
        <w:t>(b)</w:t>
      </w:r>
      <w:r w:rsidRPr="00C30704">
        <w:tab/>
      </w:r>
      <w:r w:rsidRPr="00C30704">
        <w:t>为了使立法与正在进行的司法改革框架内通过的法规保持一致，</w:t>
      </w:r>
      <w:r w:rsidRPr="00C30704">
        <w:t>2019</w:t>
      </w:r>
      <w:r w:rsidRPr="00C30704">
        <w:t>年通过了</w:t>
      </w:r>
      <w:r w:rsidRPr="00C30704">
        <w:rPr>
          <w:rFonts w:hint="eastAsia"/>
        </w:rPr>
        <w:t>一项</w:t>
      </w:r>
      <w:r w:rsidRPr="00C30704">
        <w:t>行动计划；</w:t>
      </w:r>
    </w:p>
    <w:p w14:paraId="3642E414" w14:textId="77777777" w:rsidR="00C30704" w:rsidRPr="00C30704" w:rsidRDefault="00C30704" w:rsidP="00C30704">
      <w:pPr>
        <w:pStyle w:val="SingleTxtGC"/>
      </w:pPr>
      <w:r w:rsidRPr="00C30704">
        <w:tab/>
        <w:t>(c)</w:t>
      </w:r>
      <w:r w:rsidRPr="00C30704">
        <w:tab/>
      </w:r>
      <w:r w:rsidRPr="00C30704">
        <w:t>通过了《</w:t>
      </w:r>
      <w:r w:rsidRPr="00C30704">
        <w:t>2018-2020</w:t>
      </w:r>
      <w:r w:rsidRPr="00C30704">
        <w:t>年实现性别平等国家行动计划》；</w:t>
      </w:r>
    </w:p>
    <w:p w14:paraId="3F349A73" w14:textId="77777777" w:rsidR="00C30704" w:rsidRPr="00C30704" w:rsidRDefault="00C30704" w:rsidP="00C30704">
      <w:pPr>
        <w:pStyle w:val="SingleTxtGC"/>
      </w:pPr>
      <w:r w:rsidRPr="00C30704">
        <w:tab/>
        <w:t>(d)</w:t>
      </w:r>
      <w:r w:rsidRPr="00C30704">
        <w:tab/>
      </w:r>
      <w:r w:rsidRPr="00C30704">
        <w:t>设立了</w:t>
      </w:r>
      <w:r w:rsidRPr="00C30704">
        <w:t>17</w:t>
      </w:r>
      <w:r w:rsidRPr="00C30704">
        <w:t>个私营危机处理中心和</w:t>
      </w:r>
      <w:r w:rsidRPr="00C30704">
        <w:t>1</w:t>
      </w:r>
      <w:r w:rsidRPr="00C30704">
        <w:t>个</w:t>
      </w:r>
      <w:r w:rsidRPr="00C30704">
        <w:rPr>
          <w:rFonts w:hint="eastAsia"/>
        </w:rPr>
        <w:t>国家</w:t>
      </w:r>
      <w:r w:rsidRPr="00C30704">
        <w:t>市级危机处理中心，为遭受暴力侵害的妇女提供物资、医疗和法律援助；</w:t>
      </w:r>
    </w:p>
    <w:p w14:paraId="6015F6AE" w14:textId="77777777" w:rsidR="00C30704" w:rsidRPr="00C30704" w:rsidRDefault="00C30704" w:rsidP="00C30704">
      <w:pPr>
        <w:pStyle w:val="SingleTxtGC"/>
      </w:pPr>
      <w:r w:rsidRPr="00C30704">
        <w:tab/>
        <w:t>(e)</w:t>
      </w:r>
      <w:r w:rsidRPr="00C30704">
        <w:tab/>
      </w:r>
      <w:r w:rsidRPr="00C30704">
        <w:t>通过了《</w:t>
      </w:r>
      <w:r w:rsidRPr="00C30704">
        <w:t>2015-2017</w:t>
      </w:r>
      <w:r w:rsidRPr="00C30704">
        <w:t>年防止虐待和暴力侵害儿童国家行动计划》；</w:t>
      </w:r>
    </w:p>
    <w:p w14:paraId="45A5674C" w14:textId="77777777" w:rsidR="00C30704" w:rsidRPr="00C30704" w:rsidRDefault="00C30704" w:rsidP="00C30704">
      <w:pPr>
        <w:pStyle w:val="SingleTxtGC"/>
      </w:pPr>
      <w:r w:rsidRPr="00C30704">
        <w:tab/>
        <w:t>(f)</w:t>
      </w:r>
      <w:r w:rsidRPr="00C30704">
        <w:tab/>
      </w:r>
      <w:r w:rsidRPr="00C30704">
        <w:t>设立了少年司法协调委员会，并建立了一个用来确定有哪些儿童面临遭受暴力风险的数据库；</w:t>
      </w:r>
    </w:p>
    <w:p w14:paraId="7578B2A3" w14:textId="77777777" w:rsidR="00C30704" w:rsidRPr="00C30704" w:rsidRDefault="00C30704" w:rsidP="00C30704">
      <w:pPr>
        <w:pStyle w:val="SingleTxtGC"/>
      </w:pPr>
      <w:r w:rsidRPr="00C30704">
        <w:tab/>
        <w:t>(g)</w:t>
      </w:r>
      <w:r w:rsidRPr="00C30704">
        <w:tab/>
      </w:r>
      <w:r w:rsidRPr="00C30704">
        <w:t>制定了《</w:t>
      </w:r>
      <w:r w:rsidRPr="00C30704">
        <w:t>2014-2018</w:t>
      </w:r>
      <w:r w:rsidRPr="00C30704">
        <w:t>年面向</w:t>
      </w:r>
      <w:r w:rsidRPr="00C30704">
        <w:t>14</w:t>
      </w:r>
      <w:r w:rsidRPr="00C30704">
        <w:t>至</w:t>
      </w:r>
      <w:r w:rsidRPr="00C30704">
        <w:t>18</w:t>
      </w:r>
      <w:r w:rsidRPr="00C30704">
        <w:t>岁儿童的司法系统发展方案》；</w:t>
      </w:r>
    </w:p>
    <w:p w14:paraId="326A03DD" w14:textId="77777777" w:rsidR="00C30704" w:rsidRPr="00C30704" w:rsidRDefault="00C30704" w:rsidP="00C30704">
      <w:pPr>
        <w:pStyle w:val="SingleTxtGC"/>
      </w:pPr>
      <w:r w:rsidRPr="00C30704">
        <w:tab/>
        <w:t>(h)</w:t>
      </w:r>
      <w:r w:rsidRPr="00C30704">
        <w:tab/>
      </w:r>
      <w:r w:rsidRPr="00C30704">
        <w:t>制定了《</w:t>
      </w:r>
      <w:r w:rsidRPr="00C30704">
        <w:t>2018-2028</w:t>
      </w:r>
      <w:r w:rsidRPr="00C30704">
        <w:t>年儿童保护工作方案》和</w:t>
      </w:r>
      <w:r w:rsidRPr="00C30704">
        <w:t>2020</w:t>
      </w:r>
      <w:r w:rsidRPr="00C30704">
        <w:t>至</w:t>
      </w:r>
      <w:r w:rsidRPr="00C30704">
        <w:t>2024</w:t>
      </w:r>
      <w:r w:rsidRPr="00C30704">
        <w:t>年的相关政府行动计划；</w:t>
      </w:r>
    </w:p>
    <w:p w14:paraId="2822F773" w14:textId="77777777" w:rsidR="00C30704" w:rsidRPr="00C30704" w:rsidRDefault="00C30704" w:rsidP="00C30704">
      <w:pPr>
        <w:pStyle w:val="SingleTxtGC"/>
      </w:pPr>
      <w:r w:rsidRPr="00C30704">
        <w:tab/>
        <w:t>(i)</w:t>
      </w:r>
      <w:r w:rsidRPr="00C30704">
        <w:tab/>
      </w:r>
      <w:r w:rsidRPr="00C30704">
        <w:t>所有内政机构开设了</w:t>
      </w:r>
      <w:r w:rsidRPr="00C30704">
        <w:t>78</w:t>
      </w:r>
      <w:r w:rsidRPr="00C30704">
        <w:t>条电话热线，接收关于虐待儿童和暴力侵害未成年人事件的信息；</w:t>
      </w:r>
    </w:p>
    <w:p w14:paraId="607BB92A" w14:textId="77777777" w:rsidR="00C30704" w:rsidRPr="00C30704" w:rsidRDefault="00C30704" w:rsidP="00C30704">
      <w:pPr>
        <w:pStyle w:val="SingleTxtGC"/>
      </w:pPr>
      <w:r w:rsidRPr="00C30704">
        <w:tab/>
        <w:t>(j)</w:t>
      </w:r>
      <w:r w:rsidRPr="00C30704">
        <w:tab/>
      </w:r>
      <w:r w:rsidRPr="00C30704">
        <w:t>制定了《</w:t>
      </w:r>
      <w:r w:rsidRPr="00C30704">
        <w:t>2017-2020</w:t>
      </w:r>
      <w:r w:rsidRPr="00C30704">
        <w:t>年打击人口贩运方案》和执行该方案的行动计划；</w:t>
      </w:r>
    </w:p>
    <w:p w14:paraId="057B578E" w14:textId="77777777" w:rsidR="00C30704" w:rsidRPr="00C30704" w:rsidRDefault="00C30704" w:rsidP="00C30704">
      <w:pPr>
        <w:pStyle w:val="SingleTxtGC"/>
      </w:pPr>
      <w:r w:rsidRPr="00C30704">
        <w:tab/>
        <w:t>(k)</w:t>
      </w:r>
      <w:r w:rsidRPr="00C30704">
        <w:tab/>
      </w:r>
      <w:r w:rsidRPr="00C30704">
        <w:t>制定了《暴力、酷刑和其他残忍、不人道或有辱人格的待遇或处罚的医疗文件记录规则》；</w:t>
      </w:r>
      <w:r w:rsidRPr="00C30704">
        <w:t>2021</w:t>
      </w:r>
      <w:r w:rsidRPr="00C30704">
        <w:t>年</w:t>
      </w:r>
      <w:r w:rsidRPr="00C30704">
        <w:t>1</w:t>
      </w:r>
      <w:r w:rsidRPr="00C30704">
        <w:t>月通过了关于执行《酷刑和其他残忍、不人道或有辱人格的待遇或处罚的有效调查和文件记录手册》</w:t>
      </w:r>
      <w:r w:rsidRPr="00C30704">
        <w:t>(</w:t>
      </w:r>
      <w:r w:rsidRPr="00C30704">
        <w:t>《伊斯坦布尔规程》</w:t>
      </w:r>
      <w:r w:rsidRPr="00C30704">
        <w:t>)</w:t>
      </w:r>
      <w:r w:rsidRPr="00C30704">
        <w:t>原则的行动计划；以及设立了一个执行《伊斯坦布尔规程》的机构间工作组。</w:t>
      </w:r>
    </w:p>
    <w:p w14:paraId="67DA8726" w14:textId="1113AF6D" w:rsidR="00C30704" w:rsidRPr="00D306C0" w:rsidRDefault="00D306C0" w:rsidP="00D306C0">
      <w:pPr>
        <w:pStyle w:val="H1GC"/>
      </w:pPr>
      <w:r w:rsidRPr="00D306C0">
        <w:tab/>
        <w:t>C.</w:t>
      </w:r>
      <w:r w:rsidRPr="00D306C0">
        <w:tab/>
      </w:r>
      <w:r w:rsidR="00C30704" w:rsidRPr="00D306C0">
        <w:t>关注的主要问题及建议</w:t>
      </w:r>
    </w:p>
    <w:p w14:paraId="457FAF38" w14:textId="01B924E6" w:rsidR="00C30704" w:rsidRPr="00D306C0" w:rsidRDefault="00D306C0" w:rsidP="00D306C0">
      <w:pPr>
        <w:pStyle w:val="H23GC"/>
      </w:pPr>
      <w:r w:rsidRPr="00C30704">
        <w:tab/>
      </w:r>
      <w:r w:rsidRPr="00C30704">
        <w:tab/>
      </w:r>
      <w:r w:rsidR="00C30704" w:rsidRPr="00C30704">
        <w:t>上一报告周期遗留的后续行动问题</w:t>
      </w:r>
    </w:p>
    <w:p w14:paraId="4E71DF32" w14:textId="77777777" w:rsidR="00C30704" w:rsidRPr="00C30704" w:rsidRDefault="00C30704" w:rsidP="00C30704">
      <w:pPr>
        <w:pStyle w:val="SingleTxtGC"/>
      </w:pPr>
      <w:r w:rsidRPr="00C30704">
        <w:t>7.</w:t>
      </w:r>
      <w:r w:rsidRPr="00C30704">
        <w:tab/>
      </w:r>
      <w:r w:rsidRPr="00C30704">
        <w:t>委员会在上一份结论性意见</w:t>
      </w:r>
      <w:r w:rsidRPr="00C30704">
        <w:rPr>
          <w:vertAlign w:val="superscript"/>
        </w:rPr>
        <w:footnoteReference w:id="5"/>
      </w:r>
      <w:r w:rsidRPr="00C30704">
        <w:t>中请缔约国提供后续资料，说明采取了哪些措施来落实委员会关于普遍存在的酷刑和虐待行为有罪不罚及有案不查的建议</w:t>
      </w:r>
      <w:r w:rsidRPr="00C30704">
        <w:rPr>
          <w:vertAlign w:val="superscript"/>
        </w:rPr>
        <w:footnoteReference w:id="6"/>
      </w:r>
      <w:r w:rsidRPr="00C30704">
        <w:t>；以及关于酷刑定义与刑罪化</w:t>
      </w:r>
      <w:r w:rsidRPr="00C30704">
        <w:rPr>
          <w:vertAlign w:val="superscript"/>
        </w:rPr>
        <w:footnoteReference w:id="7"/>
      </w:r>
      <w:r w:rsidRPr="00C30704">
        <w:t>和国际人权机构</w:t>
      </w:r>
      <w:r w:rsidRPr="00C30704">
        <w:rPr>
          <w:vertAlign w:val="superscript"/>
        </w:rPr>
        <w:footnoteReference w:id="8"/>
      </w:r>
      <w:r w:rsidRPr="00C30704">
        <w:t>的</w:t>
      </w:r>
      <w:r w:rsidRPr="00C30704">
        <w:rPr>
          <w:rFonts w:hint="eastAsia"/>
        </w:rPr>
        <w:t>建议</w:t>
      </w:r>
      <w:r w:rsidRPr="00C30704">
        <w:t>。虽然委员会结论性意见后续行动报告员于</w:t>
      </w:r>
      <w:r w:rsidRPr="00C30704">
        <w:t>2014</w:t>
      </w:r>
      <w:r w:rsidRPr="00C30704">
        <w:t>年</w:t>
      </w:r>
      <w:r w:rsidRPr="00C30704">
        <w:t>12</w:t>
      </w:r>
      <w:r w:rsidRPr="00C30704">
        <w:t>月</w:t>
      </w:r>
      <w:r w:rsidRPr="00C30704">
        <w:t>8</w:t>
      </w:r>
      <w:r w:rsidRPr="00C30704">
        <w:t>日向缔约国发出了提醒函，但委员会没有收到缔约国的答复。委员会认为，上一份结论性意见第</w:t>
      </w:r>
      <w:r w:rsidRPr="00C30704">
        <w:t>7</w:t>
      </w:r>
      <w:r w:rsidRPr="00C30704">
        <w:t>、</w:t>
      </w:r>
      <w:r w:rsidRPr="00C30704">
        <w:t>8</w:t>
      </w:r>
      <w:r w:rsidRPr="00C30704">
        <w:t>、</w:t>
      </w:r>
      <w:r w:rsidRPr="00C30704">
        <w:t>10</w:t>
      </w:r>
      <w:r w:rsidRPr="00C30704">
        <w:t>和</w:t>
      </w:r>
      <w:r w:rsidRPr="00C30704">
        <w:t>14</w:t>
      </w:r>
      <w:r w:rsidRPr="00C30704">
        <w:t>段中的建议尚未得到落实</w:t>
      </w:r>
      <w:r w:rsidRPr="00C30704">
        <w:t>(</w:t>
      </w:r>
      <w:r w:rsidRPr="00C30704">
        <w:t>见下文第</w:t>
      </w:r>
      <w:r w:rsidRPr="00C30704">
        <w:t>9</w:t>
      </w:r>
      <w:r w:rsidRPr="00C30704">
        <w:t>、</w:t>
      </w:r>
      <w:r w:rsidRPr="00C30704">
        <w:t>11</w:t>
      </w:r>
      <w:r w:rsidRPr="00C30704">
        <w:t>、</w:t>
      </w:r>
      <w:r w:rsidRPr="00C30704">
        <w:t>13</w:t>
      </w:r>
      <w:r w:rsidRPr="00C30704">
        <w:t>和</w:t>
      </w:r>
      <w:r w:rsidRPr="00C30704">
        <w:t>25</w:t>
      </w:r>
      <w:r w:rsidRPr="00C30704">
        <w:t>段</w:t>
      </w:r>
      <w:r w:rsidRPr="00C30704">
        <w:t>)</w:t>
      </w:r>
      <w:r w:rsidRPr="00C30704">
        <w:t>。</w:t>
      </w:r>
    </w:p>
    <w:p w14:paraId="018C5191" w14:textId="5210DC6F" w:rsidR="00C30704" w:rsidRPr="00D306C0" w:rsidRDefault="00D306C0" w:rsidP="00D306C0">
      <w:pPr>
        <w:pStyle w:val="H23GC"/>
      </w:pPr>
      <w:r w:rsidRPr="00C30704">
        <w:lastRenderedPageBreak/>
        <w:tab/>
      </w:r>
      <w:r w:rsidRPr="00C30704">
        <w:tab/>
      </w:r>
      <w:r w:rsidR="00C30704" w:rsidRPr="00C30704">
        <w:t>酷刑</w:t>
      </w:r>
      <w:r w:rsidR="00C30704" w:rsidRPr="00C30704">
        <w:rPr>
          <w:rFonts w:hint="eastAsia"/>
        </w:rPr>
        <w:t>的</w:t>
      </w:r>
      <w:r w:rsidR="00C30704" w:rsidRPr="00C30704">
        <w:t>定义和刑罪化</w:t>
      </w:r>
    </w:p>
    <w:p w14:paraId="7F21D754" w14:textId="77777777" w:rsidR="00C30704" w:rsidRPr="00C30704" w:rsidRDefault="00C30704" w:rsidP="00C30704">
      <w:pPr>
        <w:pStyle w:val="SingleTxtGC"/>
      </w:pPr>
      <w:r w:rsidRPr="00C30704">
        <w:t>8.</w:t>
      </w:r>
      <w:r w:rsidRPr="00C30704">
        <w:tab/>
      </w:r>
      <w:r w:rsidRPr="00C30704">
        <w:t>委员会提及其上一份结论性意见</w:t>
      </w:r>
      <w:r w:rsidRPr="00C30704">
        <w:rPr>
          <w:vertAlign w:val="superscript"/>
        </w:rPr>
        <w:footnoteReference w:id="9"/>
      </w:r>
      <w:r w:rsidRPr="00C30704">
        <w:t>，并注意到代表团的主张，即《刑法》第</w:t>
      </w:r>
      <w:r w:rsidRPr="00C30704">
        <w:t>305</w:t>
      </w:r>
      <w:r w:rsidRPr="00C30704">
        <w:t>条第</w:t>
      </w:r>
      <w:r w:rsidRPr="00C30704">
        <w:t>1</w:t>
      </w:r>
      <w:r w:rsidRPr="00C30704">
        <w:t>款及其对酷刑的定义不限于公职人员的刑事责任，而是适用于任何犯有酷刑罪的人。委员会关切地注意到，缔约国的立法并</w:t>
      </w:r>
      <w:r w:rsidRPr="00C30704">
        <w:rPr>
          <w:rFonts w:hint="eastAsia"/>
        </w:rPr>
        <w:t>未</w:t>
      </w:r>
      <w:r w:rsidRPr="00C30704">
        <w:t>排除对酷刑罪适用总统赦免。在这方面，委员会重申其观点，即对酷刑的大赦和特赦不符合缔约国确保禁止酷刑的绝对和不可克减的义务，正如委员会关于执行第</w:t>
      </w:r>
      <w:r w:rsidRPr="00C30704">
        <w:t>2</w:t>
      </w:r>
      <w:r w:rsidRPr="00C30704">
        <w:t>条规定的第</w:t>
      </w:r>
      <w:r w:rsidRPr="00C30704">
        <w:t>2</w:t>
      </w:r>
      <w:r w:rsidRPr="00C30704">
        <w:t>号一般性意见</w:t>
      </w:r>
      <w:r w:rsidRPr="00C30704">
        <w:t>(2007</w:t>
      </w:r>
      <w:r w:rsidRPr="00C30704">
        <w:t>年</w:t>
      </w:r>
      <w:r w:rsidRPr="00C30704">
        <w:t>)</w:t>
      </w:r>
      <w:r w:rsidRPr="00C30704">
        <w:t>关于对第</w:t>
      </w:r>
      <w:r w:rsidRPr="00C30704">
        <w:t>14</w:t>
      </w:r>
      <w:r w:rsidRPr="00C30704">
        <w:t>条的执行的第</w:t>
      </w:r>
      <w:r w:rsidRPr="00C30704">
        <w:t>3</w:t>
      </w:r>
      <w:r w:rsidRPr="00C30704">
        <w:t>号一般性意见</w:t>
      </w:r>
      <w:r w:rsidRPr="00C30704">
        <w:t>(2012</w:t>
      </w:r>
      <w:r w:rsidRPr="00C30704">
        <w:t>年</w:t>
      </w:r>
      <w:r w:rsidRPr="00C30704">
        <w:t>)(</w:t>
      </w:r>
      <w:r w:rsidRPr="00C30704">
        <w:t>第</w:t>
      </w:r>
      <w:r w:rsidRPr="00C30704">
        <w:t>1</w:t>
      </w:r>
      <w:r w:rsidRPr="00C30704">
        <w:t>、</w:t>
      </w:r>
      <w:r w:rsidRPr="00C30704">
        <w:t>2</w:t>
      </w:r>
      <w:r w:rsidRPr="00C30704">
        <w:t>和</w:t>
      </w:r>
      <w:r w:rsidRPr="00C30704">
        <w:t>4</w:t>
      </w:r>
      <w:r w:rsidRPr="00C30704">
        <w:t>条</w:t>
      </w:r>
      <w:r w:rsidRPr="00C30704">
        <w:t>)</w:t>
      </w:r>
      <w:r w:rsidRPr="00C30704">
        <w:t>所述。</w:t>
      </w:r>
    </w:p>
    <w:p w14:paraId="504E9F70" w14:textId="77777777" w:rsidR="00C30704" w:rsidRPr="00C30704" w:rsidRDefault="00C30704" w:rsidP="00C30704">
      <w:pPr>
        <w:pStyle w:val="SingleTxtGC"/>
        <w:rPr>
          <w:rFonts w:eastAsia="黑体"/>
        </w:rPr>
      </w:pPr>
      <w:r w:rsidRPr="00C30704">
        <w:rPr>
          <w:rFonts w:eastAsia="黑体"/>
        </w:rPr>
        <w:t>9.</w:t>
      </w:r>
      <w:r w:rsidRPr="00C30704">
        <w:rPr>
          <w:rFonts w:eastAsia="黑体"/>
        </w:rPr>
        <w:tab/>
      </w:r>
      <w:r w:rsidRPr="00C30704">
        <w:rPr>
          <w:rFonts w:eastAsia="黑体"/>
        </w:rPr>
        <w:t>缔约国应：</w:t>
      </w:r>
    </w:p>
    <w:p w14:paraId="73475CAF"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使《刑法》第</w:t>
      </w:r>
      <w:r w:rsidRPr="00C30704">
        <w:rPr>
          <w:rFonts w:eastAsia="黑体"/>
        </w:rPr>
        <w:t>305</w:t>
      </w:r>
      <w:r w:rsidRPr="00C30704">
        <w:rPr>
          <w:rFonts w:eastAsia="黑体"/>
        </w:rPr>
        <w:t>条第</w:t>
      </w:r>
      <w:r w:rsidRPr="00C30704">
        <w:rPr>
          <w:rFonts w:eastAsia="黑体"/>
        </w:rPr>
        <w:t>1</w:t>
      </w:r>
      <w:r w:rsidRPr="00C30704">
        <w:rPr>
          <w:rFonts w:eastAsia="黑体"/>
        </w:rPr>
        <w:t>款的内容符合《公约》第</w:t>
      </w:r>
      <w:r w:rsidRPr="00C30704">
        <w:rPr>
          <w:rFonts w:eastAsia="黑体"/>
        </w:rPr>
        <w:t>1</w:t>
      </w:r>
      <w:r w:rsidRPr="00C30704">
        <w:rPr>
          <w:rFonts w:eastAsia="黑体"/>
        </w:rPr>
        <w:t>条所载的所有要素；</w:t>
      </w:r>
    </w:p>
    <w:p w14:paraId="13BB8CFA"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消除赦免被判犯有酷刑罪者的可能性。</w:t>
      </w:r>
    </w:p>
    <w:p w14:paraId="1D1C1FC6" w14:textId="6B958222" w:rsidR="00C30704" w:rsidRPr="00D306C0" w:rsidRDefault="00D306C0" w:rsidP="00D306C0">
      <w:pPr>
        <w:pStyle w:val="H23GC"/>
      </w:pPr>
      <w:r w:rsidRPr="00C30704">
        <w:tab/>
      </w:r>
      <w:r w:rsidRPr="00C30704">
        <w:tab/>
      </w:r>
      <w:r w:rsidR="00C30704" w:rsidRPr="00C30704">
        <w:t>国家人权机构</w:t>
      </w:r>
    </w:p>
    <w:p w14:paraId="5AFBB74F" w14:textId="77777777" w:rsidR="00C30704" w:rsidRPr="00C30704" w:rsidRDefault="00C30704" w:rsidP="00C30704">
      <w:pPr>
        <w:pStyle w:val="SingleTxtGC"/>
      </w:pPr>
      <w:r w:rsidRPr="00C30704">
        <w:t>10.</w:t>
      </w:r>
      <w:r w:rsidRPr="00C30704">
        <w:tab/>
      </w:r>
      <w:r w:rsidRPr="00C30704">
        <w:t>委员会感到遗憾的是，尽管委员会在上一份结论性意见</w:t>
      </w:r>
      <w:r w:rsidRPr="00C30704">
        <w:rPr>
          <w:vertAlign w:val="superscript"/>
        </w:rPr>
        <w:footnoteReference w:id="10"/>
      </w:r>
      <w:r w:rsidRPr="00C30704">
        <w:t>中已有提及，但监察员办公室的组织方式仍</w:t>
      </w:r>
      <w:r w:rsidRPr="00C30704">
        <w:rPr>
          <w:rFonts w:hint="eastAsia"/>
        </w:rPr>
        <w:t>不</w:t>
      </w:r>
      <w:r w:rsidRPr="00C30704">
        <w:t>完全符合《关于促进和保护人权的国家机构的地位的原则》</w:t>
      </w:r>
      <w:r w:rsidRPr="00C30704">
        <w:t>(</w:t>
      </w:r>
      <w:r w:rsidRPr="00C30704">
        <w:t>《巴黎原则》</w:t>
      </w:r>
      <w:r w:rsidRPr="00C30704">
        <w:t>)</w:t>
      </w:r>
      <w:r w:rsidRPr="00C30704">
        <w:t>，并且《监察员</w:t>
      </w:r>
      <w:r w:rsidRPr="00C30704">
        <w:t>(Akyikatchy)</w:t>
      </w:r>
      <w:r w:rsidRPr="00C30704">
        <w:t>法》仍然规定，如果年度报告未获批准，监察员可被免职。委员会注意到，已经起草了一部关于监察员的新法律</w:t>
      </w:r>
      <w:r w:rsidRPr="00C30704">
        <w:rPr>
          <w:rFonts w:hint="eastAsia"/>
        </w:rPr>
        <w:t>，</w:t>
      </w:r>
      <w:r w:rsidRPr="00C30704">
        <w:t>正在接受议会的审议，该法律除其他外修订了监察员的选举和解职程序以及监察员办公室的法律地位和职权。然而，委员会感到遗憾的是，该法律草案于</w:t>
      </w:r>
      <w:r w:rsidRPr="00C30704">
        <w:t>2017</w:t>
      </w:r>
      <w:r w:rsidRPr="00C30704">
        <w:t>年提交议会，目前仍在接受审议</w:t>
      </w:r>
      <w:r w:rsidRPr="00C30704">
        <w:t>(</w:t>
      </w:r>
      <w:r w:rsidRPr="00C30704">
        <w:t>第</w:t>
      </w:r>
      <w:r w:rsidRPr="00C30704">
        <w:t>2</w:t>
      </w:r>
      <w:r w:rsidRPr="00C30704">
        <w:t>、</w:t>
      </w:r>
      <w:r w:rsidRPr="00C30704">
        <w:t>11</w:t>
      </w:r>
      <w:r w:rsidRPr="00C30704">
        <w:t>和</w:t>
      </w:r>
      <w:r w:rsidRPr="00C30704">
        <w:t>13</w:t>
      </w:r>
      <w:r w:rsidRPr="00C30704">
        <w:t>条</w:t>
      </w:r>
      <w:r w:rsidRPr="00C30704">
        <w:t>)</w:t>
      </w:r>
      <w:r w:rsidRPr="00C30704">
        <w:t>。</w:t>
      </w:r>
    </w:p>
    <w:p w14:paraId="05B43D60" w14:textId="77777777" w:rsidR="00C30704" w:rsidRPr="00C30704" w:rsidRDefault="00C30704" w:rsidP="00C30704">
      <w:pPr>
        <w:pStyle w:val="SingleTxtGC"/>
        <w:rPr>
          <w:rFonts w:eastAsia="黑体"/>
        </w:rPr>
      </w:pPr>
      <w:r w:rsidRPr="00C30704">
        <w:rPr>
          <w:rFonts w:eastAsia="黑体"/>
        </w:rPr>
        <w:t>11.</w:t>
      </w:r>
      <w:r w:rsidRPr="00C30704">
        <w:rPr>
          <w:rFonts w:eastAsia="黑体"/>
        </w:rPr>
        <w:tab/>
      </w:r>
      <w:r w:rsidRPr="00C30704">
        <w:rPr>
          <w:rFonts w:eastAsia="黑体"/>
        </w:rPr>
        <w:t>缔约国应采取必要措施，根据《巴黎原则》加强监察员办公室的任务和独立性，并确保</w:t>
      </w:r>
      <w:r w:rsidRPr="00C30704">
        <w:rPr>
          <w:rFonts w:eastAsia="黑体" w:hint="eastAsia"/>
        </w:rPr>
        <w:t>该办公室</w:t>
      </w:r>
      <w:r w:rsidRPr="00C30704">
        <w:rPr>
          <w:rFonts w:eastAsia="黑体"/>
        </w:rPr>
        <w:t>有足够的财政和人力资源，使其能够独立且有效地执行任务。</w:t>
      </w:r>
    </w:p>
    <w:p w14:paraId="6EA34006" w14:textId="72406131" w:rsidR="00C30704" w:rsidRPr="00D306C0" w:rsidRDefault="00D306C0" w:rsidP="00D306C0">
      <w:pPr>
        <w:pStyle w:val="H23GC"/>
      </w:pPr>
      <w:r w:rsidRPr="00C30704">
        <w:tab/>
      </w:r>
      <w:r w:rsidRPr="00C30704">
        <w:tab/>
      </w:r>
      <w:r w:rsidR="00C30704" w:rsidRPr="00C30704">
        <w:t>国家防范机制</w:t>
      </w:r>
    </w:p>
    <w:p w14:paraId="07DC1035" w14:textId="77777777" w:rsidR="00C30704" w:rsidRPr="00C30704" w:rsidRDefault="00C30704" w:rsidP="00C30704">
      <w:pPr>
        <w:pStyle w:val="SingleTxtGC"/>
      </w:pPr>
      <w:r w:rsidRPr="00C30704">
        <w:t>12.</w:t>
      </w:r>
      <w:r w:rsidRPr="00C30704">
        <w:tab/>
      </w:r>
      <w:r w:rsidRPr="00C30704">
        <w:t>尽管缔约国为促进国家防范酷刑中心的发展作出了普遍努力，但委员会认为，仍存在阻碍该中心有效运作的障碍。委员会关切地注意到，《刑法》中关于处罚任何妨碍人权协调委员会或国家防范酷刑中心行使权力的特别条款</w:t>
      </w:r>
      <w:r w:rsidRPr="00C30704">
        <w:t>(</w:t>
      </w:r>
      <w:r w:rsidRPr="00C30704">
        <w:t>第</w:t>
      </w:r>
      <w:r w:rsidRPr="00C30704">
        <w:t>146</w:t>
      </w:r>
      <w:r w:rsidRPr="00C30704">
        <w:t>条第</w:t>
      </w:r>
      <w:r w:rsidRPr="00C30704">
        <w:t>2</w:t>
      </w:r>
      <w:r w:rsidRPr="00C30704">
        <w:t>款</w:t>
      </w:r>
      <w:r w:rsidRPr="00C30704">
        <w:t>)</w:t>
      </w:r>
      <w:r w:rsidRPr="00C30704">
        <w:t>已被废除。此外，委员会感到遗憾的是，国家防范酷刑中心未能履行其任务，没有进行预期的访问，特别是在大流行病期间，主要原因是缺乏人力和预算资源，特别是因为各地区办事处的资源不足。委员会注意到，代表团称，</w:t>
      </w:r>
      <w:r w:rsidRPr="00C30704">
        <w:t>2022</w:t>
      </w:r>
      <w:r w:rsidRPr="00C30704">
        <w:t>年预算草案已解决了人力和预算资源不足的问题，并将增加国家防范酷刑中心的预算分配额度</w:t>
      </w:r>
      <w:r w:rsidRPr="00C30704">
        <w:t>(</w:t>
      </w:r>
      <w:r w:rsidRPr="00C30704">
        <w:t>第</w:t>
      </w:r>
      <w:r w:rsidRPr="00C30704">
        <w:t>2</w:t>
      </w:r>
      <w:r w:rsidRPr="00C30704">
        <w:t>条</w:t>
      </w:r>
      <w:r w:rsidRPr="00C30704">
        <w:t>)</w:t>
      </w:r>
      <w:r w:rsidRPr="00C30704">
        <w:t>。</w:t>
      </w:r>
    </w:p>
    <w:p w14:paraId="206675A2" w14:textId="77777777" w:rsidR="00C30704" w:rsidRPr="00C30704" w:rsidRDefault="00C30704" w:rsidP="00C30704">
      <w:pPr>
        <w:pStyle w:val="SingleTxtGC"/>
        <w:rPr>
          <w:rFonts w:eastAsia="黑体"/>
        </w:rPr>
      </w:pPr>
      <w:r w:rsidRPr="00C30704">
        <w:rPr>
          <w:rFonts w:eastAsia="黑体"/>
        </w:rPr>
        <w:t>13.</w:t>
      </w:r>
      <w:r w:rsidRPr="00C30704">
        <w:rPr>
          <w:rFonts w:eastAsia="黑体"/>
        </w:rPr>
        <w:tab/>
      </w:r>
      <w:r w:rsidRPr="00C30704">
        <w:rPr>
          <w:rFonts w:eastAsia="黑体"/>
        </w:rPr>
        <w:t>缔约国应：</w:t>
      </w:r>
    </w:p>
    <w:p w14:paraId="15BB7A0E"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在《刑法》中重新纳入第</w:t>
      </w:r>
      <w:r w:rsidRPr="00C30704">
        <w:rPr>
          <w:rFonts w:eastAsia="黑体"/>
        </w:rPr>
        <w:t>146</w:t>
      </w:r>
      <w:r w:rsidRPr="00C30704">
        <w:rPr>
          <w:rFonts w:eastAsia="黑体"/>
        </w:rPr>
        <w:t>条第</w:t>
      </w:r>
      <w:r w:rsidRPr="00C30704">
        <w:rPr>
          <w:rFonts w:eastAsia="黑体"/>
        </w:rPr>
        <w:t>2</w:t>
      </w:r>
      <w:r w:rsidRPr="00C30704">
        <w:rPr>
          <w:rFonts w:eastAsia="黑体"/>
        </w:rPr>
        <w:t>款，并确保对任何阻挠或干涉国家防范酷刑中心工作的行为</w:t>
      </w:r>
      <w:r w:rsidRPr="00C30704">
        <w:rPr>
          <w:rFonts w:eastAsia="黑体" w:hint="eastAsia"/>
        </w:rPr>
        <w:t>开展</w:t>
      </w:r>
      <w:r w:rsidRPr="00C30704">
        <w:rPr>
          <w:rFonts w:eastAsia="黑体"/>
        </w:rPr>
        <w:t>有效调查，将责任人绳之以法；</w:t>
      </w:r>
    </w:p>
    <w:p w14:paraId="54463963" w14:textId="77777777" w:rsidR="00C30704" w:rsidRPr="00C30704" w:rsidRDefault="00C30704" w:rsidP="00C30704">
      <w:pPr>
        <w:pStyle w:val="SingleTxtGC"/>
        <w:rPr>
          <w:rFonts w:eastAsia="黑体"/>
        </w:rPr>
      </w:pPr>
      <w:r w:rsidRPr="00C30704">
        <w:rPr>
          <w:rFonts w:eastAsia="黑体"/>
        </w:rPr>
        <w:lastRenderedPageBreak/>
        <w:tab/>
        <w:t>(b)</w:t>
      </w:r>
      <w:r w:rsidRPr="00C30704">
        <w:rPr>
          <w:rFonts w:eastAsia="黑体"/>
        </w:rPr>
        <w:tab/>
      </w:r>
      <w:r w:rsidRPr="00C30704">
        <w:rPr>
          <w:rFonts w:eastAsia="黑体"/>
        </w:rPr>
        <w:t>确保国家防范酷刑中心拥有必要的财政、人力和物力资源，以便该中心能在全国各地有效执行任务，不受阻碍地进入所有剥夺自由的场所，保密地会见被拘留者，并就其调查结果和建议与有关当局采取后续行动。</w:t>
      </w:r>
    </w:p>
    <w:p w14:paraId="25145DB0" w14:textId="1086E19A" w:rsidR="00C30704" w:rsidRPr="00D306C0" w:rsidRDefault="00D306C0" w:rsidP="00D306C0">
      <w:pPr>
        <w:pStyle w:val="H23GC"/>
      </w:pPr>
      <w:r w:rsidRPr="00C30704">
        <w:tab/>
      </w:r>
      <w:r w:rsidRPr="00C30704">
        <w:tab/>
      </w:r>
      <w:r w:rsidR="00C30704" w:rsidRPr="00C30704">
        <w:t>基本法律保障</w:t>
      </w:r>
    </w:p>
    <w:p w14:paraId="195AF0CC" w14:textId="77777777" w:rsidR="00C30704" w:rsidRPr="00C30704" w:rsidRDefault="00C30704" w:rsidP="00C30704">
      <w:pPr>
        <w:pStyle w:val="SingleTxtGC"/>
      </w:pPr>
      <w:r w:rsidRPr="00C30704">
        <w:t>14.</w:t>
      </w:r>
      <w:r w:rsidRPr="00C30704">
        <w:tab/>
      </w:r>
      <w:r w:rsidRPr="00C30704">
        <w:t>委员会重申其关切所有被剥夺自由者，特别是被审前拘留的人</w:t>
      </w:r>
      <w:r w:rsidRPr="00C30704">
        <w:rPr>
          <w:rFonts w:hint="eastAsia"/>
        </w:rPr>
        <w:t>实际上</w:t>
      </w:r>
      <w:r w:rsidRPr="00C30704">
        <w:t>从被剥夺自由</w:t>
      </w:r>
      <w:r w:rsidRPr="00C30704">
        <w:rPr>
          <w:rFonts w:hint="eastAsia"/>
        </w:rPr>
        <w:t>起就</w:t>
      </w:r>
      <w:r w:rsidRPr="00C30704">
        <w:t>无法享有所有基本法律保障。委员会感到关切的是，有报告称，被拘留者无法及时获得律师的帮助，在许多案件中</w:t>
      </w:r>
      <w:r w:rsidRPr="00C30704">
        <w:rPr>
          <w:rFonts w:hint="eastAsia"/>
        </w:rPr>
        <w:t>他们</w:t>
      </w:r>
      <w:r w:rsidRPr="00C30704">
        <w:t>直到审判时才能接触律师；国家保障提供法律援助，但相关律师名册上的人数很少，而且在偏远地区没有此类律师；以及无法获得高质量法律援助。此外，临时拘留所和审前拘留所缺少会见室，律师</w:t>
      </w:r>
      <w:r w:rsidRPr="00C30704">
        <w:rPr>
          <w:rFonts w:hint="eastAsia"/>
        </w:rPr>
        <w:t>需</w:t>
      </w:r>
      <w:r w:rsidRPr="00C30704">
        <w:t>要等候很久才能会见当事人。有报告称，很多监狱医务人员接受了《伊斯坦布尔规程》的培训，委员会对此表示欢迎，但同时感到关切的是，有指控称，一些检查敷衍潦草，有时还被拖延，并且是由审前拘留所的非医务人员操作的。最后，委员会极为关切地注意到，未成年人在其律师、父母或其他可信赖的人不在场的情况下接受初步讯问</w:t>
      </w:r>
      <w:r w:rsidRPr="00C30704">
        <w:t>(</w:t>
      </w:r>
      <w:r w:rsidRPr="00C30704">
        <w:t>第</w:t>
      </w:r>
      <w:r w:rsidRPr="00C30704">
        <w:t>2</w:t>
      </w:r>
      <w:r w:rsidRPr="00C30704">
        <w:t>、</w:t>
      </w:r>
      <w:r w:rsidRPr="00C30704">
        <w:t>11</w:t>
      </w:r>
      <w:r w:rsidRPr="00C30704">
        <w:t>、</w:t>
      </w:r>
      <w:r w:rsidRPr="00C30704">
        <w:t>12</w:t>
      </w:r>
      <w:r w:rsidRPr="00C30704">
        <w:t>、</w:t>
      </w:r>
      <w:r w:rsidRPr="00C30704">
        <w:t>13</w:t>
      </w:r>
      <w:r w:rsidRPr="00C30704">
        <w:t>、</w:t>
      </w:r>
      <w:r w:rsidRPr="00C30704">
        <w:t>15</w:t>
      </w:r>
      <w:r w:rsidRPr="00C30704">
        <w:t>和</w:t>
      </w:r>
      <w:r w:rsidRPr="00C30704">
        <w:t>16</w:t>
      </w:r>
      <w:r w:rsidRPr="00C30704">
        <w:t>条</w:t>
      </w:r>
      <w:r w:rsidRPr="00C30704">
        <w:t>)</w:t>
      </w:r>
      <w:r w:rsidRPr="00C30704">
        <w:t>。</w:t>
      </w:r>
    </w:p>
    <w:p w14:paraId="50D47D01" w14:textId="77777777" w:rsidR="00C30704" w:rsidRPr="00C30704" w:rsidRDefault="00C30704" w:rsidP="00C30704">
      <w:pPr>
        <w:pStyle w:val="SingleTxtGC"/>
        <w:rPr>
          <w:rFonts w:eastAsia="黑体"/>
        </w:rPr>
      </w:pPr>
      <w:r w:rsidRPr="00C30704">
        <w:rPr>
          <w:rFonts w:eastAsia="黑体"/>
        </w:rPr>
        <w:t>15.</w:t>
      </w:r>
      <w:r w:rsidRPr="00C30704">
        <w:rPr>
          <w:rFonts w:eastAsia="黑体"/>
        </w:rPr>
        <w:tab/>
      </w:r>
      <w:r w:rsidRPr="00C30704">
        <w:rPr>
          <w:rFonts w:eastAsia="黑体"/>
        </w:rPr>
        <w:t>委员会回顾其先前</w:t>
      </w:r>
      <w:r w:rsidRPr="00C30704">
        <w:rPr>
          <w:rFonts w:eastAsia="黑体" w:hint="eastAsia"/>
        </w:rPr>
        <w:t>的</w:t>
      </w:r>
      <w:r w:rsidRPr="00C30704">
        <w:rPr>
          <w:rFonts w:eastAsia="黑体"/>
        </w:rPr>
        <w:t>建议</w:t>
      </w:r>
      <w:r w:rsidRPr="00C30704">
        <w:rPr>
          <w:rFonts w:eastAsia="黑体" w:hint="eastAsia"/>
        </w:rPr>
        <w:t>，</w:t>
      </w:r>
      <w:r w:rsidRPr="00C30704">
        <w:rPr>
          <w:rFonts w:eastAsia="黑体"/>
        </w:rPr>
        <w:footnoteReference w:id="11"/>
      </w:r>
      <w:r w:rsidRPr="00C30704">
        <w:rPr>
          <w:rFonts w:eastAsia="黑体" w:hint="eastAsia"/>
        </w:rPr>
        <w:t>其中建议</w:t>
      </w:r>
      <w:r w:rsidRPr="00C30704">
        <w:rPr>
          <w:rFonts w:eastAsia="黑体"/>
        </w:rPr>
        <w:t>缔约国确保所有被逮捕或</w:t>
      </w:r>
      <w:r w:rsidRPr="00C30704">
        <w:rPr>
          <w:rFonts w:eastAsia="黑体" w:hint="eastAsia"/>
        </w:rPr>
        <w:t>被</w:t>
      </w:r>
      <w:r w:rsidRPr="00C30704">
        <w:rPr>
          <w:rFonts w:eastAsia="黑体"/>
        </w:rPr>
        <w:t>拘留的人，包括未成年人，从被剥夺自由</w:t>
      </w:r>
      <w:r w:rsidRPr="00C30704">
        <w:rPr>
          <w:rFonts w:eastAsia="黑体" w:hint="eastAsia"/>
        </w:rPr>
        <w:t>起</w:t>
      </w:r>
      <w:r w:rsidRPr="00C30704">
        <w:rPr>
          <w:rFonts w:eastAsia="黑体"/>
        </w:rPr>
        <w:t>就能切实获得所有防范酷刑的基本法律保障，包括有权及时接触律师或在必要时获得免费法律援助，特别是在调查和审讯阶段，有权在进入拘留场所后要求立即由合格专业人员进行体检，并有权获得独立医生的诊治。缔约国应在向委员会提交的下一次定期报告中提供资料，说明所收到</w:t>
      </w:r>
      <w:r w:rsidRPr="00C30704">
        <w:rPr>
          <w:rFonts w:eastAsia="黑体" w:hint="eastAsia"/>
        </w:rPr>
        <w:t>的</w:t>
      </w:r>
      <w:r w:rsidRPr="00C30704">
        <w:rPr>
          <w:rFonts w:eastAsia="黑体"/>
        </w:rPr>
        <w:t>未确保基本法律保障的申诉数量以及这些申诉的结果。</w:t>
      </w:r>
    </w:p>
    <w:p w14:paraId="02CC605D" w14:textId="7749E668" w:rsidR="00C30704" w:rsidRPr="00D306C0" w:rsidRDefault="00D306C0" w:rsidP="00D306C0">
      <w:pPr>
        <w:pStyle w:val="H23GC"/>
      </w:pPr>
      <w:r w:rsidRPr="00C30704">
        <w:tab/>
      </w:r>
      <w:r w:rsidRPr="00C30704">
        <w:tab/>
      </w:r>
      <w:r w:rsidR="00C30704" w:rsidRPr="00C30704">
        <w:t>审前拘留期限</w:t>
      </w:r>
    </w:p>
    <w:p w14:paraId="759990D2" w14:textId="77777777" w:rsidR="00C30704" w:rsidRPr="00C30704" w:rsidRDefault="00C30704" w:rsidP="00C30704">
      <w:pPr>
        <w:pStyle w:val="SingleTxtGC"/>
      </w:pPr>
      <w:r w:rsidRPr="00C30704">
        <w:t>16.</w:t>
      </w:r>
      <w:r w:rsidRPr="00C30704">
        <w:tab/>
      </w:r>
      <w:r w:rsidRPr="00C30704">
        <w:t>委员会注意到《宪法》第</w:t>
      </w:r>
      <w:r w:rsidRPr="00C30704">
        <w:t>59</w:t>
      </w:r>
      <w:r w:rsidRPr="00C30704">
        <w:t>条第</w:t>
      </w:r>
      <w:r w:rsidRPr="00C30704">
        <w:t>4</w:t>
      </w:r>
      <w:r w:rsidRPr="00C30704">
        <w:t>款和《刑事诉讼法》第</w:t>
      </w:r>
      <w:r w:rsidRPr="00C30704">
        <w:t>45</w:t>
      </w:r>
      <w:r w:rsidRPr="00C30704">
        <w:t>条第</w:t>
      </w:r>
      <w:r w:rsidRPr="00C30704">
        <w:t>1</w:t>
      </w:r>
      <w:r w:rsidRPr="00C30704">
        <w:t>款第</w:t>
      </w:r>
      <w:r w:rsidRPr="00C30704">
        <w:t>11</w:t>
      </w:r>
      <w:r w:rsidRPr="00C30704">
        <w:t>项规定的保障，但委员会感到关切的是，虽然规定</w:t>
      </w:r>
      <w:r w:rsidRPr="00C30704">
        <w:rPr>
          <w:rFonts w:hint="eastAsia"/>
        </w:rPr>
        <w:t>了</w:t>
      </w:r>
      <w:r w:rsidRPr="00C30704">
        <w:t>被捕者必须在</w:t>
      </w:r>
      <w:r w:rsidRPr="00C30704">
        <w:t>48</w:t>
      </w:r>
      <w:r w:rsidRPr="00C30704">
        <w:t>小时内被带见法官，但这一时限是从他们被带至警察局的那一刻算起，而不是自他们被剥夺自由</w:t>
      </w:r>
      <w:r w:rsidRPr="00C30704">
        <w:rPr>
          <w:rFonts w:hint="eastAsia"/>
        </w:rPr>
        <w:t>时开</w:t>
      </w:r>
      <w:r w:rsidRPr="00C30704">
        <w:t>始。此外，如果调查人员和检察官提出需要进一步调查的理由，则</w:t>
      </w:r>
      <w:r w:rsidRPr="00C30704">
        <w:t>48</w:t>
      </w:r>
      <w:r w:rsidRPr="00C30704">
        <w:t>小时的时限可以延长。委员会感到关切的是，在实施冠状病毒病</w:t>
      </w:r>
      <w:r w:rsidRPr="00C30704">
        <w:t>(COVID-19)</w:t>
      </w:r>
      <w:r w:rsidRPr="00C30704">
        <w:t>管控措施时，在没有对被拘留者状况进行任何评估的情况下延长了他们的拘留期。根据委员会收到的资料，在一些州，特别是贾拉拉巴德州，很多本应被转至审前拘留所</w:t>
      </w:r>
      <w:r w:rsidRPr="00C30704">
        <w:rPr>
          <w:rFonts w:hint="eastAsia"/>
        </w:rPr>
        <w:t>的</w:t>
      </w:r>
      <w:r w:rsidRPr="00C30704">
        <w:t>被拘留者在整个审前拘留期间被非法关押在临时拘留所。委员会认为，将某人长期关押在临时拘留所可能构成残忍、不人道和有辱人格的待遇。委员会欢迎缔约国代表团提供了资料，说明将于</w:t>
      </w:r>
      <w:r w:rsidRPr="00C30704">
        <w:t>2021</w:t>
      </w:r>
      <w:r w:rsidRPr="00C30704">
        <w:t>年</w:t>
      </w:r>
      <w:r w:rsidRPr="00C30704">
        <w:t>12</w:t>
      </w:r>
      <w:r w:rsidRPr="00C30704">
        <w:t>月生效的新《刑事诉讼法》规定在审前拘留所的最长羁押时间不得超过一年，超期后应立即释放受指控人员</w:t>
      </w:r>
      <w:r w:rsidRPr="00C30704">
        <w:t>(</w:t>
      </w:r>
      <w:r w:rsidRPr="00C30704">
        <w:t>第</w:t>
      </w:r>
      <w:r w:rsidRPr="00C30704">
        <w:t>2</w:t>
      </w:r>
      <w:r w:rsidRPr="00C30704">
        <w:t>、</w:t>
      </w:r>
      <w:r w:rsidRPr="00C30704">
        <w:t>11</w:t>
      </w:r>
      <w:r w:rsidRPr="00C30704">
        <w:t>和</w:t>
      </w:r>
      <w:r w:rsidRPr="00C30704">
        <w:t>16</w:t>
      </w:r>
      <w:r w:rsidRPr="00C30704">
        <w:t>条</w:t>
      </w:r>
      <w:r w:rsidRPr="00C30704">
        <w:t>)</w:t>
      </w:r>
      <w:r w:rsidRPr="00C30704">
        <w:t>。</w:t>
      </w:r>
    </w:p>
    <w:p w14:paraId="1F55BB9C" w14:textId="77777777" w:rsidR="00C30704" w:rsidRPr="00C30704" w:rsidRDefault="00C30704" w:rsidP="00C30704">
      <w:pPr>
        <w:pStyle w:val="SingleTxtGC"/>
        <w:rPr>
          <w:rFonts w:eastAsia="黑体"/>
        </w:rPr>
      </w:pPr>
      <w:r w:rsidRPr="00C30704">
        <w:rPr>
          <w:rFonts w:eastAsia="黑体"/>
        </w:rPr>
        <w:t>17.</w:t>
      </w:r>
      <w:r w:rsidRPr="00C30704">
        <w:rPr>
          <w:rFonts w:eastAsia="黑体"/>
        </w:rPr>
        <w:tab/>
      </w:r>
      <w:r w:rsidRPr="00C30704">
        <w:rPr>
          <w:rFonts w:eastAsia="黑体"/>
        </w:rPr>
        <w:t>缔约国应：</w:t>
      </w:r>
    </w:p>
    <w:p w14:paraId="370B08B1"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确保被带见法官之前的拘留时间不超过</w:t>
      </w:r>
      <w:r w:rsidRPr="00C30704">
        <w:rPr>
          <w:rFonts w:eastAsia="黑体"/>
        </w:rPr>
        <w:t>48</w:t>
      </w:r>
      <w:r w:rsidRPr="00C30704">
        <w:rPr>
          <w:rFonts w:eastAsia="黑体"/>
        </w:rPr>
        <w:t>小时；</w:t>
      </w:r>
    </w:p>
    <w:p w14:paraId="3D5950E8"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在法律和实践中，确保将使用审前拘留作为最后手段</w:t>
      </w:r>
      <w:r w:rsidRPr="00C30704">
        <w:rPr>
          <w:rFonts w:eastAsia="黑体" w:hint="eastAsia"/>
        </w:rPr>
        <w:t>；</w:t>
      </w:r>
    </w:p>
    <w:p w14:paraId="2681AF9F" w14:textId="77777777" w:rsidR="00C30704" w:rsidRPr="00C30704" w:rsidRDefault="00C30704" w:rsidP="00C30704">
      <w:pPr>
        <w:pStyle w:val="SingleTxtGC"/>
        <w:rPr>
          <w:rFonts w:eastAsia="黑体" w:hint="eastAsia"/>
        </w:rPr>
      </w:pPr>
      <w:r w:rsidRPr="00C30704">
        <w:rPr>
          <w:rFonts w:eastAsia="黑体"/>
        </w:rPr>
        <w:tab/>
        <w:t>(c)</w:t>
      </w:r>
      <w:r w:rsidRPr="00C30704">
        <w:rPr>
          <w:rFonts w:eastAsia="黑体"/>
        </w:rPr>
        <w:tab/>
      </w:r>
      <w:r w:rsidRPr="00C30704">
        <w:rPr>
          <w:rFonts w:eastAsia="黑体"/>
        </w:rPr>
        <w:t>考虑以非拘禁措施替代审前拘留。</w:t>
      </w:r>
    </w:p>
    <w:p w14:paraId="583B2A59" w14:textId="1E2AA159" w:rsidR="00C30704" w:rsidRPr="00D306C0" w:rsidRDefault="00D306C0" w:rsidP="00D306C0">
      <w:pPr>
        <w:pStyle w:val="H23GC"/>
      </w:pPr>
      <w:r w:rsidRPr="00C30704">
        <w:lastRenderedPageBreak/>
        <w:tab/>
      </w:r>
      <w:r w:rsidRPr="00C30704">
        <w:tab/>
      </w:r>
      <w:r w:rsidR="00C30704" w:rsidRPr="00C30704">
        <w:t>暴力侵害妇女行为，包括抢婚</w:t>
      </w:r>
    </w:p>
    <w:p w14:paraId="70D46C06" w14:textId="77777777" w:rsidR="00C30704" w:rsidRPr="00C30704" w:rsidRDefault="00C30704" w:rsidP="00C30704">
      <w:pPr>
        <w:pStyle w:val="SingleTxtGC"/>
      </w:pPr>
      <w:r w:rsidRPr="00C30704">
        <w:t>18.</w:t>
      </w:r>
      <w:r w:rsidRPr="00C30704">
        <w:tab/>
      </w:r>
      <w:r w:rsidRPr="00C30704">
        <w:t>委员会欢迎</w:t>
      </w:r>
      <w:r w:rsidRPr="00C30704">
        <w:rPr>
          <w:rFonts w:hint="eastAsia"/>
        </w:rPr>
        <w:t>各种</w:t>
      </w:r>
      <w:r w:rsidRPr="00C30704">
        <w:t>打击一切形式暴力侵害妇女行为的举措，但委员会感到关切的是，暴力侵害妇女行为，特别是家庭暴力仍普遍存在，并且对这类案件罕有调查。执法机构和司法机构仍然未能有效调查关于暴力侵害妇女行为的申诉，也未能惩罚犯罪者。此外，</w:t>
      </w:r>
      <w:r w:rsidRPr="00C30704">
        <w:t>2020</w:t>
      </w:r>
      <w:r w:rsidRPr="00C30704">
        <w:t>年共报告了</w:t>
      </w:r>
      <w:r w:rsidRPr="00C30704">
        <w:t>9,025</w:t>
      </w:r>
      <w:r w:rsidRPr="00C30704">
        <w:t>起家庭暴力案件，其中只有</w:t>
      </w:r>
      <w:r w:rsidRPr="00C30704">
        <w:t>944</w:t>
      </w:r>
      <w:r w:rsidRPr="00C30704">
        <w:t>起被提交法院。委员会还感到关切的是，</w:t>
      </w:r>
      <w:r w:rsidRPr="00C30704">
        <w:t>2021</w:t>
      </w:r>
      <w:r w:rsidRPr="00C30704">
        <w:t>年通过的《刑事诉讼法》修正案将家庭暴力定为行政犯罪。委员会注意到，《刑法》条款加大了对抢婚行为的处罚，将其视为严重犯罪，但委员会仍对持续存在的为强迫婚姻目的绑架妇女和女童的行为感到关切。委员会希望缔约国提供最新资料，说明在这方面采取的补充措施及其效果</w:t>
      </w:r>
      <w:r w:rsidRPr="00C30704">
        <w:t>(</w:t>
      </w:r>
      <w:r w:rsidRPr="00C30704">
        <w:t>第</w:t>
      </w:r>
      <w:r w:rsidRPr="00C30704">
        <w:t>2</w:t>
      </w:r>
      <w:r w:rsidRPr="00C30704">
        <w:t>条和第</w:t>
      </w:r>
      <w:r w:rsidRPr="00C30704">
        <w:t>16</w:t>
      </w:r>
      <w:r w:rsidRPr="00C30704">
        <w:t>条</w:t>
      </w:r>
      <w:r w:rsidRPr="00C30704">
        <w:t>)</w:t>
      </w:r>
      <w:r w:rsidRPr="00C30704">
        <w:t>。</w:t>
      </w:r>
    </w:p>
    <w:p w14:paraId="20411E43" w14:textId="77777777" w:rsidR="00C30704" w:rsidRPr="00C30704" w:rsidRDefault="00C30704" w:rsidP="00C30704">
      <w:pPr>
        <w:pStyle w:val="SingleTxtGC"/>
        <w:rPr>
          <w:rFonts w:eastAsia="黑体"/>
        </w:rPr>
      </w:pPr>
      <w:r w:rsidRPr="00C30704">
        <w:rPr>
          <w:rFonts w:eastAsia="黑体"/>
        </w:rPr>
        <w:t>19.</w:t>
      </w:r>
      <w:r w:rsidRPr="00C30704">
        <w:rPr>
          <w:rFonts w:eastAsia="黑体"/>
        </w:rPr>
        <w:tab/>
      </w:r>
      <w:r w:rsidRPr="00C30704">
        <w:rPr>
          <w:rFonts w:eastAsia="黑体"/>
        </w:rPr>
        <w:t>缔约国应：</w:t>
      </w:r>
    </w:p>
    <w:p w14:paraId="7D32C262"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确保彻底调查所有暴力侵害妇女案件，特别是根据《公约》承担国际责任的缔约国国家当局或其他实体的行为或不作为的案件，起诉被指控的肇事者，如果被判有罪，予以适当惩罚，并确保受害人或其家人得到补救，包括适当赔偿；</w:t>
      </w:r>
    </w:p>
    <w:p w14:paraId="1F5825D6"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考虑为家庭暴力受害者设立一个有效和独立的申诉机制；</w:t>
      </w:r>
    </w:p>
    <w:p w14:paraId="13B03C84" w14:textId="77777777" w:rsidR="00C30704" w:rsidRPr="00C30704" w:rsidRDefault="00C30704" w:rsidP="00C30704">
      <w:pPr>
        <w:pStyle w:val="SingleTxtGC"/>
        <w:rPr>
          <w:rFonts w:eastAsia="黑体"/>
        </w:rPr>
      </w:pPr>
      <w:r w:rsidRPr="00C30704">
        <w:rPr>
          <w:rFonts w:eastAsia="黑体"/>
        </w:rPr>
        <w:tab/>
        <w:t>(c)</w:t>
      </w:r>
      <w:r w:rsidRPr="00C30704">
        <w:rPr>
          <w:rFonts w:eastAsia="黑体"/>
        </w:rPr>
        <w:tab/>
      </w:r>
      <w:r w:rsidRPr="00C30704">
        <w:rPr>
          <w:rFonts w:eastAsia="黑体"/>
        </w:rPr>
        <w:t>确保暴力侵害妇女行为的受害者得到保护，包括发布禁止令，并获得医疗、社会和法律服务，包括心理咨询、补救、康复服务、提供充足资金在全国各地设立安全庇护所，并协助寻找其他住所；</w:t>
      </w:r>
    </w:p>
    <w:p w14:paraId="6B0E4926" w14:textId="77777777" w:rsidR="00C30704" w:rsidRPr="00C30704" w:rsidRDefault="00C30704" w:rsidP="00C30704">
      <w:pPr>
        <w:pStyle w:val="SingleTxtGC"/>
        <w:rPr>
          <w:rFonts w:eastAsia="黑体"/>
        </w:rPr>
      </w:pPr>
      <w:r w:rsidRPr="00C30704">
        <w:rPr>
          <w:rFonts w:eastAsia="黑体"/>
        </w:rPr>
        <w:tab/>
        <w:t>(d)</w:t>
      </w:r>
      <w:r w:rsidRPr="00C30704">
        <w:rPr>
          <w:rFonts w:eastAsia="黑体"/>
        </w:rPr>
        <w:tab/>
      </w:r>
      <w:r w:rsidRPr="00C30704">
        <w:rPr>
          <w:rFonts w:eastAsia="黑体"/>
        </w:rPr>
        <w:t>确保为执法人员、司法当局以及医务和社会工作者开展关于处理此类案件的适当培训；</w:t>
      </w:r>
    </w:p>
    <w:p w14:paraId="1E1935A9" w14:textId="77777777" w:rsidR="00C30704" w:rsidRPr="00C30704" w:rsidRDefault="00C30704" w:rsidP="00C30704">
      <w:pPr>
        <w:pStyle w:val="SingleTxtGC"/>
        <w:rPr>
          <w:rFonts w:eastAsia="黑体"/>
        </w:rPr>
      </w:pPr>
      <w:r w:rsidRPr="00C30704">
        <w:rPr>
          <w:rFonts w:eastAsia="黑体"/>
        </w:rPr>
        <w:tab/>
        <w:t>(e)</w:t>
      </w:r>
      <w:r w:rsidRPr="00C30704">
        <w:rPr>
          <w:rFonts w:eastAsia="黑体"/>
        </w:rPr>
        <w:tab/>
      </w:r>
      <w:r w:rsidRPr="00C30704">
        <w:rPr>
          <w:rFonts w:eastAsia="黑体"/>
        </w:rPr>
        <w:t>加强宣传工作，提高公众对此类现象的认识。</w:t>
      </w:r>
    </w:p>
    <w:p w14:paraId="482C5BCD" w14:textId="38A7F963" w:rsidR="00C30704" w:rsidRPr="00D306C0" w:rsidRDefault="00D306C0" w:rsidP="00D306C0">
      <w:pPr>
        <w:pStyle w:val="H23GC"/>
      </w:pPr>
      <w:r w:rsidRPr="00C30704">
        <w:tab/>
      </w:r>
      <w:r w:rsidRPr="00C30704">
        <w:tab/>
      </w:r>
      <w:r w:rsidR="00C30704" w:rsidRPr="00C30704">
        <w:t>人口贩运</w:t>
      </w:r>
    </w:p>
    <w:p w14:paraId="68CAA548" w14:textId="77777777" w:rsidR="00C30704" w:rsidRPr="00C30704" w:rsidRDefault="00C30704" w:rsidP="00C30704">
      <w:pPr>
        <w:pStyle w:val="SingleTxtGC"/>
      </w:pPr>
      <w:r w:rsidRPr="00C30704">
        <w:t>20.</w:t>
      </w:r>
      <w:r w:rsidRPr="00C30704">
        <w:tab/>
      </w:r>
      <w:r w:rsidRPr="00C30704">
        <w:t>委员会欢迎缔约国为打击人口贩运而采取的措施，包括修订《刑法》以加重对此类罪行的刑罚，但委员会感到关切的是，不断有报告称有本国人和外国人在吉尔吉斯斯坦境内外被贩运，而且防止人口贩运的现行立法和战略执行不力，缺乏从根源上解决这一现象的措施，以及罕有为受害者，特别是女童和妇女设立的庇护所</w:t>
      </w:r>
      <w:r w:rsidRPr="00C30704">
        <w:t>(</w:t>
      </w:r>
      <w:r w:rsidRPr="00C30704">
        <w:t>第</w:t>
      </w:r>
      <w:r w:rsidRPr="00C30704">
        <w:t>2</w:t>
      </w:r>
      <w:r w:rsidRPr="00C30704">
        <w:t>条和第</w:t>
      </w:r>
      <w:r w:rsidRPr="00C30704">
        <w:t>16</w:t>
      </w:r>
      <w:r w:rsidRPr="00C30704">
        <w:t>条</w:t>
      </w:r>
      <w:r w:rsidRPr="00C30704">
        <w:t>)</w:t>
      </w:r>
      <w:r w:rsidRPr="00C30704">
        <w:t>。</w:t>
      </w:r>
    </w:p>
    <w:p w14:paraId="4133A4E1" w14:textId="77777777" w:rsidR="00C30704" w:rsidRPr="00C30704" w:rsidRDefault="00C30704" w:rsidP="00C30704">
      <w:pPr>
        <w:pStyle w:val="SingleTxtGC"/>
        <w:rPr>
          <w:rFonts w:eastAsia="黑体"/>
        </w:rPr>
      </w:pPr>
      <w:r w:rsidRPr="00C30704">
        <w:rPr>
          <w:rFonts w:eastAsia="黑体"/>
        </w:rPr>
        <w:t>21.</w:t>
      </w:r>
      <w:r w:rsidRPr="00C30704">
        <w:rPr>
          <w:rFonts w:eastAsia="黑体"/>
        </w:rPr>
        <w:tab/>
      </w:r>
      <w:r w:rsidRPr="00C30704">
        <w:rPr>
          <w:rFonts w:eastAsia="黑体"/>
        </w:rPr>
        <w:t>缔约国应：</w:t>
      </w:r>
    </w:p>
    <w:p w14:paraId="754930E3"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继续采取措施防止和消除人口贩运现象，包括大力执行打击人口贩运的立法，并为执行《打击人口贩运行动计划》提供充足的资金；</w:t>
      </w:r>
    </w:p>
    <w:p w14:paraId="13E57CEA"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及时、有效和公正地调查、起诉并惩治人口贩运罪行，并确保提供必要的程序保障，并协助受害者向警方报告此类事件；</w:t>
      </w:r>
    </w:p>
    <w:p w14:paraId="65F5C7A4" w14:textId="77777777" w:rsidR="00C30704" w:rsidRPr="00C30704" w:rsidRDefault="00C30704" w:rsidP="00C30704">
      <w:pPr>
        <w:pStyle w:val="SingleTxtGC"/>
        <w:rPr>
          <w:rFonts w:eastAsia="黑体"/>
        </w:rPr>
      </w:pPr>
      <w:r w:rsidRPr="00C30704">
        <w:rPr>
          <w:rFonts w:eastAsia="黑体"/>
        </w:rPr>
        <w:tab/>
        <w:t>(c)</w:t>
      </w:r>
      <w:r w:rsidRPr="00C30704">
        <w:rPr>
          <w:rFonts w:eastAsia="黑体"/>
        </w:rPr>
        <w:tab/>
      </w:r>
      <w:r w:rsidRPr="00C30704">
        <w:rPr>
          <w:rFonts w:eastAsia="黑体"/>
        </w:rPr>
        <w:t>为人口贩运受害者提供补救，包括法律、医疗和心理援助及康复服务，以及适当的庇护所；</w:t>
      </w:r>
    </w:p>
    <w:p w14:paraId="20F8C5FB" w14:textId="77777777" w:rsidR="00C30704" w:rsidRPr="00C30704" w:rsidRDefault="00C30704" w:rsidP="00C30704">
      <w:pPr>
        <w:pStyle w:val="SingleTxtGC"/>
        <w:rPr>
          <w:rFonts w:eastAsia="黑体"/>
        </w:rPr>
      </w:pPr>
      <w:r w:rsidRPr="00C30704">
        <w:rPr>
          <w:rFonts w:eastAsia="黑体"/>
        </w:rPr>
        <w:tab/>
        <w:t>(d)</w:t>
      </w:r>
      <w:r w:rsidRPr="00C30704">
        <w:rPr>
          <w:rFonts w:eastAsia="黑体"/>
        </w:rPr>
        <w:tab/>
      </w:r>
      <w:r w:rsidRPr="00C30704">
        <w:rPr>
          <w:rFonts w:eastAsia="黑体"/>
        </w:rPr>
        <w:t>持续为司法和执法人员开展关于防范人口贩运行为的强制性培训。</w:t>
      </w:r>
    </w:p>
    <w:p w14:paraId="02CFFB24" w14:textId="2C8B16A1" w:rsidR="00C30704" w:rsidRPr="00D306C0" w:rsidRDefault="00D306C0" w:rsidP="00D306C0">
      <w:pPr>
        <w:pStyle w:val="H23GC"/>
      </w:pPr>
      <w:r w:rsidRPr="00C30704">
        <w:lastRenderedPageBreak/>
        <w:tab/>
      </w:r>
      <w:r w:rsidRPr="00C30704">
        <w:tab/>
      </w:r>
      <w:r w:rsidR="00C30704" w:rsidRPr="00C30704">
        <w:t>拘留条件</w:t>
      </w:r>
    </w:p>
    <w:p w14:paraId="7FE23618" w14:textId="77777777" w:rsidR="00C30704" w:rsidRPr="00C30704" w:rsidRDefault="00C30704" w:rsidP="00C30704">
      <w:pPr>
        <w:pStyle w:val="SingleTxtGC"/>
      </w:pPr>
      <w:r w:rsidRPr="00C30704">
        <w:t>22.</w:t>
      </w:r>
      <w:r w:rsidRPr="00C30704">
        <w:tab/>
      </w:r>
      <w:r w:rsidRPr="00C30704">
        <w:t>委员会赞赏缔约国采取措施翻修某些拘留设施并为服无期徒刑的囚犯建造更多设施，但委员会仍然关切的是，有报告称拘留条件简陋且恶劣，包括过度拥挤。委员会还感到关切的是，关押妇女的拘留设施条件恶劣，被拘留的妇女，包括怀孕妇女和带着孩子的母亲缺乏适当的医疗护理。委员会还感到关切的是，有报告称，精神病院、社会护理院和儿童托养机构的条件普遍非常恶劣</w:t>
      </w:r>
      <w:r w:rsidRPr="00C30704">
        <w:t>(</w:t>
      </w:r>
      <w:r w:rsidRPr="00C30704">
        <w:t>第</w:t>
      </w:r>
      <w:r w:rsidRPr="00C30704">
        <w:t>11</w:t>
      </w:r>
      <w:r w:rsidRPr="00C30704">
        <w:t>条和</w:t>
      </w:r>
      <w:r w:rsidRPr="00C30704">
        <w:t>16</w:t>
      </w:r>
      <w:r w:rsidRPr="00C30704">
        <w:t>条</w:t>
      </w:r>
      <w:r w:rsidRPr="00C30704">
        <w:t>)</w:t>
      </w:r>
      <w:r w:rsidRPr="00C30704">
        <w:t>。</w:t>
      </w:r>
    </w:p>
    <w:p w14:paraId="24422265" w14:textId="77777777" w:rsidR="00C30704" w:rsidRPr="00C30704" w:rsidRDefault="00C30704" w:rsidP="00C30704">
      <w:pPr>
        <w:pStyle w:val="SingleTxtGC"/>
        <w:rPr>
          <w:rFonts w:eastAsia="黑体"/>
        </w:rPr>
      </w:pPr>
      <w:r w:rsidRPr="00C30704">
        <w:rPr>
          <w:rFonts w:eastAsia="黑体"/>
        </w:rPr>
        <w:t>23.</w:t>
      </w:r>
      <w:r w:rsidRPr="00C30704">
        <w:rPr>
          <w:rFonts w:eastAsia="黑体"/>
        </w:rPr>
        <w:tab/>
      </w:r>
      <w:r w:rsidRPr="00C30704">
        <w:rPr>
          <w:rFonts w:eastAsia="黑体"/>
        </w:rPr>
        <w:t>委员会促请缔约国：</w:t>
      </w:r>
    </w:p>
    <w:p w14:paraId="182E47D9"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加紧努力，改善拘留条件并缓解监狱机构过度拥挤的状况，包括使用非拘留措施。在这方面，委员会提请缔约国注意《联合国囚犯待遇最低限度标准规则》</w:t>
      </w:r>
      <w:r w:rsidRPr="00C30704">
        <w:rPr>
          <w:rFonts w:eastAsia="黑体"/>
        </w:rPr>
        <w:t>(</w:t>
      </w:r>
      <w:r w:rsidRPr="00C30704">
        <w:rPr>
          <w:rFonts w:eastAsia="黑体"/>
        </w:rPr>
        <w:t>《纳尔逊</w:t>
      </w:r>
      <w:r w:rsidRPr="00C30704">
        <w:rPr>
          <w:rFonts w:eastAsia="黑体"/>
        </w:rPr>
        <w:t>·</w:t>
      </w:r>
      <w:r w:rsidRPr="00C30704">
        <w:rPr>
          <w:rFonts w:eastAsia="黑体"/>
        </w:rPr>
        <w:t>曼德拉规则》</w:t>
      </w:r>
      <w:r w:rsidRPr="00C30704">
        <w:rPr>
          <w:rFonts w:eastAsia="黑体"/>
        </w:rPr>
        <w:t>)</w:t>
      </w:r>
      <w:r w:rsidRPr="00C30704">
        <w:rPr>
          <w:rFonts w:eastAsia="黑体"/>
        </w:rPr>
        <w:t>、《联合国非拘禁措施最低限度标准规则》</w:t>
      </w:r>
      <w:r w:rsidRPr="00C30704">
        <w:rPr>
          <w:rFonts w:eastAsia="黑体"/>
        </w:rPr>
        <w:t>(</w:t>
      </w:r>
      <w:r w:rsidRPr="00C30704">
        <w:rPr>
          <w:rFonts w:eastAsia="黑体"/>
        </w:rPr>
        <w:t>《东京规则》</w:t>
      </w:r>
      <w:r w:rsidRPr="00C30704">
        <w:rPr>
          <w:rFonts w:eastAsia="黑体"/>
        </w:rPr>
        <w:t>)</w:t>
      </w:r>
      <w:r w:rsidRPr="00C30704">
        <w:rPr>
          <w:rFonts w:eastAsia="黑体"/>
        </w:rPr>
        <w:t>和《联合国女性囚犯待遇和女性罪犯非拘禁措施规则》</w:t>
      </w:r>
      <w:r w:rsidRPr="00C30704">
        <w:rPr>
          <w:rFonts w:eastAsia="黑体"/>
        </w:rPr>
        <w:t>(</w:t>
      </w:r>
      <w:r w:rsidRPr="00C30704">
        <w:rPr>
          <w:rFonts w:eastAsia="黑体"/>
        </w:rPr>
        <w:t>《曼谷规则》</w:t>
      </w:r>
      <w:r w:rsidRPr="00C30704">
        <w:rPr>
          <w:rFonts w:eastAsia="黑体"/>
        </w:rPr>
        <w:t>)</w:t>
      </w:r>
      <w:r w:rsidRPr="00C30704">
        <w:rPr>
          <w:rFonts w:eastAsia="黑体"/>
        </w:rPr>
        <w:t>，并建议缔约国除其他外，确保被拘留者享有适当的物质和卫生条件，包括充足的自然光线和人工照明；适当的排污系统和卫生设施，包括厕所和淋浴；有暖气的牢房；足够的通风；保质保量地提供食物、寝具、毯子和个人卫生用品；卫生保健</w:t>
      </w:r>
      <w:r w:rsidRPr="00C30704">
        <w:rPr>
          <w:rFonts w:eastAsia="黑体" w:hint="eastAsia"/>
        </w:rPr>
        <w:t>；</w:t>
      </w:r>
      <w:r w:rsidRPr="00C30704">
        <w:rPr>
          <w:rFonts w:eastAsia="黑体"/>
        </w:rPr>
        <w:t>户外活动；以及家人探视；</w:t>
      </w:r>
    </w:p>
    <w:p w14:paraId="42870A6D"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确保在所有剥夺自由场所足额配备医生和心理医生；</w:t>
      </w:r>
    </w:p>
    <w:p w14:paraId="51A7D316" w14:textId="77777777" w:rsidR="00C30704" w:rsidRPr="00C30704" w:rsidRDefault="00C30704" w:rsidP="00C30704">
      <w:pPr>
        <w:pStyle w:val="SingleTxtGC"/>
        <w:rPr>
          <w:rFonts w:eastAsia="黑体"/>
        </w:rPr>
      </w:pPr>
      <w:r w:rsidRPr="00C30704">
        <w:rPr>
          <w:rFonts w:eastAsia="黑体"/>
        </w:rPr>
        <w:tab/>
        <w:t>(c)</w:t>
      </w:r>
      <w:r w:rsidRPr="00C30704">
        <w:rPr>
          <w:rFonts w:eastAsia="黑体"/>
        </w:rPr>
        <w:tab/>
      </w:r>
      <w:r w:rsidRPr="00C30704">
        <w:rPr>
          <w:rFonts w:eastAsia="黑体"/>
        </w:rPr>
        <w:t>确保关押妇女的拘留设施</w:t>
      </w:r>
      <w:r w:rsidRPr="00C30704">
        <w:rPr>
          <w:rFonts w:eastAsia="黑体" w:hint="eastAsia"/>
        </w:rPr>
        <w:t>拥有</w:t>
      </w:r>
      <w:r w:rsidRPr="00C30704">
        <w:rPr>
          <w:rFonts w:eastAsia="黑体"/>
        </w:rPr>
        <w:t>适当</w:t>
      </w:r>
      <w:r w:rsidRPr="00C30704">
        <w:rPr>
          <w:rFonts w:eastAsia="黑体" w:hint="eastAsia"/>
        </w:rPr>
        <w:t>的</w:t>
      </w:r>
      <w:r w:rsidRPr="00C30704">
        <w:rPr>
          <w:rFonts w:eastAsia="黑体"/>
        </w:rPr>
        <w:t>条件和足够的女性工作人员；</w:t>
      </w:r>
    </w:p>
    <w:p w14:paraId="2E59C484" w14:textId="77777777" w:rsidR="00C30704" w:rsidRPr="00C30704" w:rsidRDefault="00C30704" w:rsidP="00C30704">
      <w:pPr>
        <w:pStyle w:val="SingleTxtGC"/>
        <w:rPr>
          <w:rFonts w:eastAsia="黑体"/>
        </w:rPr>
      </w:pPr>
      <w:r w:rsidRPr="00C30704">
        <w:rPr>
          <w:rFonts w:eastAsia="黑体"/>
        </w:rPr>
        <w:tab/>
        <w:t>(d)</w:t>
      </w:r>
      <w:r w:rsidRPr="00C30704">
        <w:rPr>
          <w:rFonts w:eastAsia="黑体"/>
        </w:rPr>
        <w:tab/>
      </w:r>
      <w:r w:rsidRPr="00C30704">
        <w:rPr>
          <w:rFonts w:eastAsia="黑体"/>
        </w:rPr>
        <w:t>改善精神病院、社会护理院和儿童托养机构的条件。</w:t>
      </w:r>
    </w:p>
    <w:p w14:paraId="44D4C768" w14:textId="02730C2D" w:rsidR="00C30704" w:rsidRPr="00D306C0" w:rsidRDefault="00D306C0" w:rsidP="00D306C0">
      <w:pPr>
        <w:pStyle w:val="H23GC"/>
      </w:pPr>
      <w:r w:rsidRPr="00C30704">
        <w:tab/>
      </w:r>
      <w:r w:rsidRPr="00C30704">
        <w:tab/>
      </w:r>
      <w:r w:rsidR="00C30704" w:rsidRPr="00C30704">
        <w:t>调查酷刑和虐待行为</w:t>
      </w:r>
    </w:p>
    <w:p w14:paraId="31F2B740" w14:textId="77777777" w:rsidR="00C30704" w:rsidRPr="00C30704" w:rsidRDefault="00C30704" w:rsidP="00C30704">
      <w:pPr>
        <w:pStyle w:val="SingleTxtGC"/>
      </w:pPr>
      <w:r w:rsidRPr="00C30704">
        <w:t>24.</w:t>
      </w:r>
      <w:r w:rsidRPr="00C30704">
        <w:tab/>
      </w:r>
      <w:r w:rsidRPr="00C30704">
        <w:t>委员会深感关切的是，有报告称，许多被剥夺自由者遭受酷刑和虐待，特别是有报告称，被拘捕的人受到执法人员的酷刑或虐待。委员会仍然严重关切的是，从数量上看，所收到此类申诉中</w:t>
      </w:r>
      <w:r w:rsidRPr="00C30704">
        <w:rPr>
          <w:rFonts w:hint="eastAsia"/>
        </w:rPr>
        <w:t>只有</w:t>
      </w:r>
      <w:r w:rsidRPr="00C30704">
        <w:t>很小一部分</w:t>
      </w:r>
      <w:r w:rsidRPr="00C30704">
        <w:rPr>
          <w:rFonts w:hint="eastAsia"/>
        </w:rPr>
        <w:t>受到</w:t>
      </w:r>
      <w:r w:rsidRPr="00C30704">
        <w:t>了刑事调查，也很少有国家官员被起诉、定罪和判处监禁。根据缔约国提供的资料，</w:t>
      </w:r>
      <w:r w:rsidRPr="00C30704">
        <w:t>2012</w:t>
      </w:r>
      <w:r w:rsidRPr="00C30704">
        <w:t>年至</w:t>
      </w:r>
      <w:r w:rsidRPr="00C30704">
        <w:t>2021</w:t>
      </w:r>
      <w:r w:rsidRPr="00C30704">
        <w:t>年</w:t>
      </w:r>
      <w:r w:rsidRPr="00C30704">
        <w:t>6</w:t>
      </w:r>
      <w:r w:rsidRPr="00C30704">
        <w:t>月，法院认定</w:t>
      </w:r>
      <w:r w:rsidRPr="00C30704">
        <w:t>18</w:t>
      </w:r>
      <w:r w:rsidRPr="00C30704">
        <w:t>名官员犯有酷刑罪，其中</w:t>
      </w:r>
      <w:r w:rsidRPr="00C30704">
        <w:t>12</w:t>
      </w:r>
      <w:r w:rsidRPr="00C30704">
        <w:t>人在监狱服刑。另一个令人关切的问题是，检察官办公室调查酷刑案件的职权被移交国家安全委员会，该委员会根据《国家保密法》行事。委员会注意到，资料显示这一权</w:t>
      </w:r>
      <w:r w:rsidRPr="00C30704">
        <w:rPr>
          <w:rFonts w:hint="eastAsia"/>
        </w:rPr>
        <w:t>力</w:t>
      </w:r>
      <w:r w:rsidRPr="00C30704">
        <w:t>最近已部分交回检察官办公室。委员会还感到关切的是，有报告称，警察对男女同性恋、双性恋和跨性别者进行骚扰、任意逮捕、虐待和酷刑，但未受到调查。委员会感到遗憾的是，缔约国没有确立酷刑和虐待行为的赔偿机制，在实践中，酷刑受害者没有公平且充分地获得针对酷刑和虐待行为的复原、赔偿和康复</w:t>
      </w:r>
      <w:r w:rsidRPr="00C30704">
        <w:t>(</w:t>
      </w:r>
      <w:r w:rsidRPr="00C30704">
        <w:t>第</w:t>
      </w:r>
      <w:r w:rsidRPr="00C30704">
        <w:t>2</w:t>
      </w:r>
      <w:r w:rsidRPr="00C30704">
        <w:t>条和第</w:t>
      </w:r>
      <w:r w:rsidRPr="00C30704">
        <w:t>10</w:t>
      </w:r>
      <w:r w:rsidRPr="00C30704">
        <w:t>至</w:t>
      </w:r>
      <w:r w:rsidRPr="00C30704">
        <w:t>16</w:t>
      </w:r>
      <w:r w:rsidRPr="00C30704">
        <w:t>条</w:t>
      </w:r>
      <w:r w:rsidRPr="00C30704">
        <w:t>)</w:t>
      </w:r>
      <w:r w:rsidRPr="00C30704">
        <w:t>。</w:t>
      </w:r>
    </w:p>
    <w:p w14:paraId="476CDD41" w14:textId="77777777" w:rsidR="00C30704" w:rsidRPr="00C30704" w:rsidRDefault="00C30704" w:rsidP="00C30704">
      <w:pPr>
        <w:pStyle w:val="SingleTxtGC"/>
        <w:rPr>
          <w:rFonts w:eastAsia="黑体"/>
        </w:rPr>
      </w:pPr>
      <w:r w:rsidRPr="00C30704">
        <w:rPr>
          <w:rFonts w:eastAsia="黑体"/>
        </w:rPr>
        <w:t>25.</w:t>
      </w:r>
      <w:r w:rsidRPr="00C30704">
        <w:rPr>
          <w:rFonts w:eastAsia="黑体"/>
        </w:rPr>
        <w:tab/>
      </w:r>
      <w:r w:rsidRPr="00C30704">
        <w:rPr>
          <w:rFonts w:eastAsia="黑体"/>
        </w:rPr>
        <w:t>委员会回顾其先前的建议，</w:t>
      </w:r>
      <w:r w:rsidRPr="00C30704">
        <w:rPr>
          <w:rFonts w:eastAsia="黑体"/>
          <w:vertAlign w:val="superscript"/>
        </w:rPr>
        <w:footnoteReference w:id="12"/>
      </w:r>
      <w:r w:rsidRPr="00C30704">
        <w:rPr>
          <w:rFonts w:eastAsia="黑体" w:hint="eastAsia"/>
        </w:rPr>
        <w:t>其中</w:t>
      </w:r>
      <w:r w:rsidRPr="00C30704">
        <w:rPr>
          <w:rFonts w:eastAsia="黑体"/>
        </w:rPr>
        <w:t>建议缔约国：</w:t>
      </w:r>
    </w:p>
    <w:p w14:paraId="3670D9A2"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确保对所有涉及执法人员实施酷刑和虐待的指控，包括针对男女同性恋、双性恋和跨性别者实施酷刑和虐待的指控，进行及时、独立、公正和有效的调查，并确保犯罪者受到起诉，受害者得到适当的赔偿和康复</w:t>
      </w:r>
      <w:r w:rsidRPr="00C30704">
        <w:rPr>
          <w:rFonts w:eastAsia="黑体" w:hint="eastAsia"/>
        </w:rPr>
        <w:t>；</w:t>
      </w:r>
    </w:p>
    <w:p w14:paraId="2259FF95"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确保凡有合理理由相信发生了酷刑或虐待行为时，当局应启动调查；</w:t>
      </w:r>
    </w:p>
    <w:p w14:paraId="71AEC7E6" w14:textId="77777777" w:rsidR="00C30704" w:rsidRPr="00C30704" w:rsidRDefault="00C30704" w:rsidP="00C30704">
      <w:pPr>
        <w:pStyle w:val="SingleTxtGC"/>
        <w:rPr>
          <w:rFonts w:eastAsia="黑体"/>
        </w:rPr>
      </w:pPr>
      <w:r w:rsidRPr="00C30704">
        <w:rPr>
          <w:rFonts w:eastAsia="黑体"/>
        </w:rPr>
        <w:lastRenderedPageBreak/>
        <w:tab/>
        <w:t>(c)</w:t>
      </w:r>
      <w:r w:rsidRPr="00C30704">
        <w:rPr>
          <w:rFonts w:eastAsia="黑体"/>
        </w:rPr>
        <w:tab/>
      </w:r>
      <w:r w:rsidRPr="00C30704">
        <w:rPr>
          <w:rFonts w:eastAsia="黑体"/>
        </w:rPr>
        <w:t>确保在调查期间，立即暂停被指控犯有酷刑或虐待罪行的嫌疑人员的职务，特别是在他们不停职便有可能再犯所控行为、报复据称受害者或阻碍调查的情况下；</w:t>
      </w:r>
    </w:p>
    <w:p w14:paraId="5937BB6A" w14:textId="77777777" w:rsidR="00C30704" w:rsidRPr="00C30704" w:rsidRDefault="00C30704" w:rsidP="00C30704">
      <w:pPr>
        <w:pStyle w:val="SingleTxtGC"/>
        <w:rPr>
          <w:rFonts w:eastAsia="黑体"/>
        </w:rPr>
      </w:pPr>
      <w:r w:rsidRPr="00C30704">
        <w:rPr>
          <w:rFonts w:eastAsia="黑体"/>
        </w:rPr>
        <w:tab/>
        <w:t>(d)</w:t>
      </w:r>
      <w:r w:rsidRPr="00C30704">
        <w:rPr>
          <w:rFonts w:eastAsia="黑体"/>
        </w:rPr>
        <w:tab/>
      </w:r>
      <w:r w:rsidRPr="00C30704">
        <w:rPr>
          <w:rFonts w:eastAsia="黑体"/>
        </w:rPr>
        <w:t>汇编资料并将资料提交委员会，说明缔约国法院或其他国家机构下令向酷刑或虐待受害者提供的补救和赔偿措施，包括康复措施和向受害者支付的金额。</w:t>
      </w:r>
      <w:bookmarkStart w:id="0" w:name="_Toc516758031"/>
    </w:p>
    <w:p w14:paraId="4A1DAAE6" w14:textId="5A921DF5" w:rsidR="00C30704" w:rsidRPr="00D306C0" w:rsidRDefault="00D306C0" w:rsidP="00D306C0">
      <w:pPr>
        <w:pStyle w:val="H23GC"/>
      </w:pPr>
      <w:r w:rsidRPr="00C30704">
        <w:tab/>
      </w:r>
      <w:r w:rsidRPr="00C30704">
        <w:tab/>
      </w:r>
      <w:r w:rsidR="00C30704" w:rsidRPr="00C30704">
        <w:t>对人权维护者和记者的报复</w:t>
      </w:r>
    </w:p>
    <w:p w14:paraId="6F3207C7" w14:textId="77777777" w:rsidR="00C30704" w:rsidRPr="00C30704" w:rsidRDefault="00C30704" w:rsidP="00C30704">
      <w:pPr>
        <w:pStyle w:val="SingleTxtGC"/>
      </w:pPr>
      <w:r w:rsidRPr="00C30704">
        <w:t>26.</w:t>
      </w:r>
      <w:r w:rsidRPr="00C30704">
        <w:tab/>
      </w:r>
      <w:r w:rsidRPr="00C30704">
        <w:t>委员会感到关切的是，有报告称，记者因报道指称的腐败行为而受到富有且政治背景深厚的非国家行为体的恐吓，包括暴力威胁和骚扰。例如，欧洲第三电台的一些记者在报道前高级公职人员</w:t>
      </w:r>
      <w:r w:rsidRPr="00C30704">
        <w:rPr>
          <w:rFonts w:hint="eastAsia"/>
        </w:rPr>
        <w:t>的</w:t>
      </w:r>
      <w:r w:rsidRPr="00C30704">
        <w:t>腐败问题后受到严重威胁，电台被迫将他们派驻布拉格。委员会感到遗憾的是，未收到关于调查</w:t>
      </w:r>
      <w:r w:rsidRPr="00C30704">
        <w:t>Aibol Kozhomuratov</w:t>
      </w:r>
      <w:r w:rsidRPr="00C30704">
        <w:t>事件的资料，他是</w:t>
      </w:r>
      <w:r w:rsidRPr="00C30704">
        <w:rPr>
          <w:rFonts w:hint="eastAsia"/>
        </w:rPr>
        <w:t>“</w:t>
      </w:r>
      <w:r w:rsidRPr="00C30704">
        <w:t>现在时</w:t>
      </w:r>
      <w:r w:rsidRPr="00C30704">
        <w:rPr>
          <w:rFonts w:hint="eastAsia"/>
        </w:rPr>
        <w:t>”</w:t>
      </w:r>
      <w:r w:rsidRPr="00C30704">
        <w:t>电视台的一名制片人，他在推特上发布的一段视频显示一名执法人员在他进行新闻报道时向他开枪。关于人权维护者</w:t>
      </w:r>
      <w:r w:rsidRPr="00C30704">
        <w:t>Azimjan Askarov2020</w:t>
      </w:r>
      <w:r w:rsidRPr="00C30704">
        <w:t>年在羁押期间死亡的案件，委员会注意到代表团提供的资料，即国家安全机关正在进行内部调查。然而，委员会感到遗憾的是，法院剥夺了</w:t>
      </w:r>
      <w:r w:rsidRPr="00C30704">
        <w:t>Askarov</w:t>
      </w:r>
      <w:r w:rsidRPr="00C30704">
        <w:t>遗孀获得赔偿的权利，因为在法律诉讼中不能指定她为继承人，此外，在</w:t>
      </w:r>
      <w:r w:rsidRPr="00C30704">
        <w:t>Askarov</w:t>
      </w:r>
      <w:r w:rsidRPr="00C30704">
        <w:t>案件结案之前，无法审议补救问题。委员会还感到遗憾的是，《刑事诉讼法》第</w:t>
      </w:r>
      <w:r w:rsidRPr="00C30704">
        <w:t>417</w:t>
      </w:r>
      <w:r w:rsidRPr="00C30704">
        <w:t>条阻碍了受害者在刑事法院判定肇事者有罪之前从民事法院获得补救的权利。委员会还感到遗憾的是，缔约国没有提供资料，说明是否存在任何计划，以允许酷刑受害者亲属</w:t>
      </w:r>
      <w:r w:rsidRPr="00C30704">
        <w:rPr>
          <w:rFonts w:hint="eastAsia"/>
        </w:rPr>
        <w:t>得到</w:t>
      </w:r>
      <w:r w:rsidRPr="00C30704">
        <w:t>充分和公平赔偿</w:t>
      </w:r>
      <w:r w:rsidRPr="00C30704">
        <w:t>(</w:t>
      </w:r>
      <w:r w:rsidRPr="00C30704">
        <w:t>第</w:t>
      </w:r>
      <w:r w:rsidRPr="00C30704">
        <w:t>2</w:t>
      </w:r>
      <w:r w:rsidRPr="00C30704">
        <w:t>、</w:t>
      </w:r>
      <w:r w:rsidRPr="00C30704">
        <w:t>12</w:t>
      </w:r>
      <w:r w:rsidRPr="00C30704">
        <w:t>、</w:t>
      </w:r>
      <w:r w:rsidRPr="00C30704">
        <w:t>13</w:t>
      </w:r>
      <w:r w:rsidRPr="00C30704">
        <w:t>和</w:t>
      </w:r>
      <w:r w:rsidRPr="00C30704">
        <w:t>16</w:t>
      </w:r>
      <w:r w:rsidRPr="00C30704">
        <w:t>条</w:t>
      </w:r>
      <w:r w:rsidRPr="00C30704">
        <w:t>)</w:t>
      </w:r>
      <w:r w:rsidRPr="00C30704">
        <w:t>。</w:t>
      </w:r>
    </w:p>
    <w:p w14:paraId="6D614F68" w14:textId="77777777" w:rsidR="00C30704" w:rsidRPr="00C30704" w:rsidRDefault="00C30704" w:rsidP="00C30704">
      <w:pPr>
        <w:pStyle w:val="SingleTxtGC"/>
        <w:rPr>
          <w:rFonts w:eastAsia="黑体"/>
        </w:rPr>
      </w:pPr>
      <w:r w:rsidRPr="00C30704">
        <w:rPr>
          <w:rFonts w:eastAsia="黑体"/>
        </w:rPr>
        <w:t>27.</w:t>
      </w:r>
      <w:r w:rsidRPr="00C30704">
        <w:rPr>
          <w:rFonts w:eastAsia="黑体"/>
        </w:rPr>
        <w:tab/>
      </w:r>
      <w:r w:rsidRPr="00C30704">
        <w:rPr>
          <w:rFonts w:eastAsia="黑体"/>
        </w:rPr>
        <w:t>缔约国应：</w:t>
      </w:r>
    </w:p>
    <w:p w14:paraId="49303B32"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确保人权维护者和记者能够在缔约国自由开展工作和活动，而不必担心遭到报复或攻击；</w:t>
      </w:r>
    </w:p>
    <w:p w14:paraId="5A5BD517"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及时、充分、独立和公正地调查所有针对人权维护者和记者的侵权行为，并适当惩处被认定有罪的人；</w:t>
      </w:r>
    </w:p>
    <w:p w14:paraId="100AAABA" w14:textId="77777777" w:rsidR="00C30704" w:rsidRPr="00C30704" w:rsidRDefault="00C30704" w:rsidP="00C30704">
      <w:pPr>
        <w:pStyle w:val="SingleTxtGC"/>
        <w:rPr>
          <w:rFonts w:eastAsia="黑体"/>
        </w:rPr>
      </w:pPr>
      <w:r w:rsidRPr="00C30704">
        <w:rPr>
          <w:rFonts w:eastAsia="黑体"/>
        </w:rPr>
        <w:tab/>
        <w:t>(c)</w:t>
      </w:r>
      <w:r w:rsidRPr="00C30704">
        <w:rPr>
          <w:rFonts w:eastAsia="黑体"/>
        </w:rPr>
        <w:tab/>
      </w:r>
      <w:r w:rsidRPr="00C30704">
        <w:rPr>
          <w:rFonts w:eastAsia="黑体"/>
        </w:rPr>
        <w:t>根据委员会第</w:t>
      </w:r>
      <w:r w:rsidRPr="00C30704">
        <w:rPr>
          <w:rFonts w:eastAsia="黑体"/>
        </w:rPr>
        <w:t>3</w:t>
      </w:r>
      <w:r w:rsidRPr="00C30704">
        <w:rPr>
          <w:rFonts w:eastAsia="黑体"/>
        </w:rPr>
        <w:t>号一般性意见</w:t>
      </w:r>
      <w:r w:rsidRPr="00C30704">
        <w:rPr>
          <w:rFonts w:eastAsia="黑体"/>
        </w:rPr>
        <w:t>(2012</w:t>
      </w:r>
      <w:r w:rsidRPr="00C30704">
        <w:rPr>
          <w:rFonts w:eastAsia="黑体"/>
        </w:rPr>
        <w:t>年</w:t>
      </w:r>
      <w:r w:rsidRPr="00C30704">
        <w:rPr>
          <w:rFonts w:eastAsia="黑体"/>
        </w:rPr>
        <w:t>)</w:t>
      </w:r>
      <w:r w:rsidRPr="00C30704">
        <w:rPr>
          <w:rFonts w:eastAsia="黑体"/>
        </w:rPr>
        <w:t>，审查立法，允许酷刑受害者在刑事案件审理尚未完结中或尚未定罪的情况下也可以提出民事赔偿要求。</w:t>
      </w:r>
      <w:bookmarkEnd w:id="0"/>
    </w:p>
    <w:p w14:paraId="04444D1C" w14:textId="50782275" w:rsidR="00C30704" w:rsidRPr="00D306C0" w:rsidRDefault="00D306C0" w:rsidP="00D306C0">
      <w:pPr>
        <w:pStyle w:val="H23GC"/>
      </w:pPr>
      <w:r w:rsidRPr="00C30704">
        <w:tab/>
      </w:r>
      <w:r w:rsidRPr="00C30704">
        <w:tab/>
      </w:r>
      <w:r w:rsidR="00C30704" w:rsidRPr="00C30704">
        <w:t>暴力侵害儿童</w:t>
      </w:r>
    </w:p>
    <w:p w14:paraId="4B4ECCBD" w14:textId="77777777" w:rsidR="00C30704" w:rsidRPr="00C30704" w:rsidRDefault="00C30704" w:rsidP="00C30704">
      <w:pPr>
        <w:pStyle w:val="SingleTxtGC"/>
      </w:pPr>
      <w:r w:rsidRPr="00C30704">
        <w:t>28.</w:t>
      </w:r>
      <w:r w:rsidRPr="00C30704">
        <w:tab/>
      </w:r>
      <w:r w:rsidRPr="00C30704">
        <w:t>虽然在学校、刑罚系统和某些照料场所中体罚儿童是非法的，但委员会表示关切的是，有指控称许多儿童在家庭和机构照料场所中遭受暴力、虐待或忽视。根据委员会收到的资料，</w:t>
      </w:r>
      <w:r w:rsidRPr="00C30704">
        <w:t>2019</w:t>
      </w:r>
      <w:r w:rsidRPr="00C30704">
        <w:t>至</w:t>
      </w:r>
      <w:r w:rsidRPr="00C30704">
        <w:t>2020</w:t>
      </w:r>
      <w:r w:rsidRPr="00C30704">
        <w:t>年对儿童托养机构进行的监测表明，防止暴力、虐待和酷刑的制度效率低下。儿童不知道他们</w:t>
      </w:r>
      <w:r w:rsidRPr="00C30704">
        <w:rPr>
          <w:rFonts w:hint="eastAsia"/>
        </w:rPr>
        <w:t>遭受的</w:t>
      </w:r>
      <w:r w:rsidRPr="00C30704">
        <w:t>暴力是被禁止的，儿童托养机构似乎没有可以报告暴力行为的机制</w:t>
      </w:r>
      <w:r w:rsidRPr="00C30704">
        <w:t>(</w:t>
      </w:r>
      <w:r w:rsidRPr="00C30704">
        <w:t>第</w:t>
      </w:r>
      <w:r w:rsidRPr="00C30704">
        <w:t>16</w:t>
      </w:r>
      <w:r w:rsidRPr="00C30704">
        <w:t>条</w:t>
      </w:r>
      <w:r w:rsidRPr="00C30704">
        <w:t>)</w:t>
      </w:r>
      <w:r w:rsidRPr="00C30704">
        <w:t>。</w:t>
      </w:r>
    </w:p>
    <w:p w14:paraId="291156E3" w14:textId="77777777" w:rsidR="00C30704" w:rsidRPr="00C30704" w:rsidRDefault="00C30704" w:rsidP="00C30704">
      <w:pPr>
        <w:pStyle w:val="SingleTxtGC"/>
        <w:rPr>
          <w:rFonts w:eastAsia="黑体"/>
        </w:rPr>
      </w:pPr>
      <w:r w:rsidRPr="00C30704">
        <w:rPr>
          <w:rFonts w:eastAsia="黑体"/>
        </w:rPr>
        <w:t>29.</w:t>
      </w:r>
      <w:r w:rsidRPr="00C30704">
        <w:rPr>
          <w:rFonts w:eastAsia="黑体"/>
        </w:rPr>
        <w:tab/>
      </w:r>
      <w:r w:rsidRPr="00C30704">
        <w:rPr>
          <w:rFonts w:eastAsia="黑体"/>
        </w:rPr>
        <w:t>缔约国应：</w:t>
      </w:r>
    </w:p>
    <w:p w14:paraId="193F0F58"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明确禁止在所有场合，包括在家庭、机构和替代照料场所中体罚儿童，并确保采取提高认识和公共教育措施；</w:t>
      </w:r>
    </w:p>
    <w:p w14:paraId="233C6462"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向委员会提供资料，说明是否有针对儿童托养机构中暴力行为的申诉机制，是否在此类机构进行了任何调查，以及采取了哪些措施防止此类暴力行为。</w:t>
      </w:r>
    </w:p>
    <w:p w14:paraId="5EE3CD08" w14:textId="3736FBF0" w:rsidR="00C30704" w:rsidRPr="00D306C0" w:rsidRDefault="00D306C0" w:rsidP="00D306C0">
      <w:pPr>
        <w:pStyle w:val="H23GC"/>
      </w:pPr>
      <w:r w:rsidRPr="00C30704">
        <w:lastRenderedPageBreak/>
        <w:tab/>
      </w:r>
      <w:r w:rsidRPr="00C30704">
        <w:tab/>
      </w:r>
      <w:r w:rsidR="00C30704" w:rsidRPr="00C30704">
        <w:t>难民和寻求庇护者</w:t>
      </w:r>
    </w:p>
    <w:p w14:paraId="643D860B" w14:textId="77777777" w:rsidR="00C30704" w:rsidRPr="00C30704" w:rsidRDefault="00C30704" w:rsidP="00C30704">
      <w:pPr>
        <w:pStyle w:val="SingleTxtGC"/>
      </w:pPr>
      <w:r w:rsidRPr="00C30704">
        <w:t>30.</w:t>
      </w:r>
      <w:r w:rsidRPr="00C30704">
        <w:tab/>
      </w:r>
      <w:r w:rsidRPr="00C30704">
        <w:t>委员会欢迎缔约国采取措施改善无国籍者处境，但关切地注意到，国家立法中的一些规定可能导致违反不推回原则，因为这些条款没有明确承认在庇护申请程序期间可以适用这一原则，</w:t>
      </w:r>
      <w:r w:rsidRPr="00C30704">
        <w:rPr>
          <w:rFonts w:hint="eastAsia"/>
        </w:rPr>
        <w:t>也没有对</w:t>
      </w:r>
      <w:r w:rsidRPr="00C30704">
        <w:t>驱逐</w:t>
      </w:r>
      <w:r w:rsidRPr="00C30704">
        <w:rPr>
          <w:rFonts w:hint="eastAsia"/>
        </w:rPr>
        <w:t>问题作出明确规定</w:t>
      </w:r>
      <w:r w:rsidRPr="00C30704">
        <w:t>。在这方面，委员会注意到代表团对</w:t>
      </w:r>
      <w:r w:rsidRPr="00C30704">
        <w:t>Bobomurod Abdullayev</w:t>
      </w:r>
      <w:r w:rsidRPr="00C30704">
        <w:t>和</w:t>
      </w:r>
      <w:r w:rsidRPr="00C30704">
        <w:t>Murat Tungishbaev</w:t>
      </w:r>
      <w:r w:rsidRPr="00C30704">
        <w:t>案的答复，以及为调查</w:t>
      </w:r>
      <w:r w:rsidRPr="00C30704">
        <w:t>Orhan Inandi</w:t>
      </w:r>
      <w:r w:rsidRPr="00C30704">
        <w:t>案正在采取的步骤</w:t>
      </w:r>
      <w:r w:rsidRPr="00C30704">
        <w:t>(</w:t>
      </w:r>
      <w:r w:rsidRPr="00C30704">
        <w:t>第</w:t>
      </w:r>
      <w:r w:rsidRPr="00C30704">
        <w:t>3</w:t>
      </w:r>
      <w:r w:rsidRPr="00C30704">
        <w:t>和第</w:t>
      </w:r>
      <w:r w:rsidRPr="00C30704">
        <w:t>16</w:t>
      </w:r>
      <w:r w:rsidRPr="00C30704">
        <w:t>条</w:t>
      </w:r>
      <w:r w:rsidRPr="00C30704">
        <w:t>)</w:t>
      </w:r>
      <w:r w:rsidRPr="00C30704">
        <w:t>。</w:t>
      </w:r>
    </w:p>
    <w:p w14:paraId="274C418B" w14:textId="77777777" w:rsidR="00C30704" w:rsidRPr="00C30704" w:rsidRDefault="00C30704" w:rsidP="00C30704">
      <w:pPr>
        <w:pStyle w:val="SingleTxtGC"/>
        <w:rPr>
          <w:rFonts w:eastAsia="黑体"/>
        </w:rPr>
      </w:pPr>
      <w:r w:rsidRPr="00C30704">
        <w:rPr>
          <w:rFonts w:eastAsia="黑体"/>
        </w:rPr>
        <w:t>31.</w:t>
      </w:r>
      <w:r w:rsidRPr="00C30704">
        <w:rPr>
          <w:rFonts w:eastAsia="黑体"/>
        </w:rPr>
        <w:tab/>
      </w:r>
      <w:r w:rsidRPr="00C30704">
        <w:rPr>
          <w:rFonts w:eastAsia="黑体"/>
        </w:rPr>
        <w:t>缔约国应确保，在实践中，如果有充分理由相信任何人在另一国家有可预见的遭受酷刑或虐待的</w:t>
      </w:r>
      <w:r w:rsidRPr="00C30704">
        <w:rPr>
          <w:rFonts w:eastAsia="黑体" w:hint="eastAsia"/>
        </w:rPr>
        <w:t>个人</w:t>
      </w:r>
      <w:r w:rsidRPr="00C30704">
        <w:rPr>
          <w:rFonts w:eastAsia="黑体"/>
        </w:rPr>
        <w:t>风险，则不得将其驱逐、遣返或引渡到该国。</w:t>
      </w:r>
    </w:p>
    <w:p w14:paraId="337B3A67" w14:textId="27FA33C7" w:rsidR="00C30704" w:rsidRPr="00D306C0" w:rsidRDefault="00D306C0" w:rsidP="00D306C0">
      <w:pPr>
        <w:pStyle w:val="H23GC"/>
      </w:pPr>
      <w:r w:rsidRPr="00C30704">
        <w:tab/>
      </w:r>
      <w:r w:rsidRPr="00C30704">
        <w:tab/>
      </w:r>
      <w:r w:rsidR="00C30704" w:rsidRPr="00C30704">
        <w:t>培训</w:t>
      </w:r>
    </w:p>
    <w:p w14:paraId="197C5125" w14:textId="77777777" w:rsidR="00C30704" w:rsidRPr="00C30704" w:rsidRDefault="00C30704" w:rsidP="00C30704">
      <w:pPr>
        <w:pStyle w:val="SingleTxtGC"/>
      </w:pPr>
      <w:r w:rsidRPr="00C30704">
        <w:t>32.</w:t>
      </w:r>
      <w:r w:rsidRPr="00C30704">
        <w:tab/>
      </w:r>
      <w:r w:rsidRPr="00C30704">
        <w:t>委员会注意到，缔约国为公职人员和法官制定了多种人权培训方案，但委员会感到遗憾的是：</w:t>
      </w:r>
      <w:r w:rsidRPr="00C30704">
        <w:t xml:space="preserve">(a) </w:t>
      </w:r>
      <w:r w:rsidRPr="00C30704">
        <w:t>为执法人员和司法人员开展的关于《公约》条款的实践培训不足；</w:t>
      </w:r>
      <w:r w:rsidRPr="00C30704">
        <w:t xml:space="preserve">(b) </w:t>
      </w:r>
      <w:r w:rsidRPr="00C30704">
        <w:t>服务被拘留者的医务人员未接受辨别遭受酷刑和虐待迹象的具体培训；以及</w:t>
      </w:r>
      <w:r w:rsidRPr="00C30704">
        <w:t xml:space="preserve">(c) </w:t>
      </w:r>
      <w:r w:rsidRPr="00C30704">
        <w:t>未提供关于现有培训方案对防范酷刑或虐待罪行效用的资料。此外，委员会感到关切的是，没有采取具体方法来评估为执法人员和其他公职人员开展的关于《公约》的培训和教育方案在减少酷刑和虐待案件数量方面的效果和影响。委员会还感到关切的是，没有为所有服务被剥夺自由者的医务专业人员开展关于《伊斯坦布尔规程》的培训</w:t>
      </w:r>
      <w:r w:rsidRPr="00C30704">
        <w:t>(</w:t>
      </w:r>
      <w:r w:rsidRPr="00C30704">
        <w:t>第</w:t>
      </w:r>
      <w:r w:rsidRPr="00C30704">
        <w:t>10</w:t>
      </w:r>
      <w:r w:rsidRPr="00C30704">
        <w:t>条</w:t>
      </w:r>
      <w:r w:rsidRPr="00C30704">
        <w:t>)</w:t>
      </w:r>
      <w:r w:rsidRPr="00C30704">
        <w:t>。</w:t>
      </w:r>
    </w:p>
    <w:p w14:paraId="5141B61B" w14:textId="77777777" w:rsidR="00C30704" w:rsidRPr="00C30704" w:rsidRDefault="00C30704" w:rsidP="00C30704">
      <w:pPr>
        <w:pStyle w:val="SingleTxtGC"/>
        <w:rPr>
          <w:rFonts w:eastAsia="黑体"/>
        </w:rPr>
      </w:pPr>
      <w:r w:rsidRPr="00C30704">
        <w:rPr>
          <w:rFonts w:eastAsia="黑体"/>
        </w:rPr>
        <w:t>33.</w:t>
      </w:r>
      <w:r w:rsidRPr="00C30704">
        <w:rPr>
          <w:rFonts w:eastAsia="黑体"/>
        </w:rPr>
        <w:tab/>
      </w:r>
      <w:r w:rsidRPr="00C30704">
        <w:rPr>
          <w:rFonts w:eastAsia="黑体"/>
        </w:rPr>
        <w:t>缔约国应：</w:t>
      </w:r>
    </w:p>
    <w:p w14:paraId="60F41674" w14:textId="77777777" w:rsidR="00C30704" w:rsidRPr="00C30704" w:rsidRDefault="00C30704" w:rsidP="00C30704">
      <w:pPr>
        <w:pStyle w:val="SingleTxtGC"/>
        <w:rPr>
          <w:rFonts w:eastAsia="黑体"/>
        </w:rPr>
      </w:pPr>
      <w:r w:rsidRPr="00C30704">
        <w:rPr>
          <w:rFonts w:eastAsia="黑体"/>
        </w:rPr>
        <w:tab/>
        <w:t>(a)</w:t>
      </w:r>
      <w:r w:rsidRPr="00C30704">
        <w:rPr>
          <w:rFonts w:eastAsia="黑体"/>
        </w:rPr>
        <w:tab/>
      </w:r>
      <w:r w:rsidRPr="00C30704">
        <w:rPr>
          <w:rFonts w:eastAsia="黑体"/>
        </w:rPr>
        <w:t>进一步制定强制性的初步培训和岗位培训方案，以确保所有公职人员都充分了解《公约》规定，特别是绝对禁止酷刑的规定，并充分认识到侵犯行为不会被容忍，将就其展开调查并起诉责任人，并且一经定罪，将予以适当惩罚；</w:t>
      </w:r>
    </w:p>
    <w:p w14:paraId="0F0E4885" w14:textId="77777777" w:rsidR="00C30704" w:rsidRPr="00C30704" w:rsidRDefault="00C30704" w:rsidP="00C30704">
      <w:pPr>
        <w:pStyle w:val="SingleTxtGC"/>
        <w:rPr>
          <w:rFonts w:eastAsia="黑体"/>
        </w:rPr>
      </w:pPr>
      <w:r w:rsidRPr="00C30704">
        <w:rPr>
          <w:rFonts w:eastAsia="黑体"/>
        </w:rPr>
        <w:tab/>
        <w:t>(b)</w:t>
      </w:r>
      <w:r w:rsidRPr="00C30704">
        <w:rPr>
          <w:rFonts w:eastAsia="黑体"/>
        </w:rPr>
        <w:tab/>
      </w:r>
      <w:r w:rsidRPr="00C30704">
        <w:rPr>
          <w:rFonts w:eastAsia="黑体"/>
        </w:rPr>
        <w:t>继续确保包括医务人员在内的所有相关工作人员接受专门培训，以便能根据《伊斯坦布尔规程》识别酷刑和虐待案件；</w:t>
      </w:r>
    </w:p>
    <w:p w14:paraId="3200CAC4" w14:textId="77777777" w:rsidR="00C30704" w:rsidRPr="00C30704" w:rsidRDefault="00C30704" w:rsidP="00C30704">
      <w:pPr>
        <w:pStyle w:val="SingleTxtGC"/>
        <w:rPr>
          <w:rFonts w:eastAsia="黑体"/>
        </w:rPr>
      </w:pPr>
      <w:r w:rsidRPr="00C30704">
        <w:rPr>
          <w:rFonts w:eastAsia="黑体"/>
        </w:rPr>
        <w:tab/>
        <w:t>(c)</w:t>
      </w:r>
      <w:r w:rsidRPr="00C30704">
        <w:rPr>
          <w:rFonts w:eastAsia="黑体"/>
        </w:rPr>
        <w:tab/>
      </w:r>
      <w:r w:rsidRPr="00C30704">
        <w:rPr>
          <w:rFonts w:eastAsia="黑体"/>
        </w:rPr>
        <w:t>制定评估培训方案效果的方法，并根据上述官员的专业培训需求调整这些方案。</w:t>
      </w:r>
    </w:p>
    <w:p w14:paraId="636FA0BC" w14:textId="5B42747F" w:rsidR="00C30704" w:rsidRPr="00D306C0" w:rsidRDefault="00D306C0" w:rsidP="00D306C0">
      <w:pPr>
        <w:pStyle w:val="H23GC"/>
      </w:pPr>
      <w:r w:rsidRPr="00C30704">
        <w:tab/>
      </w:r>
      <w:r w:rsidRPr="00C30704">
        <w:tab/>
      </w:r>
      <w:r w:rsidR="00C30704" w:rsidRPr="00C30704">
        <w:t>数据收集</w:t>
      </w:r>
    </w:p>
    <w:p w14:paraId="4C763CD7" w14:textId="77777777" w:rsidR="00C30704" w:rsidRPr="00C30704" w:rsidRDefault="00C30704" w:rsidP="00C30704">
      <w:pPr>
        <w:pStyle w:val="SingleTxtGC"/>
      </w:pPr>
      <w:r w:rsidRPr="00C30704">
        <w:t>34.</w:t>
      </w:r>
      <w:r w:rsidRPr="00C30704">
        <w:tab/>
      </w:r>
      <w:r w:rsidRPr="00C30704">
        <w:t>委员会感到遗憾的是，未提供以下方面的全面和分类数据：关于执法、军事和监狱管教人员实施酷刑和虐待案件的申诉、调查、起诉和定罪；以及家庭暴力、性暴力和性别暴力、暴力侵害男女同性恋、双性恋和跨性别者以及人口贩运案件。</w:t>
      </w:r>
    </w:p>
    <w:p w14:paraId="6F08D733" w14:textId="77777777" w:rsidR="00C30704" w:rsidRPr="00C30704" w:rsidRDefault="00C30704" w:rsidP="00C30704">
      <w:pPr>
        <w:pStyle w:val="SingleTxtGC"/>
        <w:rPr>
          <w:rFonts w:eastAsia="黑体"/>
        </w:rPr>
      </w:pPr>
      <w:r w:rsidRPr="00C30704">
        <w:rPr>
          <w:rFonts w:eastAsia="黑体"/>
        </w:rPr>
        <w:t>35.</w:t>
      </w:r>
      <w:r w:rsidRPr="00C30704">
        <w:rPr>
          <w:rFonts w:eastAsia="黑体"/>
        </w:rPr>
        <w:tab/>
      </w:r>
      <w:r w:rsidRPr="00C30704">
        <w:rPr>
          <w:rFonts w:eastAsia="黑体"/>
        </w:rPr>
        <w:t>缔约国应汇编与监测国家一级执行《公约》情况有关的统计数据，按年龄、性别、族裔、犯罪类型和地理位置等，分列关于酷刑和虐待、家庭暴力、性暴力和性别暴力、人口贩运和暴力侵害儿童案件的申诉、调查、起诉和定罪，以及所有此类申诉和案件的结果，包括补救手段的数据。</w:t>
      </w:r>
    </w:p>
    <w:p w14:paraId="4134AA3A" w14:textId="77777777" w:rsidR="00C30704" w:rsidRPr="00C30704" w:rsidRDefault="00C30704" w:rsidP="00C30704">
      <w:pPr>
        <w:pStyle w:val="SingleTxtGC"/>
        <w:rPr>
          <w:rFonts w:eastAsia="黑体"/>
        </w:rPr>
      </w:pPr>
      <w:r w:rsidRPr="00C30704">
        <w:rPr>
          <w:rFonts w:eastAsia="黑体"/>
        </w:rPr>
        <w:t>36.</w:t>
      </w:r>
      <w:r w:rsidRPr="00C30704">
        <w:rPr>
          <w:rFonts w:eastAsia="黑体"/>
        </w:rPr>
        <w:tab/>
      </w:r>
      <w:r w:rsidRPr="00C30704">
        <w:rPr>
          <w:rFonts w:eastAsia="黑体"/>
        </w:rPr>
        <w:t>委员会鼓励缔约国考虑根据《公约》第</w:t>
      </w:r>
      <w:r w:rsidRPr="00C30704">
        <w:rPr>
          <w:rFonts w:eastAsia="黑体"/>
        </w:rPr>
        <w:t>21</w:t>
      </w:r>
      <w:r w:rsidRPr="00C30704">
        <w:rPr>
          <w:rFonts w:eastAsia="黑体"/>
        </w:rPr>
        <w:t>条和第</w:t>
      </w:r>
      <w:r w:rsidRPr="00C30704">
        <w:rPr>
          <w:rFonts w:eastAsia="黑体"/>
        </w:rPr>
        <w:t>22</w:t>
      </w:r>
      <w:r w:rsidRPr="00C30704">
        <w:rPr>
          <w:rFonts w:eastAsia="黑体"/>
        </w:rPr>
        <w:t>条作出声明，承认委员会有权接受和审议受该国管辖的个人的来文。</w:t>
      </w:r>
    </w:p>
    <w:p w14:paraId="1C733FB9" w14:textId="77777777" w:rsidR="00C30704" w:rsidRPr="00C30704" w:rsidRDefault="00C30704" w:rsidP="00C30704">
      <w:pPr>
        <w:pStyle w:val="SingleTxtGC"/>
        <w:rPr>
          <w:rFonts w:eastAsia="黑体"/>
        </w:rPr>
      </w:pPr>
      <w:r w:rsidRPr="00C30704">
        <w:rPr>
          <w:rFonts w:eastAsia="黑体"/>
        </w:rPr>
        <w:t>37.</w:t>
      </w:r>
      <w:r w:rsidRPr="00C30704">
        <w:rPr>
          <w:rFonts w:eastAsia="黑体"/>
        </w:rPr>
        <w:tab/>
      </w:r>
      <w:r w:rsidRPr="00C30704">
        <w:rPr>
          <w:rFonts w:eastAsia="黑体"/>
        </w:rPr>
        <w:t>委员会请缔约国通过官方网站、媒体和非政府组织，以相关语言广泛传播提交委员会的报告和本结论性意见，并向委员会通报其传播活动。</w:t>
      </w:r>
    </w:p>
    <w:p w14:paraId="0C606F15" w14:textId="77777777" w:rsidR="00C30704" w:rsidRPr="00C30704" w:rsidRDefault="00C30704" w:rsidP="00C30704">
      <w:pPr>
        <w:pStyle w:val="SingleTxtGC"/>
        <w:rPr>
          <w:rFonts w:eastAsia="黑体"/>
        </w:rPr>
      </w:pPr>
      <w:r w:rsidRPr="00C30704">
        <w:rPr>
          <w:rFonts w:eastAsia="黑体"/>
        </w:rPr>
        <w:lastRenderedPageBreak/>
        <w:t>38.</w:t>
      </w:r>
      <w:r w:rsidRPr="00C30704">
        <w:rPr>
          <w:rFonts w:eastAsia="黑体"/>
        </w:rPr>
        <w:tab/>
      </w:r>
      <w:r w:rsidRPr="00C30704">
        <w:rPr>
          <w:rFonts w:eastAsia="黑体"/>
        </w:rPr>
        <w:t>委员会请缔约国在</w:t>
      </w:r>
      <w:r w:rsidRPr="00C30704">
        <w:rPr>
          <w:rFonts w:eastAsia="黑体"/>
        </w:rPr>
        <w:t>2022</w:t>
      </w:r>
      <w:r w:rsidRPr="00C30704">
        <w:rPr>
          <w:rFonts w:eastAsia="黑体"/>
        </w:rPr>
        <w:t>年</w:t>
      </w:r>
      <w:r w:rsidRPr="00C30704">
        <w:rPr>
          <w:rFonts w:eastAsia="黑体"/>
        </w:rPr>
        <w:t>12</w:t>
      </w:r>
      <w:r w:rsidRPr="00C30704">
        <w:rPr>
          <w:rFonts w:eastAsia="黑体"/>
        </w:rPr>
        <w:t>月</w:t>
      </w:r>
      <w:r w:rsidRPr="00C30704">
        <w:rPr>
          <w:rFonts w:eastAsia="黑体"/>
        </w:rPr>
        <w:t>3</w:t>
      </w:r>
      <w:r w:rsidRPr="00C30704">
        <w:rPr>
          <w:rFonts w:eastAsia="黑体"/>
        </w:rPr>
        <w:t>日前提供资料，说明如何落实委员会关于国家防范机制、暴力侵害妇女行为，包括抢婚，以及调查酷刑和虐待行为的建议</w:t>
      </w:r>
      <w:r w:rsidRPr="00C30704">
        <w:rPr>
          <w:rFonts w:eastAsia="黑体"/>
        </w:rPr>
        <w:t>(</w:t>
      </w:r>
      <w:r w:rsidRPr="00C30704">
        <w:rPr>
          <w:rFonts w:eastAsia="黑体"/>
        </w:rPr>
        <w:t>见上文第</w:t>
      </w:r>
      <w:r w:rsidRPr="00C30704">
        <w:rPr>
          <w:rFonts w:eastAsia="黑体"/>
        </w:rPr>
        <w:t>13</w:t>
      </w:r>
      <w:r w:rsidRPr="00C30704">
        <w:rPr>
          <w:rFonts w:eastAsia="黑体"/>
        </w:rPr>
        <w:t>、</w:t>
      </w:r>
      <w:r w:rsidRPr="00C30704">
        <w:rPr>
          <w:rFonts w:eastAsia="黑体"/>
        </w:rPr>
        <w:t>19</w:t>
      </w:r>
      <w:r w:rsidRPr="00C30704">
        <w:rPr>
          <w:rFonts w:eastAsia="黑体"/>
        </w:rPr>
        <w:t>和</w:t>
      </w:r>
      <w:r w:rsidRPr="00C30704">
        <w:rPr>
          <w:rFonts w:eastAsia="黑体"/>
        </w:rPr>
        <w:t>25</w:t>
      </w:r>
      <w:r w:rsidRPr="00C30704">
        <w:rPr>
          <w:rFonts w:eastAsia="黑体"/>
        </w:rPr>
        <w:t>段</w:t>
      </w:r>
      <w:r w:rsidRPr="00C30704">
        <w:rPr>
          <w:rFonts w:eastAsia="黑体"/>
        </w:rPr>
        <w:t>)</w:t>
      </w:r>
      <w:r w:rsidRPr="00C30704">
        <w:rPr>
          <w:rFonts w:eastAsia="黑体"/>
        </w:rPr>
        <w:t>。在这方面，还请缔约国向委员会通报计划在下一报告周期内如何落实结论性意见中其余的部分建议或全部建议。</w:t>
      </w:r>
    </w:p>
    <w:p w14:paraId="6A92280E" w14:textId="77777777" w:rsidR="00C30704" w:rsidRPr="00C30704" w:rsidRDefault="00C30704" w:rsidP="00C30704">
      <w:pPr>
        <w:pStyle w:val="SingleTxtGC"/>
        <w:rPr>
          <w:rFonts w:eastAsia="黑体"/>
        </w:rPr>
      </w:pPr>
      <w:r w:rsidRPr="00C30704">
        <w:rPr>
          <w:rFonts w:eastAsia="黑体"/>
        </w:rPr>
        <w:t>39.</w:t>
      </w:r>
      <w:r w:rsidRPr="00C30704">
        <w:rPr>
          <w:rFonts w:eastAsia="黑体"/>
        </w:rPr>
        <w:tab/>
      </w:r>
      <w:r w:rsidRPr="00C30704">
        <w:rPr>
          <w:rFonts w:eastAsia="黑体"/>
        </w:rPr>
        <w:t>委员会请缔约国在</w:t>
      </w:r>
      <w:r w:rsidRPr="00C30704">
        <w:rPr>
          <w:rFonts w:eastAsia="黑体"/>
        </w:rPr>
        <w:t>2025</w:t>
      </w:r>
      <w:r w:rsidRPr="00C30704">
        <w:rPr>
          <w:rFonts w:eastAsia="黑体"/>
        </w:rPr>
        <w:t>年</w:t>
      </w:r>
      <w:r w:rsidRPr="00C30704">
        <w:rPr>
          <w:rFonts w:eastAsia="黑体"/>
        </w:rPr>
        <w:t>12</w:t>
      </w:r>
      <w:r w:rsidRPr="00C30704">
        <w:rPr>
          <w:rFonts w:eastAsia="黑体"/>
        </w:rPr>
        <w:t>月</w:t>
      </w:r>
      <w:r w:rsidRPr="00C30704">
        <w:rPr>
          <w:rFonts w:eastAsia="黑体"/>
        </w:rPr>
        <w:t>3</w:t>
      </w:r>
      <w:r w:rsidRPr="00C30704">
        <w:rPr>
          <w:rFonts w:eastAsia="黑体"/>
        </w:rPr>
        <w:t>日前提交下一次定期报告，即第四次定期报告。为此，并考虑到缔约国已同意按照简化报告程序向委员会提交报告，委员会将在适当时候向缔约国发送报告前问题清单。缔约国对问题清单的答复将构成其根据《公约》第</w:t>
      </w:r>
      <w:r w:rsidRPr="00C30704">
        <w:rPr>
          <w:rFonts w:eastAsia="黑体"/>
        </w:rPr>
        <w:t>19</w:t>
      </w:r>
      <w:r w:rsidRPr="00C30704">
        <w:rPr>
          <w:rFonts w:eastAsia="黑体"/>
        </w:rPr>
        <w:t>条提交的第四次定期报告。</w:t>
      </w:r>
    </w:p>
    <w:p w14:paraId="0417A078" w14:textId="77777777" w:rsidR="00C30704" w:rsidRPr="00C30704" w:rsidRDefault="00C30704" w:rsidP="00C30704">
      <w:pPr>
        <w:pStyle w:val="SingleTxtGC"/>
      </w:pPr>
    </w:p>
    <w:p w14:paraId="3BDCC189" w14:textId="77777777" w:rsidR="00D306C0" w:rsidRPr="002D6A9C" w:rsidRDefault="00D306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806F930" w14:textId="57BAFF30" w:rsidR="003B12D7" w:rsidRPr="00D306C0" w:rsidRDefault="003B12D7" w:rsidP="00C30704">
      <w:pPr>
        <w:pStyle w:val="SingleTxtGC"/>
      </w:pPr>
    </w:p>
    <w:sectPr w:rsidR="003B12D7" w:rsidRPr="00D306C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EA378" w14:textId="77777777" w:rsidR="00F8309B" w:rsidRPr="000D319F" w:rsidRDefault="00F8309B" w:rsidP="000D319F">
      <w:pPr>
        <w:pStyle w:val="af0"/>
        <w:spacing w:after="240"/>
        <w:ind w:left="907"/>
        <w:rPr>
          <w:rFonts w:asciiTheme="majorBidi" w:eastAsia="宋体" w:hAnsiTheme="majorBidi" w:cstheme="majorBidi"/>
          <w:sz w:val="21"/>
          <w:szCs w:val="21"/>
          <w:lang w:val="en-US"/>
        </w:rPr>
      </w:pPr>
    </w:p>
    <w:p w14:paraId="64B207EF" w14:textId="77777777" w:rsidR="00F8309B" w:rsidRPr="000D319F" w:rsidRDefault="00F8309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21E7195" w14:textId="77777777" w:rsidR="00F8309B" w:rsidRPr="000D319F" w:rsidRDefault="00F8309B" w:rsidP="000D319F">
      <w:pPr>
        <w:pStyle w:val="af0"/>
      </w:pPr>
    </w:p>
  </w:endnote>
  <w:endnote w:type="continuationNotice" w:id="1">
    <w:p w14:paraId="185EA42F" w14:textId="77777777" w:rsidR="00F8309B" w:rsidRDefault="00F830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DA12B" w14:textId="77777777" w:rsidR="00056632" w:rsidRPr="003B12D7" w:rsidRDefault="003B12D7" w:rsidP="003B12D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B12D7">
      <w:rPr>
        <w:rStyle w:val="af2"/>
        <w:b w:val="0"/>
        <w:snapToGrid w:val="0"/>
        <w:sz w:val="16"/>
      </w:rPr>
      <w:t>GE.21-19376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C10A" w14:textId="77777777" w:rsidR="00056632" w:rsidRPr="003B12D7" w:rsidRDefault="003B12D7" w:rsidP="003B12D7">
    <w:pPr>
      <w:pStyle w:val="af0"/>
      <w:tabs>
        <w:tab w:val="clear" w:pos="431"/>
        <w:tab w:val="right" w:pos="9638"/>
      </w:tabs>
      <w:rPr>
        <w:rStyle w:val="af2"/>
      </w:rPr>
    </w:pPr>
    <w:r>
      <w:t>GE.21-19376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99DD8" w14:textId="6D90979B" w:rsidR="00056632" w:rsidRPr="00487939" w:rsidRDefault="003B12D7"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B146DF1" wp14:editId="49CA7BB6">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GE.21-19376</w:t>
    </w:r>
    <w:r w:rsidR="00731A42" w:rsidRPr="00EE277A">
      <w:rPr>
        <w:sz w:val="20"/>
        <w:lang w:eastAsia="zh-CN"/>
      </w:rPr>
      <w:t xml:space="preserve"> (C)</w:t>
    </w:r>
    <w:r w:rsidR="005505A1">
      <w:rPr>
        <w:sz w:val="20"/>
        <w:lang w:eastAsia="zh-CN"/>
      </w:rPr>
      <w:tab/>
    </w:r>
    <w:r w:rsidR="00A3064C">
      <w:rPr>
        <w:sz w:val="20"/>
        <w:lang w:eastAsia="zh-CN"/>
      </w:rPr>
      <w:t>030322</w:t>
    </w:r>
    <w:r w:rsidR="00731A42">
      <w:rPr>
        <w:sz w:val="20"/>
        <w:lang w:eastAsia="zh-CN"/>
      </w:rPr>
      <w:tab/>
    </w:r>
    <w:r w:rsidR="00A3064C">
      <w:rPr>
        <w:sz w:val="20"/>
        <w:lang w:eastAsia="zh-CN"/>
      </w:rPr>
      <w:t>090322</w:t>
    </w:r>
    <w:r w:rsidR="00731A42">
      <w:rPr>
        <w:b/>
        <w:sz w:val="21"/>
      </w:rPr>
      <w:tab/>
    </w:r>
    <w:r w:rsidR="00A1364C">
      <w:rPr>
        <w:rFonts w:hint="eastAsia"/>
        <w:b/>
        <w:noProof/>
        <w:snapToGrid/>
        <w:sz w:val="21"/>
        <w:lang w:val="en-US" w:eastAsia="zh-CN"/>
      </w:rPr>
      <w:drawing>
        <wp:inline distT="0" distB="0" distL="0" distR="0" wp14:anchorId="77F8C1B1" wp14:editId="1D2B959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C23AD" w14:textId="77777777" w:rsidR="00F8309B" w:rsidRPr="000157B1" w:rsidRDefault="00F8309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DADE08" w14:textId="77777777" w:rsidR="00F8309B" w:rsidRPr="000157B1" w:rsidRDefault="00F8309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77A4CB9" w14:textId="77777777" w:rsidR="00F8309B" w:rsidRDefault="00F8309B"/>
  </w:footnote>
  <w:footnote w:id="2">
    <w:p w14:paraId="1973C6FB" w14:textId="77777777" w:rsidR="00C30704" w:rsidRDefault="00C30704" w:rsidP="00C30704">
      <w:pPr>
        <w:pStyle w:val="a6"/>
      </w:pPr>
      <w:r>
        <w:rPr>
          <w:lang w:val="zh-CN"/>
        </w:rPr>
        <w:tab/>
        <w:t>*</w:t>
      </w:r>
      <w:r>
        <w:rPr>
          <w:lang w:val="zh-CN"/>
        </w:rPr>
        <w:tab/>
      </w:r>
      <w:r>
        <w:rPr>
          <w:lang w:val="zh-CN"/>
        </w:rPr>
        <w:t>委员会第七十二届会议</w:t>
      </w:r>
      <w:r>
        <w:rPr>
          <w:lang w:val="zh-CN"/>
        </w:rPr>
        <w:t>(2021</w:t>
      </w:r>
      <w:r>
        <w:rPr>
          <w:lang w:val="zh-CN"/>
        </w:rPr>
        <w:t>年</w:t>
      </w:r>
      <w:r>
        <w:rPr>
          <w:lang w:val="zh-CN"/>
        </w:rPr>
        <w:t>11</w:t>
      </w:r>
      <w:r>
        <w:rPr>
          <w:lang w:val="zh-CN"/>
        </w:rPr>
        <w:t>月</w:t>
      </w:r>
      <w:r>
        <w:rPr>
          <w:lang w:val="zh-CN"/>
        </w:rPr>
        <w:t>8</w:t>
      </w:r>
      <w:r>
        <w:rPr>
          <w:lang w:val="zh-CN"/>
        </w:rPr>
        <w:t>日至</w:t>
      </w:r>
      <w:r>
        <w:rPr>
          <w:lang w:val="zh-CN"/>
        </w:rPr>
        <w:t>12</w:t>
      </w:r>
      <w:r>
        <w:rPr>
          <w:lang w:val="zh-CN"/>
        </w:rPr>
        <w:t>月</w:t>
      </w:r>
      <w:r>
        <w:rPr>
          <w:lang w:val="zh-CN"/>
        </w:rPr>
        <w:t>3</w:t>
      </w:r>
      <w:r>
        <w:rPr>
          <w:lang w:val="zh-CN"/>
        </w:rPr>
        <w:t>日</w:t>
      </w:r>
      <w:r>
        <w:rPr>
          <w:lang w:val="zh-CN"/>
        </w:rPr>
        <w:t>)</w:t>
      </w:r>
      <w:r>
        <w:rPr>
          <w:lang w:val="zh-CN"/>
        </w:rPr>
        <w:t>通过。</w:t>
      </w:r>
    </w:p>
  </w:footnote>
  <w:footnote w:id="3">
    <w:p w14:paraId="09A5452F"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见</w:t>
      </w:r>
      <w:r>
        <w:rPr>
          <w:lang w:val="zh-CN"/>
        </w:rPr>
        <w:t>CAT/C/SR.1844</w:t>
      </w:r>
      <w:r>
        <w:rPr>
          <w:lang w:val="zh-CN"/>
        </w:rPr>
        <w:t>和</w:t>
      </w:r>
      <w:r>
        <w:rPr>
          <w:lang w:val="zh-CN"/>
        </w:rPr>
        <w:t>CAT/C/SR.1847</w:t>
      </w:r>
      <w:r>
        <w:rPr>
          <w:lang w:val="zh-CN"/>
        </w:rPr>
        <w:t>。</w:t>
      </w:r>
    </w:p>
  </w:footnote>
  <w:footnote w:id="4">
    <w:p w14:paraId="245BBFD1"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CAT/C/KGZ/3</w:t>
      </w:r>
      <w:r>
        <w:rPr>
          <w:lang w:val="zh-CN"/>
        </w:rPr>
        <w:t>。</w:t>
      </w:r>
    </w:p>
  </w:footnote>
  <w:footnote w:id="5">
    <w:p w14:paraId="6EDA810D"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CAT/C/KGZ/CO/2</w:t>
      </w:r>
      <w:r>
        <w:rPr>
          <w:lang w:val="zh-CN"/>
        </w:rPr>
        <w:t>，第</w:t>
      </w:r>
      <w:r>
        <w:rPr>
          <w:lang w:val="zh-CN"/>
        </w:rPr>
        <w:t>29</w:t>
      </w:r>
      <w:r>
        <w:rPr>
          <w:lang w:val="zh-CN"/>
        </w:rPr>
        <w:t>段</w:t>
      </w:r>
      <w:r>
        <w:rPr>
          <w:rFonts w:hint="eastAsia"/>
          <w:lang w:val="zh-CN" w:eastAsia="zh-Hans"/>
        </w:rPr>
        <w:t>。</w:t>
      </w:r>
    </w:p>
  </w:footnote>
  <w:footnote w:id="6">
    <w:p w14:paraId="4F95BE8A"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同上，第</w:t>
      </w:r>
      <w:r>
        <w:rPr>
          <w:lang w:val="zh-CN"/>
        </w:rPr>
        <w:t>7</w:t>
      </w:r>
      <w:r>
        <w:rPr>
          <w:lang w:val="zh-CN"/>
        </w:rPr>
        <w:t>段和第</w:t>
      </w:r>
      <w:r>
        <w:rPr>
          <w:lang w:val="zh-CN"/>
        </w:rPr>
        <w:t>8</w:t>
      </w:r>
      <w:r>
        <w:rPr>
          <w:lang w:val="zh-CN"/>
        </w:rPr>
        <w:t>段。</w:t>
      </w:r>
    </w:p>
  </w:footnote>
  <w:footnote w:id="7">
    <w:p w14:paraId="3EBBA6D9"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同上，第</w:t>
      </w:r>
      <w:r>
        <w:rPr>
          <w:lang w:val="zh-CN"/>
        </w:rPr>
        <w:t>10</w:t>
      </w:r>
      <w:r>
        <w:rPr>
          <w:lang w:val="zh-CN"/>
        </w:rPr>
        <w:t>段。</w:t>
      </w:r>
    </w:p>
  </w:footnote>
  <w:footnote w:id="8">
    <w:p w14:paraId="3FFCB031"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同上，第</w:t>
      </w:r>
      <w:r>
        <w:rPr>
          <w:lang w:val="zh-CN"/>
        </w:rPr>
        <w:t>14</w:t>
      </w:r>
      <w:r>
        <w:rPr>
          <w:lang w:val="zh-CN"/>
        </w:rPr>
        <w:t>段。</w:t>
      </w:r>
    </w:p>
  </w:footnote>
  <w:footnote w:id="9">
    <w:p w14:paraId="5C002E14"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同上，第</w:t>
      </w:r>
      <w:r>
        <w:rPr>
          <w:lang w:val="zh-CN"/>
        </w:rPr>
        <w:t>10</w:t>
      </w:r>
      <w:r>
        <w:rPr>
          <w:lang w:val="zh-CN"/>
        </w:rPr>
        <w:t>段。</w:t>
      </w:r>
    </w:p>
  </w:footnote>
  <w:footnote w:id="10">
    <w:p w14:paraId="0DF48CC9"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同上，第</w:t>
      </w:r>
      <w:r>
        <w:rPr>
          <w:lang w:val="zh-CN"/>
        </w:rPr>
        <w:t>14</w:t>
      </w:r>
      <w:r>
        <w:rPr>
          <w:lang w:val="zh-CN"/>
        </w:rPr>
        <w:t>段。</w:t>
      </w:r>
    </w:p>
  </w:footnote>
  <w:footnote w:id="11">
    <w:p w14:paraId="79C9B47D"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同上，第</w:t>
      </w:r>
      <w:r>
        <w:rPr>
          <w:lang w:val="zh-CN"/>
        </w:rPr>
        <w:t>9</w:t>
      </w:r>
      <w:r>
        <w:rPr>
          <w:lang w:val="zh-CN"/>
        </w:rPr>
        <w:t>段。</w:t>
      </w:r>
    </w:p>
  </w:footnote>
  <w:footnote w:id="12">
    <w:p w14:paraId="4A1E0576" w14:textId="77777777" w:rsidR="00C30704" w:rsidRDefault="00C30704" w:rsidP="00C30704">
      <w:pPr>
        <w:pStyle w:val="a6"/>
      </w:pPr>
      <w:r>
        <w:rPr>
          <w:lang w:val="zh-CN"/>
        </w:rPr>
        <w:tab/>
      </w:r>
      <w:r>
        <w:rPr>
          <w:rStyle w:val="a8"/>
          <w:rFonts w:eastAsia="宋体"/>
          <w:lang w:val="zh-CN"/>
        </w:rPr>
        <w:footnoteRef/>
      </w:r>
      <w:r>
        <w:rPr>
          <w:lang w:val="zh-CN"/>
        </w:rPr>
        <w:tab/>
      </w:r>
      <w:r>
        <w:rPr>
          <w:lang w:val="zh-CN"/>
        </w:rPr>
        <w:t>同上，第</w:t>
      </w:r>
      <w:r>
        <w:rPr>
          <w:lang w:val="zh-CN"/>
        </w:rPr>
        <w:t>5</w:t>
      </w:r>
      <w:r>
        <w:rPr>
          <w:lang w:val="zh-CN"/>
        </w:rPr>
        <w:t>段和第</w:t>
      </w:r>
      <w:r>
        <w:rPr>
          <w:lang w:val="zh-CN"/>
        </w:rPr>
        <w:t>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E65D2" w14:textId="77777777" w:rsidR="00056632" w:rsidRDefault="003B12D7" w:rsidP="003B12D7">
    <w:pPr>
      <w:pStyle w:val="af3"/>
    </w:pPr>
    <w:r>
      <w:t>CAT/C/KGZ/CO/3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3795F" w14:textId="77777777" w:rsidR="00056632" w:rsidRPr="00202A30" w:rsidRDefault="003B12D7" w:rsidP="003B12D7">
    <w:pPr>
      <w:pStyle w:val="af3"/>
      <w:jc w:val="right"/>
    </w:pPr>
    <w:r>
      <w:t>CAT/C/KGZ/CO/3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9B"/>
    <w:rsid w:val="00005AA7"/>
    <w:rsid w:val="00011483"/>
    <w:rsid w:val="0003324B"/>
    <w:rsid w:val="00080803"/>
    <w:rsid w:val="00094844"/>
    <w:rsid w:val="000A0B81"/>
    <w:rsid w:val="000B0E35"/>
    <w:rsid w:val="000D319F"/>
    <w:rsid w:val="000E4D0E"/>
    <w:rsid w:val="00121B4A"/>
    <w:rsid w:val="00144B69"/>
    <w:rsid w:val="00153E86"/>
    <w:rsid w:val="00192831"/>
    <w:rsid w:val="001B1BD1"/>
    <w:rsid w:val="001C3560"/>
    <w:rsid w:val="001C3EF2"/>
    <w:rsid w:val="001D17F6"/>
    <w:rsid w:val="001E55D9"/>
    <w:rsid w:val="00204B42"/>
    <w:rsid w:val="002231C3"/>
    <w:rsid w:val="0024417F"/>
    <w:rsid w:val="00250F8D"/>
    <w:rsid w:val="00256EC7"/>
    <w:rsid w:val="002D14FC"/>
    <w:rsid w:val="002E1C97"/>
    <w:rsid w:val="002F0F24"/>
    <w:rsid w:val="002F5834"/>
    <w:rsid w:val="003006AB"/>
    <w:rsid w:val="00326EBF"/>
    <w:rsid w:val="00327FE4"/>
    <w:rsid w:val="00335E8A"/>
    <w:rsid w:val="00352798"/>
    <w:rsid w:val="003B12D7"/>
    <w:rsid w:val="00427F63"/>
    <w:rsid w:val="00432CFD"/>
    <w:rsid w:val="00434D38"/>
    <w:rsid w:val="00494EB8"/>
    <w:rsid w:val="004A34AA"/>
    <w:rsid w:val="004C4A0A"/>
    <w:rsid w:val="004E5055"/>
    <w:rsid w:val="004E5E96"/>
    <w:rsid w:val="00501220"/>
    <w:rsid w:val="005505A1"/>
    <w:rsid w:val="00597013"/>
    <w:rsid w:val="005A48BF"/>
    <w:rsid w:val="005B4286"/>
    <w:rsid w:val="005B5D35"/>
    <w:rsid w:val="005D337E"/>
    <w:rsid w:val="005E403A"/>
    <w:rsid w:val="00631320"/>
    <w:rsid w:val="00680656"/>
    <w:rsid w:val="006B07B3"/>
    <w:rsid w:val="006B1119"/>
    <w:rsid w:val="006B44EF"/>
    <w:rsid w:val="006C70CF"/>
    <w:rsid w:val="006E3E46"/>
    <w:rsid w:val="006E71B1"/>
    <w:rsid w:val="0070593B"/>
    <w:rsid w:val="00705D89"/>
    <w:rsid w:val="00731A42"/>
    <w:rsid w:val="00756AFC"/>
    <w:rsid w:val="00767E69"/>
    <w:rsid w:val="0077079A"/>
    <w:rsid w:val="007A5599"/>
    <w:rsid w:val="00831F30"/>
    <w:rsid w:val="00856233"/>
    <w:rsid w:val="00860F27"/>
    <w:rsid w:val="00892E66"/>
    <w:rsid w:val="008B0560"/>
    <w:rsid w:val="008B2BFA"/>
    <w:rsid w:val="008D149F"/>
    <w:rsid w:val="008E6A3F"/>
    <w:rsid w:val="00931C3D"/>
    <w:rsid w:val="00936F03"/>
    <w:rsid w:val="00943B69"/>
    <w:rsid w:val="00944CB3"/>
    <w:rsid w:val="00945B28"/>
    <w:rsid w:val="00951B31"/>
    <w:rsid w:val="00964BB3"/>
    <w:rsid w:val="009B09D7"/>
    <w:rsid w:val="009D35ED"/>
    <w:rsid w:val="009D4CBC"/>
    <w:rsid w:val="009E489E"/>
    <w:rsid w:val="00A03CB6"/>
    <w:rsid w:val="00A1364C"/>
    <w:rsid w:val="00A21076"/>
    <w:rsid w:val="00A3064C"/>
    <w:rsid w:val="00A3739A"/>
    <w:rsid w:val="00A52DAF"/>
    <w:rsid w:val="00A71645"/>
    <w:rsid w:val="00A84072"/>
    <w:rsid w:val="00AB5964"/>
    <w:rsid w:val="00B16570"/>
    <w:rsid w:val="00B23B03"/>
    <w:rsid w:val="00B43EB7"/>
    <w:rsid w:val="00B445D1"/>
    <w:rsid w:val="00B53320"/>
    <w:rsid w:val="00B71DC1"/>
    <w:rsid w:val="00BC6522"/>
    <w:rsid w:val="00BE03FD"/>
    <w:rsid w:val="00C121D5"/>
    <w:rsid w:val="00C17349"/>
    <w:rsid w:val="00C30704"/>
    <w:rsid w:val="00C32AAB"/>
    <w:rsid w:val="00C351AA"/>
    <w:rsid w:val="00C7253F"/>
    <w:rsid w:val="00C859B3"/>
    <w:rsid w:val="00C95189"/>
    <w:rsid w:val="00D26A05"/>
    <w:rsid w:val="00D306C0"/>
    <w:rsid w:val="00D33EF5"/>
    <w:rsid w:val="00D97B98"/>
    <w:rsid w:val="00DC18BF"/>
    <w:rsid w:val="00DC671F"/>
    <w:rsid w:val="00DE4DA7"/>
    <w:rsid w:val="00E245ED"/>
    <w:rsid w:val="00E33B38"/>
    <w:rsid w:val="00E41AE4"/>
    <w:rsid w:val="00E47FE5"/>
    <w:rsid w:val="00E572EF"/>
    <w:rsid w:val="00E574AF"/>
    <w:rsid w:val="00EF40DA"/>
    <w:rsid w:val="00F011F5"/>
    <w:rsid w:val="00F24E6D"/>
    <w:rsid w:val="00F57165"/>
    <w:rsid w:val="00F714DA"/>
    <w:rsid w:val="00F8309B"/>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E71A5D"/>
  <w15:docId w15:val="{3617449E-FFD7-475C-8EE7-9B8315820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F011F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7541</Words>
  <Characters>8098</Characters>
  <Application>Microsoft Office Word</Application>
  <DocSecurity>0</DocSecurity>
  <Lines>294</Lines>
  <Paragraphs>115</Paragraphs>
  <ScaleCrop>false</ScaleCrop>
  <Company>DCM</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CAT/C/KGZ/CO/3</dc:title>
  <dc:subject>2119376</dc:subject>
  <dc:creator>Xiaoling</dc:creator>
  <cp:keywords/>
  <dc:description/>
  <cp:lastModifiedBy>Xiangli Ferschin-Ji</cp:lastModifiedBy>
  <cp:revision>2</cp:revision>
  <cp:lastPrinted>2014-05-09T11:28:00Z</cp:lastPrinted>
  <dcterms:created xsi:type="dcterms:W3CDTF">2022-03-09T10:07:00Z</dcterms:created>
  <dcterms:modified xsi:type="dcterms:W3CDTF">2022-03-09T10:07:00Z</dcterms:modified>
</cp:coreProperties>
</file>