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C40431">
        <w:trPr>
          <w:trHeight w:hRule="exact" w:val="851"/>
        </w:trPr>
        <w:tc>
          <w:tcPr>
            <w:tcW w:w="1280" w:type="dxa"/>
            <w:tcBorders>
              <w:bottom w:val="single" w:sz="4" w:space="0" w:color="auto"/>
            </w:tcBorders>
          </w:tcPr>
          <w:p w:rsidR="00C40431" w:rsidRDefault="00C40431">
            <w:pPr>
              <w:rPr>
                <w:rFonts w:hint="eastAsia"/>
              </w:rPr>
            </w:pPr>
          </w:p>
        </w:tc>
        <w:tc>
          <w:tcPr>
            <w:tcW w:w="2273" w:type="dxa"/>
            <w:tcBorders>
              <w:bottom w:val="single" w:sz="4" w:space="0" w:color="auto"/>
            </w:tcBorders>
            <w:vAlign w:val="bottom"/>
          </w:tcPr>
          <w:p w:rsidR="00C40431" w:rsidRDefault="00C40431">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C40431" w:rsidRPr="0030010F" w:rsidRDefault="00F33963">
            <w:pPr>
              <w:spacing w:line="240" w:lineRule="atLeast"/>
              <w:jc w:val="right"/>
              <w:rPr>
                <w:sz w:val="20"/>
                <w:szCs w:val="21"/>
              </w:rPr>
            </w:pPr>
            <w:proofErr w:type="spellStart"/>
            <w:r w:rsidRPr="00CE41EB">
              <w:rPr>
                <w:sz w:val="40"/>
              </w:rPr>
              <w:t>CCPR</w:t>
            </w:r>
            <w:proofErr w:type="spellEnd"/>
            <w:r>
              <w:t>/C/ALB/CO/2</w:t>
            </w:r>
          </w:p>
        </w:tc>
      </w:tr>
      <w:tr w:rsidR="00C40431">
        <w:trPr>
          <w:trHeight w:hRule="exact" w:val="2835"/>
        </w:trPr>
        <w:tc>
          <w:tcPr>
            <w:tcW w:w="1280" w:type="dxa"/>
            <w:tcBorders>
              <w:top w:val="single" w:sz="4" w:space="0" w:color="auto"/>
              <w:bottom w:val="single" w:sz="12" w:space="0" w:color="auto"/>
            </w:tcBorders>
          </w:tcPr>
          <w:p w:rsidR="00C40431" w:rsidRDefault="00C40431">
            <w:pPr>
              <w:spacing w:line="120" w:lineRule="atLeast"/>
              <w:rPr>
                <w:sz w:val="10"/>
                <w:szCs w:val="10"/>
              </w:rPr>
            </w:pPr>
          </w:p>
          <w:p w:rsidR="00C40431" w:rsidRDefault="00C40431">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C40431" w:rsidRDefault="00C40431">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公民权利和政治权利</w:t>
            </w:r>
            <w:r>
              <w:rPr>
                <w:rFonts w:ascii="Time New Roman" w:eastAsia="SimHei" w:hAnsi="Time New Roman"/>
                <w:sz w:val="34"/>
                <w:szCs w:val="34"/>
              </w:rPr>
              <w:br/>
            </w:r>
            <w:r>
              <w:rPr>
                <w:rFonts w:ascii="Time New Roman" w:eastAsia="SimHei" w:hAnsi="Time New Roman" w:hint="eastAsia"/>
                <w:sz w:val="34"/>
                <w:szCs w:val="34"/>
              </w:rPr>
              <w:t>国际公约</w:t>
            </w:r>
          </w:p>
        </w:tc>
        <w:tc>
          <w:tcPr>
            <w:tcW w:w="2819" w:type="dxa"/>
            <w:tcBorders>
              <w:top w:val="single" w:sz="4" w:space="0" w:color="auto"/>
              <w:bottom w:val="single" w:sz="12" w:space="0" w:color="auto"/>
            </w:tcBorders>
          </w:tcPr>
          <w:p w:rsidR="00C40431" w:rsidRPr="0030010F" w:rsidRDefault="00C40431" w:rsidP="002D3D9F">
            <w:pPr>
              <w:spacing w:before="240" w:line="240" w:lineRule="atLeast"/>
              <w:rPr>
                <w:rFonts w:hint="eastAsia"/>
                <w:sz w:val="20"/>
              </w:rPr>
            </w:pPr>
            <w:r w:rsidRPr="002D3D9F">
              <w:rPr>
                <w:sz w:val="20"/>
              </w:rPr>
              <w:t xml:space="preserve">Distr.: </w:t>
            </w:r>
            <w:r w:rsidR="0030010F" w:rsidRPr="0030010F">
              <w:rPr>
                <w:sz w:val="20"/>
              </w:rPr>
              <w:t>General</w:t>
            </w:r>
          </w:p>
          <w:p w:rsidR="00C40431" w:rsidRPr="002D3D9F" w:rsidRDefault="0030010F">
            <w:pPr>
              <w:spacing w:line="240" w:lineRule="atLeast"/>
              <w:rPr>
                <w:rFonts w:hint="eastAsia"/>
                <w:sz w:val="20"/>
              </w:rPr>
            </w:pPr>
            <w:r w:rsidRPr="0030010F">
              <w:rPr>
                <w:sz w:val="20"/>
              </w:rPr>
              <w:t>22 August</w:t>
            </w:r>
            <w:r w:rsidR="005F24E4">
              <w:rPr>
                <w:sz w:val="20"/>
              </w:rPr>
              <w:t xml:space="preserve"> 20</w:t>
            </w:r>
            <w:r w:rsidR="00902307">
              <w:rPr>
                <w:rFonts w:hint="eastAsia"/>
                <w:sz w:val="20"/>
              </w:rPr>
              <w:t>13</w:t>
            </w:r>
          </w:p>
          <w:p w:rsidR="00C40431" w:rsidRPr="002D3D9F" w:rsidRDefault="00C40431">
            <w:pPr>
              <w:spacing w:line="240" w:lineRule="atLeast"/>
              <w:rPr>
                <w:sz w:val="20"/>
              </w:rPr>
            </w:pPr>
            <w:r w:rsidRPr="002D3D9F">
              <w:rPr>
                <w:sz w:val="20"/>
              </w:rPr>
              <w:t xml:space="preserve">Chinese </w:t>
            </w:r>
          </w:p>
          <w:p w:rsidR="00C40431" w:rsidRPr="002D3D9F" w:rsidRDefault="00C40431">
            <w:pPr>
              <w:spacing w:line="240" w:lineRule="atLeast"/>
              <w:rPr>
                <w:rFonts w:hint="eastAsia"/>
                <w:sz w:val="20"/>
              </w:rPr>
            </w:pPr>
            <w:r w:rsidRPr="002D3D9F">
              <w:rPr>
                <w:sz w:val="20"/>
              </w:rPr>
              <w:t>Original: English</w:t>
            </w:r>
          </w:p>
        </w:tc>
      </w:tr>
    </w:tbl>
    <w:p w:rsidR="00553C07" w:rsidRPr="00D227DC" w:rsidRDefault="00C40431" w:rsidP="00D227DC">
      <w:pPr>
        <w:spacing w:before="120"/>
        <w:rPr>
          <w:rFonts w:ascii="Time New Roman" w:eastAsia="SimHei" w:hAnsi="Time New Roman" w:hint="eastAsia"/>
          <w:sz w:val="24"/>
          <w:szCs w:val="24"/>
        </w:rPr>
      </w:pPr>
      <w:r>
        <w:rPr>
          <w:rFonts w:ascii="Time New Roman" w:eastAsia="SimHei" w:hAnsi="Time New Roman" w:hint="eastAsia"/>
          <w:sz w:val="24"/>
          <w:szCs w:val="24"/>
        </w:rPr>
        <w:t>人权事务委员会</w:t>
      </w:r>
    </w:p>
    <w:p w:rsidR="00307FC6" w:rsidRDefault="00C40431" w:rsidP="00D227DC">
      <w:pPr>
        <w:pStyle w:val="HChGC"/>
        <w:spacing w:before="480"/>
        <w:rPr>
          <w:rFonts w:hint="eastAsia"/>
        </w:rPr>
      </w:pPr>
      <w:r>
        <w:tab/>
      </w:r>
      <w:r>
        <w:tab/>
      </w:r>
      <w:r w:rsidR="00307FC6">
        <w:rPr>
          <w:rFonts w:hint="eastAsia"/>
        </w:rPr>
        <w:t>关于阿尔巴尼亚第二次定期报告的结论性意见</w:t>
      </w:r>
      <w:r w:rsidR="0030010F" w:rsidRPr="00A41141">
        <w:rPr>
          <w:rStyle w:val="FootnoteReference"/>
          <w:sz w:val="28"/>
          <w:szCs w:val="28"/>
          <w:vertAlign w:val="baseline"/>
        </w:rPr>
        <w:footnoteReference w:customMarkFollows="1" w:id="1"/>
        <w:t>*</w:t>
      </w:r>
    </w:p>
    <w:p w:rsidR="00307FC6" w:rsidRDefault="00307FC6" w:rsidP="00307FC6">
      <w:pPr>
        <w:pStyle w:val="SingleTxtGC"/>
        <w:rPr>
          <w:rFonts w:hint="eastAsia"/>
        </w:rPr>
      </w:pPr>
      <w:r>
        <w:rPr>
          <w:rFonts w:hint="eastAsia"/>
        </w:rPr>
        <w:t xml:space="preserve">1.  </w:t>
      </w:r>
      <w:r>
        <w:rPr>
          <w:rFonts w:hint="eastAsia"/>
        </w:rPr>
        <w:t>委员会在</w:t>
      </w:r>
      <w:r>
        <w:rPr>
          <w:rFonts w:hint="eastAsia"/>
        </w:rPr>
        <w:t>2013</w:t>
      </w:r>
      <w:r>
        <w:rPr>
          <w:rFonts w:hint="eastAsia"/>
        </w:rPr>
        <w:t>年</w:t>
      </w:r>
      <w:r>
        <w:rPr>
          <w:rFonts w:hint="eastAsia"/>
        </w:rPr>
        <w:t>7</w:t>
      </w:r>
      <w:r>
        <w:rPr>
          <w:rFonts w:hint="eastAsia"/>
        </w:rPr>
        <w:t>月</w:t>
      </w:r>
      <w:r>
        <w:rPr>
          <w:rFonts w:hint="eastAsia"/>
        </w:rPr>
        <w:t>15</w:t>
      </w:r>
      <w:r>
        <w:rPr>
          <w:rFonts w:hint="eastAsia"/>
        </w:rPr>
        <w:t>日和</w:t>
      </w:r>
      <w:r>
        <w:rPr>
          <w:rFonts w:hint="eastAsia"/>
        </w:rPr>
        <w:t>16</w:t>
      </w:r>
      <w:r>
        <w:rPr>
          <w:rFonts w:hint="eastAsia"/>
        </w:rPr>
        <w:t>日举行的第</w:t>
      </w:r>
      <w:r>
        <w:rPr>
          <w:rFonts w:hint="eastAsia"/>
        </w:rPr>
        <w:t>2</w:t>
      </w:r>
      <w:r w:rsidR="00744923">
        <w:rPr>
          <w:rFonts w:hint="eastAsia"/>
        </w:rPr>
        <w:t>9</w:t>
      </w:r>
      <w:r>
        <w:rPr>
          <w:rFonts w:hint="eastAsia"/>
        </w:rPr>
        <w:t>90</w:t>
      </w:r>
      <w:r>
        <w:rPr>
          <w:rFonts w:hint="eastAsia"/>
        </w:rPr>
        <w:t>次会议和第</w:t>
      </w:r>
      <w:r>
        <w:rPr>
          <w:rFonts w:hint="eastAsia"/>
        </w:rPr>
        <w:t>2</w:t>
      </w:r>
      <w:r w:rsidR="00744923">
        <w:rPr>
          <w:rFonts w:hint="eastAsia"/>
        </w:rPr>
        <w:t>9</w:t>
      </w:r>
      <w:r>
        <w:rPr>
          <w:rFonts w:hint="eastAsia"/>
        </w:rPr>
        <w:t>91</w:t>
      </w:r>
      <w:r>
        <w:rPr>
          <w:rFonts w:hint="eastAsia"/>
        </w:rPr>
        <w:t>次会议上</w:t>
      </w:r>
      <w:r>
        <w:rPr>
          <w:rFonts w:hint="eastAsia"/>
        </w:rPr>
        <w:t>(CCPR/C/SR.2990</w:t>
      </w:r>
      <w:r>
        <w:rPr>
          <w:rFonts w:hint="eastAsia"/>
        </w:rPr>
        <w:t>和</w:t>
      </w:r>
      <w:r>
        <w:rPr>
          <w:rFonts w:hint="eastAsia"/>
        </w:rPr>
        <w:t>2991)</w:t>
      </w:r>
      <w:r>
        <w:rPr>
          <w:rFonts w:hint="eastAsia"/>
        </w:rPr>
        <w:t>审议了阿尔巴尼亚提交的第二次定期报告</w:t>
      </w:r>
      <w:r>
        <w:rPr>
          <w:rFonts w:hint="eastAsia"/>
        </w:rPr>
        <w:t>(CCPR/C/</w:t>
      </w:r>
      <w:r w:rsidR="00A41141">
        <w:rPr>
          <w:rFonts w:hint="eastAsia"/>
        </w:rPr>
        <w:t xml:space="preserve"> </w:t>
      </w:r>
      <w:r>
        <w:rPr>
          <w:rFonts w:hint="eastAsia"/>
        </w:rPr>
        <w:t>ALB/2)</w:t>
      </w:r>
      <w:r>
        <w:rPr>
          <w:rFonts w:hint="eastAsia"/>
        </w:rPr>
        <w:t>。在</w:t>
      </w:r>
      <w:r>
        <w:rPr>
          <w:rFonts w:hint="eastAsia"/>
        </w:rPr>
        <w:t>2013</w:t>
      </w:r>
      <w:r>
        <w:rPr>
          <w:rFonts w:hint="eastAsia"/>
        </w:rPr>
        <w:t>年</w:t>
      </w:r>
      <w:r>
        <w:rPr>
          <w:rFonts w:hint="eastAsia"/>
        </w:rPr>
        <w:t>7</w:t>
      </w:r>
      <w:r>
        <w:rPr>
          <w:rFonts w:hint="eastAsia"/>
        </w:rPr>
        <w:t>月</w:t>
      </w:r>
      <w:r>
        <w:rPr>
          <w:rFonts w:hint="eastAsia"/>
        </w:rPr>
        <w:t>24</w:t>
      </w:r>
      <w:r>
        <w:rPr>
          <w:rFonts w:hint="eastAsia"/>
        </w:rPr>
        <w:t>日举行的第</w:t>
      </w:r>
      <w:r>
        <w:rPr>
          <w:rFonts w:hint="eastAsia"/>
        </w:rPr>
        <w:t>3003</w:t>
      </w:r>
      <w:r>
        <w:rPr>
          <w:rFonts w:hint="eastAsia"/>
        </w:rPr>
        <w:t>次会议</w:t>
      </w:r>
      <w:r>
        <w:rPr>
          <w:rFonts w:hint="eastAsia"/>
        </w:rPr>
        <w:t>(CCPR/C/SR.3003)</w:t>
      </w:r>
      <w:r>
        <w:rPr>
          <w:rFonts w:hint="eastAsia"/>
        </w:rPr>
        <w:t>上，委员会通过了以下结论性意见。</w:t>
      </w:r>
    </w:p>
    <w:p w:rsidR="00307FC6" w:rsidRDefault="00307FC6" w:rsidP="0030010F">
      <w:pPr>
        <w:pStyle w:val="H1GC"/>
        <w:rPr>
          <w:rFonts w:hint="eastAsia"/>
        </w:rPr>
      </w:pPr>
      <w:r>
        <w:rPr>
          <w:rFonts w:hint="eastAsia"/>
        </w:rPr>
        <w:tab/>
        <w:t>A.</w:t>
      </w:r>
      <w:r>
        <w:rPr>
          <w:rFonts w:hint="eastAsia"/>
        </w:rPr>
        <w:tab/>
      </w:r>
      <w:r>
        <w:rPr>
          <w:rFonts w:hint="eastAsia"/>
        </w:rPr>
        <w:t>导言</w:t>
      </w:r>
    </w:p>
    <w:p w:rsidR="00307FC6" w:rsidRDefault="00307FC6" w:rsidP="00307FC6">
      <w:pPr>
        <w:pStyle w:val="SingleTxtGC"/>
        <w:rPr>
          <w:rFonts w:hint="eastAsia"/>
        </w:rPr>
      </w:pPr>
      <w:r>
        <w:rPr>
          <w:rFonts w:hint="eastAsia"/>
        </w:rPr>
        <w:t xml:space="preserve">2.  </w:t>
      </w:r>
      <w:r>
        <w:rPr>
          <w:rFonts w:hint="eastAsia"/>
        </w:rPr>
        <w:t>委员会欢迎缔约国提交的阿尔巴尼亚第二次定期报告以及其中所载的资料。委员会赞赏有机会重新与该缔约国高级代表团进行建设性对话，讨论报告所涉期间缔约国为执行《公约》规定而采取的措施。委员会感谢缔约国对问题清单提交书面答复</w:t>
      </w:r>
      <w:r>
        <w:rPr>
          <w:rFonts w:hint="eastAsia"/>
        </w:rPr>
        <w:t>(CCPR/ALB/Q/2/Add.1)</w:t>
      </w:r>
      <w:r>
        <w:rPr>
          <w:rFonts w:hint="eastAsia"/>
        </w:rPr>
        <w:t>，该国代表团以口头答复对此作的补充以及向委员会提交的补充书面资料。</w:t>
      </w:r>
    </w:p>
    <w:p w:rsidR="00307FC6" w:rsidRDefault="00307FC6" w:rsidP="0030010F">
      <w:pPr>
        <w:pStyle w:val="H1GC"/>
        <w:rPr>
          <w:rFonts w:hint="eastAsia"/>
        </w:rPr>
      </w:pPr>
      <w:r>
        <w:rPr>
          <w:rFonts w:hint="eastAsia"/>
        </w:rPr>
        <w:tab/>
        <w:t>B.</w:t>
      </w:r>
      <w:r>
        <w:rPr>
          <w:rFonts w:hint="eastAsia"/>
        </w:rPr>
        <w:tab/>
      </w:r>
      <w:r>
        <w:rPr>
          <w:rFonts w:hint="eastAsia"/>
        </w:rPr>
        <w:t>积极方面</w:t>
      </w:r>
    </w:p>
    <w:p w:rsidR="00307FC6" w:rsidRDefault="00307FC6" w:rsidP="00307FC6">
      <w:pPr>
        <w:pStyle w:val="SingleTxtGC"/>
        <w:rPr>
          <w:rFonts w:hint="eastAsia"/>
        </w:rPr>
      </w:pPr>
      <w:r>
        <w:rPr>
          <w:rFonts w:hint="eastAsia"/>
        </w:rPr>
        <w:t xml:space="preserve">3.  </w:t>
      </w:r>
      <w:r>
        <w:rPr>
          <w:rFonts w:hint="eastAsia"/>
        </w:rPr>
        <w:t>委员会注意到缔约国采取以下立法措施：</w:t>
      </w:r>
    </w:p>
    <w:p w:rsidR="00307FC6" w:rsidRDefault="00307FC6" w:rsidP="00B67765">
      <w:pPr>
        <w:pStyle w:val="SingleTxtGC"/>
        <w:numPr>
          <w:ilvl w:val="0"/>
          <w:numId w:val="4"/>
        </w:numPr>
        <w:tabs>
          <w:tab w:val="clear" w:pos="2426"/>
          <w:tab w:val="left" w:pos="2427"/>
        </w:tabs>
        <w:rPr>
          <w:rFonts w:hint="eastAsia"/>
        </w:rPr>
      </w:pPr>
      <w:r>
        <w:rPr>
          <w:rFonts w:hint="eastAsia"/>
        </w:rPr>
        <w:t>《儿童权利保护法》，</w:t>
      </w:r>
      <w:r>
        <w:rPr>
          <w:rFonts w:hint="eastAsia"/>
        </w:rPr>
        <w:t>2010</w:t>
      </w:r>
      <w:r>
        <w:rPr>
          <w:rFonts w:hint="eastAsia"/>
        </w:rPr>
        <w:t>年；</w:t>
      </w:r>
    </w:p>
    <w:p w:rsidR="00307FC6" w:rsidRDefault="00307FC6" w:rsidP="00B67765">
      <w:pPr>
        <w:pStyle w:val="SingleTxtGC"/>
        <w:numPr>
          <w:ilvl w:val="0"/>
          <w:numId w:val="4"/>
        </w:numPr>
        <w:tabs>
          <w:tab w:val="clear" w:pos="2426"/>
          <w:tab w:val="left" w:pos="2427"/>
        </w:tabs>
        <w:rPr>
          <w:rFonts w:hint="eastAsia"/>
        </w:rPr>
      </w:pPr>
      <w:r>
        <w:rPr>
          <w:rFonts w:hint="eastAsia"/>
        </w:rPr>
        <w:t>加大力度防止基于性取向的歧视的《防止歧视法》</w:t>
      </w:r>
      <w:r>
        <w:rPr>
          <w:rFonts w:hint="eastAsia"/>
        </w:rPr>
        <w:t>(2010</w:t>
      </w:r>
      <w:r>
        <w:rPr>
          <w:rFonts w:hint="eastAsia"/>
        </w:rPr>
        <w:t>年</w:t>
      </w:r>
      <w:r>
        <w:rPr>
          <w:rFonts w:hint="eastAsia"/>
        </w:rPr>
        <w:t>)</w:t>
      </w:r>
      <w:r>
        <w:rPr>
          <w:rFonts w:hint="eastAsia"/>
        </w:rPr>
        <w:t>和《刑法》修正案</w:t>
      </w:r>
      <w:r>
        <w:rPr>
          <w:rFonts w:hint="eastAsia"/>
        </w:rPr>
        <w:t>(2013</w:t>
      </w:r>
      <w:r>
        <w:rPr>
          <w:rFonts w:hint="eastAsia"/>
        </w:rPr>
        <w:t>年</w:t>
      </w:r>
      <w:r>
        <w:rPr>
          <w:rFonts w:hint="eastAsia"/>
        </w:rPr>
        <w:t>)</w:t>
      </w:r>
      <w:r w:rsidR="00A41141">
        <w:rPr>
          <w:rFonts w:hint="eastAsia"/>
        </w:rPr>
        <w:t>；</w:t>
      </w:r>
    </w:p>
    <w:p w:rsidR="00307FC6" w:rsidRDefault="00307FC6" w:rsidP="00B67765">
      <w:pPr>
        <w:pStyle w:val="SingleTxtGC"/>
        <w:numPr>
          <w:ilvl w:val="0"/>
          <w:numId w:val="4"/>
        </w:numPr>
        <w:tabs>
          <w:tab w:val="clear" w:pos="2426"/>
          <w:tab w:val="left" w:pos="2427"/>
        </w:tabs>
        <w:rPr>
          <w:rFonts w:hint="eastAsia"/>
        </w:rPr>
      </w:pPr>
      <w:r>
        <w:rPr>
          <w:rFonts w:hint="eastAsia"/>
        </w:rPr>
        <w:t>《关于社会中两性平等的法律法》，</w:t>
      </w:r>
      <w:r>
        <w:rPr>
          <w:rFonts w:hint="eastAsia"/>
        </w:rPr>
        <w:t>2008</w:t>
      </w:r>
      <w:r>
        <w:rPr>
          <w:rFonts w:hint="eastAsia"/>
        </w:rPr>
        <w:t>年；</w:t>
      </w:r>
    </w:p>
    <w:p w:rsidR="00307FC6" w:rsidRDefault="00307FC6" w:rsidP="00B67765">
      <w:pPr>
        <w:pStyle w:val="SingleTxtGC"/>
        <w:numPr>
          <w:ilvl w:val="0"/>
          <w:numId w:val="4"/>
        </w:numPr>
        <w:tabs>
          <w:tab w:val="clear" w:pos="2426"/>
          <w:tab w:val="left" w:pos="2427"/>
        </w:tabs>
        <w:rPr>
          <w:rFonts w:hint="eastAsia"/>
        </w:rPr>
      </w:pPr>
      <w:r>
        <w:rPr>
          <w:rFonts w:hint="eastAsia"/>
        </w:rPr>
        <w:t>《关于反对家庭关系中暴力行为的措施的法律》，</w:t>
      </w:r>
      <w:r>
        <w:rPr>
          <w:rFonts w:hint="eastAsia"/>
        </w:rPr>
        <w:t>2006</w:t>
      </w:r>
      <w:r>
        <w:rPr>
          <w:rFonts w:hint="eastAsia"/>
        </w:rPr>
        <w:t>年。</w:t>
      </w:r>
    </w:p>
    <w:p w:rsidR="00D227DC" w:rsidRDefault="00D227DC" w:rsidP="00D227DC">
      <w:pPr>
        <w:pStyle w:val="SingleTxtGC"/>
        <w:rPr>
          <w:rFonts w:hint="eastAsia"/>
        </w:rPr>
      </w:pPr>
    </w:p>
    <w:p w:rsidR="00307FC6" w:rsidRDefault="00307FC6" w:rsidP="00307FC6">
      <w:pPr>
        <w:pStyle w:val="SingleTxtGC"/>
        <w:rPr>
          <w:rFonts w:hint="eastAsia"/>
        </w:rPr>
      </w:pPr>
      <w:r>
        <w:rPr>
          <w:rFonts w:hint="eastAsia"/>
        </w:rPr>
        <w:t xml:space="preserve">4.  </w:t>
      </w:r>
      <w:r>
        <w:rPr>
          <w:rFonts w:hint="eastAsia"/>
        </w:rPr>
        <w:t>委员会欢迎缔约国批准或加入了联合国所有核心人权条约</w:t>
      </w:r>
      <w:r>
        <w:rPr>
          <w:rFonts w:hint="eastAsia"/>
        </w:rPr>
        <w:t>(</w:t>
      </w:r>
      <w:r>
        <w:rPr>
          <w:rFonts w:hint="eastAsia"/>
        </w:rPr>
        <w:t>除少数例外</w:t>
      </w:r>
      <w:r>
        <w:rPr>
          <w:rFonts w:hint="eastAsia"/>
        </w:rPr>
        <w:t>)</w:t>
      </w:r>
      <w:r>
        <w:rPr>
          <w:rFonts w:hint="eastAsia"/>
        </w:rPr>
        <w:t>及其任择议定书。</w:t>
      </w:r>
    </w:p>
    <w:p w:rsidR="00307FC6" w:rsidRDefault="00307FC6" w:rsidP="00307FC6">
      <w:pPr>
        <w:pStyle w:val="SingleTxtGC"/>
        <w:rPr>
          <w:rFonts w:hint="eastAsia"/>
        </w:rPr>
      </w:pPr>
      <w:r>
        <w:rPr>
          <w:rFonts w:hint="eastAsia"/>
        </w:rPr>
        <w:t xml:space="preserve">5.  </w:t>
      </w:r>
      <w:r>
        <w:rPr>
          <w:rFonts w:hint="eastAsia"/>
        </w:rPr>
        <w:t>委员会还欢迎以下体制和政策措施：</w:t>
      </w:r>
    </w:p>
    <w:p w:rsidR="00307FC6" w:rsidRDefault="00307FC6" w:rsidP="00B67765">
      <w:pPr>
        <w:pStyle w:val="SingleTxtGC"/>
        <w:numPr>
          <w:ilvl w:val="0"/>
          <w:numId w:val="5"/>
        </w:numPr>
        <w:tabs>
          <w:tab w:val="clear" w:pos="2426"/>
          <w:tab w:val="left" w:pos="2427"/>
        </w:tabs>
        <w:rPr>
          <w:rFonts w:hint="eastAsia"/>
        </w:rPr>
      </w:pPr>
      <w:r>
        <w:rPr>
          <w:rFonts w:hint="eastAsia"/>
        </w:rPr>
        <w:t>2011</w:t>
      </w:r>
      <w:r>
        <w:rPr>
          <w:rFonts w:hint="eastAsia"/>
        </w:rPr>
        <w:t>年通过的“</w:t>
      </w:r>
      <w:r>
        <w:rPr>
          <w:rFonts w:hint="eastAsia"/>
        </w:rPr>
        <w:t>2011-2015</w:t>
      </w:r>
      <w:r>
        <w:rPr>
          <w:rFonts w:hint="eastAsia"/>
        </w:rPr>
        <w:t>年促进两性平等和减少基于性别的暴力和家庭暴力问题国家战略”；</w:t>
      </w:r>
    </w:p>
    <w:p w:rsidR="00307FC6" w:rsidRDefault="00307FC6" w:rsidP="00B67765">
      <w:pPr>
        <w:pStyle w:val="SingleTxtGC"/>
        <w:numPr>
          <w:ilvl w:val="0"/>
          <w:numId w:val="5"/>
        </w:numPr>
        <w:tabs>
          <w:tab w:val="clear" w:pos="2426"/>
          <w:tab w:val="left" w:pos="2427"/>
        </w:tabs>
        <w:rPr>
          <w:rFonts w:hint="eastAsia"/>
        </w:rPr>
      </w:pPr>
      <w:r>
        <w:rPr>
          <w:rFonts w:hint="eastAsia"/>
        </w:rPr>
        <w:t>2008</w:t>
      </w:r>
      <w:r>
        <w:rPr>
          <w:rFonts w:hint="eastAsia"/>
        </w:rPr>
        <w:t>年通过的“打击贩卖儿童和保护被贩卖儿童的国家战略”；</w:t>
      </w:r>
    </w:p>
    <w:p w:rsidR="00307FC6" w:rsidRDefault="00307FC6" w:rsidP="00B67765">
      <w:pPr>
        <w:pStyle w:val="SingleTxtGC"/>
        <w:numPr>
          <w:ilvl w:val="0"/>
          <w:numId w:val="5"/>
        </w:numPr>
        <w:tabs>
          <w:tab w:val="clear" w:pos="2426"/>
          <w:tab w:val="left" w:pos="2427"/>
        </w:tabs>
        <w:rPr>
          <w:rFonts w:hint="eastAsia"/>
        </w:rPr>
      </w:pPr>
      <w:r>
        <w:rPr>
          <w:rFonts w:hint="eastAsia"/>
        </w:rPr>
        <w:t>“罗姆人和罗姆人融入社会十年国家战略</w:t>
      </w:r>
      <w:r>
        <w:rPr>
          <w:rFonts w:hint="eastAsia"/>
        </w:rPr>
        <w:t>(2010-2015</w:t>
      </w:r>
      <w:r>
        <w:rPr>
          <w:rFonts w:hint="eastAsia"/>
        </w:rPr>
        <w:t>年</w:t>
      </w:r>
      <w:r>
        <w:rPr>
          <w:rFonts w:hint="eastAsia"/>
        </w:rPr>
        <w:t>)</w:t>
      </w:r>
      <w:r>
        <w:rPr>
          <w:rFonts w:hint="eastAsia"/>
        </w:rPr>
        <w:t>”。</w:t>
      </w:r>
    </w:p>
    <w:p w:rsidR="00307FC6" w:rsidRDefault="00307FC6" w:rsidP="00A41141">
      <w:pPr>
        <w:pStyle w:val="H1GC"/>
        <w:rPr>
          <w:rFonts w:hint="eastAsia"/>
        </w:rPr>
      </w:pPr>
      <w:r>
        <w:rPr>
          <w:rFonts w:hint="eastAsia"/>
        </w:rPr>
        <w:tab/>
        <w:t>C.</w:t>
      </w:r>
      <w:r>
        <w:rPr>
          <w:rFonts w:hint="eastAsia"/>
        </w:rPr>
        <w:tab/>
      </w:r>
      <w:r>
        <w:rPr>
          <w:rFonts w:hint="eastAsia"/>
        </w:rPr>
        <w:t>主要关注问题和建议</w:t>
      </w:r>
    </w:p>
    <w:p w:rsidR="00307FC6" w:rsidRDefault="00307FC6" w:rsidP="00307FC6">
      <w:pPr>
        <w:pStyle w:val="SingleTxtGC"/>
        <w:rPr>
          <w:rFonts w:hint="eastAsia"/>
        </w:rPr>
      </w:pPr>
      <w:r>
        <w:rPr>
          <w:rFonts w:hint="eastAsia"/>
        </w:rPr>
        <w:t xml:space="preserve">6.  </w:t>
      </w:r>
      <w:r>
        <w:rPr>
          <w:rFonts w:hint="eastAsia"/>
        </w:rPr>
        <w:t>委员会感到关切的是，划拨给监察员办公室的人力和财政资源较为有限，监察员办公室和防止歧视事务专员办公室之间缺乏明确分工，并且监察员所提建议的后续行动和执行工作有限</w:t>
      </w:r>
      <w:r>
        <w:rPr>
          <w:rFonts w:hint="eastAsia"/>
        </w:rPr>
        <w:t>(</w:t>
      </w:r>
      <w:r>
        <w:rPr>
          <w:rFonts w:hint="eastAsia"/>
        </w:rPr>
        <w:t>第二条</w:t>
      </w:r>
      <w:r>
        <w:rPr>
          <w:rFonts w:hint="eastAsia"/>
        </w:rPr>
        <w:t>)</w:t>
      </w:r>
      <w:r>
        <w:rPr>
          <w:rFonts w:hint="eastAsia"/>
        </w:rPr>
        <w:t>。</w:t>
      </w:r>
    </w:p>
    <w:p w:rsidR="00307FC6" w:rsidRPr="00A41141" w:rsidRDefault="00307FC6" w:rsidP="00307FC6">
      <w:pPr>
        <w:pStyle w:val="SingleTxtGC"/>
        <w:rPr>
          <w:rFonts w:eastAsia="SimHei" w:hint="eastAsia"/>
        </w:rPr>
      </w:pPr>
      <w:r w:rsidRPr="00A41141">
        <w:rPr>
          <w:rFonts w:eastAsia="SimHei" w:hint="eastAsia"/>
        </w:rPr>
        <w:t>缔约国应向监察员办公室提供必要的财政和人力资源，以确保该办公室能够按照《巴黎原则》</w:t>
      </w:r>
      <w:r w:rsidRPr="00A41141">
        <w:rPr>
          <w:rFonts w:eastAsia="SimHei" w:hint="eastAsia"/>
        </w:rPr>
        <w:t>(</w:t>
      </w:r>
      <w:r w:rsidRPr="00A41141">
        <w:rPr>
          <w:rFonts w:eastAsia="SimHei" w:hint="eastAsia"/>
        </w:rPr>
        <w:t>大会第</w:t>
      </w:r>
      <w:r w:rsidRPr="00A41141">
        <w:rPr>
          <w:rFonts w:eastAsia="SimHei" w:hint="eastAsia"/>
        </w:rPr>
        <w:t>48/134</w:t>
      </w:r>
      <w:r w:rsidRPr="00A41141">
        <w:rPr>
          <w:rFonts w:eastAsia="SimHei" w:hint="eastAsia"/>
        </w:rPr>
        <w:t>号决议附件</w:t>
      </w:r>
      <w:r w:rsidRPr="00A41141">
        <w:rPr>
          <w:rFonts w:eastAsia="SimHei" w:hint="eastAsia"/>
        </w:rPr>
        <w:t>)</w:t>
      </w:r>
      <w:r w:rsidRPr="00A41141">
        <w:rPr>
          <w:rFonts w:eastAsia="SimHei" w:hint="eastAsia"/>
        </w:rPr>
        <w:t>有效和独立地执行其任务。缔约国还应确保加强两个办公室之间的协调以避免活动重叠，并加大努力对监察员所提建议做出认真和及时的反应。</w:t>
      </w:r>
    </w:p>
    <w:p w:rsidR="00307FC6" w:rsidRDefault="00307FC6" w:rsidP="00307FC6">
      <w:pPr>
        <w:pStyle w:val="SingleTxtGC"/>
        <w:rPr>
          <w:rFonts w:hint="eastAsia"/>
        </w:rPr>
      </w:pPr>
      <w:r>
        <w:rPr>
          <w:rFonts w:hint="eastAsia"/>
        </w:rPr>
        <w:t xml:space="preserve">7.  </w:t>
      </w:r>
      <w:r>
        <w:rPr>
          <w:rFonts w:hint="eastAsia"/>
        </w:rPr>
        <w:t>委员会欢迎公共管理职位中妇女比例有所增加，但关切地注意到议会中妇女比例依然较低。在这方面，委员会特别感到关切的是，各政党的普遍态度是不愿遵守在候选人名单中为妇女设置</w:t>
      </w:r>
      <w:r>
        <w:rPr>
          <w:rFonts w:hint="eastAsia"/>
        </w:rPr>
        <w:t>30%</w:t>
      </w:r>
      <w:r>
        <w:rPr>
          <w:rFonts w:hint="eastAsia"/>
        </w:rPr>
        <w:t>配额的规则。委员会感到关切的是，虽然有报告强调两性工资差异的情况，但缔约国没有提供关于这方面申诉的资料，人们对男女同值工作同等报酬原则的认识程度较低，而且，劳动监察机构行使的监督职能较为有限</w:t>
      </w:r>
      <w:r>
        <w:rPr>
          <w:rFonts w:hint="eastAsia"/>
        </w:rPr>
        <w:t>(</w:t>
      </w:r>
      <w:r>
        <w:rPr>
          <w:rFonts w:hint="eastAsia"/>
        </w:rPr>
        <w:t>第二条、第三条、第二十六条</w:t>
      </w:r>
      <w:r>
        <w:rPr>
          <w:rFonts w:hint="eastAsia"/>
        </w:rPr>
        <w:t>)</w:t>
      </w:r>
      <w:r>
        <w:rPr>
          <w:rFonts w:hint="eastAsia"/>
        </w:rPr>
        <w:t>。</w:t>
      </w:r>
    </w:p>
    <w:p w:rsidR="00307FC6" w:rsidRPr="00A41141" w:rsidRDefault="00307FC6" w:rsidP="00307FC6">
      <w:pPr>
        <w:pStyle w:val="SingleTxtGC"/>
        <w:rPr>
          <w:rFonts w:eastAsia="SimHei" w:hint="eastAsia"/>
        </w:rPr>
      </w:pPr>
      <w:r w:rsidRPr="00A41141">
        <w:rPr>
          <w:rFonts w:eastAsia="SimHei" w:hint="eastAsia"/>
        </w:rPr>
        <w:t>缔约国应：</w:t>
      </w:r>
    </w:p>
    <w:p w:rsidR="00307FC6" w:rsidRPr="00A41141" w:rsidRDefault="00307FC6" w:rsidP="00B67765">
      <w:pPr>
        <w:pStyle w:val="SingleTxtGC"/>
        <w:numPr>
          <w:ilvl w:val="0"/>
          <w:numId w:val="6"/>
        </w:numPr>
        <w:tabs>
          <w:tab w:val="clear" w:pos="2426"/>
          <w:tab w:val="left" w:pos="2427"/>
        </w:tabs>
        <w:rPr>
          <w:rFonts w:eastAsia="SimHei" w:hint="eastAsia"/>
        </w:rPr>
      </w:pPr>
      <w:r w:rsidRPr="00A41141">
        <w:rPr>
          <w:rFonts w:eastAsia="SimHei" w:hint="eastAsia"/>
        </w:rPr>
        <w:t>加大努力，包括通过采用临时特别措施，实现女性在议会和政府、司法机构和公务部门最高职别上的公平代表权。在这方面，委员会促请缔约国采取有效措施，增强确保男女在议会中的公平代表权的现行措施的效力。</w:t>
      </w:r>
    </w:p>
    <w:p w:rsidR="00307FC6" w:rsidRPr="00A41141" w:rsidRDefault="00307FC6" w:rsidP="00B67765">
      <w:pPr>
        <w:pStyle w:val="SingleTxtGC"/>
        <w:numPr>
          <w:ilvl w:val="0"/>
          <w:numId w:val="6"/>
        </w:numPr>
        <w:tabs>
          <w:tab w:val="clear" w:pos="2426"/>
          <w:tab w:val="left" w:pos="2427"/>
        </w:tabs>
        <w:rPr>
          <w:rFonts w:eastAsia="SimHei" w:hint="eastAsia"/>
        </w:rPr>
      </w:pPr>
      <w:r w:rsidRPr="00A41141">
        <w:rPr>
          <w:rFonts w:eastAsia="SimHei" w:hint="eastAsia"/>
        </w:rPr>
        <w:t>确保妇女享有《劳动法》规定的同值工作同等报酬的待遇，并为此加强劳动检查措施，查明和有效处理执法不足的原因，包括认识不足、普遍的社会态度以及受影响妇女诉诸司法的障碍。</w:t>
      </w:r>
    </w:p>
    <w:p w:rsidR="00307FC6" w:rsidRDefault="00307FC6" w:rsidP="00307FC6">
      <w:pPr>
        <w:pStyle w:val="SingleTxtGC"/>
        <w:rPr>
          <w:rFonts w:hint="eastAsia"/>
        </w:rPr>
      </w:pPr>
      <w:r>
        <w:rPr>
          <w:rFonts w:hint="eastAsia"/>
        </w:rPr>
        <w:t xml:space="preserve">8.  </w:t>
      </w:r>
      <w:r>
        <w:rPr>
          <w:rFonts w:hint="eastAsia"/>
        </w:rPr>
        <w:t>委员会欢迎缔约国为保护男女同性恋、双性恋和变性者权利而采取的各种立法和体制措施，但感到关切的是对男女同性恋、双性恋和变性者的成见和偏见普遍存在。在这方面，委员会对公职人员针对男女同性恋、双性恋和变性者的负面言论感到特别关切</w:t>
      </w:r>
      <w:r>
        <w:rPr>
          <w:rFonts w:hint="eastAsia"/>
        </w:rPr>
        <w:t>(</w:t>
      </w:r>
      <w:r>
        <w:rPr>
          <w:rFonts w:hint="eastAsia"/>
        </w:rPr>
        <w:t>第二条和第二十六条</w:t>
      </w:r>
      <w:r>
        <w:rPr>
          <w:rFonts w:hint="eastAsia"/>
        </w:rPr>
        <w:t>)</w:t>
      </w:r>
      <w:r>
        <w:rPr>
          <w:rFonts w:hint="eastAsia"/>
        </w:rPr>
        <w:t>。</w:t>
      </w:r>
    </w:p>
    <w:p w:rsidR="00307FC6" w:rsidRPr="00A41141" w:rsidRDefault="00307FC6" w:rsidP="00307FC6">
      <w:pPr>
        <w:pStyle w:val="SingleTxtGC"/>
        <w:rPr>
          <w:rFonts w:eastAsia="SimHei" w:hint="eastAsia"/>
        </w:rPr>
      </w:pPr>
      <w:r w:rsidRPr="00A41141">
        <w:rPr>
          <w:rFonts w:eastAsia="SimHei" w:hint="eastAsia"/>
        </w:rPr>
        <w:t>缔约国应加大努力打击对男女同性恋、双性恋和变性者的成见和偏见，包括为此启动面向公众的宣传活动并为公职人员提供适当培训，以消除对男女同性恋、双性恋和变性者的社会歧视。缔约国应调查关于公职人员针对男女同性恋、双性恋和变性者的歧视性言论的指控，并采取适当措施避免今后再出现这类言论。</w:t>
      </w:r>
    </w:p>
    <w:p w:rsidR="00307FC6" w:rsidRDefault="00307FC6" w:rsidP="00307FC6">
      <w:pPr>
        <w:pStyle w:val="SingleTxtGC"/>
        <w:rPr>
          <w:rFonts w:hint="eastAsia"/>
        </w:rPr>
      </w:pPr>
      <w:r>
        <w:rPr>
          <w:rFonts w:hint="eastAsia"/>
        </w:rPr>
        <w:t xml:space="preserve">9.  </w:t>
      </w:r>
      <w:r>
        <w:rPr>
          <w:rFonts w:hint="eastAsia"/>
        </w:rPr>
        <w:t>委员会感到关切的是，对</w:t>
      </w:r>
      <w:r>
        <w:rPr>
          <w:rFonts w:hint="eastAsia"/>
        </w:rPr>
        <w:t>2011</w:t>
      </w:r>
      <w:r>
        <w:rPr>
          <w:rFonts w:hint="eastAsia"/>
        </w:rPr>
        <w:t>年</w:t>
      </w:r>
      <w:r>
        <w:rPr>
          <w:rFonts w:hint="eastAsia"/>
        </w:rPr>
        <w:t>1</w:t>
      </w:r>
      <w:r>
        <w:rPr>
          <w:rFonts w:hint="eastAsia"/>
        </w:rPr>
        <w:t>月示威活动期间发生的侵犯人权行为</w:t>
      </w:r>
      <w:r>
        <w:rPr>
          <w:rFonts w:hint="eastAsia"/>
        </w:rPr>
        <w:t>(</w:t>
      </w:r>
      <w:r>
        <w:rPr>
          <w:rFonts w:hint="eastAsia"/>
        </w:rPr>
        <w:t>包括</w:t>
      </w:r>
      <w:r>
        <w:rPr>
          <w:rFonts w:hint="eastAsia"/>
        </w:rPr>
        <w:t>4</w:t>
      </w:r>
      <w:r>
        <w:rPr>
          <w:rFonts w:hint="eastAsia"/>
        </w:rPr>
        <w:t>名平民死亡和关于警察虐待示威者的报道</w:t>
      </w:r>
      <w:r>
        <w:rPr>
          <w:rFonts w:hint="eastAsia"/>
        </w:rPr>
        <w:t>)</w:t>
      </w:r>
      <w:r>
        <w:rPr>
          <w:rFonts w:hint="eastAsia"/>
        </w:rPr>
        <w:t>的调查尚未结束，受害者也没有得到赔偿</w:t>
      </w:r>
      <w:r>
        <w:rPr>
          <w:rFonts w:hint="eastAsia"/>
        </w:rPr>
        <w:t>(</w:t>
      </w:r>
      <w:r>
        <w:rPr>
          <w:rFonts w:hint="eastAsia"/>
        </w:rPr>
        <w:t>第二条、第六条和第七条</w:t>
      </w:r>
      <w:r>
        <w:rPr>
          <w:rFonts w:hint="eastAsia"/>
        </w:rPr>
        <w:t>)</w:t>
      </w:r>
      <w:r>
        <w:rPr>
          <w:rFonts w:hint="eastAsia"/>
        </w:rPr>
        <w:t>。</w:t>
      </w:r>
    </w:p>
    <w:p w:rsidR="00307FC6" w:rsidRPr="00A41141" w:rsidRDefault="00307FC6" w:rsidP="00307FC6">
      <w:pPr>
        <w:pStyle w:val="SingleTxtGC"/>
        <w:rPr>
          <w:rFonts w:eastAsia="SimHei" w:hint="eastAsia"/>
        </w:rPr>
      </w:pPr>
      <w:r w:rsidRPr="00A41141">
        <w:rPr>
          <w:rFonts w:eastAsia="SimHei" w:hint="eastAsia"/>
        </w:rPr>
        <w:t>缔约国应加大努力结束</w:t>
      </w:r>
      <w:r w:rsidRPr="00A41141">
        <w:rPr>
          <w:rFonts w:eastAsia="SimHei" w:hint="eastAsia"/>
        </w:rPr>
        <w:t>2011</w:t>
      </w:r>
      <w:r w:rsidRPr="00A41141">
        <w:rPr>
          <w:rFonts w:eastAsia="SimHei" w:hint="eastAsia"/>
        </w:rPr>
        <w:t>年示威活动的调查工作，确保遵守国际调查标准，将肇事者绳之以法，如罪名成立，进行适当处罚，并为受害者提供赔偿。</w:t>
      </w:r>
    </w:p>
    <w:p w:rsidR="00307FC6" w:rsidRDefault="00307FC6" w:rsidP="00307FC6">
      <w:pPr>
        <w:pStyle w:val="SingleTxtGC"/>
        <w:rPr>
          <w:rFonts w:hint="eastAsia"/>
        </w:rPr>
      </w:pPr>
      <w:r>
        <w:rPr>
          <w:rFonts w:hint="eastAsia"/>
        </w:rPr>
        <w:t xml:space="preserve">10.  </w:t>
      </w:r>
      <w:r>
        <w:rPr>
          <w:rFonts w:hint="eastAsia"/>
        </w:rPr>
        <w:t>委员会欢迎缔约国提供的关于《刑法》加大对与族间血仇有关的罪行的严厉处罚的资料。但委员会仍感关切的是，这一现象持续存在，并且有报告称，执法不力、警方对这类案件的调查没有效果，并且定罪很有限。委员会感到特别关切的是，一些家庭</w:t>
      </w:r>
      <w:r>
        <w:rPr>
          <w:rFonts w:hint="eastAsia"/>
        </w:rPr>
        <w:t>(</w:t>
      </w:r>
      <w:r>
        <w:rPr>
          <w:rFonts w:hint="eastAsia"/>
        </w:rPr>
        <w:t>包括儿童</w:t>
      </w:r>
      <w:r>
        <w:rPr>
          <w:rFonts w:hint="eastAsia"/>
        </w:rPr>
        <w:t>)</w:t>
      </w:r>
      <w:r>
        <w:rPr>
          <w:rFonts w:hint="eastAsia"/>
        </w:rPr>
        <w:t>因担心遭到报复而被迫闭门不出</w:t>
      </w:r>
      <w:r>
        <w:rPr>
          <w:rFonts w:hint="eastAsia"/>
        </w:rPr>
        <w:t>(</w:t>
      </w:r>
      <w:r>
        <w:rPr>
          <w:rFonts w:hint="eastAsia"/>
        </w:rPr>
        <w:t>第二条、第六条、第十二条和第二十四条</w:t>
      </w:r>
      <w:r>
        <w:rPr>
          <w:rFonts w:hint="eastAsia"/>
        </w:rPr>
        <w:t>)</w:t>
      </w:r>
      <w:r>
        <w:rPr>
          <w:rFonts w:hint="eastAsia"/>
        </w:rPr>
        <w:t>。</w:t>
      </w:r>
    </w:p>
    <w:p w:rsidR="00307FC6" w:rsidRPr="00A41141" w:rsidRDefault="00307FC6" w:rsidP="00307FC6">
      <w:pPr>
        <w:pStyle w:val="SingleTxtGC"/>
        <w:rPr>
          <w:rFonts w:eastAsia="SimHei" w:hint="eastAsia"/>
        </w:rPr>
      </w:pPr>
      <w:r w:rsidRPr="00A41141">
        <w:rPr>
          <w:rFonts w:eastAsia="SimHei" w:hint="eastAsia"/>
        </w:rPr>
        <w:t>缔约国应采取更有效的措施缩小法律与实践的差距。缔约国应有效地调查所有与世仇有关的罪行案件，将肇事者绳之以法，如罪名成立，进行相应的处罚，缔约国还应确保受害者得到适当赔偿。缔约国应加强努力，识别由于这种现象被迫闭门不出的家庭，并满足他们</w:t>
      </w:r>
      <w:r w:rsidRPr="00A41141">
        <w:rPr>
          <w:rFonts w:eastAsia="SimHei" w:hint="eastAsia"/>
        </w:rPr>
        <w:t>(</w:t>
      </w:r>
      <w:r w:rsidRPr="00A41141">
        <w:rPr>
          <w:rFonts w:eastAsia="SimHei" w:hint="eastAsia"/>
        </w:rPr>
        <w:t>特别是儿童</w:t>
      </w:r>
      <w:r w:rsidRPr="00A41141">
        <w:rPr>
          <w:rFonts w:eastAsia="SimHei" w:hint="eastAsia"/>
        </w:rPr>
        <w:t>)</w:t>
      </w:r>
      <w:r w:rsidRPr="00A41141">
        <w:rPr>
          <w:rFonts w:eastAsia="SimHei" w:hint="eastAsia"/>
        </w:rPr>
        <w:t>的需求。</w:t>
      </w:r>
    </w:p>
    <w:p w:rsidR="00307FC6" w:rsidRDefault="00307FC6" w:rsidP="00307FC6">
      <w:pPr>
        <w:pStyle w:val="SingleTxtGC"/>
        <w:rPr>
          <w:rFonts w:hint="eastAsia"/>
        </w:rPr>
      </w:pPr>
      <w:r>
        <w:rPr>
          <w:rFonts w:hint="eastAsia"/>
        </w:rPr>
        <w:t xml:space="preserve">11.  </w:t>
      </w:r>
      <w:r>
        <w:rPr>
          <w:rFonts w:hint="eastAsia"/>
        </w:rPr>
        <w:t>委员会赞赏缔约国在《刑法》中将家庭暴力和配偶强奸定为罪行，但委员会遗憾地注意到关于针对妇女和儿童的家庭暴力</w:t>
      </w:r>
      <w:r>
        <w:rPr>
          <w:rFonts w:hint="eastAsia"/>
        </w:rPr>
        <w:t>(</w:t>
      </w:r>
      <w:r>
        <w:rPr>
          <w:rFonts w:hint="eastAsia"/>
        </w:rPr>
        <w:t>包括体罚</w:t>
      </w:r>
      <w:r>
        <w:rPr>
          <w:rFonts w:hint="eastAsia"/>
        </w:rPr>
        <w:t>)</w:t>
      </w:r>
      <w:r>
        <w:rPr>
          <w:rFonts w:hint="eastAsia"/>
        </w:rPr>
        <w:t>的报道持续不断。委员会特别感动到关切的是，有报告称警察对关于家庭暴力的申诉调查不力，这又导致了肇事者实际上有罪不罚，委员会还感到关切的是，定罪的案件很少，而且保护令缺少相关的后续行动，因而基本上是无效的。最后，委员会感到关切的是，家庭暴力受害者收容所的数量不足</w:t>
      </w:r>
      <w:r w:rsidR="00744923" w:rsidRPr="00744923">
        <w:rPr>
          <w:rFonts w:hint="eastAsia"/>
        </w:rPr>
        <w:t>(</w:t>
      </w:r>
      <w:r w:rsidR="00744923" w:rsidRPr="00744923">
        <w:rPr>
          <w:rFonts w:hint="eastAsia"/>
        </w:rPr>
        <w:t>第</w:t>
      </w:r>
      <w:r w:rsidR="00744923">
        <w:rPr>
          <w:rFonts w:hint="eastAsia"/>
        </w:rPr>
        <w:t>三</w:t>
      </w:r>
      <w:r w:rsidR="00744923" w:rsidRPr="00744923">
        <w:rPr>
          <w:rFonts w:hint="eastAsia"/>
        </w:rPr>
        <w:t>条、第</w:t>
      </w:r>
      <w:r w:rsidR="00744923">
        <w:rPr>
          <w:rFonts w:hint="eastAsia"/>
        </w:rPr>
        <w:t>七</w:t>
      </w:r>
      <w:r w:rsidR="00744923" w:rsidRPr="00744923">
        <w:rPr>
          <w:rFonts w:hint="eastAsia"/>
        </w:rPr>
        <w:t>条和第二十四条</w:t>
      </w:r>
      <w:r w:rsidR="00744923" w:rsidRPr="00744923">
        <w:rPr>
          <w:rFonts w:hint="eastAsia"/>
        </w:rPr>
        <w:t>)</w:t>
      </w:r>
      <w:r>
        <w:rPr>
          <w:rFonts w:hint="eastAsia"/>
        </w:rPr>
        <w:t>。</w:t>
      </w:r>
    </w:p>
    <w:p w:rsidR="00307FC6" w:rsidRPr="00A41141" w:rsidRDefault="00307FC6" w:rsidP="00307FC6">
      <w:pPr>
        <w:pStyle w:val="SingleTxtGC"/>
        <w:rPr>
          <w:rFonts w:eastAsia="SimHei" w:hint="eastAsia"/>
        </w:rPr>
      </w:pPr>
      <w:r w:rsidRPr="00A41141">
        <w:rPr>
          <w:rFonts w:eastAsia="SimHei" w:hint="eastAsia"/>
        </w:rPr>
        <w:t>缔约国应：</w:t>
      </w:r>
    </w:p>
    <w:p w:rsidR="00307FC6" w:rsidRPr="00A41141" w:rsidRDefault="00307FC6" w:rsidP="00B67765">
      <w:pPr>
        <w:pStyle w:val="SingleTxtGC"/>
        <w:numPr>
          <w:ilvl w:val="0"/>
          <w:numId w:val="7"/>
        </w:numPr>
        <w:tabs>
          <w:tab w:val="clear" w:pos="2426"/>
          <w:tab w:val="left" w:pos="2427"/>
        </w:tabs>
        <w:rPr>
          <w:rFonts w:eastAsia="SimHei" w:hint="eastAsia"/>
        </w:rPr>
      </w:pPr>
      <w:r w:rsidRPr="00A41141">
        <w:rPr>
          <w:rFonts w:eastAsia="SimHei" w:hint="eastAsia"/>
        </w:rPr>
        <w:t>采用全面方针，防止和处理一切形式和表现的暴力侵害妇女和儿童行为；</w:t>
      </w:r>
    </w:p>
    <w:p w:rsidR="00307FC6" w:rsidRPr="00A41141" w:rsidRDefault="00307FC6" w:rsidP="00B67765">
      <w:pPr>
        <w:pStyle w:val="SingleTxtGC"/>
        <w:numPr>
          <w:ilvl w:val="0"/>
          <w:numId w:val="7"/>
        </w:numPr>
        <w:tabs>
          <w:tab w:val="clear" w:pos="2426"/>
          <w:tab w:val="left" w:pos="2427"/>
        </w:tabs>
        <w:rPr>
          <w:rFonts w:eastAsia="SimHei" w:hint="eastAsia"/>
        </w:rPr>
      </w:pPr>
      <w:r w:rsidRPr="00A41141">
        <w:rPr>
          <w:rFonts w:eastAsia="SimHei" w:hint="eastAsia"/>
        </w:rPr>
        <w:t>加强宣传措施，提高警察、司法机关、检察官、社区代表以及妇女和男子对家庭暴力问题严重程度及其对受害者生活的影响的认识；</w:t>
      </w:r>
    </w:p>
    <w:p w:rsidR="00307FC6" w:rsidRPr="00A41141" w:rsidRDefault="00307FC6" w:rsidP="00B67765">
      <w:pPr>
        <w:pStyle w:val="SingleTxtGC"/>
        <w:numPr>
          <w:ilvl w:val="0"/>
          <w:numId w:val="7"/>
        </w:numPr>
        <w:tabs>
          <w:tab w:val="clear" w:pos="2426"/>
          <w:tab w:val="left" w:pos="2427"/>
        </w:tabs>
        <w:rPr>
          <w:rFonts w:eastAsia="SimHei" w:hint="eastAsia"/>
        </w:rPr>
      </w:pPr>
      <w:r w:rsidRPr="00A41141">
        <w:rPr>
          <w:rFonts w:eastAsia="SimHei" w:hint="eastAsia"/>
        </w:rPr>
        <w:t>鼓励以非暴力管教方式替代体罚；</w:t>
      </w:r>
    </w:p>
    <w:p w:rsidR="00307FC6" w:rsidRPr="00A41141" w:rsidRDefault="00307FC6" w:rsidP="00B67765">
      <w:pPr>
        <w:pStyle w:val="SingleTxtGC"/>
        <w:numPr>
          <w:ilvl w:val="0"/>
          <w:numId w:val="7"/>
        </w:numPr>
        <w:tabs>
          <w:tab w:val="clear" w:pos="2426"/>
          <w:tab w:val="left" w:pos="2427"/>
        </w:tabs>
        <w:rPr>
          <w:rFonts w:eastAsia="SimHei" w:hint="eastAsia"/>
        </w:rPr>
      </w:pPr>
      <w:r w:rsidRPr="00A41141">
        <w:rPr>
          <w:rFonts w:eastAsia="SimHei" w:hint="eastAsia"/>
        </w:rPr>
        <w:t>确保警方对家庭暴力案件进行彻查，肇事者受到起诉，如罪名成立，对其进行适当处罚，并且受害者得到适当的赔偿；</w:t>
      </w:r>
    </w:p>
    <w:p w:rsidR="00307FC6" w:rsidRPr="00A41141" w:rsidRDefault="00307FC6" w:rsidP="00B67765">
      <w:pPr>
        <w:pStyle w:val="SingleTxtGC"/>
        <w:numPr>
          <w:ilvl w:val="0"/>
          <w:numId w:val="7"/>
        </w:numPr>
        <w:tabs>
          <w:tab w:val="clear" w:pos="2426"/>
          <w:tab w:val="left" w:pos="2427"/>
        </w:tabs>
        <w:rPr>
          <w:rFonts w:eastAsia="SimHei" w:hint="eastAsia"/>
        </w:rPr>
      </w:pPr>
      <w:r w:rsidRPr="00A41141">
        <w:rPr>
          <w:rFonts w:eastAsia="SimHei" w:hint="eastAsia"/>
        </w:rPr>
        <w:t>采取措施就保护令采取后续行动，以确保受害者的安全，并保证违反保护令者受到惩罚；</w:t>
      </w:r>
    </w:p>
    <w:p w:rsidR="00307FC6" w:rsidRDefault="00307FC6" w:rsidP="00B67765">
      <w:pPr>
        <w:pStyle w:val="SingleTxtGC"/>
        <w:numPr>
          <w:ilvl w:val="0"/>
          <w:numId w:val="7"/>
        </w:numPr>
        <w:tabs>
          <w:tab w:val="clear" w:pos="2426"/>
          <w:tab w:val="left" w:pos="2427"/>
        </w:tabs>
        <w:rPr>
          <w:rFonts w:hint="eastAsia"/>
        </w:rPr>
      </w:pPr>
      <w:r w:rsidRPr="00A41141">
        <w:rPr>
          <w:rFonts w:eastAsia="SimHei" w:hint="eastAsia"/>
        </w:rPr>
        <w:t>确保有足够的配备充足资源的收容所。在这方面，建议缔约国推进其在对话期间所提出的打算，并增加对私营收容所的资金支助。</w:t>
      </w:r>
    </w:p>
    <w:p w:rsidR="00307FC6" w:rsidRDefault="00307FC6" w:rsidP="00307FC6">
      <w:pPr>
        <w:pStyle w:val="SingleTxtGC"/>
        <w:rPr>
          <w:rFonts w:hint="eastAsia"/>
        </w:rPr>
      </w:pPr>
      <w:r w:rsidRPr="00A41141">
        <w:rPr>
          <w:rFonts w:hint="eastAsia"/>
        </w:rPr>
        <w:t xml:space="preserve">12.  </w:t>
      </w:r>
      <w:r w:rsidRPr="00A41141">
        <w:rPr>
          <w:rFonts w:hint="eastAsia"/>
        </w:rPr>
        <w:t>委员会赞赏缔约国将第八十六条和第八十七条纳入了该国《刑法》，将酷刑和虐待行为定为罪行，但委员会感到关切的是，有大量申诉涉及执法人员虐待被剥夺自由者，包括</w:t>
      </w:r>
      <w:r w:rsidRPr="00A41141">
        <w:rPr>
          <w:rFonts w:hint="eastAsia"/>
        </w:rPr>
        <w:t>2012</w:t>
      </w:r>
      <w:r w:rsidRPr="00A41141">
        <w:rPr>
          <w:rFonts w:hint="eastAsia"/>
        </w:rPr>
        <w:t>年罗姆人被强迫驱逐出家园背景下被拘留的罗姆人。</w:t>
      </w:r>
      <w:r>
        <w:rPr>
          <w:rFonts w:hint="eastAsia"/>
        </w:rPr>
        <w:t>委员会还感到关切的是，缔约国缺少援引第八十六条的判例法，并且有报告称，这类案件的调查最终很少对肇事者进行定罪，也很少为受害者提供赔偿</w:t>
      </w:r>
      <w:r>
        <w:rPr>
          <w:rFonts w:hint="eastAsia"/>
        </w:rPr>
        <w:t>(</w:t>
      </w:r>
      <w:r>
        <w:rPr>
          <w:rFonts w:hint="eastAsia"/>
        </w:rPr>
        <w:t>第二条、第七条和第十条</w:t>
      </w:r>
      <w:r>
        <w:rPr>
          <w:rFonts w:hint="eastAsia"/>
        </w:rPr>
        <w:t>)</w:t>
      </w:r>
      <w:r>
        <w:rPr>
          <w:rFonts w:hint="eastAsia"/>
        </w:rPr>
        <w:t>。</w:t>
      </w:r>
    </w:p>
    <w:p w:rsidR="00307FC6" w:rsidRPr="00942BBF" w:rsidRDefault="00307FC6" w:rsidP="00307FC6">
      <w:pPr>
        <w:pStyle w:val="SingleTxtGC"/>
        <w:rPr>
          <w:rFonts w:eastAsia="SimHei" w:hint="eastAsia"/>
        </w:rPr>
      </w:pPr>
      <w:r w:rsidRPr="00942BBF">
        <w:rPr>
          <w:rFonts w:eastAsia="SimHei" w:hint="eastAsia"/>
        </w:rPr>
        <w:t>缔约国应确保严格执行禁止酷刑和虐待的法规。在这方面，缔约国应确保执法人员得到有关防止和调查酷刑和虐待的培训，在执法人员的所有培训方案中纳入关于《酷刑和其他残忍、不人道或有辱人格的待遇或处罚的有效调查和文件记录手册》</w:t>
      </w:r>
      <w:r w:rsidRPr="00942BBF">
        <w:rPr>
          <w:rFonts w:eastAsia="SimHei" w:hint="eastAsia"/>
        </w:rPr>
        <w:t>(</w:t>
      </w:r>
      <w:r w:rsidRPr="00942BBF">
        <w:rPr>
          <w:rFonts w:eastAsia="SimHei" w:hint="eastAsia"/>
        </w:rPr>
        <w:t>《伊斯坦布尔议定书》</w:t>
      </w:r>
      <w:r w:rsidRPr="00942BBF">
        <w:rPr>
          <w:rFonts w:eastAsia="SimHei" w:hint="eastAsia"/>
        </w:rPr>
        <w:t>)</w:t>
      </w:r>
      <w:r w:rsidRPr="00942BBF">
        <w:rPr>
          <w:rFonts w:eastAsia="SimHei" w:hint="eastAsia"/>
        </w:rPr>
        <w:t>的内容。缔约国应有效调查关于酷刑和虐待的指控，起诉被控肇事者，如罪名成立，对其处以与罪行严重程度相应的处罚，并应对受害者提供适当的赔偿。</w:t>
      </w:r>
    </w:p>
    <w:p w:rsidR="00307FC6" w:rsidRDefault="00307FC6" w:rsidP="00307FC6">
      <w:pPr>
        <w:pStyle w:val="SingleTxtGC"/>
        <w:rPr>
          <w:rFonts w:hint="eastAsia"/>
        </w:rPr>
      </w:pPr>
      <w:r>
        <w:rPr>
          <w:rFonts w:hint="eastAsia"/>
        </w:rPr>
        <w:t xml:space="preserve">13.  </w:t>
      </w:r>
      <w:r>
        <w:rPr>
          <w:rFonts w:hint="eastAsia"/>
        </w:rPr>
        <w:t>委员会感到关切的是，所有以非正规方式进入缔约国者</w:t>
      </w:r>
      <w:r>
        <w:rPr>
          <w:rFonts w:hint="eastAsia"/>
        </w:rPr>
        <w:t>(</w:t>
      </w:r>
      <w:r>
        <w:rPr>
          <w:rFonts w:hint="eastAsia"/>
        </w:rPr>
        <w:t>包括未成年人</w:t>
      </w:r>
      <w:r>
        <w:rPr>
          <w:rFonts w:hint="eastAsia"/>
        </w:rPr>
        <w:t>)</w:t>
      </w:r>
      <w:r>
        <w:rPr>
          <w:rFonts w:hint="eastAsia"/>
        </w:rPr>
        <w:t>一概遭到拘留，直至被驱逐，缺少关于其中的寻求庇护者的信息以及将这些人移交庇护程序的做法，这使得需要国际援助的个人面临很高的驱回风险。委员会还感到关切的是，寻求庇护者和难民的过境接待设施中生活条件较差</w:t>
      </w:r>
      <w:r>
        <w:rPr>
          <w:rFonts w:hint="eastAsia"/>
        </w:rPr>
        <w:t>(</w:t>
      </w:r>
      <w:r>
        <w:rPr>
          <w:rFonts w:hint="eastAsia"/>
        </w:rPr>
        <w:t>第六条、第七条、第九条和第十条</w:t>
      </w:r>
      <w:r>
        <w:rPr>
          <w:rFonts w:hint="eastAsia"/>
        </w:rPr>
        <w:t>)</w:t>
      </w:r>
      <w:r>
        <w:rPr>
          <w:rFonts w:hint="eastAsia"/>
        </w:rPr>
        <w:t>。</w:t>
      </w:r>
    </w:p>
    <w:p w:rsidR="00307FC6" w:rsidRPr="00942BBF" w:rsidRDefault="00307FC6" w:rsidP="00307FC6">
      <w:pPr>
        <w:pStyle w:val="SingleTxtGC"/>
        <w:rPr>
          <w:rFonts w:eastAsia="SimHei" w:hint="eastAsia"/>
        </w:rPr>
      </w:pPr>
      <w:r w:rsidRPr="00942BBF">
        <w:rPr>
          <w:rFonts w:eastAsia="SimHei" w:hint="eastAsia"/>
        </w:rPr>
        <w:t>缔约国应确保在边境和国内严格执行初步甄别程序，以确保识别需要国际保护的个人并将他们移交庇护程序，不论他们是否通过非正规方式进入该国。缔约国不应依据进入该国的方式来拘留寻求庇护者。缔约国应改善过境接待设施的生活条件。</w:t>
      </w:r>
    </w:p>
    <w:p w:rsidR="00307FC6" w:rsidRDefault="00307FC6" w:rsidP="00307FC6">
      <w:pPr>
        <w:pStyle w:val="SingleTxtGC"/>
        <w:rPr>
          <w:rFonts w:hint="eastAsia"/>
        </w:rPr>
      </w:pPr>
      <w:r>
        <w:rPr>
          <w:rFonts w:hint="eastAsia"/>
        </w:rPr>
        <w:t xml:space="preserve">14.  </w:t>
      </w:r>
      <w:r>
        <w:rPr>
          <w:rFonts w:hint="eastAsia"/>
        </w:rPr>
        <w:t>委员会注意到缔约国提供的关于该国不再被认为是一个贩运中转国的资料，但委员会感到关切的是，很多被贩运的妇女和儿童仍来自于该国</w:t>
      </w:r>
      <w:r>
        <w:rPr>
          <w:rFonts w:hint="eastAsia"/>
        </w:rPr>
        <w:t>(</w:t>
      </w:r>
      <w:r>
        <w:rPr>
          <w:rFonts w:hint="eastAsia"/>
        </w:rPr>
        <w:t>第三条、第八条和第二十四条</w:t>
      </w:r>
      <w:r>
        <w:rPr>
          <w:rFonts w:hint="eastAsia"/>
        </w:rPr>
        <w:t>)</w:t>
      </w:r>
      <w:r>
        <w:rPr>
          <w:rFonts w:hint="eastAsia"/>
        </w:rPr>
        <w:t>。</w:t>
      </w:r>
    </w:p>
    <w:p w:rsidR="00307FC6" w:rsidRPr="00942BBF" w:rsidRDefault="00307FC6" w:rsidP="00307FC6">
      <w:pPr>
        <w:pStyle w:val="SingleTxtGC"/>
        <w:rPr>
          <w:rFonts w:eastAsia="SimHei" w:hint="eastAsia"/>
        </w:rPr>
      </w:pPr>
      <w:r w:rsidRPr="00942BBF">
        <w:rPr>
          <w:rFonts w:eastAsia="SimHei" w:hint="eastAsia"/>
        </w:rPr>
        <w:t>缔约国应加强预防和打击人口贩运的现行措施。具体而言，缔约国应继续识别贩运受害者，并采取必要措施确保为贩运受害者提供医疗、心理、社会和法律援助。应为所有的贩运受害者和证人提供保护，使其有安身之地并有机会指证责任人。缔约国还应为调查人口贩运案件投入充足资源，确定责任人、对其进行起诉并施以相应的处罚。</w:t>
      </w:r>
    </w:p>
    <w:p w:rsidR="00307FC6" w:rsidRDefault="00307FC6" w:rsidP="00307FC6">
      <w:pPr>
        <w:pStyle w:val="SingleTxtGC"/>
        <w:rPr>
          <w:rFonts w:hint="eastAsia"/>
        </w:rPr>
      </w:pPr>
      <w:r>
        <w:rPr>
          <w:rFonts w:hint="eastAsia"/>
        </w:rPr>
        <w:t xml:space="preserve">15.  </w:t>
      </w:r>
      <w:r>
        <w:rPr>
          <w:rFonts w:hint="eastAsia"/>
        </w:rPr>
        <w:t>委员会感到关切的是，有报告称，触犯法律儿童被捕后在警察局遭到虐待。委员会还感到关切的是，缔约国缺少</w:t>
      </w:r>
      <w:r>
        <w:rPr>
          <w:rFonts w:hint="eastAsia"/>
        </w:rPr>
        <w:t>(a)</w:t>
      </w:r>
      <w:r w:rsidR="003C2453">
        <w:rPr>
          <w:rFonts w:hint="eastAsia"/>
        </w:rPr>
        <w:t xml:space="preserve"> </w:t>
      </w:r>
      <w:r>
        <w:rPr>
          <w:rFonts w:hint="eastAsia"/>
        </w:rPr>
        <w:t>由专业法官主持的负责青少年案件的专设法庭；</w:t>
      </w:r>
      <w:r>
        <w:rPr>
          <w:rFonts w:hint="eastAsia"/>
        </w:rPr>
        <w:t>(b)</w:t>
      </w:r>
      <w:r w:rsidR="003C2453">
        <w:rPr>
          <w:rFonts w:hint="eastAsia"/>
        </w:rPr>
        <w:t xml:space="preserve"> </w:t>
      </w:r>
      <w:r>
        <w:rPr>
          <w:rFonts w:hint="eastAsia"/>
        </w:rPr>
        <w:t>此类儿童的长期改造方案；</w:t>
      </w:r>
      <w:r>
        <w:rPr>
          <w:rFonts w:hint="eastAsia"/>
        </w:rPr>
        <w:t>(c)</w:t>
      </w:r>
      <w:r w:rsidR="003C2453">
        <w:rPr>
          <w:rFonts w:hint="eastAsia"/>
        </w:rPr>
        <w:t xml:space="preserve"> </w:t>
      </w:r>
      <w:r>
        <w:rPr>
          <w:rFonts w:hint="eastAsia"/>
        </w:rPr>
        <w:t>被定罪儿童的教育设施</w:t>
      </w:r>
      <w:r>
        <w:rPr>
          <w:rFonts w:hint="eastAsia"/>
        </w:rPr>
        <w:t>(</w:t>
      </w:r>
      <w:r>
        <w:rPr>
          <w:rFonts w:hint="eastAsia"/>
        </w:rPr>
        <w:t>第七条、第九条、第十条和第二十四条</w:t>
      </w:r>
      <w:r>
        <w:rPr>
          <w:rFonts w:hint="eastAsia"/>
        </w:rPr>
        <w:t>)</w:t>
      </w:r>
      <w:r>
        <w:rPr>
          <w:rFonts w:hint="eastAsia"/>
        </w:rPr>
        <w:t>。</w:t>
      </w:r>
    </w:p>
    <w:p w:rsidR="00307FC6" w:rsidRPr="00942BBF" w:rsidRDefault="00307FC6" w:rsidP="00307FC6">
      <w:pPr>
        <w:pStyle w:val="SingleTxtGC"/>
        <w:rPr>
          <w:rFonts w:eastAsia="SimHei" w:hint="eastAsia"/>
        </w:rPr>
      </w:pPr>
      <w:r w:rsidRPr="00942BBF">
        <w:rPr>
          <w:rFonts w:eastAsia="SimHei" w:hint="eastAsia"/>
        </w:rPr>
        <w:t>缔约国应有效调查关于儿童在警察局遭到虐待的所有指控。缔约国应改革少年司法系统，为此</w:t>
      </w:r>
      <w:r w:rsidRPr="00942BBF">
        <w:rPr>
          <w:rFonts w:eastAsia="SimHei" w:hint="eastAsia"/>
        </w:rPr>
        <w:t>(a)</w:t>
      </w:r>
      <w:r w:rsidR="003C2453">
        <w:rPr>
          <w:rFonts w:eastAsia="SimHei" w:hint="eastAsia"/>
        </w:rPr>
        <w:t xml:space="preserve"> </w:t>
      </w:r>
      <w:r w:rsidRPr="00942BBF">
        <w:rPr>
          <w:rFonts w:eastAsia="SimHei" w:hint="eastAsia"/>
        </w:rPr>
        <w:t>建立由训练有素的法官主持的少年法庭；</w:t>
      </w:r>
      <w:r w:rsidRPr="00942BBF">
        <w:rPr>
          <w:rFonts w:eastAsia="SimHei" w:hint="eastAsia"/>
        </w:rPr>
        <w:t xml:space="preserve">(b) </w:t>
      </w:r>
      <w:r w:rsidRPr="00942BBF">
        <w:rPr>
          <w:rFonts w:eastAsia="SimHei" w:hint="eastAsia"/>
        </w:rPr>
        <w:t>制定长期改造方案，以帮助这类儿童获释后融入社会；</w:t>
      </w:r>
      <w:r w:rsidRPr="00942BBF">
        <w:rPr>
          <w:rFonts w:eastAsia="SimHei" w:hint="eastAsia"/>
        </w:rPr>
        <w:t>(c)</w:t>
      </w:r>
      <w:r w:rsidR="003C2453">
        <w:rPr>
          <w:rFonts w:eastAsia="SimHei" w:hint="eastAsia"/>
        </w:rPr>
        <w:t xml:space="preserve"> </w:t>
      </w:r>
      <w:r w:rsidRPr="00942BBF">
        <w:rPr>
          <w:rFonts w:eastAsia="SimHei" w:hint="eastAsia"/>
        </w:rPr>
        <w:t>确保将监禁儿童作为最后手段，并为被监禁儿童提供教育设施。</w:t>
      </w:r>
    </w:p>
    <w:p w:rsidR="00307FC6" w:rsidRDefault="00307FC6" w:rsidP="00307FC6">
      <w:pPr>
        <w:pStyle w:val="SingleTxtGC"/>
        <w:rPr>
          <w:rFonts w:hint="eastAsia"/>
        </w:rPr>
      </w:pPr>
      <w:r>
        <w:rPr>
          <w:rFonts w:hint="eastAsia"/>
        </w:rPr>
        <w:t xml:space="preserve">16.  </w:t>
      </w:r>
      <w:r>
        <w:rPr>
          <w:rFonts w:hint="eastAsia"/>
        </w:rPr>
        <w:t>委员会对不人道的拘留条件</w:t>
      </w:r>
      <w:r>
        <w:rPr>
          <w:rFonts w:hint="eastAsia"/>
        </w:rPr>
        <w:t>(</w:t>
      </w:r>
      <w:r>
        <w:rPr>
          <w:rFonts w:hint="eastAsia"/>
        </w:rPr>
        <w:t>包括拘留设施过度拥挤和卫生状况差</w:t>
      </w:r>
      <w:r>
        <w:rPr>
          <w:rFonts w:hint="eastAsia"/>
        </w:rPr>
        <w:t>)</w:t>
      </w:r>
      <w:r>
        <w:rPr>
          <w:rFonts w:hint="eastAsia"/>
        </w:rPr>
        <w:t>感到关切。委员会特别感到关切的是，有报告称，即便新建成的实施也不符合国际标准</w:t>
      </w:r>
      <w:r>
        <w:rPr>
          <w:rFonts w:hint="eastAsia"/>
        </w:rPr>
        <w:t>(</w:t>
      </w:r>
      <w:r>
        <w:rPr>
          <w:rFonts w:hint="eastAsia"/>
        </w:rPr>
        <w:t>第十条</w:t>
      </w:r>
      <w:r>
        <w:rPr>
          <w:rFonts w:hint="eastAsia"/>
        </w:rPr>
        <w:t>)</w:t>
      </w:r>
      <w:r>
        <w:rPr>
          <w:rFonts w:hint="eastAsia"/>
        </w:rPr>
        <w:t>。</w:t>
      </w:r>
    </w:p>
    <w:p w:rsidR="00307FC6" w:rsidRPr="00942BBF" w:rsidRDefault="00307FC6" w:rsidP="00307FC6">
      <w:pPr>
        <w:pStyle w:val="SingleTxtGC"/>
        <w:rPr>
          <w:rFonts w:eastAsia="SimHei" w:hint="eastAsia"/>
        </w:rPr>
      </w:pPr>
      <w:r w:rsidRPr="00942BBF">
        <w:rPr>
          <w:rFonts w:eastAsia="SimHei" w:hint="eastAsia"/>
        </w:rPr>
        <w:t>委员会重申其关于不人道拘留条件的关切</w:t>
      </w:r>
      <w:r w:rsidRPr="00942BBF">
        <w:rPr>
          <w:rFonts w:eastAsia="SimHei" w:hint="eastAsia"/>
        </w:rPr>
        <w:t xml:space="preserve">(CCPR/CO/82/ALB, </w:t>
      </w:r>
      <w:r w:rsidRPr="00942BBF">
        <w:rPr>
          <w:rFonts w:eastAsia="SimHei" w:hint="eastAsia"/>
        </w:rPr>
        <w:t>第</w:t>
      </w:r>
      <w:r w:rsidRPr="00942BBF">
        <w:rPr>
          <w:rFonts w:eastAsia="SimHei" w:hint="eastAsia"/>
        </w:rPr>
        <w:t>16</w:t>
      </w:r>
      <w:r w:rsidRPr="00942BBF">
        <w:rPr>
          <w:rFonts w:eastAsia="SimHei" w:hint="eastAsia"/>
        </w:rPr>
        <w:t>段</w:t>
      </w:r>
      <w:r w:rsidRPr="00942BBF">
        <w:rPr>
          <w:rFonts w:eastAsia="SimHei" w:hint="eastAsia"/>
        </w:rPr>
        <w:t>)</w:t>
      </w:r>
      <w:r w:rsidRPr="00942BBF">
        <w:rPr>
          <w:rFonts w:eastAsia="SimHei" w:hint="eastAsia"/>
        </w:rPr>
        <w:t>，并促请缔约国改善在押候审者和已被定罪者的拘留条件。缔约国应确保新设施符合国际标准，为这些设施的建造和运行划拨充足资源。</w:t>
      </w:r>
    </w:p>
    <w:p w:rsidR="00307FC6" w:rsidRDefault="00307FC6" w:rsidP="00307FC6">
      <w:pPr>
        <w:pStyle w:val="SingleTxtGC"/>
        <w:rPr>
          <w:rFonts w:hint="eastAsia"/>
        </w:rPr>
      </w:pPr>
      <w:r>
        <w:rPr>
          <w:rFonts w:hint="eastAsia"/>
        </w:rPr>
        <w:t xml:space="preserve">17.  </w:t>
      </w:r>
      <w:r>
        <w:rPr>
          <w:rFonts w:hint="eastAsia"/>
        </w:rPr>
        <w:t>委员会感到关切的是，有报告称，任意拘留频发，个人被捕后常常得不到会见律师的机会，警方关于释放被捕者的决定可能受贿赂所左右。委员会还感到关切的是，法院在裁定刑事案件时不当拖延；初审法院不能及时给出它做出裁定的依据，这损害了受损害方上诉的权利；听证会常常是不公开的；向上诉法院转交文件常常出现拖延。委员会还感到关切的是，为贫困者提供的免费法律援助不起作用</w:t>
      </w:r>
      <w:r>
        <w:rPr>
          <w:rFonts w:hint="eastAsia"/>
        </w:rPr>
        <w:t>(</w:t>
      </w:r>
      <w:r>
        <w:rPr>
          <w:rFonts w:hint="eastAsia"/>
        </w:rPr>
        <w:t>第九条和第十四条</w:t>
      </w:r>
      <w:r>
        <w:rPr>
          <w:rFonts w:hint="eastAsia"/>
        </w:rPr>
        <w:t>)</w:t>
      </w:r>
      <w:r>
        <w:rPr>
          <w:rFonts w:hint="eastAsia"/>
        </w:rPr>
        <w:t>。</w:t>
      </w:r>
    </w:p>
    <w:p w:rsidR="00307FC6" w:rsidRPr="00942BBF" w:rsidRDefault="00307FC6" w:rsidP="00307FC6">
      <w:pPr>
        <w:pStyle w:val="SingleTxtGC"/>
        <w:rPr>
          <w:rFonts w:eastAsia="SimHei" w:hint="eastAsia"/>
        </w:rPr>
      </w:pPr>
      <w:r w:rsidRPr="00942BBF">
        <w:rPr>
          <w:rFonts w:eastAsia="SimHei" w:hint="eastAsia"/>
        </w:rPr>
        <w:t>缔约国应确保充分遵守《公约》第九条，为此应：</w:t>
      </w:r>
    </w:p>
    <w:p w:rsidR="00307FC6" w:rsidRPr="00942BBF" w:rsidRDefault="00307FC6" w:rsidP="00B67765">
      <w:pPr>
        <w:pStyle w:val="SingleTxtGC"/>
        <w:numPr>
          <w:ilvl w:val="0"/>
          <w:numId w:val="8"/>
        </w:numPr>
        <w:tabs>
          <w:tab w:val="clear" w:pos="2426"/>
          <w:tab w:val="left" w:pos="2427"/>
        </w:tabs>
        <w:rPr>
          <w:rFonts w:eastAsia="SimHei" w:hint="eastAsia"/>
        </w:rPr>
      </w:pPr>
      <w:r w:rsidRPr="00942BBF">
        <w:rPr>
          <w:rFonts w:eastAsia="SimHei" w:hint="eastAsia"/>
        </w:rPr>
        <w:t>采取措施避免任意剥夺自由，并确保任意拘留的受害者得到适当赔偿；</w:t>
      </w:r>
    </w:p>
    <w:p w:rsidR="00307FC6" w:rsidRPr="00942BBF" w:rsidRDefault="00307FC6" w:rsidP="00B67765">
      <w:pPr>
        <w:pStyle w:val="SingleTxtGC"/>
        <w:numPr>
          <w:ilvl w:val="0"/>
          <w:numId w:val="8"/>
        </w:numPr>
        <w:tabs>
          <w:tab w:val="clear" w:pos="2426"/>
          <w:tab w:val="left" w:pos="2427"/>
        </w:tabs>
        <w:rPr>
          <w:rFonts w:eastAsia="SimHei" w:hint="eastAsia"/>
        </w:rPr>
      </w:pPr>
      <w:r w:rsidRPr="00942BBF">
        <w:rPr>
          <w:rFonts w:eastAsia="SimHei" w:hint="eastAsia"/>
        </w:rPr>
        <w:t>确保个人被捕后能立即会见律师，以及打击腐败</w:t>
      </w:r>
      <w:r w:rsidR="00942BBF">
        <w:rPr>
          <w:rFonts w:eastAsia="SimHei" w:hint="eastAsia"/>
        </w:rPr>
        <w:t>。</w:t>
      </w:r>
    </w:p>
    <w:p w:rsidR="00307FC6" w:rsidRPr="00942BBF" w:rsidRDefault="00307FC6" w:rsidP="00942BBF">
      <w:pPr>
        <w:pStyle w:val="SingleTxtGC"/>
        <w:rPr>
          <w:rFonts w:eastAsia="SimHei" w:hint="eastAsia"/>
        </w:rPr>
      </w:pPr>
      <w:r w:rsidRPr="00942BBF">
        <w:rPr>
          <w:rFonts w:eastAsia="SimHei" w:hint="eastAsia"/>
        </w:rPr>
        <w:t>缔约国应根据《公约》第十四条维护公平审判权。在这方面，缔约国应：</w:t>
      </w:r>
    </w:p>
    <w:p w:rsidR="00307FC6" w:rsidRPr="00942BBF" w:rsidRDefault="00307FC6" w:rsidP="00B67765">
      <w:pPr>
        <w:pStyle w:val="SingleTxtGC"/>
        <w:numPr>
          <w:ilvl w:val="0"/>
          <w:numId w:val="9"/>
        </w:numPr>
        <w:tabs>
          <w:tab w:val="clear" w:pos="2426"/>
          <w:tab w:val="left" w:pos="2427"/>
        </w:tabs>
        <w:rPr>
          <w:rFonts w:eastAsia="SimHei" w:hint="eastAsia"/>
        </w:rPr>
      </w:pPr>
      <w:r w:rsidRPr="00942BBF">
        <w:rPr>
          <w:rFonts w:eastAsia="SimHei" w:hint="eastAsia"/>
        </w:rPr>
        <w:t>紧急改善司法系统的运作，包括增加接受过专业培训的合格司法工作人员的数量，并为法官和法院工作人员提供关于高效案件管理技巧的培训；</w:t>
      </w:r>
    </w:p>
    <w:p w:rsidR="00307FC6" w:rsidRPr="00942BBF" w:rsidRDefault="00307FC6" w:rsidP="00B67765">
      <w:pPr>
        <w:pStyle w:val="SingleTxtGC"/>
        <w:numPr>
          <w:ilvl w:val="0"/>
          <w:numId w:val="9"/>
        </w:numPr>
        <w:tabs>
          <w:tab w:val="clear" w:pos="2426"/>
          <w:tab w:val="left" w:pos="2427"/>
        </w:tabs>
        <w:rPr>
          <w:rFonts w:eastAsia="SimHei" w:hint="eastAsia"/>
        </w:rPr>
      </w:pPr>
      <w:r w:rsidRPr="00942BBF">
        <w:rPr>
          <w:rFonts w:eastAsia="SimHei" w:hint="eastAsia"/>
        </w:rPr>
        <w:t>确保对长期拖延的案件给予适当赔偿；</w:t>
      </w:r>
    </w:p>
    <w:p w:rsidR="00307FC6" w:rsidRPr="00942BBF" w:rsidRDefault="00307FC6" w:rsidP="00B67765">
      <w:pPr>
        <w:pStyle w:val="SingleTxtGC"/>
        <w:numPr>
          <w:ilvl w:val="0"/>
          <w:numId w:val="9"/>
        </w:numPr>
        <w:tabs>
          <w:tab w:val="clear" w:pos="2426"/>
          <w:tab w:val="left" w:pos="2427"/>
        </w:tabs>
        <w:rPr>
          <w:rFonts w:eastAsia="SimHei" w:hint="eastAsia"/>
        </w:rPr>
      </w:pPr>
      <w:r w:rsidRPr="00942BBF">
        <w:rPr>
          <w:rFonts w:eastAsia="SimHei" w:hint="eastAsia"/>
        </w:rPr>
        <w:t>确保在为了实现公正有必要时，相关个人能够真正得</w:t>
      </w:r>
      <w:r w:rsidR="00942BBF">
        <w:rPr>
          <w:rFonts w:eastAsia="SimHei" w:hint="eastAsia"/>
        </w:rPr>
        <w:t>到免费的法律援助。</w:t>
      </w:r>
    </w:p>
    <w:p w:rsidR="00307FC6" w:rsidRDefault="00307FC6" w:rsidP="00307FC6">
      <w:pPr>
        <w:pStyle w:val="SingleTxtGC"/>
        <w:rPr>
          <w:rFonts w:hint="eastAsia"/>
        </w:rPr>
      </w:pPr>
      <w:r>
        <w:rPr>
          <w:rFonts w:hint="eastAsia"/>
        </w:rPr>
        <w:t xml:space="preserve">18.  </w:t>
      </w:r>
      <w:r>
        <w:rPr>
          <w:rFonts w:hint="eastAsia"/>
        </w:rPr>
        <w:t>委员会感到关切的是，有报告称司法系统内普遍存在腐败现象。委员会感到关切的是，遴选法官，特别是司法机关最高级别的法官的程序高度政治化且非常冗长</w:t>
      </w:r>
      <w:r>
        <w:rPr>
          <w:rFonts w:hint="eastAsia"/>
        </w:rPr>
        <w:t>(</w:t>
      </w:r>
      <w:r>
        <w:rPr>
          <w:rFonts w:hint="eastAsia"/>
        </w:rPr>
        <w:t>第十四条</w:t>
      </w:r>
      <w:r>
        <w:rPr>
          <w:rFonts w:hint="eastAsia"/>
        </w:rPr>
        <w:t>)</w:t>
      </w:r>
      <w:r>
        <w:rPr>
          <w:rFonts w:hint="eastAsia"/>
        </w:rPr>
        <w:t>。</w:t>
      </w:r>
    </w:p>
    <w:p w:rsidR="00307FC6" w:rsidRPr="00942BBF" w:rsidRDefault="00307FC6" w:rsidP="00307FC6">
      <w:pPr>
        <w:pStyle w:val="SingleTxtGC"/>
        <w:rPr>
          <w:rFonts w:eastAsia="SimHei" w:hint="eastAsia"/>
        </w:rPr>
      </w:pPr>
      <w:r w:rsidRPr="00942BBF">
        <w:rPr>
          <w:rFonts w:eastAsia="SimHei" w:hint="eastAsia"/>
        </w:rPr>
        <w:t>缔约国应加大努力改革司法机关，包括司法委员会，并确保依据能力和独立性标准遴选法官。缔约国应严厉打击腐败，包括为此制定程序，由独立机构审查腐败法官并对其进行适当处罚。</w:t>
      </w:r>
    </w:p>
    <w:p w:rsidR="00307FC6" w:rsidRDefault="00307FC6" w:rsidP="00307FC6">
      <w:pPr>
        <w:pStyle w:val="SingleTxtGC"/>
        <w:rPr>
          <w:rFonts w:hint="eastAsia"/>
        </w:rPr>
      </w:pPr>
      <w:r>
        <w:rPr>
          <w:rFonts w:hint="eastAsia"/>
        </w:rPr>
        <w:t xml:space="preserve">19.  </w:t>
      </w:r>
      <w:r>
        <w:rPr>
          <w:rFonts w:hint="eastAsia"/>
        </w:rPr>
        <w:t>委员会感到关切的是，有报告称，一些记者因开展工作而受到骚扰和袭击，还有资料表明，缔约国为了恐吓媒体机构而对它们进行起诉</w:t>
      </w:r>
      <w:r>
        <w:rPr>
          <w:rFonts w:hint="eastAsia"/>
        </w:rPr>
        <w:t>(</w:t>
      </w:r>
      <w:r>
        <w:rPr>
          <w:rFonts w:hint="eastAsia"/>
        </w:rPr>
        <w:t>第十九条</w:t>
      </w:r>
      <w:r>
        <w:rPr>
          <w:rFonts w:hint="eastAsia"/>
        </w:rPr>
        <w:t>)</w:t>
      </w:r>
      <w:r>
        <w:rPr>
          <w:rFonts w:hint="eastAsia"/>
        </w:rPr>
        <w:t>。</w:t>
      </w:r>
    </w:p>
    <w:p w:rsidR="00307FC6" w:rsidRPr="00942BBF" w:rsidRDefault="00307FC6" w:rsidP="00307FC6">
      <w:pPr>
        <w:pStyle w:val="SingleTxtGC"/>
        <w:rPr>
          <w:rFonts w:eastAsia="SimHei" w:hint="eastAsia"/>
        </w:rPr>
      </w:pPr>
      <w:r w:rsidRPr="00942BBF">
        <w:rPr>
          <w:rFonts w:eastAsia="SimHei" w:hint="eastAsia"/>
        </w:rPr>
        <w:t>委员会回顾其关于见解和言论自由的第</w:t>
      </w:r>
      <w:r w:rsidRPr="00942BBF">
        <w:rPr>
          <w:rFonts w:eastAsia="SimHei" w:hint="eastAsia"/>
        </w:rPr>
        <w:t>34</w:t>
      </w:r>
      <w:r w:rsidRPr="00942BBF">
        <w:rPr>
          <w:rFonts w:eastAsia="SimHei" w:hint="eastAsia"/>
        </w:rPr>
        <w:t>号一般性意见</w:t>
      </w:r>
      <w:r w:rsidRPr="00942BBF">
        <w:rPr>
          <w:rFonts w:eastAsia="SimHei" w:hint="eastAsia"/>
        </w:rPr>
        <w:t>(2011</w:t>
      </w:r>
      <w:r w:rsidRPr="00942BBF">
        <w:rPr>
          <w:rFonts w:eastAsia="SimHei" w:hint="eastAsia"/>
        </w:rPr>
        <w:t>年</w:t>
      </w:r>
      <w:r w:rsidRPr="00942BBF">
        <w:rPr>
          <w:rFonts w:eastAsia="SimHei" w:hint="eastAsia"/>
        </w:rPr>
        <w:t>)</w:t>
      </w:r>
      <w:r w:rsidRPr="00942BBF">
        <w:rPr>
          <w:rFonts w:eastAsia="SimHei" w:hint="eastAsia"/>
        </w:rPr>
        <w:t>以及先前的结论性意见</w:t>
      </w:r>
      <w:r w:rsidRPr="00942BBF">
        <w:rPr>
          <w:rFonts w:eastAsia="SimHei" w:hint="eastAsia"/>
        </w:rPr>
        <w:t xml:space="preserve">(CCPR/CO/82/ALB, </w:t>
      </w:r>
      <w:r w:rsidRPr="00942BBF">
        <w:rPr>
          <w:rFonts w:eastAsia="SimHei" w:hint="eastAsia"/>
        </w:rPr>
        <w:t>第</w:t>
      </w:r>
      <w:r w:rsidRPr="00942BBF">
        <w:rPr>
          <w:rFonts w:eastAsia="SimHei" w:hint="eastAsia"/>
        </w:rPr>
        <w:t>19</w:t>
      </w:r>
      <w:r w:rsidRPr="00942BBF">
        <w:rPr>
          <w:rFonts w:eastAsia="SimHei" w:hint="eastAsia"/>
        </w:rPr>
        <w:t>段</w:t>
      </w:r>
      <w:r w:rsidRPr="00942BBF">
        <w:rPr>
          <w:rFonts w:eastAsia="SimHei" w:hint="eastAsia"/>
        </w:rPr>
        <w:t>)</w:t>
      </w:r>
      <w:r w:rsidRPr="00942BBF">
        <w:rPr>
          <w:rFonts w:eastAsia="SimHei" w:hint="eastAsia"/>
        </w:rPr>
        <w:t>，建议缔约国采取有效措施充分保障一切形式的见解和言论自由权。缔约国还应对报告的袭击或暴力侵害记者事件展开有效调查，并将责任人绳之以法。缔约国还应防止并避免为了恐吓媒体组织而对它们进行起诉。</w:t>
      </w:r>
    </w:p>
    <w:p w:rsidR="00307FC6" w:rsidRDefault="00307FC6" w:rsidP="00307FC6">
      <w:pPr>
        <w:pStyle w:val="SingleTxtGC"/>
        <w:rPr>
          <w:rFonts w:hint="eastAsia"/>
        </w:rPr>
      </w:pPr>
      <w:r>
        <w:rPr>
          <w:rFonts w:hint="eastAsia"/>
        </w:rPr>
        <w:t xml:space="preserve">20.  </w:t>
      </w:r>
      <w:r>
        <w:rPr>
          <w:rFonts w:hint="eastAsia"/>
        </w:rPr>
        <w:t>委员会感到关切的是，有报告称，缔约国和希腊当局在确定来自阿尔巴尼亚的</w:t>
      </w:r>
      <w:r w:rsidR="003C2453">
        <w:rPr>
          <w:rFonts w:hint="eastAsia"/>
        </w:rPr>
        <w:t>502</w:t>
      </w:r>
      <w:r w:rsidR="003C2453">
        <w:rPr>
          <w:rFonts w:hint="eastAsia"/>
        </w:rPr>
        <w:t>名</w:t>
      </w:r>
      <w:r>
        <w:rPr>
          <w:rFonts w:hint="eastAsia"/>
        </w:rPr>
        <w:t>罗姆街头儿童的下落方面缺少合作，这些儿童因乞讨被希腊警方逮捕后失踪，据称希腊的一家儿童收容机构从</w:t>
      </w:r>
      <w:r>
        <w:rPr>
          <w:rFonts w:hint="eastAsia"/>
        </w:rPr>
        <w:t>1998-2002</w:t>
      </w:r>
      <w:r>
        <w:rPr>
          <w:rFonts w:hint="eastAsia"/>
        </w:rPr>
        <w:t>年收容了这些儿童</w:t>
      </w:r>
      <w:r>
        <w:rPr>
          <w:rFonts w:hint="eastAsia"/>
        </w:rPr>
        <w:t>(</w:t>
      </w:r>
      <w:r>
        <w:rPr>
          <w:rFonts w:hint="eastAsia"/>
        </w:rPr>
        <w:t>第二十四条</w:t>
      </w:r>
      <w:r>
        <w:rPr>
          <w:rFonts w:hint="eastAsia"/>
        </w:rPr>
        <w:t>)</w:t>
      </w:r>
      <w:r>
        <w:rPr>
          <w:rFonts w:hint="eastAsia"/>
        </w:rPr>
        <w:t>。</w:t>
      </w:r>
    </w:p>
    <w:p w:rsidR="00307FC6" w:rsidRPr="00942BBF" w:rsidRDefault="00307FC6" w:rsidP="00307FC6">
      <w:pPr>
        <w:pStyle w:val="SingleTxtGC"/>
        <w:rPr>
          <w:rFonts w:eastAsia="SimHei" w:hint="eastAsia"/>
        </w:rPr>
      </w:pPr>
      <w:r w:rsidRPr="00942BBF">
        <w:rPr>
          <w:rFonts w:eastAsia="SimHei" w:hint="eastAsia"/>
        </w:rPr>
        <w:t>缔约国应与希腊当局加强合作，以查明这些儿童失踪的真相并确定他们的下落。同时，缔约国应接纳监察员和有关民间社会组织参与这项工作。</w:t>
      </w:r>
    </w:p>
    <w:p w:rsidR="00307FC6" w:rsidRDefault="00307FC6" w:rsidP="00307FC6">
      <w:pPr>
        <w:pStyle w:val="SingleTxtGC"/>
        <w:rPr>
          <w:rFonts w:hint="eastAsia"/>
        </w:rPr>
      </w:pPr>
      <w:r>
        <w:rPr>
          <w:rFonts w:hint="eastAsia"/>
        </w:rPr>
        <w:t xml:space="preserve">21.  </w:t>
      </w:r>
      <w:r>
        <w:rPr>
          <w:rFonts w:hint="eastAsia"/>
        </w:rPr>
        <w:t>委员会赞赏缔约国为减少国内收容院儿童人数而采取的措施，但仍感关切的是，儿童父母</w:t>
      </w:r>
      <w:r w:rsidR="00D94D5E">
        <w:rPr>
          <w:rFonts w:hint="eastAsia"/>
        </w:rPr>
        <w:t>，特别是生活贫困的父母仍将其子女送往收容机构。委员会感到关切的</w:t>
      </w:r>
      <w:r>
        <w:rPr>
          <w:rFonts w:hint="eastAsia"/>
        </w:rPr>
        <w:t>情况包括：收容机构的生活条件较差；据报道一些儿童遭到了性虐待；其他儿童被迫乞讨；很多儿童在离开收容机构后无家可归</w:t>
      </w:r>
      <w:r>
        <w:rPr>
          <w:rFonts w:hint="eastAsia"/>
        </w:rPr>
        <w:t>(</w:t>
      </w:r>
      <w:r>
        <w:rPr>
          <w:rFonts w:hint="eastAsia"/>
        </w:rPr>
        <w:t>第二十三条和第二十四条</w:t>
      </w:r>
      <w:r>
        <w:rPr>
          <w:rFonts w:hint="eastAsia"/>
        </w:rPr>
        <w:t>)</w:t>
      </w:r>
      <w:r>
        <w:rPr>
          <w:rFonts w:hint="eastAsia"/>
        </w:rPr>
        <w:t>。</w:t>
      </w:r>
    </w:p>
    <w:p w:rsidR="00307FC6" w:rsidRPr="00942BBF" w:rsidRDefault="00307FC6" w:rsidP="00307FC6">
      <w:pPr>
        <w:pStyle w:val="SingleTxtGC"/>
        <w:rPr>
          <w:rFonts w:eastAsia="SimHei" w:hint="eastAsia"/>
        </w:rPr>
      </w:pPr>
      <w:r w:rsidRPr="00942BBF">
        <w:rPr>
          <w:rFonts w:eastAsia="SimHei" w:hint="eastAsia"/>
        </w:rPr>
        <w:t>缔约国应在应对收容机构中的儿童状况时采用整体性方针，为此，缔约国应：</w:t>
      </w:r>
    </w:p>
    <w:p w:rsidR="00307FC6" w:rsidRPr="00942BBF" w:rsidRDefault="00307FC6" w:rsidP="00B67765">
      <w:pPr>
        <w:pStyle w:val="SingleTxtGC"/>
        <w:numPr>
          <w:ilvl w:val="0"/>
          <w:numId w:val="10"/>
        </w:numPr>
        <w:tabs>
          <w:tab w:val="clear" w:pos="2426"/>
          <w:tab w:val="left" w:pos="2427"/>
        </w:tabs>
        <w:rPr>
          <w:rFonts w:eastAsia="SimHei" w:hint="eastAsia"/>
        </w:rPr>
      </w:pPr>
      <w:r w:rsidRPr="00942BBF">
        <w:rPr>
          <w:rFonts w:eastAsia="SimHei" w:hint="eastAsia"/>
        </w:rPr>
        <w:t>与国家保护儿童权利局紧密合作，制定一项旨在加大对贫困家庭的支助和防止机构收容儿童的家庭政策；</w:t>
      </w:r>
    </w:p>
    <w:p w:rsidR="00307FC6" w:rsidRPr="00942BBF" w:rsidRDefault="00307FC6" w:rsidP="00B67765">
      <w:pPr>
        <w:pStyle w:val="SingleTxtGC"/>
        <w:numPr>
          <w:ilvl w:val="0"/>
          <w:numId w:val="10"/>
        </w:numPr>
        <w:tabs>
          <w:tab w:val="clear" w:pos="2426"/>
          <w:tab w:val="left" w:pos="2427"/>
        </w:tabs>
        <w:rPr>
          <w:rFonts w:eastAsia="SimHei" w:hint="eastAsia"/>
        </w:rPr>
      </w:pPr>
      <w:r w:rsidRPr="00942BBF">
        <w:rPr>
          <w:rFonts w:eastAsia="SimHei" w:hint="eastAsia"/>
        </w:rPr>
        <w:t>加强鼓励将儿童安置在家庭式替代场所的措施；</w:t>
      </w:r>
    </w:p>
    <w:p w:rsidR="00307FC6" w:rsidRPr="00942BBF" w:rsidRDefault="00307FC6" w:rsidP="00B67765">
      <w:pPr>
        <w:pStyle w:val="SingleTxtGC"/>
        <w:numPr>
          <w:ilvl w:val="0"/>
          <w:numId w:val="10"/>
        </w:numPr>
        <w:tabs>
          <w:tab w:val="clear" w:pos="2426"/>
          <w:tab w:val="left" w:pos="2427"/>
        </w:tabs>
        <w:rPr>
          <w:rFonts w:eastAsia="SimHei" w:hint="eastAsia"/>
        </w:rPr>
      </w:pPr>
      <w:r w:rsidRPr="00942BBF">
        <w:rPr>
          <w:rFonts w:eastAsia="SimHei" w:hint="eastAsia"/>
        </w:rPr>
        <w:t>定期监测所有儿童收容机构并改善它们的生活条件，还包括为此划拨适当资源；</w:t>
      </w:r>
    </w:p>
    <w:p w:rsidR="00307FC6" w:rsidRPr="00942BBF" w:rsidRDefault="00307FC6" w:rsidP="00B67765">
      <w:pPr>
        <w:pStyle w:val="SingleTxtGC"/>
        <w:numPr>
          <w:ilvl w:val="0"/>
          <w:numId w:val="10"/>
        </w:numPr>
        <w:tabs>
          <w:tab w:val="clear" w:pos="2426"/>
          <w:tab w:val="left" w:pos="2427"/>
        </w:tabs>
        <w:rPr>
          <w:rFonts w:eastAsia="SimHei" w:hint="eastAsia"/>
        </w:rPr>
      </w:pPr>
      <w:r w:rsidRPr="00942BBF">
        <w:rPr>
          <w:rFonts w:eastAsia="SimHei" w:hint="eastAsia"/>
        </w:rPr>
        <w:t>确保为所有需要社会服务的儿童提供相关服务，防止他们遭到一切形式的剥削。同时，缔约国应调查关于性虐待和经济虐待的指控，将肇事者绳之以法并帮助儿童受害者康复；</w:t>
      </w:r>
    </w:p>
    <w:p w:rsidR="00307FC6" w:rsidRPr="00942BBF" w:rsidRDefault="00307FC6" w:rsidP="00B67765">
      <w:pPr>
        <w:pStyle w:val="SingleTxtGC"/>
        <w:numPr>
          <w:ilvl w:val="0"/>
          <w:numId w:val="10"/>
        </w:numPr>
        <w:tabs>
          <w:tab w:val="clear" w:pos="2426"/>
          <w:tab w:val="left" w:pos="2427"/>
        </w:tabs>
        <w:rPr>
          <w:rFonts w:eastAsia="SimHei" w:hint="eastAsia"/>
        </w:rPr>
      </w:pPr>
      <w:r w:rsidRPr="00942BBF">
        <w:rPr>
          <w:rFonts w:eastAsia="SimHei" w:hint="eastAsia"/>
        </w:rPr>
        <w:t>增加被剥夺家庭环境儿童的教育机会，包括职业培训，以为他们的成年生活做好准备并防止他们无家可归。</w:t>
      </w:r>
    </w:p>
    <w:p w:rsidR="00307FC6" w:rsidRDefault="00307FC6" w:rsidP="00307FC6">
      <w:pPr>
        <w:pStyle w:val="SingleTxtGC"/>
        <w:rPr>
          <w:rFonts w:hint="eastAsia"/>
        </w:rPr>
      </w:pPr>
      <w:r>
        <w:rPr>
          <w:rFonts w:hint="eastAsia"/>
        </w:rPr>
        <w:t xml:space="preserve">22.  </w:t>
      </w:r>
      <w:r>
        <w:rPr>
          <w:rFonts w:hint="eastAsia"/>
        </w:rPr>
        <w:t>委员会感到关切的是，缔约国存在歧视残疾人的法律。委员会还感到关切的是，残疾人的社会地位往往较低，雪上加霜的是，残疾津贴发放不及时，并且有报告称在拘留所中，残疾人的需求得不到满足。委员会感到特别关切的是，缔约国对残疾人行使选举权施加了法律限制</w:t>
      </w:r>
      <w:r>
        <w:rPr>
          <w:rFonts w:hint="eastAsia"/>
        </w:rPr>
        <w:t>(</w:t>
      </w:r>
      <w:r>
        <w:rPr>
          <w:rFonts w:hint="eastAsia"/>
        </w:rPr>
        <w:t>第二条、第十条、第二十五条和第二十六条</w:t>
      </w:r>
      <w:r>
        <w:rPr>
          <w:rFonts w:hint="eastAsia"/>
        </w:rPr>
        <w:t>)</w:t>
      </w:r>
      <w:r>
        <w:rPr>
          <w:rFonts w:hint="eastAsia"/>
        </w:rPr>
        <w:t>。</w:t>
      </w:r>
    </w:p>
    <w:p w:rsidR="00307FC6" w:rsidRPr="00942BBF" w:rsidRDefault="00307FC6" w:rsidP="00307FC6">
      <w:pPr>
        <w:pStyle w:val="SingleTxtGC"/>
        <w:rPr>
          <w:rFonts w:eastAsia="SimHei" w:hint="eastAsia"/>
        </w:rPr>
      </w:pPr>
      <w:r w:rsidRPr="00942BBF">
        <w:rPr>
          <w:rFonts w:eastAsia="SimHei" w:hint="eastAsia"/>
        </w:rPr>
        <w:t>缔约国应废除或修订歧视残疾人的所有立法，即</w:t>
      </w:r>
      <w:r w:rsidRPr="00942BBF">
        <w:rPr>
          <w:rFonts w:eastAsia="SimHei" w:hint="eastAsia"/>
        </w:rPr>
        <w:t>2012</w:t>
      </w:r>
      <w:r w:rsidRPr="00942BBF">
        <w:rPr>
          <w:rFonts w:eastAsia="SimHei" w:hint="eastAsia"/>
        </w:rPr>
        <w:t>年实施的《盲人地位法》修正案和《下肢瘫痪和四肢瘫痪残疾人地位法》修正案。缔约国应修订立法，确保该国不歧视患有精神、智力或社会心理残疾的个人，包括不因不相称的或与选举能力没有客观合理关系的理由而拒绝赋予他们选举权。缔约国任何时候都应确保及时全额发放残疾津贴并制定适当政策，改善残疾人的经济状况。</w:t>
      </w:r>
    </w:p>
    <w:p w:rsidR="00307FC6" w:rsidRDefault="00307FC6" w:rsidP="00307FC6">
      <w:pPr>
        <w:pStyle w:val="SingleTxtGC"/>
        <w:rPr>
          <w:rFonts w:hint="eastAsia"/>
        </w:rPr>
      </w:pPr>
      <w:r>
        <w:rPr>
          <w:rFonts w:hint="eastAsia"/>
        </w:rPr>
        <w:t xml:space="preserve">23.  </w:t>
      </w:r>
      <w:r>
        <w:rPr>
          <w:rFonts w:hint="eastAsia"/>
        </w:rPr>
        <w:t>委员会感到关切的是，虽然缔约国通过了“罗姆人和罗姆人融入社会十年国家战略</w:t>
      </w:r>
      <w:r>
        <w:rPr>
          <w:rFonts w:hint="eastAsia"/>
        </w:rPr>
        <w:t>(2010-2015</w:t>
      </w:r>
      <w:r>
        <w:rPr>
          <w:rFonts w:hint="eastAsia"/>
        </w:rPr>
        <w:t>年</w:t>
      </w:r>
      <w:r>
        <w:rPr>
          <w:rFonts w:hint="eastAsia"/>
        </w:rPr>
        <w:t>)</w:t>
      </w:r>
      <w:r>
        <w:rPr>
          <w:rFonts w:hint="eastAsia"/>
        </w:rPr>
        <w:t>”，罗姆少数群体在获得住房、就业、教育、社会服务和参加政治生活等方面仍面临歧视</w:t>
      </w:r>
      <w:r>
        <w:rPr>
          <w:rFonts w:hint="eastAsia"/>
        </w:rPr>
        <w:t>(</w:t>
      </w:r>
      <w:r>
        <w:rPr>
          <w:rFonts w:hint="eastAsia"/>
        </w:rPr>
        <w:t>第二条、第二十五条、第二十六条和第二十七条</w:t>
      </w:r>
      <w:r>
        <w:rPr>
          <w:rFonts w:hint="eastAsia"/>
        </w:rPr>
        <w:t>)</w:t>
      </w:r>
      <w:r>
        <w:rPr>
          <w:rFonts w:hint="eastAsia"/>
        </w:rPr>
        <w:t>。</w:t>
      </w:r>
    </w:p>
    <w:p w:rsidR="00307FC6" w:rsidRPr="00942BBF" w:rsidRDefault="00307FC6" w:rsidP="00307FC6">
      <w:pPr>
        <w:pStyle w:val="SingleTxtGC"/>
        <w:rPr>
          <w:rFonts w:eastAsia="SimHei" w:hint="eastAsia"/>
        </w:rPr>
      </w:pPr>
      <w:r w:rsidRPr="00942BBF">
        <w:rPr>
          <w:rFonts w:eastAsia="SimHei" w:hint="eastAsia"/>
        </w:rPr>
        <w:t>缔约国应立即采取措施，与监察员、防止歧视事务专员、民间社会组织和罗姆社区进行协商，以：</w:t>
      </w:r>
    </w:p>
    <w:p w:rsidR="00307FC6" w:rsidRPr="00942BBF" w:rsidRDefault="00307FC6" w:rsidP="00B67765">
      <w:pPr>
        <w:pStyle w:val="SingleTxtGC"/>
        <w:numPr>
          <w:ilvl w:val="0"/>
          <w:numId w:val="11"/>
        </w:numPr>
        <w:tabs>
          <w:tab w:val="clear" w:pos="2426"/>
          <w:tab w:val="left" w:pos="2427"/>
        </w:tabs>
        <w:rPr>
          <w:rFonts w:eastAsia="SimHei" w:hint="eastAsia"/>
        </w:rPr>
      </w:pPr>
      <w:r w:rsidRPr="00942BBF">
        <w:rPr>
          <w:rFonts w:eastAsia="SimHei" w:hint="eastAsia"/>
        </w:rPr>
        <w:t>有效落实“罗姆人和罗姆人融入社会十年国家战略</w:t>
      </w:r>
      <w:r w:rsidRPr="00942BBF">
        <w:rPr>
          <w:rFonts w:eastAsia="SimHei" w:hint="eastAsia"/>
        </w:rPr>
        <w:t>(2010-2015</w:t>
      </w:r>
      <w:r w:rsidRPr="00942BBF">
        <w:rPr>
          <w:rFonts w:eastAsia="SimHei" w:hint="eastAsia"/>
        </w:rPr>
        <w:t>年</w:t>
      </w:r>
      <w:r w:rsidRPr="00942BBF">
        <w:rPr>
          <w:rFonts w:eastAsia="SimHei" w:hint="eastAsia"/>
        </w:rPr>
        <w:t>)</w:t>
      </w:r>
      <w:r w:rsidRPr="00942BBF">
        <w:rPr>
          <w:rFonts w:eastAsia="SimHei" w:hint="eastAsia"/>
        </w:rPr>
        <w:t>”，为此划拨适当的专项资源并确保所有与罗姆人相关的方案之间的充分联系；</w:t>
      </w:r>
    </w:p>
    <w:p w:rsidR="00307FC6" w:rsidRPr="00942BBF" w:rsidRDefault="00307FC6" w:rsidP="00B67765">
      <w:pPr>
        <w:pStyle w:val="SingleTxtGC"/>
        <w:numPr>
          <w:ilvl w:val="0"/>
          <w:numId w:val="11"/>
        </w:numPr>
        <w:tabs>
          <w:tab w:val="clear" w:pos="2426"/>
          <w:tab w:val="left" w:pos="2427"/>
        </w:tabs>
        <w:rPr>
          <w:rFonts w:eastAsia="SimHei" w:hint="eastAsia"/>
        </w:rPr>
      </w:pPr>
      <w:r w:rsidRPr="00942BBF">
        <w:rPr>
          <w:rFonts w:eastAsia="SimHei" w:hint="eastAsia"/>
        </w:rPr>
        <w:t>将罗姆社区纳入住房计划，并作为优先事项为</w:t>
      </w:r>
      <w:r w:rsidRPr="00942BBF">
        <w:rPr>
          <w:rFonts w:eastAsia="SimHei" w:hint="eastAsia"/>
        </w:rPr>
        <w:t>2012</w:t>
      </w:r>
      <w:r w:rsidRPr="00942BBF">
        <w:rPr>
          <w:rFonts w:eastAsia="SimHei" w:hint="eastAsia"/>
        </w:rPr>
        <w:t>年被强行逐出家园的罗姆人提供适当的永久住房；</w:t>
      </w:r>
    </w:p>
    <w:p w:rsidR="00307FC6" w:rsidRPr="00942BBF" w:rsidRDefault="00307FC6" w:rsidP="00B67765">
      <w:pPr>
        <w:pStyle w:val="SingleTxtGC"/>
        <w:numPr>
          <w:ilvl w:val="0"/>
          <w:numId w:val="11"/>
        </w:numPr>
        <w:tabs>
          <w:tab w:val="clear" w:pos="2426"/>
          <w:tab w:val="left" w:pos="2427"/>
        </w:tabs>
        <w:rPr>
          <w:rFonts w:eastAsia="SimHei" w:hint="eastAsia"/>
        </w:rPr>
      </w:pPr>
      <w:r w:rsidRPr="00942BBF">
        <w:rPr>
          <w:rFonts w:eastAsia="SimHei" w:hint="eastAsia"/>
        </w:rPr>
        <w:t>执行监察员关于罗姆少数群体的建议，特别是与罗姆儿童的教育有关的建议；</w:t>
      </w:r>
    </w:p>
    <w:p w:rsidR="00307FC6" w:rsidRPr="00942BBF" w:rsidRDefault="00307FC6" w:rsidP="00B67765">
      <w:pPr>
        <w:pStyle w:val="SingleTxtGC"/>
        <w:numPr>
          <w:ilvl w:val="0"/>
          <w:numId w:val="11"/>
        </w:numPr>
        <w:tabs>
          <w:tab w:val="clear" w:pos="2426"/>
          <w:tab w:val="left" w:pos="2427"/>
        </w:tabs>
        <w:rPr>
          <w:rFonts w:eastAsia="SimHei" w:hint="eastAsia"/>
        </w:rPr>
      </w:pPr>
      <w:r w:rsidRPr="00942BBF">
        <w:rPr>
          <w:rFonts w:eastAsia="SimHei" w:hint="eastAsia"/>
        </w:rPr>
        <w:t>避免阻碍罗姆人现有的谋生之道，促进多种就业机会，包括为此加强并扩大公共部门的临时特别措施和职业培训；</w:t>
      </w:r>
    </w:p>
    <w:p w:rsidR="00307FC6" w:rsidRPr="00942BBF" w:rsidRDefault="00307FC6" w:rsidP="00B67765">
      <w:pPr>
        <w:pStyle w:val="SingleTxtGC"/>
        <w:numPr>
          <w:ilvl w:val="0"/>
          <w:numId w:val="11"/>
        </w:numPr>
        <w:tabs>
          <w:tab w:val="clear" w:pos="2426"/>
          <w:tab w:val="left" w:pos="2427"/>
        </w:tabs>
        <w:rPr>
          <w:rFonts w:eastAsia="SimHei" w:hint="eastAsia"/>
        </w:rPr>
      </w:pPr>
      <w:r w:rsidRPr="00942BBF">
        <w:rPr>
          <w:rFonts w:eastAsia="SimHei" w:hint="eastAsia"/>
        </w:rPr>
        <w:t>确保所有罗姆人均持有身份证，以为他们行使选举权提供便利。</w:t>
      </w:r>
    </w:p>
    <w:p w:rsidR="00307FC6" w:rsidRDefault="00307FC6" w:rsidP="00307FC6">
      <w:pPr>
        <w:pStyle w:val="SingleTxtGC"/>
        <w:rPr>
          <w:rFonts w:hint="eastAsia"/>
        </w:rPr>
      </w:pPr>
      <w:r>
        <w:rPr>
          <w:rFonts w:hint="eastAsia"/>
        </w:rPr>
        <w:t xml:space="preserve">24.  </w:t>
      </w:r>
      <w:r>
        <w:rPr>
          <w:rFonts w:hint="eastAsia"/>
        </w:rPr>
        <w:t>缔约国应广泛宣传《公约》、《公约》的两项任择议定书、第二次定期报告的案文、它对委员会起草的问题清单所作的书面答复以及本结论性意见，以便提高司法、立法和行政主管机构、民间社会和在该国运作的非政府组织以及公众的认识。委员会还建议将该报告和结论性意见翻译成缔约国的官方语文。委员会还请缔约国在编写其第三次定期报告时广泛地征求民间社会和非政府组织的意见。</w:t>
      </w:r>
    </w:p>
    <w:p w:rsidR="00307FC6" w:rsidRDefault="00307FC6" w:rsidP="00307FC6">
      <w:pPr>
        <w:pStyle w:val="SingleTxtGC"/>
        <w:rPr>
          <w:rFonts w:hint="eastAsia"/>
        </w:rPr>
      </w:pPr>
      <w:r>
        <w:rPr>
          <w:rFonts w:hint="eastAsia"/>
        </w:rPr>
        <w:t xml:space="preserve">25.  </w:t>
      </w:r>
      <w:r>
        <w:rPr>
          <w:rFonts w:hint="eastAsia"/>
        </w:rPr>
        <w:t>按照委员会议事规则第</w:t>
      </w:r>
      <w:r>
        <w:rPr>
          <w:rFonts w:hint="eastAsia"/>
        </w:rPr>
        <w:t>71</w:t>
      </w:r>
      <w:r>
        <w:rPr>
          <w:rFonts w:hint="eastAsia"/>
        </w:rPr>
        <w:t>条第</w:t>
      </w:r>
      <w:r>
        <w:rPr>
          <w:rFonts w:hint="eastAsia"/>
        </w:rPr>
        <w:t>5</w:t>
      </w:r>
      <w:r>
        <w:rPr>
          <w:rFonts w:hint="eastAsia"/>
        </w:rPr>
        <w:t>款，缔约国应在一年内提供有关资料，说明委员会在以上第</w:t>
      </w:r>
      <w:r>
        <w:rPr>
          <w:rFonts w:hint="eastAsia"/>
        </w:rPr>
        <w:t>9</w:t>
      </w:r>
      <w:r>
        <w:rPr>
          <w:rFonts w:hint="eastAsia"/>
        </w:rPr>
        <w:t>和第</w:t>
      </w:r>
      <w:r>
        <w:rPr>
          <w:rFonts w:hint="eastAsia"/>
        </w:rPr>
        <w:t>13</w:t>
      </w:r>
      <w:r>
        <w:rPr>
          <w:rFonts w:hint="eastAsia"/>
        </w:rPr>
        <w:t>段中提出的建议的落实情况。</w:t>
      </w:r>
    </w:p>
    <w:p w:rsidR="00307FC6" w:rsidRDefault="00307FC6" w:rsidP="00307FC6">
      <w:pPr>
        <w:pStyle w:val="SingleTxtGC"/>
        <w:rPr>
          <w:rFonts w:hint="eastAsia"/>
        </w:rPr>
      </w:pPr>
      <w:r>
        <w:rPr>
          <w:rFonts w:hint="eastAsia"/>
        </w:rPr>
        <w:t xml:space="preserve">26.  </w:t>
      </w:r>
      <w:r>
        <w:rPr>
          <w:rFonts w:hint="eastAsia"/>
        </w:rPr>
        <w:t>委员会请缔约国在应于</w:t>
      </w:r>
      <w:r>
        <w:rPr>
          <w:rFonts w:hint="eastAsia"/>
        </w:rPr>
        <w:t>2018</w:t>
      </w:r>
      <w:r>
        <w:rPr>
          <w:rFonts w:hint="eastAsia"/>
        </w:rPr>
        <w:t>年</w:t>
      </w:r>
      <w:r>
        <w:rPr>
          <w:rFonts w:hint="eastAsia"/>
        </w:rPr>
        <w:t>7</w:t>
      </w:r>
      <w:r>
        <w:rPr>
          <w:rFonts w:hint="eastAsia"/>
        </w:rPr>
        <w:t>月</w:t>
      </w:r>
      <w:r>
        <w:rPr>
          <w:rFonts w:hint="eastAsia"/>
        </w:rPr>
        <w:t>26</w:t>
      </w:r>
      <w:r>
        <w:rPr>
          <w:rFonts w:hint="eastAsia"/>
        </w:rPr>
        <w:t>日提交的其下一次定期报告中就委员会的所有建议以及整个《公约》提供最新的具体资料。</w:t>
      </w:r>
    </w:p>
    <w:p w:rsidR="00D15CBD" w:rsidRPr="00307FC6" w:rsidRDefault="00D15CBD" w:rsidP="00307FC6">
      <w:pPr>
        <w:pStyle w:val="SingleTxtGC"/>
        <w:rPr>
          <w:rFonts w:hint="eastAsia"/>
        </w:rPr>
      </w:pPr>
    </w:p>
    <w:p w:rsidR="00D94D5E" w:rsidRPr="002D6A9C" w:rsidRDefault="00D94D5E">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877885" w:rsidRDefault="00877885" w:rsidP="00877885">
      <w:pPr>
        <w:pStyle w:val="SingleTxtGC"/>
      </w:pPr>
    </w:p>
    <w:sectPr w:rsidR="00877885">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227DC" w:rsidRPr="000F217F" w:rsidRDefault="00D227DC" w:rsidP="000F217F">
      <w:pPr>
        <w:pStyle w:val="Footer"/>
        <w:spacing w:after="240"/>
        <w:ind w:left="907"/>
        <w:rPr>
          <w:rFonts w:eastAsia="KaiTi_GB2312" w:hint="eastAsia"/>
          <w:sz w:val="21"/>
          <w:szCs w:val="21"/>
          <w:lang w:val="fr-CH" w:eastAsia="zh-CN"/>
        </w:rPr>
      </w:pPr>
      <w:r>
        <w:rPr>
          <w:rFonts w:eastAsia="KaiTi_GB2312" w:hint="eastAsia"/>
          <w:sz w:val="21"/>
          <w:szCs w:val="21"/>
          <w:lang w:val="fr-CH" w:eastAsia="zh-CN"/>
        </w:rPr>
        <w:t>注</w:t>
      </w:r>
    </w:p>
  </w:endnote>
  <w:endnote w:type="continuationSeparator" w:id="0">
    <w:p w:rsidR="00D227DC" w:rsidRPr="000F217F" w:rsidRDefault="00D227DC" w:rsidP="000F217F">
      <w:pPr>
        <w:pStyle w:val="Foote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27DC" w:rsidRPr="00F33963" w:rsidRDefault="00D227DC" w:rsidP="00E52100">
    <w:pPr>
      <w:pStyle w:val="Footer"/>
      <w:tabs>
        <w:tab w:val="clear" w:pos="431"/>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r>
      <w:rPr>
        <w:rStyle w:val="PageNumber"/>
        <w:rFonts w:eastAsia="SimSun" w:hint="eastAsia"/>
        <w:lang w:eastAsia="zh-CN"/>
      </w:rPr>
      <w:tab/>
    </w:r>
    <w:r w:rsidRPr="00F33963">
      <w:rPr>
        <w:rFonts w:eastAsia="SimSun"/>
      </w:rPr>
      <w:t>GE.13-46297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27DC" w:rsidRDefault="00D227DC">
    <w:pPr>
      <w:pStyle w:val="Footer"/>
      <w:tabs>
        <w:tab w:val="right" w:pos="9639"/>
      </w:tabs>
    </w:pPr>
    <w:r w:rsidRPr="00F33963">
      <w:rPr>
        <w:rFonts w:eastAsia="SimSun"/>
      </w:rPr>
      <w:t>GE.13-46297</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27DC" w:rsidRPr="00FC23DC" w:rsidRDefault="00D227DC" w:rsidP="00FC23DC">
    <w:pPr>
      <w:pStyle w:val="Footer"/>
      <w:tabs>
        <w:tab w:val="left" w:pos="1701"/>
        <w:tab w:val="left" w:pos="2552"/>
        <w:tab w:val="left" w:pos="8448"/>
      </w:tabs>
      <w:rPr>
        <w:rFonts w:eastAsia="SimSun" w:hint="eastAsia"/>
        <w:b/>
        <w:sz w:val="21"/>
        <w:lang w:eastAsia="zh-CN"/>
      </w:rPr>
    </w:pPr>
    <w:r>
      <w:rPr>
        <w:rFonts w:eastAsia="SimSun"/>
        <w:sz w:val="20"/>
        <w:lang w:eastAsia="zh-CN"/>
      </w:rPr>
      <w:t>GE.</w:t>
    </w:r>
    <w:r>
      <w:rPr>
        <w:rFonts w:eastAsia="SimSun" w:hint="eastAsia"/>
        <w:sz w:val="20"/>
        <w:lang w:eastAsia="zh-CN"/>
      </w:rPr>
      <w:t>13</w:t>
    </w:r>
    <w:r w:rsidRPr="00EE277A">
      <w:rPr>
        <w:rFonts w:eastAsia="SimSun"/>
        <w:sz w:val="20"/>
        <w:lang w:eastAsia="zh-CN"/>
      </w:rPr>
      <w:t>-</w:t>
    </w:r>
    <w:r>
      <w:rPr>
        <w:rFonts w:eastAsia="SimSun" w:hint="eastAsia"/>
        <w:sz w:val="20"/>
        <w:lang w:eastAsia="zh-CN"/>
      </w:rPr>
      <w:t>46297</w:t>
    </w:r>
    <w:r w:rsidRPr="00EE277A">
      <w:rPr>
        <w:rFonts w:eastAsia="SimSun"/>
        <w:sz w:val="20"/>
        <w:lang w:eastAsia="zh-CN"/>
      </w:rPr>
      <w:t xml:space="preserve"> (C)</w:t>
    </w:r>
    <w:r>
      <w:rPr>
        <w:rFonts w:eastAsia="SimSun"/>
        <w:sz w:val="20"/>
        <w:lang w:eastAsia="zh-CN"/>
      </w:rPr>
      <w:tab/>
    </w:r>
    <w:r>
      <w:rPr>
        <w:rFonts w:eastAsia="SimSun" w:hint="eastAsia"/>
        <w:sz w:val="20"/>
        <w:lang w:eastAsia="zh-CN"/>
      </w:rPr>
      <w:t>240913</w:t>
    </w:r>
    <w:r>
      <w:rPr>
        <w:rFonts w:eastAsia="SimSun"/>
        <w:sz w:val="20"/>
        <w:lang w:eastAsia="zh-CN"/>
      </w:rPr>
      <w:tab/>
    </w:r>
    <w:r>
      <w:rPr>
        <w:rFonts w:eastAsia="SimSun" w:hint="eastAsia"/>
        <w:sz w:val="20"/>
        <w:lang w:eastAsia="zh-CN"/>
      </w:rPr>
      <w:t>250913</w:t>
    </w:r>
    <w:r>
      <w:rPr>
        <w:rFonts w:eastAsia="SimSun" w:hint="eastAsia"/>
        <w:b/>
        <w:sz w:val="21"/>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227DC" w:rsidRPr="00052154" w:rsidRDefault="00D227DC" w:rsidP="0005215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D227DC" w:rsidRPr="00052154" w:rsidRDefault="00D227DC" w:rsidP="0005215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D227DC" w:rsidRPr="0030010F" w:rsidRDefault="00D227DC" w:rsidP="00F33963">
      <w:pPr>
        <w:pStyle w:val="FootnoteText"/>
      </w:pPr>
      <w:r>
        <w:rPr>
          <w:rFonts w:hint="eastAsia"/>
        </w:rPr>
        <w:tab/>
      </w:r>
      <w:r w:rsidRPr="0030010F">
        <w:rPr>
          <w:rStyle w:val="FootnoteReference"/>
          <w:vertAlign w:val="baseline"/>
        </w:rPr>
        <w:t>*</w:t>
      </w:r>
      <w:r w:rsidRPr="0030010F">
        <w:rPr>
          <w:rFonts w:hint="eastAsia"/>
        </w:rPr>
        <w:tab/>
      </w:r>
      <w:r w:rsidRPr="0030010F">
        <w:rPr>
          <w:rFonts w:hint="eastAsia"/>
        </w:rPr>
        <w:t>通过于委员会第</w:t>
      </w:r>
      <w:r>
        <w:rPr>
          <w:rFonts w:hint="eastAsia"/>
        </w:rPr>
        <w:t>一</w:t>
      </w:r>
      <w:r>
        <w:rPr>
          <w:rFonts w:ascii="SimSun" w:hAnsi="SimSun" w:hint="eastAsia"/>
        </w:rPr>
        <w:t>〇</w:t>
      </w:r>
      <w:r>
        <w:rPr>
          <w:rFonts w:hint="eastAsia"/>
        </w:rPr>
        <w:t>八届会议</w:t>
      </w:r>
      <w:r>
        <w:rPr>
          <w:rFonts w:hint="eastAsia"/>
        </w:rPr>
        <w:t>(</w:t>
      </w:r>
      <w:r w:rsidRPr="0030010F">
        <w:rPr>
          <w:rFonts w:hint="eastAsia"/>
        </w:rPr>
        <w:t>2013</w:t>
      </w:r>
      <w:r w:rsidRPr="0030010F">
        <w:rPr>
          <w:rFonts w:hint="eastAsia"/>
        </w:rPr>
        <w:t>年</w:t>
      </w:r>
      <w:r w:rsidRPr="0030010F">
        <w:rPr>
          <w:rFonts w:hint="eastAsia"/>
        </w:rPr>
        <w:t>7</w:t>
      </w:r>
      <w:r w:rsidRPr="0030010F">
        <w:rPr>
          <w:rFonts w:hint="eastAsia"/>
        </w:rPr>
        <w:t>月</w:t>
      </w:r>
      <w:r>
        <w:rPr>
          <w:rFonts w:hint="eastAsia"/>
        </w:rPr>
        <w:t>8</w:t>
      </w:r>
      <w:r>
        <w:rPr>
          <w:rFonts w:hint="eastAsia"/>
        </w:rPr>
        <w:t>日至</w:t>
      </w:r>
      <w:r w:rsidRPr="0030010F">
        <w:rPr>
          <w:rFonts w:hint="eastAsia"/>
        </w:rPr>
        <w:t>26</w:t>
      </w:r>
      <w:r w:rsidRPr="0030010F">
        <w:rPr>
          <w:rFonts w:hint="eastAsia"/>
        </w:rPr>
        <w:t>日</w:t>
      </w:r>
      <w:r>
        <w:rPr>
          <w:rFonts w:hint="eastAsia"/>
        </w:rPr>
        <w:t>)</w:t>
      </w:r>
      <w:r w:rsidRPr="0030010F">
        <w:rPr>
          <w:rFonts w:hint="eastAsia"/>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27DC" w:rsidRPr="00F33963" w:rsidRDefault="00D227DC">
    <w:pPr>
      <w:pStyle w:val="Header"/>
    </w:pPr>
    <w:r w:rsidRPr="00F33963">
      <w:t>CCPR/C/ALB/CO/2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27DC" w:rsidRPr="00F33963" w:rsidRDefault="00D227DC">
    <w:pPr>
      <w:pStyle w:val="Header"/>
      <w:jc w:val="right"/>
    </w:pPr>
    <w:r w:rsidRPr="00F33963">
      <w:t>CCPR/C/ALB/CO/2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B91D09"/>
    <w:multiLevelType w:val="hybridMultilevel"/>
    <w:tmpl w:val="45D43A08"/>
    <w:lvl w:ilvl="0" w:tplc="0F103302">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8E57801"/>
    <w:multiLevelType w:val="hybridMultilevel"/>
    <w:tmpl w:val="2C9E19E2"/>
    <w:lvl w:ilvl="0" w:tplc="0F103302">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FA30F62"/>
    <w:multiLevelType w:val="hybridMultilevel"/>
    <w:tmpl w:val="C2F49DF4"/>
    <w:lvl w:ilvl="0" w:tplc="0F103302">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nsid w:val="2B7619AA"/>
    <w:multiLevelType w:val="hybridMultilevel"/>
    <w:tmpl w:val="9044F466"/>
    <w:lvl w:ilvl="0" w:tplc="0F103302">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572E4FE3"/>
    <w:multiLevelType w:val="hybridMultilevel"/>
    <w:tmpl w:val="FDFEA838"/>
    <w:lvl w:ilvl="0" w:tplc="0F103302">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59600A09"/>
    <w:multiLevelType w:val="hybridMultilevel"/>
    <w:tmpl w:val="45288668"/>
    <w:lvl w:ilvl="0" w:tplc="0F103302">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
    <w:nsid w:val="6C361A2A"/>
    <w:multiLevelType w:val="hybridMultilevel"/>
    <w:tmpl w:val="CE44B896"/>
    <w:lvl w:ilvl="0" w:tplc="0F103302">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70460354"/>
    <w:multiLevelType w:val="hybridMultilevel"/>
    <w:tmpl w:val="9B94F6AC"/>
    <w:lvl w:ilvl="0" w:tplc="0F103302">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3"/>
  </w:num>
  <w:num w:numId="2">
    <w:abstractNumId w:val="8"/>
  </w:num>
  <w:num w:numId="3">
    <w:abstractNumId w:val="4"/>
  </w:num>
  <w:num w:numId="4">
    <w:abstractNumId w:val="10"/>
  </w:num>
  <w:num w:numId="5">
    <w:abstractNumId w:val="1"/>
  </w:num>
  <w:num w:numId="6">
    <w:abstractNumId w:val="2"/>
  </w:num>
  <w:num w:numId="7">
    <w:abstractNumId w:val="6"/>
  </w:num>
  <w:num w:numId="8">
    <w:abstractNumId w:val="0"/>
  </w:num>
  <w:num w:numId="9">
    <w:abstractNumId w:val="7"/>
  </w:num>
  <w:num w:numId="10">
    <w:abstractNumId w:val="9"/>
  </w:num>
  <w:num w:numId="11">
    <w:abstractNumId w:val="5"/>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07FC6"/>
    <w:rsid w:val="00032851"/>
    <w:rsid w:val="00051474"/>
    <w:rsid w:val="00052154"/>
    <w:rsid w:val="00056B0A"/>
    <w:rsid w:val="000848DB"/>
    <w:rsid w:val="00086AFE"/>
    <w:rsid w:val="000B73DB"/>
    <w:rsid w:val="000F217F"/>
    <w:rsid w:val="001039BC"/>
    <w:rsid w:val="0014292A"/>
    <w:rsid w:val="00161576"/>
    <w:rsid w:val="001909BF"/>
    <w:rsid w:val="001A7516"/>
    <w:rsid w:val="001B41B9"/>
    <w:rsid w:val="001F04F8"/>
    <w:rsid w:val="002250D3"/>
    <w:rsid w:val="0023199F"/>
    <w:rsid w:val="0023313F"/>
    <w:rsid w:val="00242C16"/>
    <w:rsid w:val="002547C8"/>
    <w:rsid w:val="002918A1"/>
    <w:rsid w:val="002C2513"/>
    <w:rsid w:val="002C618C"/>
    <w:rsid w:val="002D3D9F"/>
    <w:rsid w:val="0030010F"/>
    <w:rsid w:val="00307FC6"/>
    <w:rsid w:val="0038024C"/>
    <w:rsid w:val="003B09E6"/>
    <w:rsid w:val="003C2453"/>
    <w:rsid w:val="003C6A6A"/>
    <w:rsid w:val="003D1840"/>
    <w:rsid w:val="003F3E54"/>
    <w:rsid w:val="003F67C5"/>
    <w:rsid w:val="00463CF0"/>
    <w:rsid w:val="004841B8"/>
    <w:rsid w:val="00497733"/>
    <w:rsid w:val="004A27CA"/>
    <w:rsid w:val="004D1555"/>
    <w:rsid w:val="004E0BB3"/>
    <w:rsid w:val="004F49CC"/>
    <w:rsid w:val="004F794C"/>
    <w:rsid w:val="005054E6"/>
    <w:rsid w:val="00520B34"/>
    <w:rsid w:val="00524A79"/>
    <w:rsid w:val="005252B4"/>
    <w:rsid w:val="00536D18"/>
    <w:rsid w:val="00547485"/>
    <w:rsid w:val="005539DA"/>
    <w:rsid w:val="00553C07"/>
    <w:rsid w:val="005714D8"/>
    <w:rsid w:val="0058028F"/>
    <w:rsid w:val="00583259"/>
    <w:rsid w:val="005848A2"/>
    <w:rsid w:val="0059200A"/>
    <w:rsid w:val="005A1158"/>
    <w:rsid w:val="005B215B"/>
    <w:rsid w:val="005C1316"/>
    <w:rsid w:val="005C425C"/>
    <w:rsid w:val="005F24E4"/>
    <w:rsid w:val="0061164F"/>
    <w:rsid w:val="00630134"/>
    <w:rsid w:val="006425A2"/>
    <w:rsid w:val="0064450E"/>
    <w:rsid w:val="0065322F"/>
    <w:rsid w:val="00654852"/>
    <w:rsid w:val="006708D2"/>
    <w:rsid w:val="00671AA3"/>
    <w:rsid w:val="0068106B"/>
    <w:rsid w:val="006A719B"/>
    <w:rsid w:val="006B33D0"/>
    <w:rsid w:val="006B6E2A"/>
    <w:rsid w:val="006D3DFA"/>
    <w:rsid w:val="006D537E"/>
    <w:rsid w:val="007022E6"/>
    <w:rsid w:val="00721ADC"/>
    <w:rsid w:val="007337FF"/>
    <w:rsid w:val="00737B57"/>
    <w:rsid w:val="00744923"/>
    <w:rsid w:val="007802C5"/>
    <w:rsid w:val="007B5B8A"/>
    <w:rsid w:val="007E1E0A"/>
    <w:rsid w:val="007F57CE"/>
    <w:rsid w:val="0082020C"/>
    <w:rsid w:val="008351FB"/>
    <w:rsid w:val="00840AD2"/>
    <w:rsid w:val="0086574C"/>
    <w:rsid w:val="00867AE0"/>
    <w:rsid w:val="00877885"/>
    <w:rsid w:val="008A29C7"/>
    <w:rsid w:val="008A2C66"/>
    <w:rsid w:val="008B7C42"/>
    <w:rsid w:val="008D08D4"/>
    <w:rsid w:val="008F1659"/>
    <w:rsid w:val="008F2A5F"/>
    <w:rsid w:val="00902307"/>
    <w:rsid w:val="00924464"/>
    <w:rsid w:val="00935148"/>
    <w:rsid w:val="009353BD"/>
    <w:rsid w:val="00942BBF"/>
    <w:rsid w:val="00964A61"/>
    <w:rsid w:val="00983FE7"/>
    <w:rsid w:val="00997F66"/>
    <w:rsid w:val="009F0DDD"/>
    <w:rsid w:val="00A02B21"/>
    <w:rsid w:val="00A13418"/>
    <w:rsid w:val="00A138E4"/>
    <w:rsid w:val="00A3593C"/>
    <w:rsid w:val="00A37913"/>
    <w:rsid w:val="00A41141"/>
    <w:rsid w:val="00A50BDC"/>
    <w:rsid w:val="00A53684"/>
    <w:rsid w:val="00A956E4"/>
    <w:rsid w:val="00AC0B2D"/>
    <w:rsid w:val="00AC56DE"/>
    <w:rsid w:val="00AE6BDB"/>
    <w:rsid w:val="00AF26E4"/>
    <w:rsid w:val="00B67765"/>
    <w:rsid w:val="00B75594"/>
    <w:rsid w:val="00C1716A"/>
    <w:rsid w:val="00C21A92"/>
    <w:rsid w:val="00C40431"/>
    <w:rsid w:val="00C51697"/>
    <w:rsid w:val="00C63BBD"/>
    <w:rsid w:val="00C93524"/>
    <w:rsid w:val="00CD2B51"/>
    <w:rsid w:val="00CD757E"/>
    <w:rsid w:val="00D012B2"/>
    <w:rsid w:val="00D01D93"/>
    <w:rsid w:val="00D129A7"/>
    <w:rsid w:val="00D159B2"/>
    <w:rsid w:val="00D15CBD"/>
    <w:rsid w:val="00D227DC"/>
    <w:rsid w:val="00D26C70"/>
    <w:rsid w:val="00D3329D"/>
    <w:rsid w:val="00D37022"/>
    <w:rsid w:val="00D563C9"/>
    <w:rsid w:val="00D7111C"/>
    <w:rsid w:val="00D73055"/>
    <w:rsid w:val="00D94C4B"/>
    <w:rsid w:val="00D94D5E"/>
    <w:rsid w:val="00DD5096"/>
    <w:rsid w:val="00DF163C"/>
    <w:rsid w:val="00DF6465"/>
    <w:rsid w:val="00E04759"/>
    <w:rsid w:val="00E52100"/>
    <w:rsid w:val="00E84B4A"/>
    <w:rsid w:val="00E9545F"/>
    <w:rsid w:val="00E9599A"/>
    <w:rsid w:val="00E97B28"/>
    <w:rsid w:val="00EA55AB"/>
    <w:rsid w:val="00EB791E"/>
    <w:rsid w:val="00EC1754"/>
    <w:rsid w:val="00ED4038"/>
    <w:rsid w:val="00F01AE0"/>
    <w:rsid w:val="00F039D0"/>
    <w:rsid w:val="00F174AF"/>
    <w:rsid w:val="00F21548"/>
    <w:rsid w:val="00F22540"/>
    <w:rsid w:val="00F32849"/>
    <w:rsid w:val="00F33963"/>
    <w:rsid w:val="00F4532B"/>
    <w:rsid w:val="00F64F15"/>
    <w:rsid w:val="00F82225"/>
    <w:rsid w:val="00F82A7C"/>
    <w:rsid w:val="00F91E32"/>
    <w:rsid w:val="00FC23DC"/>
    <w:rsid w:val="00FD51D4"/>
    <w:rsid w:val="00FE63AD"/>
    <w:rsid w:val="00FE6EA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1659"/>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0F217F"/>
    <w:pPr>
      <w:numPr>
        <w:numId w:val="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rsid w:val="00536D18"/>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FE6EA5"/>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520B34"/>
    <w:pPr>
      <w:ind w:left="1565"/>
    </w:pPr>
  </w:style>
  <w:style w:type="paragraph" w:customStyle="1" w:styleId="a0">
    <w:name w:val="表中标题"/>
    <w:basedOn w:val="SingleTxtGC"/>
    <w:rsid w:val="00D563C9"/>
    <w:pPr>
      <w:spacing w:before="80" w:after="80" w:line="200" w:lineRule="exact"/>
      <w:ind w:left="0" w:right="113"/>
    </w:pPr>
    <w:rPr>
      <w:rFonts w:eastAsia="KaiTi_GB2312"/>
      <w:sz w:val="18"/>
    </w:rPr>
  </w:style>
  <w:style w:type="paragraph" w:customStyle="1" w:styleId="a1">
    <w:name w:val="目录段页次"/>
    <w:basedOn w:val="Normal"/>
    <w:rsid w:val="00FD51D4"/>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D51D4"/>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0F217F"/>
    <w:pPr>
      <w:tabs>
        <w:tab w:val="right" w:pos="1021"/>
      </w:tabs>
    </w:pPr>
  </w:style>
  <w:style w:type="character" w:styleId="EndnoteReference">
    <w:name w:val="endnote reference"/>
    <w:basedOn w:val="FootnoteReference"/>
    <w:rsid w:val="00FE6EA5"/>
  </w:style>
  <w:style w:type="paragraph" w:styleId="Footer">
    <w:name w:val="footer"/>
    <w:basedOn w:val="Normal"/>
    <w:rsid w:val="008F1659"/>
    <w:pPr>
      <w:spacing w:line="240" w:lineRule="auto"/>
    </w:pPr>
    <w:rPr>
      <w:rFonts w:eastAsia="Times New Roman"/>
      <w:sz w:val="16"/>
      <w:lang w:val="en-GB" w:eastAsia="en-US"/>
    </w:rPr>
  </w:style>
  <w:style w:type="character" w:styleId="PageNumber">
    <w:name w:val="page number"/>
    <w:basedOn w:val="DefaultParagraphFont"/>
    <w:rsid w:val="008F1659"/>
    <w:rPr>
      <w:rFonts w:ascii="Times New Roman" w:hAnsi="Times New Roman"/>
      <w:b/>
      <w:spacing w:val="0"/>
      <w:kern w:val="0"/>
      <w:sz w:val="18"/>
    </w:rPr>
  </w:style>
  <w:style w:type="paragraph" w:styleId="Header">
    <w:name w:val="header"/>
    <w:basedOn w:val="Normal"/>
    <w:rsid w:val="008F1659"/>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8F1659"/>
    <w:pPr>
      <w:numPr>
        <w:numId w:val="1"/>
      </w:numPr>
      <w:spacing w:after="120"/>
      <w:ind w:right="1134"/>
    </w:pPr>
  </w:style>
  <w:style w:type="paragraph" w:customStyle="1" w:styleId="Bullet2GC">
    <w:name w:val="_Bullet 2_GC"/>
    <w:basedOn w:val="Normal"/>
    <w:rsid w:val="000F217F"/>
    <w:pPr>
      <w:numPr>
        <w:numId w:val="2"/>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58028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8028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8028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8028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8028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8028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8A29C7"/>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37913"/>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37913"/>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37913"/>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37913"/>
    <w:pPr>
      <w:keepNext/>
      <w:keepLines/>
      <w:spacing w:before="240" w:after="240" w:line="420" w:lineRule="exact"/>
      <w:ind w:left="1134" w:right="1134"/>
      <w:jc w:val="left"/>
    </w:pPr>
    <w:rPr>
      <w:rFonts w:eastAsia="SimHei"/>
      <w:sz w:val="40"/>
    </w:rPr>
  </w:style>
  <w:style w:type="paragraph" w:customStyle="1" w:styleId="a3">
    <w:name w:val="悬挂"/>
    <w:basedOn w:val="SingleTxtGC"/>
    <w:rsid w:val="007B5B8A"/>
    <w:pPr>
      <w:ind w:left="1565" w:hanging="431"/>
    </w:pPr>
  </w:style>
  <w:style w:type="paragraph" w:customStyle="1" w:styleId="a4">
    <w:name w:val="表中文字"/>
    <w:basedOn w:val="SingleTxtGC"/>
    <w:rsid w:val="00654852"/>
    <w:pPr>
      <w:spacing w:before="40" w:line="240" w:lineRule="atLeast"/>
      <w:ind w:left="0" w:right="113"/>
    </w:pPr>
    <w:rPr>
      <w:sz w:val="18"/>
    </w:rPr>
  </w:style>
  <w:style w:type="paragraph" w:customStyle="1" w:styleId="a5">
    <w:name w:val="表数文字"/>
    <w:basedOn w:val="SingleTxtGC"/>
    <w:rsid w:val="0082020C"/>
    <w:pPr>
      <w:spacing w:before="40" w:after="40" w:line="240" w:lineRule="atLeast"/>
      <w:ind w:left="0" w:right="113"/>
    </w:pPr>
    <w:rPr>
      <w:sz w:val="18"/>
    </w:rPr>
  </w:style>
  <w:style w:type="table" w:styleId="TableGrid">
    <w:name w:val="Table Grid"/>
    <w:basedOn w:val="TableNormal"/>
    <w:semiHidden/>
    <w:rsid w:val="00D15CB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ingleTxtGCChar">
    <w:name w:val="_ Single Txt_GC Char"/>
    <w:basedOn w:val="DefaultParagraphFont"/>
    <w:link w:val="SingleTxtGC"/>
    <w:locked/>
    <w:rsid w:val="005F24E4"/>
    <w:rPr>
      <w:rFonts w:eastAsia="SimSun"/>
      <w:snapToGrid w:val="0"/>
      <w:sz w:val="21"/>
      <w:lang w:val="en-US" w:eastAsia="zh-CN" w:bidi="ar-SA"/>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24847;&#3526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CCPR-意见</Template>
  <TotalTime>0</TotalTime>
  <Pages>7</Pages>
  <Words>3073</Words>
  <Characters>3259</Characters>
  <Application>Microsoft Office Outlook</Application>
  <DocSecurity>4</DocSecurity>
  <Lines>120</Lines>
  <Paragraphs>87</Paragraphs>
  <ScaleCrop>false</ScaleCrop>
  <Company>CSD</Company>
  <LinksUpToDate>false</LinksUpToDate>
  <CharactersWithSpaces>6245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Ji</dc:creator>
  <cp:keywords/>
  <dc:description/>
  <cp:lastModifiedBy>Si</cp:lastModifiedBy>
  <cp:revision>2</cp:revision>
  <cp:lastPrinted>2013-09-25T08:51:00Z</cp:lastPrinted>
  <dcterms:created xsi:type="dcterms:W3CDTF">2013-09-25T12:00:00Z</dcterms:created>
  <dcterms:modified xsi:type="dcterms:W3CDTF">2013-09-25T12:00:00Z</dcterms:modified>
</cp:coreProperties>
</file>