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B9D" w:rsidRDefault="00020BA5">
      <w:pPr>
        <w:spacing w:line="240" w:lineRule="auto"/>
        <w:rPr>
          <w:sz w:val="6"/>
        </w:rPr>
      </w:pPr>
      <w:commentRangeStart w:id="0"/>
      <w:r>
        <w:rPr>
          <w:rStyle w:val="CommentReference"/>
          <w:vanish/>
        </w:rPr>
        <w:commentReference w:id="1"/>
      </w:r>
      <w:commentRangeEnd w:id="0"/>
      <w:r w:rsidR="00790B9D">
        <w:rPr>
          <w:rStyle w:val="CommentReference"/>
        </w:rPr>
        <w:commentReference w:id="0"/>
      </w:r>
    </w:p>
    <w:p w:rsidR="00020BA5" w:rsidRPr="00790B9D" w:rsidRDefault="00020BA5" w:rsidP="00790B9D">
      <w:pPr>
        <w:spacing w:line="20" w:lineRule="exact"/>
        <w:rPr>
          <w:sz w:val="2"/>
        </w:rPr>
        <w:sectPr w:rsidR="00020BA5" w:rsidRPr="00790B9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020BA5" w:rsidRDefault="00020BA5">
      <w:pPr>
        <w:pStyle w:val="H1"/>
      </w:pPr>
      <w:r>
        <w:t>Comité para la Eliminación de la Discriminación</w:t>
      </w:r>
      <w:r>
        <w:br/>
        <w:t>contra la Mujer</w:t>
      </w:r>
    </w:p>
    <w:p w:rsidR="00020BA5" w:rsidRDefault="00020BA5">
      <w:pPr>
        <w:pStyle w:val="H23"/>
      </w:pPr>
      <w:r>
        <w:t>23° período de sesiones</w:t>
      </w:r>
    </w:p>
    <w:p w:rsidR="00020BA5" w:rsidRDefault="00020BA5">
      <w:pPr>
        <w:spacing w:line="240" w:lineRule="auto"/>
        <w:rPr>
          <w:sz w:val="12"/>
        </w:rPr>
      </w:pPr>
    </w:p>
    <w:p w:rsidR="00020BA5" w:rsidRDefault="00020BA5">
      <w:pPr>
        <w:pStyle w:val="H23"/>
      </w:pPr>
      <w:r>
        <w:t>Acta resumida de la 477ª sesión</w:t>
      </w:r>
    </w:p>
    <w:p w:rsidR="00020BA5" w:rsidRDefault="00020BA5">
      <w:r>
        <w:t xml:space="preserve">Celebrada en la Sede, Nueva York, el </w:t>
      </w:r>
      <w:r>
        <w:rPr>
          <w:lang w:val="es-ES_tradnl"/>
        </w:rPr>
        <w:t>martes 20 de junio de 2000, a las 15.00 horas</w:t>
      </w:r>
    </w:p>
    <w:p w:rsidR="00020BA5" w:rsidRDefault="00020BA5">
      <w:pPr>
        <w:spacing w:line="120" w:lineRule="exact"/>
        <w:rPr>
          <w:sz w:val="10"/>
        </w:rPr>
      </w:pPr>
    </w:p>
    <w:p w:rsidR="00020BA5" w:rsidRDefault="00020BA5">
      <w:pPr>
        <w:tabs>
          <w:tab w:val="right" w:pos="950"/>
          <w:tab w:val="left" w:pos="1267"/>
          <w:tab w:val="right" w:leader="dot" w:pos="8568"/>
        </w:tabs>
        <w:ind w:right="1267"/>
      </w:pPr>
      <w:r>
        <w:rPr>
          <w:i/>
        </w:rPr>
        <w:t>Presidenta:</w:t>
      </w:r>
      <w:r>
        <w:tab/>
      </w:r>
      <w:r>
        <w:rPr>
          <w:lang w:val="es-ES_tradnl"/>
        </w:rPr>
        <w:t>Sra. González</w:t>
      </w:r>
    </w:p>
    <w:p w:rsidR="00020BA5" w:rsidRDefault="00020BA5">
      <w:pPr>
        <w:tabs>
          <w:tab w:val="right" w:pos="950"/>
          <w:tab w:val="left" w:pos="1267"/>
          <w:tab w:val="right" w:leader="dot" w:pos="8568"/>
        </w:tabs>
        <w:spacing w:line="120" w:lineRule="exact"/>
        <w:ind w:right="1267"/>
        <w:rPr>
          <w:sz w:val="10"/>
        </w:rPr>
      </w:pPr>
    </w:p>
    <w:p w:rsidR="00020BA5" w:rsidRDefault="00020BA5">
      <w:pPr>
        <w:tabs>
          <w:tab w:val="right" w:pos="950"/>
          <w:tab w:val="left" w:pos="1267"/>
          <w:tab w:val="right" w:leader="dot" w:pos="8568"/>
        </w:tabs>
        <w:spacing w:line="120" w:lineRule="exact"/>
        <w:ind w:right="1267"/>
        <w:rPr>
          <w:sz w:val="10"/>
        </w:rPr>
      </w:pPr>
    </w:p>
    <w:p w:rsidR="00020BA5" w:rsidRDefault="00020BA5">
      <w:pPr>
        <w:tabs>
          <w:tab w:val="right" w:pos="950"/>
          <w:tab w:val="left" w:pos="1267"/>
          <w:tab w:val="right" w:leader="dot" w:pos="8568"/>
        </w:tabs>
        <w:spacing w:line="120" w:lineRule="exact"/>
        <w:ind w:right="1267"/>
        <w:rPr>
          <w:sz w:val="10"/>
        </w:rPr>
      </w:pPr>
    </w:p>
    <w:p w:rsidR="00020BA5" w:rsidRDefault="00020BA5">
      <w:pPr>
        <w:pStyle w:val="HCh"/>
        <w:rPr>
          <w:b w:val="0"/>
        </w:rPr>
      </w:pPr>
      <w:r>
        <w:rPr>
          <w:b w:val="0"/>
        </w:rPr>
        <w:t>Sumario</w:t>
      </w:r>
    </w:p>
    <w:p w:rsidR="00020BA5" w:rsidRDefault="00020BA5">
      <w:pPr>
        <w:pStyle w:val="HCh"/>
        <w:spacing w:line="240" w:lineRule="auto"/>
        <w:rPr>
          <w:b w:val="0"/>
          <w:sz w:val="12"/>
        </w:rPr>
      </w:pPr>
    </w:p>
    <w:p w:rsidR="00020BA5" w:rsidRDefault="00020BA5" w:rsidP="00715BBF">
      <w:pPr>
        <w:pStyle w:val="SingleTxt"/>
        <w:suppressAutoHyphens/>
        <w:ind w:right="1750"/>
        <w:jc w:val="left"/>
        <w:rPr>
          <w:lang w:val="es-ES_tradnl"/>
        </w:rPr>
      </w:pPr>
      <w:r>
        <w:t xml:space="preserve">Examen </w:t>
      </w:r>
      <w:r>
        <w:rPr>
          <w:lang w:val="es-ES_tradnl"/>
        </w:rPr>
        <w:t>de los informes presentados por los Estados Partes con arreglo al artículo 18 de la Convención para la eliminación de todas las formas de discriminación contra la mujer (</w:t>
      </w:r>
      <w:r>
        <w:rPr>
          <w:i/>
          <w:lang w:val="es-ES_tradnl"/>
        </w:rPr>
        <w:t>continuación</w:t>
      </w:r>
      <w:r>
        <w:rPr>
          <w:lang w:val="es-ES_tradnl"/>
        </w:rPr>
        <w:t>)</w:t>
      </w:r>
    </w:p>
    <w:p w:rsidR="00020BA5" w:rsidRDefault="00020BA5">
      <w:pPr>
        <w:pStyle w:val="SingleTxt"/>
        <w:suppressAutoHyphens/>
        <w:jc w:val="left"/>
        <w:rPr>
          <w:lang w:val="es-ES_tradnl"/>
        </w:rPr>
      </w:pPr>
      <w:r>
        <w:tab/>
      </w:r>
      <w:r>
        <w:rPr>
          <w:i/>
          <w:lang w:val="es-ES_tradnl"/>
        </w:rPr>
        <w:t xml:space="preserve">Informe inicial del Camerún </w:t>
      </w:r>
      <w:r>
        <w:rPr>
          <w:lang w:val="es-ES_tradnl"/>
        </w:rPr>
        <w:t>(</w:t>
      </w:r>
      <w:r>
        <w:rPr>
          <w:i/>
          <w:lang w:val="es-ES_tradnl"/>
        </w:rPr>
        <w:t>continuación</w:t>
      </w:r>
      <w:r>
        <w:rPr>
          <w:lang w:val="es-ES_tradnl"/>
        </w:rPr>
        <w:t>)</w:t>
      </w:r>
    </w:p>
    <w:p w:rsidR="00020BA5" w:rsidRDefault="00020BA5">
      <w:pPr>
        <w:pStyle w:val="SingleTxt"/>
        <w:suppressAutoHyphens/>
        <w:jc w:val="left"/>
        <w:rPr>
          <w:lang w:val="es-ES_tradnl"/>
        </w:rPr>
      </w:pPr>
    </w:p>
    <w:p w:rsidR="00020BA5" w:rsidRDefault="00020BA5">
      <w:pPr>
        <w:tabs>
          <w:tab w:val="left" w:pos="475"/>
          <w:tab w:val="left" w:pos="965"/>
          <w:tab w:val="left" w:pos="1440"/>
          <w:tab w:val="left" w:pos="1915"/>
          <w:tab w:val="left" w:pos="2405"/>
          <w:tab w:val="left" w:pos="2880"/>
          <w:tab w:val="left" w:pos="3355"/>
        </w:tabs>
        <w:spacing w:line="240" w:lineRule="auto"/>
        <w:rPr>
          <w:sz w:val="2"/>
          <w:lang w:val="es-ES_tradnl"/>
        </w:rPr>
        <w:sectPr w:rsidR="00020BA5">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020BA5" w:rsidRDefault="00020BA5">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15.15 horas.</w:t>
      </w:r>
    </w:p>
    <w:p w:rsidR="00020BA5" w:rsidRDefault="00020BA5">
      <w:pPr>
        <w:pStyle w:val="DualTxt"/>
        <w:spacing w:after="0" w:line="120" w:lineRule="exact"/>
        <w:rPr>
          <w:sz w:val="10"/>
          <w:lang w:val="es-ES_tradnl"/>
        </w:rPr>
      </w:pPr>
    </w:p>
    <w:p w:rsidR="00020BA5" w:rsidRDefault="00020BA5">
      <w:pPr>
        <w:pStyle w:val="DualTxt"/>
        <w:spacing w:after="0" w:line="120" w:lineRule="exact"/>
        <w:rPr>
          <w:sz w:val="10"/>
          <w:lang w:val="es-ES_tradnl"/>
        </w:rPr>
      </w:pPr>
    </w:p>
    <w:p w:rsidR="00020BA5" w:rsidRDefault="00020BA5">
      <w:pPr>
        <w:pStyle w:val="H23"/>
        <w:tabs>
          <w:tab w:val="right" w:pos="360"/>
          <w:tab w:val="left" w:pos="475"/>
          <w:tab w:val="left" w:pos="965"/>
          <w:tab w:val="left" w:pos="1440"/>
          <w:tab w:val="left" w:pos="1915"/>
          <w:tab w:val="left" w:pos="2405"/>
          <w:tab w:val="left" w:pos="2880"/>
          <w:tab w:val="left" w:pos="3355"/>
        </w:tabs>
        <w:rPr>
          <w:i/>
          <w:lang w:val="es-ES_tradnl"/>
        </w:rPr>
      </w:pPr>
      <w:r>
        <w:rPr>
          <w:lang w:val="es-ES_tradnl"/>
        </w:rPr>
        <w:t>Examen de los inform</w:t>
      </w:r>
      <w:r w:rsidR="002906EF">
        <w:rPr>
          <w:lang w:val="es-ES_tradnl"/>
        </w:rPr>
        <w:t>es presentados por los Estados P</w:t>
      </w:r>
      <w:r>
        <w:rPr>
          <w:lang w:val="es-ES_tradnl"/>
        </w:rPr>
        <w:t xml:space="preserve">artes con arreglo al artículo 18 de la Convención para la eliminación de todas las formas de discriminación contra la mujer </w:t>
      </w:r>
      <w:r>
        <w:rPr>
          <w:b w:val="0"/>
          <w:lang w:val="es-ES_tradnl"/>
        </w:rPr>
        <w:t>(</w:t>
      </w:r>
      <w:r>
        <w:rPr>
          <w:b w:val="0"/>
          <w:i/>
          <w:lang w:val="es-ES_tradnl"/>
        </w:rPr>
        <w:t>continuación</w:t>
      </w:r>
      <w:r>
        <w:rPr>
          <w:b w:val="0"/>
          <w:lang w:val="es-ES_tradnl"/>
        </w:rPr>
        <w:t>)</w:t>
      </w:r>
    </w:p>
    <w:p w:rsidR="00020BA5" w:rsidRDefault="00020BA5">
      <w:pPr>
        <w:pStyle w:val="DualTxt"/>
        <w:spacing w:after="0" w:line="120" w:lineRule="exact"/>
        <w:rPr>
          <w:sz w:val="10"/>
          <w:lang w:val="es-ES_tradnl"/>
        </w:rPr>
      </w:pPr>
    </w:p>
    <w:p w:rsidR="00020BA5" w:rsidRDefault="00020BA5">
      <w:pPr>
        <w:pStyle w:val="H4"/>
        <w:tabs>
          <w:tab w:val="right" w:pos="360"/>
          <w:tab w:val="left" w:pos="475"/>
          <w:tab w:val="left" w:pos="965"/>
          <w:tab w:val="left" w:pos="1440"/>
          <w:tab w:val="left" w:pos="1915"/>
          <w:tab w:val="left" w:pos="2405"/>
          <w:tab w:val="left" w:pos="2880"/>
          <w:tab w:val="left" w:pos="3355"/>
        </w:tabs>
        <w:rPr>
          <w:i w:val="0"/>
          <w:lang w:val="es-ES_tradnl"/>
        </w:rPr>
      </w:pPr>
      <w:r>
        <w:rPr>
          <w:lang w:val="es-ES_tradnl"/>
        </w:rPr>
        <w:t xml:space="preserve">Informe inicial del Camerún </w:t>
      </w:r>
      <w:r>
        <w:rPr>
          <w:i w:val="0"/>
          <w:lang w:val="es-ES_tradnl"/>
        </w:rPr>
        <w:t>(</w:t>
      </w:r>
      <w:r>
        <w:rPr>
          <w:lang w:val="es-ES_tradnl"/>
        </w:rPr>
        <w:t>continuación</w:t>
      </w:r>
      <w:r>
        <w:rPr>
          <w:i w:val="0"/>
          <w:lang w:val="es-ES_tradnl"/>
        </w:rPr>
        <w:t>) (CEDAW/C/CMR/1)</w:t>
      </w:r>
    </w:p>
    <w:p w:rsidR="00020BA5" w:rsidRDefault="00020BA5">
      <w:pPr>
        <w:pStyle w:val="DualTxt"/>
        <w:spacing w:after="0" w:line="120" w:lineRule="exact"/>
        <w:rPr>
          <w:sz w:val="10"/>
          <w:lang w:val="es-ES_tradnl"/>
        </w:rPr>
      </w:pPr>
    </w:p>
    <w:p w:rsidR="00020BA5" w:rsidRDefault="00020BA5">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i/>
          <w:lang w:val="es-ES_tradnl"/>
        </w:rPr>
        <w:t>Por invitación de la Presidenta, la delegación del C</w:t>
      </w:r>
      <w:r>
        <w:rPr>
          <w:i/>
          <w:lang w:val="es-ES_tradnl"/>
        </w:rPr>
        <w:t>a</w:t>
      </w:r>
      <w:r>
        <w:rPr>
          <w:i/>
          <w:lang w:val="es-ES_tradnl"/>
        </w:rPr>
        <w:t>merún toma asiento en la mesa del Comité</w:t>
      </w:r>
      <w:r>
        <w:rPr>
          <w:lang w:val="es-ES_tradnl"/>
        </w:rPr>
        <w:t>.</w:t>
      </w:r>
    </w:p>
    <w:p w:rsidR="00020BA5" w:rsidRDefault="00020BA5">
      <w:pPr>
        <w:pStyle w:val="DualTxt"/>
        <w:spacing w:after="0" w:line="120" w:lineRule="exact"/>
        <w:rPr>
          <w:sz w:val="10"/>
          <w:lang w:val="es-ES_tradnl"/>
        </w:rPr>
      </w:pPr>
    </w:p>
    <w:p w:rsidR="00020BA5" w:rsidRDefault="00020BA5">
      <w:pPr>
        <w:pStyle w:val="H4"/>
        <w:tabs>
          <w:tab w:val="left" w:pos="475"/>
          <w:tab w:val="left" w:pos="965"/>
          <w:tab w:val="left" w:pos="1440"/>
          <w:tab w:val="left" w:pos="1915"/>
          <w:tab w:val="left" w:pos="2405"/>
          <w:tab w:val="left" w:pos="2880"/>
          <w:tab w:val="left" w:pos="3355"/>
        </w:tabs>
        <w:ind w:left="475" w:hanging="475"/>
        <w:rPr>
          <w:i w:val="0"/>
          <w:lang w:val="es-ES_tradnl"/>
        </w:rPr>
      </w:pPr>
      <w:r>
        <w:rPr>
          <w:lang w:val="es-ES_tradnl"/>
        </w:rPr>
        <w:t>Artículo 12</w:t>
      </w:r>
    </w:p>
    <w:p w:rsidR="00020BA5" w:rsidRDefault="00020BA5">
      <w:pPr>
        <w:pStyle w:val="DualTxt"/>
        <w:spacing w:after="0" w:line="120" w:lineRule="exact"/>
        <w:rPr>
          <w:sz w:val="10"/>
          <w:lang w:val="es-ES_tradnl"/>
        </w:rPr>
      </w:pPr>
    </w:p>
    <w:p w:rsidR="00020BA5" w:rsidRDefault="00020BA5">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Goonesekere</w:t>
      </w:r>
      <w:r>
        <w:rPr>
          <w:lang w:val="es-ES_tradnl"/>
        </w:rPr>
        <w:t>, continuando con las pr</w:t>
      </w:r>
      <w:r>
        <w:rPr>
          <w:lang w:val="es-ES_tradnl"/>
        </w:rPr>
        <w:t>e</w:t>
      </w:r>
      <w:r>
        <w:rPr>
          <w:lang w:val="es-ES_tradnl"/>
        </w:rPr>
        <w:t>guntas planteadas durante la sesión anterior, señala que en el informe no se facilitan estadísticas sobre la corr</w:t>
      </w:r>
      <w:r>
        <w:rPr>
          <w:lang w:val="es-ES_tradnl"/>
        </w:rPr>
        <w:t>e</w:t>
      </w:r>
      <w:r>
        <w:rPr>
          <w:lang w:val="es-ES_tradnl"/>
        </w:rPr>
        <w:t>lación entre la alta tasa de mortalidad materna del país y el número de abortos ilegales. En referencia a las e</w:t>
      </w:r>
      <w:r>
        <w:rPr>
          <w:lang w:val="es-ES_tradnl"/>
        </w:rPr>
        <w:t>x</w:t>
      </w:r>
      <w:r>
        <w:rPr>
          <w:lang w:val="es-ES_tradnl"/>
        </w:rPr>
        <w:t>cepciones a la muy estricta legislación sobre el aborto contenida en el artículo 339 del Código Penal, pregunta si las “personas debidamente habilitadas” para pract</w:t>
      </w:r>
      <w:r>
        <w:rPr>
          <w:lang w:val="es-ES_tradnl"/>
        </w:rPr>
        <w:t>i</w:t>
      </w:r>
      <w:r>
        <w:rPr>
          <w:lang w:val="es-ES_tradnl"/>
        </w:rPr>
        <w:t>car abortos son los profesionales médicos o paraméd</w:t>
      </w:r>
      <w:r>
        <w:rPr>
          <w:lang w:val="es-ES_tradnl"/>
        </w:rPr>
        <w:t>i</w:t>
      </w:r>
      <w:r>
        <w:rPr>
          <w:lang w:val="es-ES_tradnl"/>
        </w:rPr>
        <w:t>cos y pide una interpretación más concreta de la expr</w:t>
      </w:r>
      <w:r>
        <w:rPr>
          <w:lang w:val="es-ES_tradnl"/>
        </w:rPr>
        <w:t>e</w:t>
      </w:r>
      <w:r>
        <w:rPr>
          <w:lang w:val="es-ES_tradnl"/>
        </w:rPr>
        <w:t>sión “la necesidad de salvar a la madre de un peligro grave para su salud”. También agradecería recibir más información sobre los abortos permitidos en casos de embarazo a consecuencia de violación una vez que el Fiscal del Estado co</w:t>
      </w:r>
      <w:r>
        <w:rPr>
          <w:lang w:val="es-ES_tradnl"/>
        </w:rPr>
        <w:t>m</w:t>
      </w:r>
      <w:r>
        <w:rPr>
          <w:lang w:val="es-ES_tradnl"/>
        </w:rPr>
        <w:t xml:space="preserve">prueba los hechos. </w:t>
      </w:r>
    </w:p>
    <w:p w:rsidR="00020BA5" w:rsidRDefault="00020BA5">
      <w:pPr>
        <w:pStyle w:val="DualTxt"/>
        <w:spacing w:after="0" w:line="120" w:lineRule="exact"/>
        <w:rPr>
          <w:sz w:val="10"/>
          <w:lang w:val="es-ES_tradnl"/>
        </w:rPr>
      </w:pPr>
    </w:p>
    <w:p w:rsidR="00020BA5" w:rsidRDefault="00020BA5">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Artículo 14</w:t>
      </w:r>
    </w:p>
    <w:p w:rsidR="00020BA5" w:rsidRDefault="00020BA5">
      <w:pPr>
        <w:pStyle w:val="DualTxt"/>
        <w:spacing w:after="0" w:line="120" w:lineRule="exact"/>
        <w:rPr>
          <w:sz w:val="10"/>
          <w:lang w:val="es-ES_tradnl"/>
        </w:rPr>
      </w:pPr>
    </w:p>
    <w:p w:rsidR="00020BA5" w:rsidRDefault="00020BA5">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Ouédraogo </w:t>
      </w:r>
      <w:r>
        <w:rPr>
          <w:lang w:val="es-ES_tradnl"/>
        </w:rPr>
        <w:t>felicita a la delegación por la inclusión del cuadro 16 sobre el porcentaje de explot</w:t>
      </w:r>
      <w:r>
        <w:rPr>
          <w:lang w:val="es-ES_tradnl"/>
        </w:rPr>
        <w:t>a</w:t>
      </w:r>
      <w:r>
        <w:rPr>
          <w:lang w:val="es-ES_tradnl"/>
        </w:rPr>
        <w:t>ciones agrícolas dirigidas por hombres y mujeres, el cuadro 17 sobre las características de las viviendas en las zonas rurales y el cuadro 18 sobre los medios de abastecimiento de agua potable en las viviendas rur</w:t>
      </w:r>
      <w:r>
        <w:rPr>
          <w:lang w:val="es-ES_tradnl"/>
        </w:rPr>
        <w:t>a</w:t>
      </w:r>
      <w:r>
        <w:rPr>
          <w:lang w:val="es-ES_tradnl"/>
        </w:rPr>
        <w:t xml:space="preserve">les, que ofrecen exactamente el tipo de datos que el Comité necesita para poder hacer recomendaciones. Observando la dependencia del </w:t>
      </w:r>
      <w:r>
        <w:rPr>
          <w:i/>
          <w:lang w:val="es-ES_tradnl"/>
        </w:rPr>
        <w:t xml:space="preserve">marigot </w:t>
      </w:r>
      <w:r>
        <w:rPr>
          <w:lang w:val="es-ES_tradnl"/>
        </w:rPr>
        <w:t>o arroyos de pantano (agua estancada) para el suministro de agua potable (cuadro 18), hace hincapié en la necesidad de garantizar un abastecimiento suficiente de agua potable y para la higiene doméstica en las zonas rurales. H</w:t>
      </w:r>
      <w:r>
        <w:rPr>
          <w:lang w:val="es-ES_tradnl"/>
        </w:rPr>
        <w:t>u</w:t>
      </w:r>
      <w:r>
        <w:rPr>
          <w:lang w:val="es-ES_tradnl"/>
        </w:rPr>
        <w:t>biera deseado tener más detalles sobre el acceso de las mujeres al crédito y los planes del Estado Parte para ayudarlas. Se pregunta si las cocinas comunitarias son un medio de generar ahorro para las mujeres. Hubiera sido útil también disponer de más información sobre la salud de la mujer en las zonas rurales, especialmente los esfuerzos por reducir la tasa de mortalidad materna. En particular, el Estado Parte debe dar alguna idea de la proporción de nacimientos que se producen sin asi</w:t>
      </w:r>
      <w:r>
        <w:rPr>
          <w:lang w:val="es-ES_tradnl"/>
        </w:rPr>
        <w:t>s</w:t>
      </w:r>
      <w:r>
        <w:rPr>
          <w:lang w:val="es-ES_tradnl"/>
        </w:rPr>
        <w:t>tencia en las zonas rurales y las medidas para reducir ese fenómeno, como el programa del Fondo de Pobl</w:t>
      </w:r>
      <w:r>
        <w:rPr>
          <w:lang w:val="es-ES_tradnl"/>
        </w:rPr>
        <w:t>a</w:t>
      </w:r>
      <w:r>
        <w:rPr>
          <w:lang w:val="es-ES_tradnl"/>
        </w:rPr>
        <w:t>ción de las Naciones Unidas para proporcionar a las comadronas tradicionales equipo y capacitación en las técnicas m</w:t>
      </w:r>
      <w:r>
        <w:rPr>
          <w:lang w:val="es-ES_tradnl"/>
        </w:rPr>
        <w:t>o</w:t>
      </w:r>
      <w:r>
        <w:rPr>
          <w:lang w:val="es-ES_tradnl"/>
        </w:rPr>
        <w:t>dernas.</w:t>
      </w:r>
    </w:p>
    <w:p w:rsidR="00020BA5" w:rsidRDefault="00020BA5">
      <w:pPr>
        <w:pStyle w:val="DualTxt"/>
        <w:rPr>
          <w:lang w:val="es-ES_tradnl"/>
        </w:rPr>
      </w:pPr>
      <w:r>
        <w:rPr>
          <w:lang w:val="es-ES_tradnl"/>
        </w:rPr>
        <w:t>4.</w:t>
      </w:r>
      <w:r>
        <w:rPr>
          <w:lang w:val="es-ES_tradnl"/>
        </w:rPr>
        <w:tab/>
      </w:r>
      <w:r>
        <w:rPr>
          <w:b/>
          <w:lang w:val="es-ES_tradnl"/>
        </w:rPr>
        <w:t xml:space="preserve">La Sra. Corti </w:t>
      </w:r>
      <w:r>
        <w:rPr>
          <w:lang w:val="es-ES_tradnl"/>
        </w:rPr>
        <w:t>expresa su apoyo sin reservas a las observaciones de la Sra. Ouédraogo. Le preocupa esp</w:t>
      </w:r>
      <w:r>
        <w:rPr>
          <w:lang w:val="es-ES_tradnl"/>
        </w:rPr>
        <w:t>e</w:t>
      </w:r>
      <w:r>
        <w:rPr>
          <w:lang w:val="es-ES_tradnl"/>
        </w:rPr>
        <w:t xml:space="preserve">cialmente la falta de cobertura de seguridad social en las zonas rurales, la tasa de abandono escolar entre las niñas de </w:t>
      </w:r>
      <w:r>
        <w:t>las zonas rurales y los problemas relacionados con el acceso</w:t>
      </w:r>
      <w:r>
        <w:rPr>
          <w:lang w:val="es-ES_tradnl"/>
        </w:rPr>
        <w:t xml:space="preserve"> al agua potable y el esfuerzo físico que su recogida significa para las mujeres. A ese respecto, se pregunta si el Camerún ha considerado la posibil</w:t>
      </w:r>
      <w:r>
        <w:rPr>
          <w:lang w:val="es-ES_tradnl"/>
        </w:rPr>
        <w:t>i</w:t>
      </w:r>
      <w:r>
        <w:rPr>
          <w:lang w:val="es-ES_tradnl"/>
        </w:rPr>
        <w:t>dad de solicitar asistencia a organizaciones no gube</w:t>
      </w:r>
      <w:r>
        <w:rPr>
          <w:lang w:val="es-ES_tradnl"/>
        </w:rPr>
        <w:t>r</w:t>
      </w:r>
      <w:r>
        <w:rPr>
          <w:lang w:val="es-ES_tradnl"/>
        </w:rPr>
        <w:t>namentales de países de Europa y otros países desarr</w:t>
      </w:r>
      <w:r>
        <w:rPr>
          <w:lang w:val="es-ES_tradnl"/>
        </w:rPr>
        <w:t>o</w:t>
      </w:r>
      <w:r>
        <w:rPr>
          <w:lang w:val="es-ES_tradnl"/>
        </w:rPr>
        <w:t>llados especializadas en garantizar el abastecimiento de agua potable a las mujeres.</w:t>
      </w:r>
    </w:p>
    <w:p w:rsidR="00020BA5" w:rsidRDefault="00020BA5">
      <w:pPr>
        <w:pStyle w:val="DualTxt"/>
        <w:spacing w:after="0" w:line="120" w:lineRule="exact"/>
        <w:rPr>
          <w:sz w:val="10"/>
          <w:lang w:val="es-ES_tradnl"/>
        </w:rPr>
      </w:pPr>
    </w:p>
    <w:p w:rsidR="00020BA5" w:rsidRDefault="00020BA5">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Artículo 16</w:t>
      </w:r>
    </w:p>
    <w:p w:rsidR="00020BA5" w:rsidRDefault="00020BA5">
      <w:pPr>
        <w:pStyle w:val="DualTxt"/>
        <w:spacing w:after="0" w:line="120" w:lineRule="exact"/>
        <w:rPr>
          <w:sz w:val="10"/>
          <w:lang w:val="es-ES_tradnl"/>
        </w:rPr>
      </w:pP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Myakayaka-Manzini </w:t>
      </w:r>
      <w:r>
        <w:rPr>
          <w:lang w:val="es-ES_tradnl"/>
        </w:rPr>
        <w:t>expresa</w:t>
      </w:r>
      <w:r>
        <w:rPr>
          <w:b/>
          <w:lang w:val="es-ES_tradnl"/>
        </w:rPr>
        <w:t xml:space="preserve"> </w:t>
      </w:r>
      <w:r>
        <w:rPr>
          <w:lang w:val="es-ES_tradnl"/>
        </w:rPr>
        <w:t>su pr</w:t>
      </w:r>
      <w:r>
        <w:rPr>
          <w:lang w:val="es-ES_tradnl"/>
        </w:rPr>
        <w:t>e</w:t>
      </w:r>
      <w:r>
        <w:rPr>
          <w:lang w:val="es-ES_tradnl"/>
        </w:rPr>
        <w:t>ocupación por la coexistencia de legislación escrita y consuetudinaria en el Camerún, especialmente porque los dos sistemas tienen prácticamente las mismas facu</w:t>
      </w:r>
      <w:r>
        <w:rPr>
          <w:lang w:val="es-ES_tradnl"/>
        </w:rPr>
        <w:t>l</w:t>
      </w:r>
      <w:r>
        <w:rPr>
          <w:lang w:val="es-ES_tradnl"/>
        </w:rPr>
        <w:t>tades en asuntos relacionados con el matrimonio, la f</w:t>
      </w:r>
      <w:r>
        <w:rPr>
          <w:lang w:val="es-ES_tradnl"/>
        </w:rPr>
        <w:t>i</w:t>
      </w:r>
      <w:r>
        <w:rPr>
          <w:lang w:val="es-ES_tradnl"/>
        </w:rPr>
        <w:t>liación y la sucesión. Lamentablemente, a menudo las mujeres no están familiarizadas con las leyes y no s</w:t>
      </w:r>
      <w:r>
        <w:rPr>
          <w:lang w:val="es-ES_tradnl"/>
        </w:rPr>
        <w:t>a</w:t>
      </w:r>
      <w:r>
        <w:rPr>
          <w:lang w:val="es-ES_tradnl"/>
        </w:rPr>
        <w:t>ben a qué sistema recurrir. Se pregunta si se ha est</w:t>
      </w:r>
      <w:r>
        <w:rPr>
          <w:lang w:val="es-ES_tradnl"/>
        </w:rPr>
        <w:t>u</w:t>
      </w:r>
      <w:r>
        <w:rPr>
          <w:lang w:val="es-ES_tradnl"/>
        </w:rPr>
        <w:t>diado la posibilidad de armonizar los dos sistemas con miras a eliminar las disposiciones negativas y discr</w:t>
      </w:r>
      <w:r>
        <w:rPr>
          <w:lang w:val="es-ES_tradnl"/>
        </w:rPr>
        <w:t>i</w:t>
      </w:r>
      <w:r>
        <w:rPr>
          <w:lang w:val="es-ES_tradnl"/>
        </w:rPr>
        <w:t xml:space="preserve">minatorias, como las minutas del consejo de familia </w:t>
      </w:r>
      <w:r>
        <w:rPr>
          <w:spacing w:val="2"/>
          <w:lang w:val="es-ES_tradnl"/>
        </w:rPr>
        <w:t>que puede utilizarse para anular el derecho de una viu</w:t>
      </w:r>
      <w:r>
        <w:rPr>
          <w:lang w:val="es-ES_tradnl"/>
        </w:rPr>
        <w:t xml:space="preserve">da </w:t>
      </w:r>
      <w:r>
        <w:rPr>
          <w:spacing w:val="2"/>
          <w:lang w:val="es-ES_tradnl"/>
        </w:rPr>
        <w:t>a heredar los bienes de su marido al amparo del artí</w:t>
      </w:r>
      <w:r>
        <w:rPr>
          <w:lang w:val="es-ES_tradnl"/>
        </w:rPr>
        <w:t>culo 77 del Código Civil. En general, le gustaría recibir más detalles sobre las minutas del consejo de familia, por ejemplo, quién las redacta y cuándo y en qué medida los cónyuges participan en el proceso. Por último, dice que la edad mínima a la que las muchachas pueden contraer matrimonio (15 años) pesa con toda la prob</w:t>
      </w:r>
      <w:r>
        <w:rPr>
          <w:lang w:val="es-ES_tradnl"/>
        </w:rPr>
        <w:t>a</w:t>
      </w:r>
      <w:r>
        <w:rPr>
          <w:lang w:val="es-ES_tradnl"/>
        </w:rPr>
        <w:t>bilidad en la decisión de los padres de no matricular a las niñas en la escuela, e insta al Estado Parte a que la eleve.</w:t>
      </w:r>
    </w:p>
    <w:p w:rsidR="00020BA5" w:rsidRDefault="00020BA5" w:rsidP="002906EF">
      <w:pPr>
        <w:pStyle w:val="DualTxt"/>
        <w:numPr>
          <w:ilvl w:val="0"/>
          <w:numId w:val="14"/>
        </w:numPr>
        <w:tabs>
          <w:tab w:val="clear" w:pos="960"/>
          <w:tab w:val="left" w:pos="475"/>
          <w:tab w:val="left" w:pos="965"/>
          <w:tab w:val="left" w:pos="1440"/>
          <w:tab w:val="left" w:pos="1915"/>
          <w:tab w:val="left" w:pos="2405"/>
          <w:tab w:val="left" w:pos="2880"/>
          <w:tab w:val="left" w:pos="3355"/>
        </w:tabs>
        <w:suppressAutoHyphens/>
        <w:rPr>
          <w:lang w:val="es-ES_tradnl"/>
        </w:rPr>
      </w:pPr>
      <w:r>
        <w:rPr>
          <w:b/>
          <w:lang w:val="es-ES_tradnl"/>
        </w:rPr>
        <w:t xml:space="preserve">La Sra. Goonesekere </w:t>
      </w:r>
      <w:r>
        <w:rPr>
          <w:lang w:val="es-ES_tradnl"/>
        </w:rPr>
        <w:t>destaca la necesidad de establecer calendarios para la reforma del Código de Familia y añade que las limitaciones de la capacidad contractual de la mujer y su derecho a gestionar bienes p</w:t>
      </w:r>
      <w:r>
        <w:rPr>
          <w:lang w:val="es-ES_tradnl"/>
        </w:rPr>
        <w:t>o</w:t>
      </w:r>
      <w:r>
        <w:rPr>
          <w:lang w:val="es-ES_tradnl"/>
        </w:rPr>
        <w:t>drían eliminarse fácilmente mediante enmiendas del Código Civil y el Código de Comercio. Confía en que el Estado Parte introducirá esas enmiendas.</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Se pregunta si el hecho de que no se reconozca la cohabitación y el concepto de hijos ilegítimos se d</w:t>
      </w:r>
      <w:r>
        <w:rPr>
          <w:lang w:val="es-ES_tradnl"/>
        </w:rPr>
        <w:t>e</w:t>
      </w:r>
      <w:r>
        <w:rPr>
          <w:lang w:val="es-ES_tradnl"/>
        </w:rPr>
        <w:t>rivan del derecho consuetudinario del Estado Parte o de su legislación escrita, que es herencia del coloni</w:t>
      </w:r>
      <w:r>
        <w:rPr>
          <w:lang w:val="es-ES_tradnl"/>
        </w:rPr>
        <w:t>a</w:t>
      </w:r>
      <w:r>
        <w:rPr>
          <w:lang w:val="es-ES_tradnl"/>
        </w:rPr>
        <w:t>lismo francés, y pregunta si hay algún sistema oblig</w:t>
      </w:r>
      <w:r>
        <w:rPr>
          <w:lang w:val="es-ES_tradnl"/>
        </w:rPr>
        <w:t>a</w:t>
      </w:r>
      <w:r>
        <w:rPr>
          <w:lang w:val="es-ES_tradnl"/>
        </w:rPr>
        <w:t>torio de inscripción para distinguir entre matrimonio y cohab</w:t>
      </w:r>
      <w:r>
        <w:rPr>
          <w:lang w:val="es-ES_tradnl"/>
        </w:rPr>
        <w:t>i</w:t>
      </w:r>
      <w:r>
        <w:rPr>
          <w:lang w:val="es-ES_tradnl"/>
        </w:rPr>
        <w:t>tación.</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Por último, expresa su preocupación por la disp</w:t>
      </w:r>
      <w:r>
        <w:rPr>
          <w:lang w:val="es-ES_tradnl"/>
        </w:rPr>
        <w:t>o</w:t>
      </w:r>
      <w:r>
        <w:rPr>
          <w:lang w:val="es-ES_tradnl"/>
        </w:rPr>
        <w:t>sición arcaica y poco realista que figura en el artículo 77 del Código Civil por la que se exige a una viuda que espere 180 días desde la muerte de su esposo antes de contraer nuevo matrimonio, y señala que en realidad fortalece la costumbre del levirato.</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Cartwright </w:t>
      </w:r>
      <w:r>
        <w:rPr>
          <w:lang w:val="es-ES_tradnl"/>
        </w:rPr>
        <w:t>está de acuerdo con las or</w:t>
      </w:r>
      <w:r>
        <w:rPr>
          <w:lang w:val="es-ES_tradnl"/>
        </w:rPr>
        <w:t>a</w:t>
      </w:r>
      <w:r>
        <w:rPr>
          <w:lang w:val="es-ES_tradnl"/>
        </w:rPr>
        <w:t>doras anteriores en que podrían introducirse modific</w:t>
      </w:r>
      <w:r>
        <w:rPr>
          <w:lang w:val="es-ES_tradnl"/>
        </w:rPr>
        <w:t>a</w:t>
      </w:r>
      <w:r>
        <w:rPr>
          <w:lang w:val="es-ES_tradnl"/>
        </w:rPr>
        <w:t>ciones sencillas en el derecho de familia a la espera de la conclusión de un nuevo Código de Familia. El G</w:t>
      </w:r>
      <w:r>
        <w:rPr>
          <w:lang w:val="es-ES_tradnl"/>
        </w:rPr>
        <w:t>o</w:t>
      </w:r>
      <w:r>
        <w:rPr>
          <w:lang w:val="es-ES_tradnl"/>
        </w:rPr>
        <w:t>bierno debe velar por que en el nuevo Código de Fam</w:t>
      </w:r>
      <w:r>
        <w:rPr>
          <w:lang w:val="es-ES_tradnl"/>
        </w:rPr>
        <w:t>i</w:t>
      </w:r>
      <w:r>
        <w:rPr>
          <w:lang w:val="es-ES_tradnl"/>
        </w:rPr>
        <w:t>lia sólo se incorporen los aspectos de la legislación consuetudinaria que sean favorables a la mujer. En el nuevo Código de Familia la poligamia debe prohibirse y ser objeto de fuertes sanci</w:t>
      </w:r>
      <w:r>
        <w:rPr>
          <w:lang w:val="es-ES_tradnl"/>
        </w:rPr>
        <w:t>o</w:t>
      </w:r>
      <w:r>
        <w:rPr>
          <w:lang w:val="es-ES_tradnl"/>
        </w:rPr>
        <w:t>nes.</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Aouij </w:t>
      </w:r>
      <w:r>
        <w:rPr>
          <w:lang w:val="es-ES_tradnl"/>
        </w:rPr>
        <w:t>hace referencia a la persistencia de las leyes que discriminan contra la mujer y pide que se adopten medidas concretas para poner remedio a esa s</w:t>
      </w:r>
      <w:r>
        <w:rPr>
          <w:lang w:val="es-ES_tradnl"/>
        </w:rPr>
        <w:t>i</w:t>
      </w:r>
      <w:r>
        <w:rPr>
          <w:lang w:val="es-ES_tradnl"/>
        </w:rPr>
        <w:t>tuación. Se pregunta si el Estado Parte puede facilitar estadísticas sobre la frecuencia con la que los hombres invocan el derecho a impedir a sus mujeres desempeñar un empleo. También deben eliminarse la discrimin</w:t>
      </w:r>
      <w:r>
        <w:rPr>
          <w:lang w:val="es-ES_tradnl"/>
        </w:rPr>
        <w:t>a</w:t>
      </w:r>
      <w:r>
        <w:rPr>
          <w:lang w:val="es-ES_tradnl"/>
        </w:rPr>
        <w:t>ción contra la mujer con respecto a la gestión de los bienes y la elección del domicilio conyugal y las prá</w:t>
      </w:r>
      <w:r>
        <w:rPr>
          <w:lang w:val="es-ES_tradnl"/>
        </w:rPr>
        <w:t>c</w:t>
      </w:r>
      <w:r>
        <w:rPr>
          <w:lang w:val="es-ES_tradnl"/>
        </w:rPr>
        <w:t>ticas de la poligamia y la escisión femenina, que aún continúan; de hecho, muchos otros países de África han conseguido avances significativos en relación con ésta última. No debe darse a las autoridades la facultad de elegir si van a aplicar la legislación consuetudinaria o la legislación escrita en función de las circunstancias. Debe hacerse todo lo posible por mantener e integrar en la nueva redacción del Código de Familia únic</w:t>
      </w:r>
      <w:r>
        <w:rPr>
          <w:lang w:val="es-ES_tradnl"/>
        </w:rPr>
        <w:t>a</w:t>
      </w:r>
      <w:r>
        <w:rPr>
          <w:lang w:val="es-ES_tradnl"/>
        </w:rPr>
        <w:t>mente los aspectos más positivos de la legislación co</w:t>
      </w:r>
      <w:r>
        <w:rPr>
          <w:lang w:val="es-ES_tradnl"/>
        </w:rPr>
        <w:t>n</w:t>
      </w:r>
      <w:r>
        <w:rPr>
          <w:lang w:val="es-ES_tradnl"/>
        </w:rPr>
        <w:t>suetudinaria. Señala que, aunque el Camerún ratificó la Convención sin ninguna reserva en 1994, todavía no ha suprimido o enmendado ni siquiera una ley discrimin</w:t>
      </w:r>
      <w:r>
        <w:rPr>
          <w:lang w:val="es-ES_tradnl"/>
        </w:rPr>
        <w:t>a</w:t>
      </w:r>
      <w:r>
        <w:rPr>
          <w:lang w:val="es-ES_tradnl"/>
        </w:rPr>
        <w:t>toria. Insta al Gobierno a que demuestre su buena v</w:t>
      </w:r>
      <w:r>
        <w:rPr>
          <w:lang w:val="es-ES_tradnl"/>
        </w:rPr>
        <w:t>o</w:t>
      </w:r>
      <w:r>
        <w:rPr>
          <w:lang w:val="es-ES_tradnl"/>
        </w:rPr>
        <w:t>luntad y sugiere que el Ministerio de Asuntos de la Mujer podría empezar con la elaboración de una lista de leyes que es necesario suprimir o enmendar.</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Acar </w:t>
      </w:r>
      <w:r>
        <w:rPr>
          <w:lang w:val="es-ES_tradnl"/>
        </w:rPr>
        <w:t>dice que se necesitan más estadíst</w:t>
      </w:r>
      <w:r>
        <w:rPr>
          <w:lang w:val="es-ES_tradnl"/>
        </w:rPr>
        <w:t>i</w:t>
      </w:r>
      <w:r>
        <w:rPr>
          <w:lang w:val="es-ES_tradnl"/>
        </w:rPr>
        <w:t>cas sobre los asuntos que se contemplan en el artículo 16 de la Convención. Se han proporcionado pocos d</w:t>
      </w:r>
      <w:r>
        <w:rPr>
          <w:lang w:val="es-ES_tradnl"/>
        </w:rPr>
        <w:t>a</w:t>
      </w:r>
      <w:r>
        <w:rPr>
          <w:lang w:val="es-ES_tradnl"/>
        </w:rPr>
        <w:t>tos cuantitativos sobre, por ejemplo, el porcentaje de matrimonios polígamos. También le gustaría disponer de estadísticas sobre la prevalencia de los dos tipos de dote; en algunos países, el sistema por el que el novio hace un pago a la familia de su futura esposa se conoce como “pago por la novia” y se pregunta cuál es la inc</w:t>
      </w:r>
      <w:r>
        <w:rPr>
          <w:lang w:val="es-ES_tradnl"/>
        </w:rPr>
        <w:t>i</w:t>
      </w:r>
      <w:r>
        <w:rPr>
          <w:lang w:val="es-ES_tradnl"/>
        </w:rPr>
        <w:t>dencia de ese sistema en el Camerún y si el Gobierno tiene planes para hacer frente a los efectos negativos de ambos tipos de dote.</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En el último párrafo de la página 105 de la ve</w:t>
      </w:r>
      <w:r>
        <w:rPr>
          <w:lang w:val="es-ES_tradnl"/>
        </w:rPr>
        <w:t>r</w:t>
      </w:r>
      <w:r>
        <w:rPr>
          <w:lang w:val="es-ES_tradnl"/>
        </w:rPr>
        <w:t>sión española del informe se menciona que la mujer “es considerada un bien que se puede dejar en here</w:t>
      </w:r>
      <w:r>
        <w:rPr>
          <w:lang w:val="es-ES_tradnl"/>
        </w:rPr>
        <w:t>n</w:t>
      </w:r>
      <w:r>
        <w:rPr>
          <w:lang w:val="es-ES_tradnl"/>
        </w:rPr>
        <w:t>cia”. Deberían darse más detalles acerca de esa viol</w:t>
      </w:r>
      <w:r>
        <w:rPr>
          <w:lang w:val="es-ES_tradnl"/>
        </w:rPr>
        <w:t>a</w:t>
      </w:r>
      <w:r>
        <w:rPr>
          <w:lang w:val="es-ES_tradnl"/>
        </w:rPr>
        <w:t>ción de los derechos humanos de las mujeres, la med</w:t>
      </w:r>
      <w:r>
        <w:rPr>
          <w:lang w:val="es-ES_tradnl"/>
        </w:rPr>
        <w:t>i</w:t>
      </w:r>
      <w:r>
        <w:rPr>
          <w:lang w:val="es-ES_tradnl"/>
        </w:rPr>
        <w:t>da en que se practica y si el Gobierno tiene previsto modificar las leyes para abo</w:t>
      </w:r>
      <w:r>
        <w:rPr>
          <w:lang w:val="es-ES_tradnl"/>
        </w:rPr>
        <w:t>r</w:t>
      </w:r>
      <w:r>
        <w:rPr>
          <w:lang w:val="es-ES_tradnl"/>
        </w:rPr>
        <w:t>dar esos asuntos.</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Presidenta </w:t>
      </w:r>
      <w:r>
        <w:rPr>
          <w:lang w:val="es-ES_tradnl"/>
        </w:rPr>
        <w:t>recuerda que en la sesión prevista para la mañana del 26 de junio de 2000 la delegación del Camerún tendrá ocasión de responder a las pregu</w:t>
      </w:r>
      <w:r>
        <w:rPr>
          <w:lang w:val="es-ES_tradnl"/>
        </w:rPr>
        <w:t>n</w:t>
      </w:r>
      <w:r>
        <w:rPr>
          <w:lang w:val="es-ES_tradnl"/>
        </w:rPr>
        <w:t>tas y observaciones de los miembros.</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Ngo Som </w:t>
      </w:r>
      <w:r>
        <w:rPr>
          <w:lang w:val="es-ES_tradnl"/>
        </w:rPr>
        <w:t>(Camerún) dice que, aunque es cierto que el informe no contiene muchos datos est</w:t>
      </w:r>
      <w:r>
        <w:rPr>
          <w:lang w:val="es-ES_tradnl"/>
        </w:rPr>
        <w:t>a</w:t>
      </w:r>
      <w:r>
        <w:rPr>
          <w:lang w:val="es-ES_tradnl"/>
        </w:rPr>
        <w:t>dísticos, también lo es que, después de todo, se trata sólo de un informe inicial. Su Gobierno tiene previsto recopilar datos desglosados por sexo en todas las esf</w:t>
      </w:r>
      <w:r>
        <w:rPr>
          <w:lang w:val="es-ES_tradnl"/>
        </w:rPr>
        <w:t>e</w:t>
      </w:r>
      <w:r>
        <w:rPr>
          <w:lang w:val="es-ES_tradnl"/>
        </w:rPr>
        <w:t>ras de la vida del país y ya ha establecido un plan tri</w:t>
      </w:r>
      <w:r>
        <w:rPr>
          <w:lang w:val="es-ES_tradnl"/>
        </w:rPr>
        <w:t>e</w:t>
      </w:r>
      <w:r>
        <w:rPr>
          <w:lang w:val="es-ES_tradnl"/>
        </w:rPr>
        <w:t>nal de acción para la mujer; pronto se encontrará en s</w:t>
      </w:r>
      <w:r>
        <w:rPr>
          <w:lang w:val="es-ES_tradnl"/>
        </w:rPr>
        <w:t>i</w:t>
      </w:r>
      <w:r>
        <w:rPr>
          <w:lang w:val="es-ES_tradnl"/>
        </w:rPr>
        <w:t>tuación de ofrecer respuestas a muchas de las observ</w:t>
      </w:r>
      <w:r>
        <w:rPr>
          <w:lang w:val="es-ES_tradnl"/>
        </w:rPr>
        <w:t>a</w:t>
      </w:r>
      <w:r>
        <w:rPr>
          <w:lang w:val="es-ES_tradnl"/>
        </w:rPr>
        <w:t>ciones de los miembros del Comité.</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El Camerún trata de resolver diversos problemas en la esfera de los derechos y el desarrollo de la mujer. Uno de ellos es el de los recursos humanos, por eje</w:t>
      </w:r>
      <w:r>
        <w:rPr>
          <w:lang w:val="es-ES_tradnl"/>
        </w:rPr>
        <w:t>m</w:t>
      </w:r>
      <w:r>
        <w:rPr>
          <w:lang w:val="es-ES_tradnl"/>
        </w:rPr>
        <w:t>plo, los responsables de la ejecución de los programas de atención de la salud de la mujer a menudo no cue</w:t>
      </w:r>
      <w:r>
        <w:rPr>
          <w:lang w:val="es-ES_tradnl"/>
        </w:rPr>
        <w:t>n</w:t>
      </w:r>
      <w:r>
        <w:rPr>
          <w:lang w:val="es-ES_tradnl"/>
        </w:rPr>
        <w:t>tan con los conocimientos técnicos necesarios. Otro problema que afecta a la situación socioeconómica de la mujer es el de los recursos financieros dado que, aunque el Camerún dispone de una considerable dot</w:t>
      </w:r>
      <w:r>
        <w:rPr>
          <w:lang w:val="es-ES_tradnl"/>
        </w:rPr>
        <w:t>a</w:t>
      </w:r>
      <w:r>
        <w:rPr>
          <w:lang w:val="es-ES_tradnl"/>
        </w:rPr>
        <w:t>ción de recursos naturales, carece de los medios fina</w:t>
      </w:r>
      <w:r>
        <w:rPr>
          <w:lang w:val="es-ES_tradnl"/>
        </w:rPr>
        <w:t>n</w:t>
      </w:r>
      <w:r>
        <w:rPr>
          <w:lang w:val="es-ES_tradnl"/>
        </w:rPr>
        <w:t>cieros necesarios para explotarlos. Otros problemas importantes son la educación, los recursos hídricos, la energía, el transporte y los centros para el cuidado de los niños que permitan a las mujeres trabajar. Es imprescindible comprender la diversidad social, étnica, cultural y económica del Camerún para poder cons</w:t>
      </w:r>
      <w:r>
        <w:rPr>
          <w:lang w:val="es-ES_tradnl"/>
        </w:rPr>
        <w:t>e</w:t>
      </w:r>
      <w:r>
        <w:rPr>
          <w:lang w:val="es-ES_tradnl"/>
        </w:rPr>
        <w:t>guir el desarrollo sostenible y fomentar el adelanto de la mujer. Su Gobierno trata de recoger la información necesaria, fomentar la sensibilización entre la pobl</w:t>
      </w:r>
      <w:r>
        <w:rPr>
          <w:lang w:val="es-ES_tradnl"/>
        </w:rPr>
        <w:t>a</w:t>
      </w:r>
      <w:r>
        <w:rPr>
          <w:lang w:val="es-ES_tradnl"/>
        </w:rPr>
        <w:t>ción y establecer diálogos con los dirigentes tradici</w:t>
      </w:r>
      <w:r>
        <w:rPr>
          <w:lang w:val="es-ES_tradnl"/>
        </w:rPr>
        <w:t>o</w:t>
      </w:r>
      <w:r>
        <w:rPr>
          <w:lang w:val="es-ES_tradnl"/>
        </w:rPr>
        <w:t>nales, sin cuya cooperación es poco probable que ll</w:t>
      </w:r>
      <w:r>
        <w:rPr>
          <w:lang w:val="es-ES_tradnl"/>
        </w:rPr>
        <w:t>e</w:t>
      </w:r>
      <w:r>
        <w:rPr>
          <w:lang w:val="es-ES_tradnl"/>
        </w:rPr>
        <w:t>gue a aplicarse ninguna nueva medida.</w:t>
      </w:r>
    </w:p>
    <w:p w:rsidR="00020BA5" w:rsidRDefault="00020BA5">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i/>
          <w:lang w:val="es-ES_tradnl"/>
        </w:rPr>
        <w:t>La delegación del Camerún se retira</w:t>
      </w:r>
      <w:r>
        <w:rPr>
          <w:lang w:val="es-ES_tradnl"/>
        </w:rPr>
        <w:t>.</w:t>
      </w:r>
    </w:p>
    <w:p w:rsidR="00020BA5" w:rsidRDefault="00020BA5">
      <w:pPr>
        <w:pStyle w:val="DualTxt"/>
        <w:rPr>
          <w:i/>
        </w:rPr>
      </w:pPr>
      <w:r>
        <w:rPr>
          <w:i/>
          <w:lang w:val="es-ES_tradnl"/>
        </w:rPr>
        <w:t>Se levanta la sesión a las 16.15 horas.</w:t>
      </w:r>
    </w:p>
    <w:sectPr w:rsidR="00020BA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2906EF" w:rsidRPr="0055769A" w:rsidRDefault="002906EF">
      <w:pPr>
        <w:pStyle w:val="CommentText"/>
        <w:rPr>
          <w:lang w:val="en-US"/>
        </w:rPr>
      </w:pPr>
      <w:r>
        <w:fldChar w:fldCharType="begin"/>
      </w:r>
      <w:r w:rsidRPr="0055769A">
        <w:rPr>
          <w:lang w:val="en-US"/>
        </w:rPr>
        <w:instrText>PAGE \# "'Page: '#'</w:instrText>
      </w:r>
      <w:r w:rsidRPr="0055769A">
        <w:rPr>
          <w:lang w:val="en-US"/>
        </w:rPr>
        <w:br/>
        <w:instrText>'"</w:instrText>
      </w:r>
      <w:r w:rsidRPr="0055769A">
        <w:rPr>
          <w:rStyle w:val="CommentReference"/>
          <w:lang w:val="en-US"/>
        </w:rPr>
        <w:instrText xml:space="preserve">  </w:instrText>
      </w:r>
      <w:r>
        <w:fldChar w:fldCharType="end"/>
      </w:r>
      <w:r>
        <w:rPr>
          <w:rStyle w:val="CommentReference"/>
        </w:rPr>
        <w:annotationRef/>
      </w:r>
      <w:r w:rsidRPr="0055769A">
        <w:rPr>
          <w:lang w:val="en-US"/>
        </w:rPr>
        <w:t>&lt;&lt;ODS JOB NO&gt;&gt;N0049012S&lt;&lt;ODS JOB NO&gt;&gt;</w:t>
      </w:r>
    </w:p>
    <w:p w:rsidR="002906EF" w:rsidRPr="0055769A" w:rsidRDefault="002906EF">
      <w:pPr>
        <w:pStyle w:val="CommentText"/>
        <w:rPr>
          <w:lang w:val="en-US"/>
        </w:rPr>
      </w:pPr>
      <w:r w:rsidRPr="0055769A">
        <w:rPr>
          <w:lang w:val="en-US"/>
        </w:rPr>
        <w:t>&lt;&lt;ODS DOC SYMBOL1&gt;&gt;CEDAW/C/SR.477&lt;&lt;ODS DOC SYMBOL1&gt;&gt;</w:t>
      </w:r>
    </w:p>
    <w:p w:rsidR="002906EF" w:rsidRPr="0055769A" w:rsidRDefault="002906EF">
      <w:pPr>
        <w:pStyle w:val="CommentText"/>
        <w:rPr>
          <w:lang w:val="en-US"/>
        </w:rPr>
      </w:pPr>
      <w:r w:rsidRPr="0055769A">
        <w:rPr>
          <w:lang w:val="en-US"/>
        </w:rPr>
        <w:t>&lt;&lt;ODS DOC SYMBOL2&gt;&gt;&lt;&lt;ODS DOC SYMBOL2&gt;&gt;</w:t>
      </w:r>
    </w:p>
  </w:comment>
  <w:comment w:id="0" w:author="UN User" w:date="2006-07-03T16:51:00Z" w:initials="MDi">
    <w:p w:rsidR="002906EF" w:rsidRPr="00790B9D" w:rsidRDefault="002906EF">
      <w:pPr>
        <w:pStyle w:val="CommentText"/>
        <w:rPr>
          <w:lang w:val="en-GB"/>
        </w:rPr>
      </w:pPr>
      <w:r>
        <w:fldChar w:fldCharType="begin"/>
      </w:r>
      <w:r w:rsidRPr="00790B9D">
        <w:rPr>
          <w:rStyle w:val="CommentReference"/>
          <w:lang w:val="en-GB"/>
        </w:rPr>
        <w:instrText xml:space="preserve"> </w:instrText>
      </w:r>
      <w:r w:rsidRPr="00790B9D">
        <w:rPr>
          <w:lang w:val="en-GB"/>
        </w:rPr>
        <w:instrText>PAGE \# "'Page: '#'</w:instrText>
      </w:r>
      <w:r w:rsidRPr="00790B9D">
        <w:rPr>
          <w:lang w:val="en-GB"/>
        </w:rPr>
        <w:br/>
        <w:instrText>'"</w:instrText>
      </w:r>
      <w:r w:rsidRPr="00790B9D">
        <w:rPr>
          <w:rStyle w:val="CommentReference"/>
          <w:lang w:val="en-GB"/>
        </w:rPr>
        <w:instrText xml:space="preserve"> </w:instrText>
      </w:r>
      <w:r>
        <w:fldChar w:fldCharType="end"/>
      </w:r>
      <w:r>
        <w:rPr>
          <w:rStyle w:val="CommentReference"/>
        </w:rPr>
        <w:annotationRef/>
      </w:r>
      <w:r w:rsidRPr="00790B9D">
        <w:rPr>
          <w:lang w:val="en-GB"/>
        </w:rPr>
        <w:t>&lt;&lt;ODS JOB NO&gt;&gt;N0049012S&lt;&lt;ODS JOB NO&gt;&gt;</w:t>
      </w:r>
    </w:p>
    <w:p w:rsidR="002906EF" w:rsidRDefault="002906EF">
      <w:pPr>
        <w:pStyle w:val="CommentText"/>
      </w:pPr>
      <w:r>
        <w:t>&lt;&lt;ODS DOC SYMBOL1&gt;&gt;CEDAW/C/SR.477&lt;&lt;ODS DOC SYMBOL1&gt;&gt;</w:t>
      </w:r>
    </w:p>
    <w:p w:rsidR="002906EF" w:rsidRDefault="002906E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FAE" w:rsidRDefault="00A50FAE">
      <w:r>
        <w:separator/>
      </w:r>
    </w:p>
  </w:endnote>
  <w:endnote w:type="continuationSeparator" w:id="0">
    <w:p w:rsidR="00A50FAE" w:rsidRDefault="00A50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906EF">
      <w:tblPrEx>
        <w:tblCellMar>
          <w:top w:w="0" w:type="dxa"/>
          <w:bottom w:w="0" w:type="dxa"/>
        </w:tblCellMar>
      </w:tblPrEx>
      <w:tc>
        <w:tcPr>
          <w:tcW w:w="5033" w:type="dxa"/>
          <w:vAlign w:val="bottom"/>
        </w:tcPr>
        <w:p w:rsidR="002906EF" w:rsidRDefault="002906EF">
          <w:pPr>
            <w:pStyle w:val="Footer"/>
          </w:pPr>
          <w:r>
            <w:fldChar w:fldCharType="begin"/>
          </w:r>
          <w:r>
            <w:instrText xml:space="preserve"> PAGE  \* MERGEFORMAT </w:instrText>
          </w:r>
          <w:r>
            <w:fldChar w:fldCharType="separate"/>
          </w:r>
          <w:r w:rsidR="00A2690B">
            <w:t>4</w:t>
          </w:r>
          <w:r>
            <w:fldChar w:fldCharType="end"/>
          </w:r>
        </w:p>
      </w:tc>
      <w:tc>
        <w:tcPr>
          <w:tcW w:w="5033" w:type="dxa"/>
          <w:vAlign w:val="bottom"/>
        </w:tcPr>
        <w:p w:rsidR="002906EF" w:rsidRDefault="002906EF">
          <w:pPr>
            <w:pStyle w:val="Footer"/>
            <w:jc w:val="right"/>
            <w:rPr>
              <w:b w:val="0"/>
              <w:sz w:val="14"/>
            </w:rPr>
          </w:pPr>
        </w:p>
      </w:tc>
    </w:tr>
  </w:tbl>
  <w:p w:rsidR="002906EF" w:rsidRDefault="002906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906EF">
      <w:tblPrEx>
        <w:tblCellMar>
          <w:top w:w="0" w:type="dxa"/>
          <w:bottom w:w="0" w:type="dxa"/>
        </w:tblCellMar>
      </w:tblPrEx>
      <w:tc>
        <w:tcPr>
          <w:tcW w:w="5033" w:type="dxa"/>
          <w:vAlign w:val="bottom"/>
        </w:tcPr>
        <w:p w:rsidR="002906EF" w:rsidRDefault="002906EF">
          <w:pPr>
            <w:pStyle w:val="Footer"/>
            <w:rPr>
              <w:b w:val="0"/>
              <w:sz w:val="14"/>
            </w:rPr>
          </w:pPr>
        </w:p>
      </w:tc>
      <w:tc>
        <w:tcPr>
          <w:tcW w:w="5033" w:type="dxa"/>
          <w:vAlign w:val="bottom"/>
        </w:tcPr>
        <w:p w:rsidR="002906EF" w:rsidRDefault="002906EF">
          <w:pPr>
            <w:pStyle w:val="Footer"/>
            <w:jc w:val="right"/>
          </w:pPr>
          <w:r>
            <w:fldChar w:fldCharType="begin"/>
          </w:r>
          <w:r>
            <w:instrText xml:space="preserve"> PAGE  \* MERGEFORMAT </w:instrText>
          </w:r>
          <w:r>
            <w:fldChar w:fldCharType="separate"/>
          </w:r>
          <w:r w:rsidR="00A2690B">
            <w:t>3</w:t>
          </w:r>
          <w:r>
            <w:fldChar w:fldCharType="end"/>
          </w:r>
        </w:p>
      </w:tc>
    </w:tr>
  </w:tbl>
  <w:p w:rsidR="002906EF" w:rsidRDefault="002906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EF" w:rsidRDefault="002906EF">
    <w:pPr>
      <w:pStyle w:val="Footer"/>
      <w:pBdr>
        <w:top w:val="single" w:sz="2" w:space="1" w:color="auto"/>
      </w:pBdr>
      <w:rPr>
        <w:sz w:val="2"/>
      </w:rPr>
    </w:pPr>
  </w:p>
  <w:p w:rsidR="002906EF" w:rsidRDefault="002906E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906EF" w:rsidRDefault="002906E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906EF" w:rsidRDefault="002906E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906EF" w:rsidRDefault="002906EF">
    <w:pPr>
      <w:pStyle w:val="FootnoteText"/>
      <w:spacing w:line="120" w:lineRule="exact"/>
      <w:ind w:left="1267" w:right="1267" w:firstLine="0"/>
      <w:rPr>
        <w:sz w:val="10"/>
      </w:rPr>
    </w:pPr>
  </w:p>
  <w:p w:rsidR="002906EF" w:rsidRDefault="002906EF">
    <w:pPr>
      <w:pStyle w:val="Footer"/>
      <w:rPr>
        <w:b w:val="0"/>
        <w:sz w:val="20"/>
      </w:rPr>
    </w:pPr>
    <w:r>
      <w:rPr>
        <w:b w:val="0"/>
        <w:sz w:val="20"/>
      </w:rPr>
      <w:t>00-49012 (S)</w:t>
    </w:r>
  </w:p>
  <w:p w:rsidR="002906EF" w:rsidRPr="00790B9D" w:rsidRDefault="002906EF" w:rsidP="00715BBF">
    <w:pPr>
      <w:pStyle w:val="Footer"/>
      <w:rPr>
        <w:rFonts w:ascii="Barcode 3 of 9 by request" w:hAnsi="Barcode 3 of 9 by request"/>
        <w:b w:val="0"/>
        <w:sz w:val="24"/>
      </w:rPr>
    </w:pPr>
    <w:r>
      <w:rPr>
        <w:rFonts w:ascii="Barcode 3 of 9 by request" w:hAnsi="Barcode 3 of 9 by request"/>
        <w:b w:val="0"/>
        <w:sz w:val="24"/>
      </w:rPr>
      <w:t>*0049012*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FAE" w:rsidRDefault="00A50FAE">
      <w:r>
        <w:separator/>
      </w:r>
    </w:p>
  </w:footnote>
  <w:footnote w:type="continuationSeparator" w:id="0">
    <w:p w:rsidR="00A50FAE" w:rsidRDefault="00A50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EF" w:rsidRDefault="002906E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906EF">
                  <w:tblPrEx>
                    <w:tblCellMar>
                      <w:top w:w="0" w:type="dxa"/>
                      <w:left w:w="0" w:type="dxa"/>
                      <w:bottom w:w="0" w:type="dxa"/>
                      <w:right w:w="0" w:type="dxa"/>
                    </w:tblCellMar>
                  </w:tblPrEx>
                  <w:trPr>
                    <w:trHeight w:hRule="exact" w:val="864"/>
                  </w:trPr>
                  <w:tc>
                    <w:tcPr>
                      <w:tcW w:w="4838" w:type="dxa"/>
                      <w:vAlign w:val="bottom"/>
                    </w:tcPr>
                    <w:p w:rsidR="002906EF" w:rsidRDefault="002906EF">
                      <w:pPr>
                        <w:pStyle w:val="Header"/>
                        <w:spacing w:after="80"/>
                        <w:rPr>
                          <w:b/>
                        </w:rPr>
                      </w:pPr>
                      <w:r>
                        <w:rPr>
                          <w:b/>
                        </w:rPr>
                        <w:t>CEDAW/C/SR.477</w:t>
                      </w:r>
                    </w:p>
                  </w:tc>
                  <w:tc>
                    <w:tcPr>
                      <w:tcW w:w="5047" w:type="dxa"/>
                      <w:vAlign w:val="bottom"/>
                    </w:tcPr>
                    <w:p w:rsidR="002906EF" w:rsidRDefault="002906EF">
                      <w:pPr>
                        <w:pStyle w:val="Header"/>
                      </w:pPr>
                    </w:p>
                  </w:tc>
                </w:tr>
              </w:tbl>
              <w:p w:rsidR="002906EF" w:rsidRDefault="002906EF"/>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EF" w:rsidRDefault="002906E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906EF">
                  <w:tblPrEx>
                    <w:tblCellMar>
                      <w:top w:w="0" w:type="dxa"/>
                      <w:left w:w="0" w:type="dxa"/>
                      <w:bottom w:w="0" w:type="dxa"/>
                      <w:right w:w="0" w:type="dxa"/>
                    </w:tblCellMar>
                  </w:tblPrEx>
                  <w:trPr>
                    <w:trHeight w:hRule="exact" w:val="864"/>
                  </w:trPr>
                  <w:tc>
                    <w:tcPr>
                      <w:tcW w:w="4838" w:type="dxa"/>
                      <w:vAlign w:val="bottom"/>
                    </w:tcPr>
                    <w:p w:rsidR="002906EF" w:rsidRDefault="002906EF">
                      <w:pPr>
                        <w:pStyle w:val="Header"/>
                      </w:pPr>
                    </w:p>
                  </w:tc>
                  <w:tc>
                    <w:tcPr>
                      <w:tcW w:w="5047" w:type="dxa"/>
                      <w:vAlign w:val="bottom"/>
                    </w:tcPr>
                    <w:p w:rsidR="002906EF" w:rsidRDefault="002906EF">
                      <w:pPr>
                        <w:pStyle w:val="Header"/>
                        <w:spacing w:after="80"/>
                        <w:jc w:val="right"/>
                        <w:rPr>
                          <w:b/>
                        </w:rPr>
                      </w:pPr>
                      <w:r>
                        <w:rPr>
                          <w:b/>
                        </w:rPr>
                        <w:t>CEDAW/C/SR.477</w:t>
                      </w:r>
                    </w:p>
                  </w:tc>
                </w:tr>
              </w:tbl>
              <w:p w:rsidR="002906EF" w:rsidRDefault="002906EF"/>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906E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2906EF" w:rsidRDefault="002906EF">
          <w:pPr>
            <w:pStyle w:val="Header"/>
            <w:spacing w:after="120"/>
          </w:pPr>
        </w:p>
      </w:tc>
      <w:tc>
        <w:tcPr>
          <w:tcW w:w="2059" w:type="dxa"/>
          <w:tcBorders>
            <w:top w:val="nil"/>
            <w:left w:val="nil"/>
            <w:bottom w:val="nil"/>
            <w:right w:val="nil"/>
          </w:tcBorders>
          <w:vAlign w:val="bottom"/>
        </w:tcPr>
        <w:p w:rsidR="002906EF" w:rsidRDefault="002906EF">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2906EF" w:rsidRDefault="002906EF">
          <w:pPr>
            <w:pStyle w:val="Header"/>
            <w:spacing w:after="120"/>
          </w:pPr>
        </w:p>
      </w:tc>
      <w:tc>
        <w:tcPr>
          <w:tcW w:w="6523" w:type="dxa"/>
          <w:gridSpan w:val="3"/>
          <w:tcBorders>
            <w:top w:val="nil"/>
            <w:left w:val="nil"/>
            <w:bottom w:val="nil"/>
            <w:right w:val="nil"/>
          </w:tcBorders>
          <w:vAlign w:val="bottom"/>
        </w:tcPr>
        <w:p w:rsidR="002906EF" w:rsidRDefault="002906EF">
          <w:pPr>
            <w:spacing w:after="80" w:line="240" w:lineRule="auto"/>
            <w:jc w:val="right"/>
            <w:rPr>
              <w:position w:val="-4"/>
            </w:rPr>
          </w:pPr>
          <w:r>
            <w:rPr>
              <w:position w:val="-4"/>
              <w:sz w:val="40"/>
            </w:rPr>
            <w:t>CEDAW</w:t>
          </w:r>
          <w:r>
            <w:rPr>
              <w:position w:val="-4"/>
            </w:rPr>
            <w:t>/C/SR.477</w:t>
          </w:r>
        </w:p>
      </w:tc>
    </w:tr>
    <w:tr w:rsidR="002906EF">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2906EF" w:rsidRDefault="002906E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906EF" w:rsidRDefault="002906EF">
          <w:pPr>
            <w:pStyle w:val="Header"/>
            <w:spacing w:before="109"/>
          </w:pPr>
        </w:p>
      </w:tc>
      <w:tc>
        <w:tcPr>
          <w:tcW w:w="5227" w:type="dxa"/>
          <w:gridSpan w:val="3"/>
          <w:tcBorders>
            <w:left w:val="nil"/>
            <w:bottom w:val="single" w:sz="12" w:space="0" w:color="auto"/>
            <w:right w:val="nil"/>
          </w:tcBorders>
        </w:tcPr>
        <w:p w:rsidR="002906EF" w:rsidRDefault="002906E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2906EF" w:rsidRDefault="002906EF">
          <w:pPr>
            <w:pStyle w:val="Header"/>
            <w:spacing w:before="109"/>
          </w:pPr>
        </w:p>
      </w:tc>
      <w:tc>
        <w:tcPr>
          <w:tcW w:w="3180" w:type="dxa"/>
          <w:gridSpan w:val="2"/>
          <w:tcBorders>
            <w:left w:val="nil"/>
            <w:bottom w:val="single" w:sz="12" w:space="0" w:color="auto"/>
            <w:right w:val="nil"/>
          </w:tcBorders>
        </w:tcPr>
        <w:p w:rsidR="002906EF" w:rsidRDefault="002906EF">
          <w:pPr>
            <w:spacing w:before="240"/>
          </w:pPr>
          <w:r>
            <w:t>Distr. general</w:t>
          </w:r>
        </w:p>
        <w:p w:rsidR="002906EF" w:rsidRDefault="002906EF">
          <w:r>
            <w:t>5 de julio de 2006</w:t>
          </w:r>
        </w:p>
        <w:p w:rsidR="002906EF" w:rsidRDefault="002906EF">
          <w:r>
            <w:t>Español</w:t>
          </w:r>
        </w:p>
        <w:p w:rsidR="002906EF" w:rsidRDefault="002906EF">
          <w:r>
            <w:t>Original: inglés</w:t>
          </w:r>
        </w:p>
      </w:tc>
    </w:tr>
  </w:tbl>
  <w:p w:rsidR="002906EF" w:rsidRDefault="002906E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8C9"/>
    <w:multiLevelType w:val="singleLevel"/>
    <w:tmpl w:val="C032D362"/>
    <w:lvl w:ilvl="0">
      <w:start w:val="8"/>
      <w:numFmt w:val="decimal"/>
      <w:lvlRestart w:val="0"/>
      <w:lvlText w:val="%1."/>
      <w:lvlJc w:val="left"/>
      <w:pPr>
        <w:tabs>
          <w:tab w:val="num" w:pos="475"/>
        </w:tabs>
        <w:ind w:left="0" w:firstLine="0"/>
      </w:pPr>
      <w:rPr>
        <w:spacing w:val="0"/>
        <w:w w:val="100"/>
      </w:rPr>
    </w:lvl>
  </w:abstractNum>
  <w:abstractNum w:abstractNumId="1">
    <w:nsid w:val="04C94E02"/>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2">
    <w:nsid w:val="05EE1C2E"/>
    <w:multiLevelType w:val="singleLevel"/>
    <w:tmpl w:val="98A8E97E"/>
    <w:lvl w:ilvl="0">
      <w:start w:val="5"/>
      <w:numFmt w:val="decimal"/>
      <w:lvlRestart w:val="0"/>
      <w:lvlText w:val="%1."/>
      <w:lvlJc w:val="left"/>
      <w:pPr>
        <w:tabs>
          <w:tab w:val="num" w:pos="475"/>
        </w:tabs>
        <w:ind w:left="0" w:firstLine="0"/>
      </w:pPr>
      <w:rPr>
        <w:spacing w:val="0"/>
        <w:w w:val="100"/>
      </w:rPr>
    </w:lvl>
  </w:abstractNum>
  <w:abstractNum w:abstractNumId="3">
    <w:nsid w:val="1597006C"/>
    <w:multiLevelType w:val="singleLevel"/>
    <w:tmpl w:val="54A0F608"/>
    <w:lvl w:ilvl="0">
      <w:start w:val="1"/>
      <w:numFmt w:val="decimal"/>
      <w:lvlRestart w:val="0"/>
      <w:lvlText w:val="%1."/>
      <w:lvlJc w:val="left"/>
      <w:pPr>
        <w:tabs>
          <w:tab w:val="num" w:pos="475"/>
        </w:tabs>
        <w:ind w:left="0" w:firstLine="0"/>
      </w:pPr>
      <w:rPr>
        <w:spacing w:val="0"/>
        <w:w w:val="100"/>
      </w:rPr>
    </w:lvl>
  </w:abstractNum>
  <w:abstractNum w:abstractNumId="4">
    <w:nsid w:val="179F68C4"/>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5">
    <w:nsid w:val="1DA21410"/>
    <w:multiLevelType w:val="singleLevel"/>
    <w:tmpl w:val="0BFE89C2"/>
    <w:lvl w:ilvl="0">
      <w:start w:val="29"/>
      <w:numFmt w:val="decimal"/>
      <w:lvlRestart w:val="0"/>
      <w:lvlText w:val="%1."/>
      <w:lvlJc w:val="left"/>
      <w:pPr>
        <w:tabs>
          <w:tab w:val="num" w:pos="475"/>
        </w:tabs>
        <w:ind w:left="0" w:firstLine="0"/>
      </w:pPr>
      <w:rPr>
        <w:spacing w:val="0"/>
        <w:w w:val="100"/>
      </w:rPr>
    </w:lvl>
  </w:abstractNum>
  <w:abstractNum w:abstractNumId="6">
    <w:nsid w:val="33051014"/>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7">
    <w:nsid w:val="3C1C2DE4"/>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8">
    <w:nsid w:val="40577C4A"/>
    <w:multiLevelType w:val="singleLevel"/>
    <w:tmpl w:val="CC509E4A"/>
    <w:lvl w:ilvl="0">
      <w:start w:val="1"/>
      <w:numFmt w:val="decimal"/>
      <w:lvlText w:val="%1."/>
      <w:lvlJc w:val="left"/>
      <w:pPr>
        <w:tabs>
          <w:tab w:val="num" w:pos="480"/>
        </w:tabs>
        <w:ind w:left="480" w:hanging="480"/>
      </w:pPr>
      <w:rPr>
        <w:rFonts w:hint="default"/>
      </w:rPr>
    </w:lvl>
  </w:abstractNum>
  <w:abstractNum w:abstractNumId="9">
    <w:nsid w:val="49895F17"/>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10">
    <w:nsid w:val="4A4C7934"/>
    <w:multiLevelType w:val="singleLevel"/>
    <w:tmpl w:val="AD507FAE"/>
    <w:lvl w:ilvl="0">
      <w:start w:val="5"/>
      <w:numFmt w:val="decimal"/>
      <w:lvlRestart w:val="0"/>
      <w:lvlText w:val="%1."/>
      <w:lvlJc w:val="left"/>
      <w:pPr>
        <w:tabs>
          <w:tab w:val="num" w:pos="475"/>
        </w:tabs>
        <w:ind w:left="0" w:firstLine="0"/>
      </w:pPr>
      <w:rPr>
        <w:spacing w:val="0"/>
        <w:w w:val="100"/>
      </w:rPr>
    </w:lvl>
  </w:abstractNum>
  <w:abstractNum w:abstractNumId="11">
    <w:nsid w:val="53D67A35"/>
    <w:multiLevelType w:val="singleLevel"/>
    <w:tmpl w:val="14684F28"/>
    <w:lvl w:ilvl="0">
      <w:start w:val="30"/>
      <w:numFmt w:val="decimal"/>
      <w:lvlText w:val="%1."/>
      <w:lvlJc w:val="left"/>
      <w:pPr>
        <w:tabs>
          <w:tab w:val="num" w:pos="480"/>
        </w:tabs>
        <w:ind w:left="480" w:hanging="480"/>
      </w:pPr>
      <w:rPr>
        <w:rFonts w:hint="default"/>
      </w:rPr>
    </w:lvl>
  </w:abstractNum>
  <w:abstractNum w:abstractNumId="12">
    <w:nsid w:val="53DC6F45"/>
    <w:multiLevelType w:val="singleLevel"/>
    <w:tmpl w:val="98A8E97E"/>
    <w:lvl w:ilvl="0">
      <w:start w:val="5"/>
      <w:numFmt w:val="decimal"/>
      <w:lvlRestart w:val="0"/>
      <w:lvlText w:val="%1."/>
      <w:lvlJc w:val="left"/>
      <w:pPr>
        <w:tabs>
          <w:tab w:val="num" w:pos="475"/>
        </w:tabs>
        <w:ind w:left="0" w:firstLine="0"/>
      </w:pPr>
      <w:rPr>
        <w:spacing w:val="0"/>
        <w:w w:val="100"/>
      </w:rPr>
    </w:lvl>
  </w:abstractNum>
  <w:abstractNum w:abstractNumId="13">
    <w:nsid w:val="7319587C"/>
    <w:multiLevelType w:val="singleLevel"/>
    <w:tmpl w:val="216A637E"/>
    <w:lvl w:ilvl="0">
      <w:start w:val="11"/>
      <w:numFmt w:val="decimal"/>
      <w:lvlRestart w:val="0"/>
      <w:lvlText w:val="%1."/>
      <w:lvlJc w:val="left"/>
      <w:pPr>
        <w:tabs>
          <w:tab w:val="num" w:pos="475"/>
        </w:tabs>
        <w:ind w:left="0" w:firstLine="0"/>
      </w:pPr>
      <w:rPr>
        <w:spacing w:val="0"/>
        <w:w w:val="100"/>
      </w:rPr>
    </w:lvl>
  </w:abstractNum>
  <w:num w:numId="1">
    <w:abstractNumId w:val="9"/>
  </w:num>
  <w:num w:numId="2">
    <w:abstractNumId w:val="7"/>
  </w:num>
  <w:num w:numId="3">
    <w:abstractNumId w:val="8"/>
  </w:num>
  <w:num w:numId="4">
    <w:abstractNumId w:val="4"/>
  </w:num>
  <w:num w:numId="5">
    <w:abstractNumId w:val="1"/>
  </w:num>
  <w:num w:numId="6">
    <w:abstractNumId w:val="10"/>
  </w:num>
  <w:num w:numId="7">
    <w:abstractNumId w:val="6"/>
  </w:num>
  <w:num w:numId="8">
    <w:abstractNumId w:val="13"/>
  </w:num>
  <w:num w:numId="9">
    <w:abstractNumId w:val="0"/>
  </w:num>
  <w:num w:numId="10">
    <w:abstractNumId w:val="5"/>
  </w:num>
  <w:num w:numId="11">
    <w:abstractNumId w:val="11"/>
  </w:num>
  <w:num w:numId="12">
    <w:abstractNumId w:val="3"/>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9012*"/>
    <w:docVar w:name="CreationDt" w:val="6/25/2006 4:37: PM"/>
    <w:docVar w:name="DocCategory" w:val="SROthers"/>
    <w:docVar w:name="DocType" w:val="Final"/>
    <w:docVar w:name="jobn" w:val="00-49012 (S)"/>
    <w:docVar w:name="JobNo" w:val="0049012S"/>
    <w:docVar w:name="OandT" w:val="pl"/>
    <w:docVar w:name="sss1" w:val="CEDAW/C/SR.477"/>
    <w:docVar w:name="sss2" w:val="-"/>
    <w:docVar w:name="Symbol1" w:val="CEDAW/C/SR.477"/>
    <w:docVar w:name="Symbol2" w:val="-"/>
  </w:docVars>
  <w:rsids>
    <w:rsidRoot w:val="0055769A"/>
    <w:rsid w:val="00020BA5"/>
    <w:rsid w:val="002906EF"/>
    <w:rsid w:val="00424190"/>
    <w:rsid w:val="0055769A"/>
    <w:rsid w:val="00614E34"/>
    <w:rsid w:val="00715BBF"/>
    <w:rsid w:val="00790B9D"/>
    <w:rsid w:val="00A2690B"/>
    <w:rsid w:val="00A50F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s-ES" w:eastAsia="es-ES"/>
    </w:rPr>
  </w:style>
  <w:style w:type="paragraph" w:styleId="Header">
    <w:name w:val="header"/>
    <w:pPr>
      <w:tabs>
        <w:tab w:val="center" w:pos="4320"/>
        <w:tab w:val="right" w:pos="8640"/>
      </w:tabs>
    </w:pPr>
    <w:rPr>
      <w:noProof/>
      <w:sz w:val="17"/>
      <w:lang w:val="es-ES" w:eastAsia="es-E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790B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1729</Words>
  <Characters>8788</Characters>
  <Application>Microsoft Office Word</Application>
  <DocSecurity>4</DocSecurity>
  <Lines>231</Lines>
  <Paragraphs>36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10481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RONQUILLO, Sonnia</cp:lastModifiedBy>
  <cp:revision>8</cp:revision>
  <cp:lastPrinted>2006-07-03T17:54:00Z</cp:lastPrinted>
  <dcterms:created xsi:type="dcterms:W3CDTF">2006-07-03T15:42:00Z</dcterms:created>
  <dcterms:modified xsi:type="dcterms:W3CDTF">2006-07-03T17:55:00Z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0049012</vt:lpwstr>
  </property>
  <property fmtid="{D5CDD505-2E9C-101B-9397-08002B2CF9AE}" pid="3" name="Symbol1">
    <vt:lpwstr>CEDAW/C/SR.477</vt:lpwstr>
  </property>
  <property fmtid="{D5CDD505-2E9C-101B-9397-08002B2CF9AE}" pid="4" name="Symbol2">
    <vt:lpwstr/>
  </property>
  <property fmtid="{D5CDD505-2E9C-101B-9397-08002B2CF9AE}" pid="5" name="Translator">
    <vt:lpwstr/>
  </property>
  <property fmtid="{D5CDD505-2E9C-101B-9397-08002B2CF9AE}" pid="6" name="Comment">
    <vt:lpwstr>External. For archiving only</vt:lpwstr>
  </property>
  <property fmtid="{D5CDD505-2E9C-101B-9397-08002B2CF9AE}" pid="7" name="DraftPages">
    <vt:lpwstr> </vt:lpwstr>
  </property>
  <property fmtid="{D5CDD505-2E9C-101B-9397-08002B2CF9AE}" pid="8" name="Operator">
    <vt:lpwstr>sr</vt:lpwstr>
  </property>
</Properties>
</file>