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F10" w:rsidRDefault="00CA3F10">
      <w:pPr>
        <w:spacing w:line="240" w:lineRule="auto"/>
        <w:rPr>
          <w:sz w:val="2"/>
        </w:rPr>
        <w:sectPr w:rsidR="00CA3F1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CA3F10" w:rsidRDefault="00CA3F10">
      <w:pPr>
        <w:pStyle w:val="H1"/>
      </w:pPr>
      <w:r>
        <w:t>Comité para la Eliminación de la Discriminación</w:t>
      </w:r>
      <w:r>
        <w:br/>
        <w:t>contra la Mujer</w:t>
      </w:r>
    </w:p>
    <w:p w:rsidR="00CA3F10" w:rsidRDefault="00CA3F10">
      <w:pPr>
        <w:pStyle w:val="H23"/>
      </w:pPr>
      <w:r>
        <w:t>34° período de sesiones</w:t>
      </w:r>
    </w:p>
    <w:p w:rsidR="00CA3F10" w:rsidRDefault="00CA3F10">
      <w:pPr>
        <w:spacing w:line="240" w:lineRule="auto"/>
        <w:rPr>
          <w:sz w:val="12"/>
        </w:rPr>
      </w:pPr>
    </w:p>
    <w:p w:rsidR="00CA3F10" w:rsidRDefault="00CA3F10">
      <w:pPr>
        <w:pStyle w:val="H23"/>
      </w:pPr>
      <w:r>
        <w:t>Acta resumida de la 712ª sesión</w:t>
      </w:r>
    </w:p>
    <w:p w:rsidR="00CA3F10" w:rsidRDefault="00CA3F10">
      <w:r>
        <w:t>Celebrada en la Sede, Nueva York, el miércoles 25 de enero de 2006, a las 15.00 horas</w:t>
      </w:r>
    </w:p>
    <w:p w:rsidR="00CA3F10" w:rsidRDefault="00CA3F10">
      <w:pPr>
        <w:spacing w:line="120" w:lineRule="exact"/>
        <w:rPr>
          <w:sz w:val="10"/>
        </w:rPr>
      </w:pPr>
    </w:p>
    <w:p w:rsidR="00CA3F10" w:rsidRDefault="00CA3F10">
      <w:pPr>
        <w:tabs>
          <w:tab w:val="right" w:pos="950"/>
          <w:tab w:val="left" w:pos="1267"/>
          <w:tab w:val="right" w:leader="dot" w:pos="8568"/>
        </w:tabs>
        <w:ind w:right="1267"/>
      </w:pPr>
      <w:r>
        <w:rPr>
          <w:i/>
        </w:rPr>
        <w:t>Presidenta:</w:t>
      </w:r>
      <w:r>
        <w:tab/>
        <w:t>Sra. Belmihoub-Zerdani (Vicepresidenta)</w:t>
      </w:r>
    </w:p>
    <w:p w:rsidR="00CA3F10" w:rsidRDefault="00CA3F10">
      <w:pPr>
        <w:tabs>
          <w:tab w:val="right" w:pos="950"/>
          <w:tab w:val="left" w:pos="1267"/>
          <w:tab w:val="right" w:leader="dot" w:pos="8568"/>
        </w:tabs>
        <w:spacing w:line="120" w:lineRule="exact"/>
        <w:ind w:right="1267"/>
        <w:rPr>
          <w:sz w:val="10"/>
        </w:rPr>
      </w:pPr>
    </w:p>
    <w:p w:rsidR="00CA3F10" w:rsidRDefault="00CA3F10">
      <w:pPr>
        <w:tabs>
          <w:tab w:val="right" w:pos="950"/>
          <w:tab w:val="left" w:pos="1267"/>
          <w:tab w:val="right" w:leader="dot" w:pos="8568"/>
        </w:tabs>
        <w:spacing w:line="120" w:lineRule="exact"/>
        <w:ind w:right="1267"/>
        <w:rPr>
          <w:sz w:val="10"/>
        </w:rPr>
      </w:pPr>
    </w:p>
    <w:p w:rsidR="00CA3F10" w:rsidRDefault="00CA3F10">
      <w:pPr>
        <w:tabs>
          <w:tab w:val="right" w:pos="950"/>
          <w:tab w:val="left" w:pos="1267"/>
          <w:tab w:val="right" w:leader="dot" w:pos="8568"/>
        </w:tabs>
        <w:spacing w:line="120" w:lineRule="exact"/>
        <w:ind w:right="1267"/>
        <w:rPr>
          <w:sz w:val="10"/>
        </w:rPr>
      </w:pPr>
    </w:p>
    <w:p w:rsidR="00CA3F10" w:rsidRDefault="00CA3F10">
      <w:pPr>
        <w:pStyle w:val="HCh"/>
        <w:rPr>
          <w:b w:val="0"/>
        </w:rPr>
      </w:pPr>
      <w:r>
        <w:rPr>
          <w:b w:val="0"/>
        </w:rPr>
        <w:t>Sumario</w:t>
      </w:r>
    </w:p>
    <w:p w:rsidR="00CA3F10" w:rsidRDefault="00CA3F10">
      <w:pPr>
        <w:pStyle w:val="HCh"/>
        <w:spacing w:line="240" w:lineRule="auto"/>
        <w:rPr>
          <w:b w:val="0"/>
          <w:sz w:val="12"/>
        </w:rPr>
      </w:pPr>
    </w:p>
    <w:p w:rsidR="00CA3F10" w:rsidRDefault="00CA3F10">
      <w:pPr>
        <w:pStyle w:val="SingleTxt"/>
        <w:suppressAutoHyphens/>
        <w:jc w:val="left"/>
      </w:pPr>
      <w:r>
        <w:t>Examen de los informes presentados por los Estados Partes en virtud del artículo 18 de la Convención (</w:t>
      </w:r>
      <w:r>
        <w:rPr>
          <w:i/>
          <w:iCs/>
        </w:rPr>
        <w:t>continuación</w:t>
      </w:r>
      <w:r>
        <w:t>)</w:t>
      </w:r>
    </w:p>
    <w:p w:rsidR="00CA3F10" w:rsidRDefault="00CA3F10">
      <w:pPr>
        <w:pStyle w:val="SingleTxt"/>
        <w:suppressAutoHyphens/>
        <w:ind w:left="1742" w:hanging="475"/>
        <w:jc w:val="left"/>
      </w:pPr>
      <w:r>
        <w:tab/>
      </w:r>
      <w:r>
        <w:rPr>
          <w:i/>
          <w:iCs/>
        </w:rPr>
        <w:t>Informe inicial e informes segundo y tercero combinados de ex República Yugoslava de Macedonia</w:t>
      </w:r>
      <w:r>
        <w:t xml:space="preserve"> (</w:t>
      </w:r>
      <w:r>
        <w:rPr>
          <w:i/>
          <w:iCs/>
        </w:rPr>
        <w:t>continuación</w:t>
      </w:r>
      <w:r>
        <w:t>)</w:t>
      </w:r>
    </w:p>
    <w:p w:rsidR="00CA3F10" w:rsidRDefault="00CA3F10">
      <w:pPr>
        <w:pStyle w:val="SingleTxt"/>
        <w:spacing w:after="0" w:line="240" w:lineRule="auto"/>
        <w:rPr>
          <w:sz w:val="2"/>
        </w:rPr>
        <w:sectPr w:rsidR="00CA3F10">
          <w:endnotePr>
            <w:numFmt w:val="decimal"/>
          </w:endnotePr>
          <w:type w:val="continuous"/>
          <w:pgSz w:w="12240" w:h="15840" w:code="1"/>
          <w:pgMar w:top="1742" w:right="1195" w:bottom="1898" w:left="1195" w:header="576" w:footer="1030" w:gutter="0"/>
          <w:cols w:space="720"/>
          <w:noEndnote/>
          <w:docGrid w:linePitch="280"/>
        </w:sectPr>
      </w:pPr>
      <w:r>
        <w:br w:type="page"/>
      </w:r>
    </w:p>
    <w:p w:rsidR="00CA3F10" w:rsidRDefault="00CA3F10">
      <w:pPr>
        <w:pStyle w:val="H4"/>
        <w:tabs>
          <w:tab w:val="right" w:pos="360"/>
          <w:tab w:val="left" w:pos="475"/>
          <w:tab w:val="left" w:pos="965"/>
          <w:tab w:val="left" w:pos="1440"/>
          <w:tab w:val="left" w:pos="1915"/>
          <w:tab w:val="left" w:pos="2405"/>
          <w:tab w:val="left" w:pos="2880"/>
          <w:tab w:val="left" w:pos="3355"/>
        </w:tabs>
      </w:pPr>
      <w:r>
        <w:t>En ausencia de la Sra. Manalo, la Sra. Be</w:t>
      </w:r>
      <w:r>
        <w:t>l</w:t>
      </w:r>
      <w:r>
        <w:t>mihoub-Zerdanie, Vicepresidenta, ocupa la Pr</w:t>
      </w:r>
      <w:r>
        <w:t>e</w:t>
      </w:r>
      <w:r>
        <w:t>sidencia.</w:t>
      </w:r>
    </w:p>
    <w:p w:rsidR="00CA3F10" w:rsidRDefault="00CA3F10">
      <w:pPr>
        <w:pStyle w:val="DualTxt"/>
        <w:spacing w:after="0" w:line="120" w:lineRule="exact"/>
        <w:rPr>
          <w:sz w:val="10"/>
        </w:rPr>
      </w:pPr>
    </w:p>
    <w:p w:rsidR="00CA3F10" w:rsidRDefault="00CA3F10">
      <w:pPr>
        <w:pStyle w:val="DualTxt"/>
        <w:spacing w:after="0" w:line="120" w:lineRule="exact"/>
        <w:rPr>
          <w:sz w:val="10"/>
        </w:rPr>
      </w:pPr>
    </w:p>
    <w:p w:rsidR="00CA3F10" w:rsidRDefault="00CA3F1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pPr>
      <w:r>
        <w:t>Examen de los informes presentados por los Est</w:t>
      </w:r>
      <w:r>
        <w:t>a</w:t>
      </w:r>
      <w:r>
        <w:t xml:space="preserve">dos partes con arreglo al artículo 18 de la Convención </w:t>
      </w:r>
      <w:r>
        <w:rPr>
          <w:b w:val="0"/>
          <w:bCs/>
        </w:rPr>
        <w:t>(</w:t>
      </w:r>
      <w:r>
        <w:rPr>
          <w:b w:val="0"/>
          <w:bCs/>
          <w:i/>
          <w:iCs/>
        </w:rPr>
        <w:t>continuación</w:t>
      </w:r>
      <w:r>
        <w:rPr>
          <w:b w:val="0"/>
          <w:bCs/>
        </w:rPr>
        <w:t>)</w:t>
      </w:r>
    </w:p>
    <w:p w:rsidR="00CA3F10" w:rsidRDefault="00CA3F10">
      <w:pPr>
        <w:pStyle w:val="DualTxt"/>
        <w:spacing w:after="0" w:line="120" w:lineRule="exact"/>
        <w:rPr>
          <w:sz w:val="10"/>
        </w:rPr>
      </w:pPr>
    </w:p>
    <w:p w:rsidR="00CA3F10" w:rsidRDefault="00CA3F10">
      <w:pPr>
        <w:pStyle w:val="H4"/>
        <w:tabs>
          <w:tab w:val="right" w:pos="360"/>
          <w:tab w:val="left" w:pos="475"/>
          <w:tab w:val="left" w:pos="965"/>
          <w:tab w:val="left" w:pos="1440"/>
          <w:tab w:val="left" w:pos="1915"/>
          <w:tab w:val="left" w:pos="2405"/>
          <w:tab w:val="left" w:pos="2880"/>
          <w:tab w:val="left" w:pos="3355"/>
        </w:tabs>
        <w:ind w:left="475" w:hanging="475"/>
      </w:pPr>
      <w:r>
        <w:tab/>
      </w:r>
      <w:r>
        <w:tab/>
        <w:t>Informe inicial e informes segundo y tercero combinados de ex República Yugoslava de Macedonia (cont</w:t>
      </w:r>
      <w:r>
        <w:t>i</w:t>
      </w:r>
      <w:r>
        <w:t>nuación)</w:t>
      </w:r>
      <w:r>
        <w:rPr>
          <w:i w:val="0"/>
          <w:iCs/>
        </w:rPr>
        <w:t xml:space="preserve"> (CEDAW/C/MKD/1-3; CEDAW/C/MKD/Q/1-3 y CEDAW/C/MKD/Q/1-3/Add.1)</w:t>
      </w:r>
    </w:p>
    <w:p w:rsidR="00CA3F10" w:rsidRDefault="00CA3F10">
      <w:pPr>
        <w:pStyle w:val="DualTxt"/>
        <w:spacing w:after="0" w:line="120" w:lineRule="exact"/>
        <w:rPr>
          <w:sz w:val="10"/>
        </w:rPr>
      </w:pPr>
    </w:p>
    <w:p w:rsidR="00CA3F10" w:rsidRDefault="00CA3F10">
      <w:pPr>
        <w:pStyle w:val="DualTxt"/>
      </w:pPr>
      <w:r>
        <w:t>1.</w:t>
      </w:r>
      <w:r>
        <w:tab/>
        <w:t>Por invitación de la Presidenta, los represe</w:t>
      </w:r>
      <w:r>
        <w:t>n</w:t>
      </w:r>
      <w:r>
        <w:t>tantes de la ex República Yugosl</w:t>
      </w:r>
      <w:r>
        <w:t>a</w:t>
      </w:r>
      <w:r>
        <w:t>va de Macedonia toman asiento a la mesa del Comité.</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 xml:space="preserve">Artículo 6 </w:t>
      </w:r>
      <w:r>
        <w:rPr>
          <w:b w:val="0"/>
          <w:bCs/>
        </w:rPr>
        <w:t>(</w:t>
      </w:r>
      <w:r>
        <w:rPr>
          <w:b w:val="0"/>
          <w:bCs/>
          <w:i/>
          <w:iCs/>
        </w:rPr>
        <w:t>continu</w:t>
      </w:r>
      <w:r>
        <w:rPr>
          <w:b w:val="0"/>
          <w:bCs/>
          <w:i/>
          <w:iCs/>
        </w:rPr>
        <w:t>a</w:t>
      </w:r>
      <w:r>
        <w:rPr>
          <w:b w:val="0"/>
          <w:bCs/>
          <w:i/>
          <w:iCs/>
        </w:rPr>
        <w:t>ción</w:t>
      </w:r>
      <w:r>
        <w:rPr>
          <w:b w:val="0"/>
          <w:bCs/>
        </w:rPr>
        <w:t>)</w:t>
      </w:r>
    </w:p>
    <w:p w:rsidR="00CA3F10" w:rsidRDefault="00CA3F10">
      <w:pPr>
        <w:pStyle w:val="DualTxt"/>
        <w:spacing w:after="0" w:line="120" w:lineRule="exact"/>
        <w:rPr>
          <w:sz w:val="10"/>
        </w:rPr>
      </w:pPr>
    </w:p>
    <w:p w:rsidR="00CA3F10" w:rsidRDefault="00CA3F10">
      <w:pPr>
        <w:pStyle w:val="DualTxt"/>
      </w:pPr>
      <w:r>
        <w:t>2.</w:t>
      </w:r>
      <w:r>
        <w:tab/>
      </w:r>
      <w:r>
        <w:rPr>
          <w:b/>
          <w:bCs/>
        </w:rPr>
        <w:t>La Sra. Geleva</w:t>
      </w:r>
      <w:r>
        <w:t xml:space="preserve"> (ex República Yugoslava de M</w:t>
      </w:r>
      <w:r>
        <w:t>a</w:t>
      </w:r>
      <w:r>
        <w:t>cedonia) dice que en su país la demanda de prostit</w:t>
      </w:r>
      <w:r>
        <w:t>u</w:t>
      </w:r>
      <w:r>
        <w:t>ción no se tipifica como delito. Sin embargo, el G</w:t>
      </w:r>
      <w:r>
        <w:t>o</w:t>
      </w:r>
      <w:r>
        <w:t>bierno realizará un análisis de la situación y estudiará también la legislación pertinente de otros países para determinar la necesidad de enmendar sus leyes. En su país se clasifica al ofrecimiento de servicios de prost</w:t>
      </w:r>
      <w:r>
        <w:t>i</w:t>
      </w:r>
      <w:r>
        <w:t>tución como un d</w:t>
      </w:r>
      <w:r>
        <w:t>e</w:t>
      </w:r>
      <w:r>
        <w:t>lito menor.</w:t>
      </w:r>
    </w:p>
    <w:p w:rsidR="00CA3F10" w:rsidRDefault="00CA3F10">
      <w:pPr>
        <w:pStyle w:val="DualTxt"/>
      </w:pPr>
      <w:r>
        <w:t>3.</w:t>
      </w:r>
      <w:r>
        <w:tab/>
      </w:r>
      <w:r>
        <w:rPr>
          <w:b/>
          <w:bCs/>
        </w:rPr>
        <w:t>La Sra. Grozd</w:t>
      </w:r>
      <w:r>
        <w:rPr>
          <w:b/>
          <w:bCs/>
        </w:rPr>
        <w:t>a</w:t>
      </w:r>
      <w:r>
        <w:rPr>
          <w:b/>
          <w:bCs/>
        </w:rPr>
        <w:t>nova</w:t>
      </w:r>
      <w:r>
        <w:t xml:space="preserve"> (ex República Yugoslava de Macedonia) dice que el Ministerio de Trabajo y Polít</w:t>
      </w:r>
      <w:r>
        <w:t>i</w:t>
      </w:r>
      <w:r>
        <w:t>ca Social está pr</w:t>
      </w:r>
      <w:r>
        <w:t>o</w:t>
      </w:r>
      <w:r>
        <w:t>moviendo esfuerzos para crear mayor conciencia sobre la cuestión de la trata de mujeres y niños. El Ministerio ha creado una oficina n</w:t>
      </w:r>
      <w:r>
        <w:t>a</w:t>
      </w:r>
      <w:r>
        <w:t>cional de orientación para coordinar todas las actividades c</w:t>
      </w:r>
      <w:r>
        <w:t>o</w:t>
      </w:r>
      <w:r>
        <w:t>nexas, así como una red de albergues para las ví</w:t>
      </w:r>
      <w:r>
        <w:t>c</w:t>
      </w:r>
      <w:r>
        <w:t>timas de la trata.</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Artículos 7 y 8</w:t>
      </w:r>
    </w:p>
    <w:p w:rsidR="00CA3F10" w:rsidRDefault="00CA3F10">
      <w:pPr>
        <w:pStyle w:val="DualTxt"/>
        <w:spacing w:after="0" w:line="120" w:lineRule="exact"/>
        <w:rPr>
          <w:sz w:val="10"/>
        </w:rPr>
      </w:pPr>
    </w:p>
    <w:p w:rsidR="00CA3F10" w:rsidRDefault="00CA3F10">
      <w:pPr>
        <w:pStyle w:val="DualTxt"/>
      </w:pPr>
      <w:r>
        <w:t>4.</w:t>
      </w:r>
      <w:r>
        <w:tab/>
      </w:r>
      <w:r>
        <w:rPr>
          <w:b/>
          <w:bCs/>
        </w:rPr>
        <w:t>La Sra. Zou</w:t>
      </w:r>
      <w:r>
        <w:t xml:space="preserve"> dice que en el informe del Estado parte no se ha incluido suficiente inform</w:t>
      </w:r>
      <w:r>
        <w:t>a</w:t>
      </w:r>
      <w:r>
        <w:t>ción respecto de la part</w:t>
      </w:r>
      <w:r>
        <w:t>i</w:t>
      </w:r>
      <w:r>
        <w:t>cipación de la mujer en los ámbitos político y público en todos los niveles del sistema político. La d</w:t>
      </w:r>
      <w:r>
        <w:t>e</w:t>
      </w:r>
      <w:r>
        <w:t>legada espera que en el próximo informe se presenten esos datos desglosados por sexo. Menciona que en el informe se señala también que los estereotipos trad</w:t>
      </w:r>
      <w:r>
        <w:t>i</w:t>
      </w:r>
      <w:r>
        <w:t>cionales están afectando el nivel de participación de la mujer, que las mujeres no entienden la política, y que los medios de comunicación no cubren la cuestión ad</w:t>
      </w:r>
      <w:r>
        <w:t>e</w:t>
      </w:r>
      <w:r>
        <w:t>cuad</w:t>
      </w:r>
      <w:r>
        <w:t>a</w:t>
      </w:r>
      <w:r>
        <w:t>mente. Por lo tanto, se pregunta qué medidas está adoptando el Gobierno para hacer frente al problema, en particular, respecto de la publicidad y los e</w:t>
      </w:r>
      <w:r>
        <w:t>s</w:t>
      </w:r>
      <w:r>
        <w:t>fuerzos para educar a las mujeres.</w:t>
      </w:r>
    </w:p>
    <w:p w:rsidR="00CA3F10" w:rsidRDefault="00CA3F10">
      <w:pPr>
        <w:pStyle w:val="DualTxt"/>
      </w:pPr>
      <w:r>
        <w:t>5.</w:t>
      </w:r>
      <w:r>
        <w:tab/>
        <w:t>En el informe se indica que hay muy pocas muj</w:t>
      </w:r>
      <w:r>
        <w:t>e</w:t>
      </w:r>
      <w:r>
        <w:t>res y personas pert</w:t>
      </w:r>
      <w:r>
        <w:t>e</w:t>
      </w:r>
      <w:r>
        <w:t>necientes a las minorías que ocupan cargos de adopción de decisiones y, por lo tanto, la orad</w:t>
      </w:r>
      <w:r>
        <w:t>o</w:t>
      </w:r>
      <w:r>
        <w:t>ra desea saber si el Gobierno ha adoptado alguna medida para aumentar su participación, en particular, por conducto de medidas especiales de carácter temp</w:t>
      </w:r>
      <w:r>
        <w:t>o</w:t>
      </w:r>
      <w:r>
        <w:t>ral. M</w:t>
      </w:r>
      <w:r>
        <w:t>a</w:t>
      </w:r>
      <w:r>
        <w:t>nifiesta su decepción debido a que el Estado parte no ha pr</w:t>
      </w:r>
      <w:r>
        <w:t>o</w:t>
      </w:r>
      <w:r>
        <w:t>porcionado información alguna sobre el tema para responder a la pr</w:t>
      </w:r>
      <w:r>
        <w:t>e</w:t>
      </w:r>
      <w:r>
        <w:t>gunta del Comité.</w:t>
      </w:r>
    </w:p>
    <w:p w:rsidR="00CA3F10" w:rsidRDefault="00CA3F10">
      <w:pPr>
        <w:pStyle w:val="DualTxt"/>
        <w:rPr>
          <w:spacing w:val="2"/>
        </w:rPr>
      </w:pPr>
      <w:r>
        <w:rPr>
          <w:spacing w:val="2"/>
        </w:rPr>
        <w:t>6.</w:t>
      </w:r>
      <w:r>
        <w:rPr>
          <w:spacing w:val="2"/>
        </w:rPr>
        <w:tab/>
      </w:r>
      <w:r>
        <w:rPr>
          <w:b/>
          <w:bCs/>
          <w:spacing w:val="2"/>
        </w:rPr>
        <w:t>La Sra. Coker-Appiah</w:t>
      </w:r>
      <w:r>
        <w:rPr>
          <w:spacing w:val="2"/>
        </w:rPr>
        <w:t>, tomando nota de que en 2002 el Estado parte estableció un sistema de repr</w:t>
      </w:r>
      <w:r>
        <w:rPr>
          <w:spacing w:val="2"/>
        </w:rPr>
        <w:t>e</w:t>
      </w:r>
      <w:r>
        <w:rPr>
          <w:spacing w:val="2"/>
        </w:rPr>
        <w:t>sentación proporcional y una cuota mínima de represe</w:t>
      </w:r>
      <w:r>
        <w:rPr>
          <w:spacing w:val="2"/>
        </w:rPr>
        <w:t>n</w:t>
      </w:r>
      <w:r>
        <w:rPr>
          <w:spacing w:val="2"/>
        </w:rPr>
        <w:t>tación de la mujer del 30% en las listas electorales, pr</w:t>
      </w:r>
      <w:r>
        <w:rPr>
          <w:spacing w:val="2"/>
        </w:rPr>
        <w:t>e</w:t>
      </w:r>
      <w:r>
        <w:rPr>
          <w:spacing w:val="2"/>
        </w:rPr>
        <w:t>gunta qué otras medidas ha adoptado el Gobierno para hacer frente a las percepciones tradicionales relativas a los papeles asignados por razón de género, y de qué m</w:t>
      </w:r>
      <w:r>
        <w:rPr>
          <w:spacing w:val="2"/>
        </w:rPr>
        <w:t>a</w:t>
      </w:r>
      <w:r>
        <w:rPr>
          <w:spacing w:val="2"/>
        </w:rPr>
        <w:t>nera hace respetar sus reformas electorales. La oradora insta al Estado parte a que adopte medidas para aume</w:t>
      </w:r>
      <w:r>
        <w:rPr>
          <w:spacing w:val="2"/>
        </w:rPr>
        <w:t>n</w:t>
      </w:r>
      <w:r>
        <w:rPr>
          <w:spacing w:val="2"/>
        </w:rPr>
        <w:t>tar la participación en la vida política de las m</w:t>
      </w:r>
      <w:r>
        <w:rPr>
          <w:spacing w:val="2"/>
        </w:rPr>
        <w:t>u</w:t>
      </w:r>
      <w:r>
        <w:rPr>
          <w:spacing w:val="2"/>
        </w:rPr>
        <w:t>jeres que pertenecen a minorías, y pregunta si las mujeres que pe</w:t>
      </w:r>
      <w:r>
        <w:rPr>
          <w:spacing w:val="2"/>
        </w:rPr>
        <w:t>r</w:t>
      </w:r>
      <w:r>
        <w:rPr>
          <w:spacing w:val="2"/>
        </w:rPr>
        <w:t>tenecen a minorías están facultadas para v</w:t>
      </w:r>
      <w:r>
        <w:rPr>
          <w:spacing w:val="2"/>
        </w:rPr>
        <w:t>o</w:t>
      </w:r>
      <w:r>
        <w:rPr>
          <w:spacing w:val="2"/>
        </w:rPr>
        <w:t>tar.</w:t>
      </w:r>
    </w:p>
    <w:p w:rsidR="00CA3F10" w:rsidRDefault="00CA3F10">
      <w:pPr>
        <w:pStyle w:val="DualTxt"/>
      </w:pPr>
      <w:r>
        <w:t>7.</w:t>
      </w:r>
      <w:r>
        <w:tab/>
      </w:r>
      <w:r>
        <w:rPr>
          <w:b/>
          <w:bCs/>
        </w:rPr>
        <w:t>La Sra. Gaspard</w:t>
      </w:r>
      <w:r>
        <w:t xml:space="preserve"> pregunta si el Gobierno prevé aumentar la cuota mínima del 30% e intr</w:t>
      </w:r>
      <w:r>
        <w:t>o</w:t>
      </w:r>
      <w:r>
        <w:t>ducir una cuota para su poder ejecut</w:t>
      </w:r>
      <w:r>
        <w:t>i</w:t>
      </w:r>
      <w:r>
        <w:t>vo. Desea saber también qué medidas ha adoptado el Gobierno para alentar a la m</w:t>
      </w:r>
      <w:r>
        <w:t>u</w:t>
      </w:r>
      <w:r>
        <w:t>jer a participar en el proceso ele</w:t>
      </w:r>
      <w:r>
        <w:t>c</w:t>
      </w:r>
      <w:r>
        <w:t>toral.</w:t>
      </w:r>
    </w:p>
    <w:p w:rsidR="00CA3F10" w:rsidRDefault="00CA3F10">
      <w:pPr>
        <w:pStyle w:val="DualTxt"/>
      </w:pPr>
      <w:r>
        <w:t>8.</w:t>
      </w:r>
      <w:r>
        <w:tab/>
      </w:r>
      <w:r>
        <w:rPr>
          <w:b/>
          <w:bCs/>
          <w:spacing w:val="2"/>
        </w:rPr>
        <w:t>La Sra. Popescu</w:t>
      </w:r>
      <w:r>
        <w:rPr>
          <w:spacing w:val="2"/>
        </w:rPr>
        <w:t xml:space="preserve"> desea saber de qué forma el E</w:t>
      </w:r>
      <w:r>
        <w:rPr>
          <w:spacing w:val="2"/>
        </w:rPr>
        <w:t>s</w:t>
      </w:r>
      <w:r>
        <w:rPr>
          <w:spacing w:val="2"/>
        </w:rPr>
        <w:t>tado parte prevé reactivar sus foros de la mujer y aume</w:t>
      </w:r>
      <w:r>
        <w:rPr>
          <w:spacing w:val="2"/>
        </w:rPr>
        <w:t>n</w:t>
      </w:r>
      <w:r>
        <w:rPr>
          <w:spacing w:val="2"/>
        </w:rPr>
        <w:t>tar la cooperación con las organizaciones no gubern</w:t>
      </w:r>
      <w:r>
        <w:rPr>
          <w:spacing w:val="2"/>
        </w:rPr>
        <w:t>a</w:t>
      </w:r>
      <w:r>
        <w:rPr>
          <w:spacing w:val="2"/>
        </w:rPr>
        <w:t>mentales y las organizaciones de mujeres para emanc</w:t>
      </w:r>
      <w:r>
        <w:rPr>
          <w:spacing w:val="2"/>
        </w:rPr>
        <w:t>i</w:t>
      </w:r>
      <w:r>
        <w:rPr>
          <w:spacing w:val="2"/>
        </w:rPr>
        <w:t>par a la mujer y para que tome conciencia de sus der</w:t>
      </w:r>
      <w:r>
        <w:rPr>
          <w:spacing w:val="2"/>
        </w:rPr>
        <w:t>e</w:t>
      </w:r>
      <w:r>
        <w:rPr>
          <w:spacing w:val="2"/>
        </w:rPr>
        <w:t>chos. La oradora señala que el presentar a mujeres de conducta ejemplar como modelos es un in</w:t>
      </w:r>
      <w:r>
        <w:rPr>
          <w:spacing w:val="2"/>
        </w:rPr>
        <w:t>s</w:t>
      </w:r>
      <w:r>
        <w:rPr>
          <w:spacing w:val="2"/>
        </w:rPr>
        <w:t>trumento útil para aumentar la confianza de la mujer. Si bien la part</w:t>
      </w:r>
      <w:r>
        <w:rPr>
          <w:spacing w:val="2"/>
        </w:rPr>
        <w:t>i</w:t>
      </w:r>
      <w:r>
        <w:rPr>
          <w:spacing w:val="2"/>
        </w:rPr>
        <w:t>cipación de la mujer en la actividad e</w:t>
      </w:r>
      <w:r>
        <w:rPr>
          <w:spacing w:val="2"/>
        </w:rPr>
        <w:t>m</w:t>
      </w:r>
      <w:r>
        <w:rPr>
          <w:spacing w:val="2"/>
        </w:rPr>
        <w:t>presarial es muy baja, la delegada acoge con satisfacción la activa soci</w:t>
      </w:r>
      <w:r>
        <w:rPr>
          <w:spacing w:val="2"/>
        </w:rPr>
        <w:t>e</w:t>
      </w:r>
      <w:r>
        <w:rPr>
          <w:spacing w:val="2"/>
        </w:rPr>
        <w:t>dad civil del país y el número cada vez más elevado de organizaciones no gubernament</w:t>
      </w:r>
      <w:r>
        <w:rPr>
          <w:spacing w:val="2"/>
        </w:rPr>
        <w:t>a</w:t>
      </w:r>
      <w:r>
        <w:rPr>
          <w:spacing w:val="2"/>
        </w:rPr>
        <w:t>les.</w:t>
      </w:r>
    </w:p>
    <w:p w:rsidR="00CA3F10" w:rsidRDefault="00CA3F10">
      <w:pPr>
        <w:pStyle w:val="DualTxt"/>
      </w:pPr>
      <w:r>
        <w:t>9.</w:t>
      </w:r>
      <w:r>
        <w:tab/>
      </w:r>
      <w:r>
        <w:rPr>
          <w:b/>
          <w:bCs/>
        </w:rPr>
        <w:t>La Sra. Simonovic</w:t>
      </w:r>
      <w:r>
        <w:t xml:space="preserve"> dice que la tendencia g</w:t>
      </w:r>
      <w:r>
        <w:t>e</w:t>
      </w:r>
      <w:r>
        <w:t>neral respecto de la part</w:t>
      </w:r>
      <w:r>
        <w:t>i</w:t>
      </w:r>
      <w:r>
        <w:t>cipación política de la mujer es muy positiva. Pregunta si se han previ</w:t>
      </w:r>
      <w:r>
        <w:t>s</w:t>
      </w:r>
      <w:r>
        <w:t>to sanciones para los partidos que no respetan la cuota del 30%, si el Est</w:t>
      </w:r>
      <w:r>
        <w:t>a</w:t>
      </w:r>
      <w:r>
        <w:t>do parte prevé regular los derechos de las mujeres dipl</w:t>
      </w:r>
      <w:r>
        <w:t>o</w:t>
      </w:r>
      <w:r>
        <w:t>máticas y de qué forma prevé aumentar la participación de la mujer en el ámbito de las rel</w:t>
      </w:r>
      <w:r>
        <w:t>a</w:t>
      </w:r>
      <w:r>
        <w:t>ciones exteriores.</w:t>
      </w:r>
    </w:p>
    <w:p w:rsidR="00CA3F10" w:rsidRDefault="00CA3F10">
      <w:pPr>
        <w:pStyle w:val="DualTxt"/>
      </w:pPr>
      <w:r>
        <w:t>10.</w:t>
      </w:r>
      <w:r>
        <w:tab/>
      </w:r>
      <w:r>
        <w:rPr>
          <w:b/>
          <w:bCs/>
        </w:rPr>
        <w:t>La Sra. Patten</w:t>
      </w:r>
      <w:r>
        <w:t xml:space="preserve"> dice que el Estado parte tiene plena conciencia de que la igualdad en la adopción de decisiones políticas es un requisito necesario para int</w:t>
      </w:r>
      <w:r>
        <w:t>e</w:t>
      </w:r>
      <w:r>
        <w:t>grar la dimensión de género en la formulación de pol</w:t>
      </w:r>
      <w:r>
        <w:t>í</w:t>
      </w:r>
      <w:r>
        <w:t>ticas del Gobierno. Sin embargo, pr</w:t>
      </w:r>
      <w:r>
        <w:t>e</w:t>
      </w:r>
      <w:r>
        <w:t>gunta si éste prevé revisar sus leyes electorales dado que la introducción de la cuota mínima del 30% no ha producido los resu</w:t>
      </w:r>
      <w:r>
        <w:t>l</w:t>
      </w:r>
      <w:r>
        <w:t>tados deseados. La oradora desea saber también qué medidas se han adoptado para alentar a la mujer a que participe en el proceso electoral, las actividades polít</w:t>
      </w:r>
      <w:r>
        <w:t>i</w:t>
      </w:r>
      <w:r>
        <w:t>cas y en otras esferas de liderazgo a fin de intensificar las actividades de los grupos minoritarios en la vida pública y aumentar la participación de la mujer en las organizaciones intern</w:t>
      </w:r>
      <w:r>
        <w:t>a</w:t>
      </w:r>
      <w:r>
        <w:t>cionales.</w:t>
      </w:r>
    </w:p>
    <w:p w:rsidR="00CA3F10" w:rsidRDefault="00CA3F10">
      <w:pPr>
        <w:pStyle w:val="DualTxt"/>
      </w:pPr>
      <w:r>
        <w:t>11.</w:t>
      </w:r>
      <w:r>
        <w:tab/>
      </w:r>
      <w:r>
        <w:rPr>
          <w:b/>
          <w:bCs/>
        </w:rPr>
        <w:t>El Sr. Jakimovski</w:t>
      </w:r>
      <w:r>
        <w:t xml:space="preserve"> (ex República Yugoslava de Macedonia) dice que en su país la mujer tiene una r</w:t>
      </w:r>
      <w:r>
        <w:t>e</w:t>
      </w:r>
      <w:r>
        <w:t>presentación de poco más del 50% en el poder ejecut</w:t>
      </w:r>
      <w:r>
        <w:t>i</w:t>
      </w:r>
      <w:r>
        <w:t>vo y que tres de sus 17 ministros son mujeres. Los pr</w:t>
      </w:r>
      <w:r>
        <w:t>e</w:t>
      </w:r>
      <w:r>
        <w:t>sidentes del Tribunal Constitucional, del Consejo Jud</w:t>
      </w:r>
      <w:r>
        <w:t>i</w:t>
      </w:r>
      <w:r>
        <w:t>cial Estatal y de dos de los tres tribunales de apel</w:t>
      </w:r>
      <w:r>
        <w:t>a</w:t>
      </w:r>
      <w:r>
        <w:t>ción son mujeres, así como aproximadamente el 54% de t</w:t>
      </w:r>
      <w:r>
        <w:t>o</w:t>
      </w:r>
      <w:r>
        <w:t>dos los magistrados. El delegado dice que la particip</w:t>
      </w:r>
      <w:r>
        <w:t>a</w:t>
      </w:r>
      <w:r>
        <w:t>ción de la mujer en los partidos políticos no se ve fru</w:t>
      </w:r>
      <w:r>
        <w:t>s</w:t>
      </w:r>
      <w:r>
        <w:t>trada por los pr</w:t>
      </w:r>
      <w:r>
        <w:t>o</w:t>
      </w:r>
      <w:r>
        <w:t>pios partidos políticos sino que se trata más bien de una elección personal de la mujer. Si un partido político pr</w:t>
      </w:r>
      <w:r>
        <w:t>e</w:t>
      </w:r>
      <w:r>
        <w:t>senta una lista en la que menos del 30% son mujeres, la lista se rechaza. Además, de conformidad con Ley de igualdad de oportunidades p</w:t>
      </w:r>
      <w:r>
        <w:t>a</w:t>
      </w:r>
      <w:r>
        <w:t>ra el hombre y la mujer, la cuota mínima se aument</w:t>
      </w:r>
      <w:r>
        <w:t>a</w:t>
      </w:r>
      <w:r>
        <w:t>rá hasta un 40%. Su país examinará las razones por las que no hay mujeres empresarias, una cuestión de gran importancia. El delegado dice que las organizaciones no gubernamentales están realizando esfuerzos para apoyar a las empresarias, en particular en el sector bancario.</w:t>
      </w:r>
    </w:p>
    <w:p w:rsidR="00CA3F10" w:rsidRDefault="00CA3F10">
      <w:pPr>
        <w:pStyle w:val="DualTxt"/>
      </w:pPr>
      <w:r>
        <w:t>12.</w:t>
      </w:r>
      <w:r>
        <w:tab/>
      </w:r>
      <w:r>
        <w:rPr>
          <w:b/>
          <w:bCs/>
        </w:rPr>
        <w:t>La Sra. Mingova-Krepieva</w:t>
      </w:r>
      <w:r>
        <w:t xml:space="preserve"> (ex República Y</w:t>
      </w:r>
      <w:r>
        <w:t>u</w:t>
      </w:r>
      <w:r>
        <w:t>goslava de Macedonia) dice que, si bien la cuota del 30% no ha sido totalmente satisfactoria, el número de muj</w:t>
      </w:r>
      <w:r>
        <w:t>e</w:t>
      </w:r>
      <w:r>
        <w:t>res miembros del Parlamento ha aumentado de 21 en 2002 a 25 en 2005. En 2002 se eligió por prim</w:t>
      </w:r>
      <w:r>
        <w:t>e</w:t>
      </w:r>
      <w:r>
        <w:t>ra vez a una mujer de origen albanés para el Parlamento y actualmente hay un total de cuatro. Las mujeres pres</w:t>
      </w:r>
      <w:r>
        <w:t>i</w:t>
      </w:r>
      <w:r>
        <w:t>den también varios comités y grupos de trabajo en el Parlamento. Si bien los partidos locales han respetado la norma relativa a la cuota del 30%, las m</w:t>
      </w:r>
      <w:r>
        <w:t>u</w:t>
      </w:r>
      <w:r>
        <w:t>jeres suelen ubicarse en la parte inferior de las listas de candid</w:t>
      </w:r>
      <w:r>
        <w:t>a</w:t>
      </w:r>
      <w:r>
        <w:t>tos y, por lo tanto, tienen menos probabilidades de ser elegidas. La delegada dice que el Parlamento está ex</w:t>
      </w:r>
      <w:r>
        <w:t>a</w:t>
      </w:r>
      <w:r>
        <w:t>minando un nuevo Código Electoral y las mujeres miembros del Parlamento, con apoyo de las organiz</w:t>
      </w:r>
      <w:r>
        <w:t>a</w:t>
      </w:r>
      <w:r>
        <w:t>ciones no gubernamentales, están trabajando p</w:t>
      </w:r>
      <w:r>
        <w:t>a</w:t>
      </w:r>
      <w:r>
        <w:t>ra velar por que las muj</w:t>
      </w:r>
      <w:r>
        <w:t>e</w:t>
      </w:r>
      <w:r>
        <w:t>res candidatas tengan una clasificación más adecuada en las listas de cand</w:t>
      </w:r>
      <w:r>
        <w:t>i</w:t>
      </w:r>
      <w:r>
        <w:t>datos.</w:t>
      </w:r>
    </w:p>
    <w:p w:rsidR="00CA3F10" w:rsidRDefault="00CA3F10">
      <w:pPr>
        <w:pStyle w:val="DualTxt"/>
      </w:pPr>
      <w:r>
        <w:t>13.</w:t>
      </w:r>
      <w:r>
        <w:tab/>
        <w:t>A nivel local, nuevamente debido a que las muj</w:t>
      </w:r>
      <w:r>
        <w:t>e</w:t>
      </w:r>
      <w:r>
        <w:t>res suelen quedar relegadas al final de las listas elect</w:t>
      </w:r>
      <w:r>
        <w:t>o</w:t>
      </w:r>
      <w:r>
        <w:t>rales, sólo el 22,7% de los representantes electos son mujeres. Actualmente, una mujer romaní y otras cuatro mujeres pertenecientes a m</w:t>
      </w:r>
      <w:r>
        <w:t>i</w:t>
      </w:r>
      <w:r>
        <w:t>norías son miembros de los consejos locales; ello debería alentar a otras mujeres a presentarse como candidatas. La delegada dice que r</w:t>
      </w:r>
      <w:r>
        <w:t>e</w:t>
      </w:r>
      <w:r>
        <w:t>sulta algo sorprendente que las mujeres estén mejor r</w:t>
      </w:r>
      <w:r>
        <w:t>e</w:t>
      </w:r>
      <w:r>
        <w:t>presentadas en los cons</w:t>
      </w:r>
      <w:r>
        <w:t>e</w:t>
      </w:r>
      <w:r>
        <w:t>jos rurales que en los consejos urbanos, y señala que ocho municipalidades carecen t</w:t>
      </w:r>
      <w:r>
        <w:t>o</w:t>
      </w:r>
      <w:r>
        <w:t>talmente de mujeres representantes. Su</w:t>
      </w:r>
      <w:r>
        <w:t>b</w:t>
      </w:r>
      <w:r>
        <w:t>raya que todos los partidos políticos han prometido aumentar la repr</w:t>
      </w:r>
      <w:r>
        <w:t>e</w:t>
      </w:r>
      <w:r>
        <w:t>sentación de la mujer y reconocen la oblig</w:t>
      </w:r>
      <w:r>
        <w:t>a</w:t>
      </w:r>
      <w:r>
        <w:t>ción de cumplir con la cuota del 30%, que sin duda a</w:t>
      </w:r>
      <w:r>
        <w:t>u</w:t>
      </w:r>
      <w:r>
        <w:t>mentará de conformidad con la Ley de igualdad de oportunid</w:t>
      </w:r>
      <w:r>
        <w:t>a</w:t>
      </w:r>
      <w:r>
        <w:t>des para el hombre y la mujer.</w:t>
      </w:r>
    </w:p>
    <w:p w:rsidR="00CA3F10" w:rsidRDefault="00CA3F10">
      <w:pPr>
        <w:pStyle w:val="DualTxt"/>
      </w:pPr>
      <w:r>
        <w:t xml:space="preserve">14. </w:t>
      </w:r>
      <w:r>
        <w:tab/>
        <w:t>Respecto de otros mecanismos para prestar asi</w:t>
      </w:r>
      <w:r>
        <w:t>s</w:t>
      </w:r>
      <w:r>
        <w:t>tencia a la mujer, dice que para hacer frente a la dif</w:t>
      </w:r>
      <w:r>
        <w:t>i</w:t>
      </w:r>
      <w:r>
        <w:t>cultad de las mujeres empresarias para proporcionar garantías para préstamos, debido, por ejemplo, a que comparten la propiedad de sus hipotecas con sus có</w:t>
      </w:r>
      <w:r>
        <w:t>n</w:t>
      </w:r>
      <w:r>
        <w:t>yuges, el Gobierno ha promulgado una ley por la que el Estado actúa de garante de todo préstamo, reemplaza</w:t>
      </w:r>
      <w:r>
        <w:t>n</w:t>
      </w:r>
      <w:r>
        <w:t>do así con una gara</w:t>
      </w:r>
      <w:r>
        <w:t>n</w:t>
      </w:r>
      <w:r>
        <w:t>tía estatal el requisito de presentar una garantía.</w:t>
      </w:r>
    </w:p>
    <w:p w:rsidR="00CA3F10" w:rsidRDefault="00CA3F10">
      <w:pPr>
        <w:pStyle w:val="DualTxt"/>
      </w:pPr>
      <w:r>
        <w:t>15.</w:t>
      </w:r>
      <w:r>
        <w:tab/>
      </w:r>
      <w:r>
        <w:rPr>
          <w:b/>
          <w:bCs/>
        </w:rPr>
        <w:t>La Sra. Geleva</w:t>
      </w:r>
      <w:r>
        <w:t xml:space="preserve"> (ex República Yugoslava de M</w:t>
      </w:r>
      <w:r>
        <w:t>a</w:t>
      </w:r>
      <w:r>
        <w:t>cedonia) dice que los derechos de que goza la mujer en la administr</w:t>
      </w:r>
      <w:r>
        <w:t>a</w:t>
      </w:r>
      <w:r>
        <w:t>ción pública no se aplican a los empleados del servicio exterior fuera del país; hasta la fecha, su Gobierno no ha tenido que abordar situaciones tales como una colega embarazada en un destino en el ext</w:t>
      </w:r>
      <w:r>
        <w:t>e</w:t>
      </w:r>
      <w:r>
        <w:t>rior. Respecto de la representación de la m</w:t>
      </w:r>
      <w:r>
        <w:t>u</w:t>
      </w:r>
      <w:r>
        <w:t>jer en el servicio exterior y el cuerpo diplomático, la oradora remite al Comité a las secciones pertinentes del info</w:t>
      </w:r>
      <w:r>
        <w:t>r</w:t>
      </w:r>
      <w:r>
        <w:t>me y las respuestas por escrito de su delegación; aproximadamente el 50% del personal del Ministerio de Relaciones Exteriores y el 24% del personal dipl</w:t>
      </w:r>
      <w:r>
        <w:t>o</w:t>
      </w:r>
      <w:r>
        <w:t>mático son mujeres. Lamentablemente, la mujer está deficientemente r</w:t>
      </w:r>
      <w:r>
        <w:t>e</w:t>
      </w:r>
      <w:r>
        <w:t>presentada en los niveles superiores; ejemplo de ello es que, si bien ha habido una mujer ministro, nunca ha habido una secretaria de Estado, y de los 17 consejeros de Estado, que son los cargos no políticos más elev</w:t>
      </w:r>
      <w:r>
        <w:t>a</w:t>
      </w:r>
      <w:r>
        <w:t>dos, sólo 3 son mujeres, incluida ella misma, que no es macedonia.</w:t>
      </w:r>
    </w:p>
    <w:p w:rsidR="00CA3F10" w:rsidRDefault="00CA3F10">
      <w:pPr>
        <w:pStyle w:val="DualTxt"/>
      </w:pPr>
      <w:r>
        <w:t>16.</w:t>
      </w:r>
      <w:r>
        <w:tab/>
        <w:t>Se está redactando una nueva ley que rige el se</w:t>
      </w:r>
      <w:r>
        <w:t>r</w:t>
      </w:r>
      <w:r>
        <w:t>vicio exterior, y un grupo de mujeres repr</w:t>
      </w:r>
      <w:r>
        <w:t>e</w:t>
      </w:r>
      <w:r>
        <w:t>sentantes en el Ministerio está tratando de introducir una enmienda para velar por que la mujer esté adecuadamente repr</w:t>
      </w:r>
      <w:r>
        <w:t>e</w:t>
      </w:r>
      <w:r>
        <w:t>sentada en los niveles superiores. Respecto de las o</w:t>
      </w:r>
      <w:r>
        <w:t>r</w:t>
      </w:r>
      <w:r>
        <w:t>ganizaciones internacionales, la delegada dice que é</w:t>
      </w:r>
      <w:r>
        <w:t>s</w:t>
      </w:r>
      <w:r>
        <w:t>tas emplean a unos pocos macedonios y que, a ese re</w:t>
      </w:r>
      <w:r>
        <w:t>s</w:t>
      </w:r>
      <w:r>
        <w:t>pecto, no se dispone virtualmente de dato a</w:t>
      </w:r>
      <w:r>
        <w:t>l</w:t>
      </w:r>
      <w:r>
        <w:t>guno.</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Artículo 10</w:t>
      </w:r>
    </w:p>
    <w:p w:rsidR="00CA3F10" w:rsidRDefault="00CA3F10">
      <w:pPr>
        <w:pStyle w:val="DualTxt"/>
        <w:spacing w:after="0" w:line="120" w:lineRule="exact"/>
        <w:rPr>
          <w:sz w:val="10"/>
        </w:rPr>
      </w:pPr>
    </w:p>
    <w:p w:rsidR="00CA3F10" w:rsidRDefault="00CA3F10">
      <w:pPr>
        <w:pStyle w:val="DualTxt"/>
      </w:pPr>
      <w:r>
        <w:t>17.</w:t>
      </w:r>
      <w:r>
        <w:tab/>
      </w:r>
      <w:r>
        <w:rPr>
          <w:b/>
          <w:bCs/>
        </w:rPr>
        <w:t>La Sra. Tavares da Silva</w:t>
      </w:r>
      <w:r>
        <w:t xml:space="preserve"> subraya que, dada la población multicultural y mult</w:t>
      </w:r>
      <w:r>
        <w:t>i</w:t>
      </w:r>
      <w:r>
        <w:t>étnica del Estado parte, es importante promover la igualdad de mujeres y ho</w:t>
      </w:r>
      <w:r>
        <w:t>m</w:t>
      </w:r>
      <w:r>
        <w:t>bres y fomentar también la igualdad de las mujeres que pertenecen a minorías respecto de las otras mujeres. Por lo tanto, se siente decepcionada por la falta de i</w:t>
      </w:r>
      <w:r>
        <w:t>n</w:t>
      </w:r>
      <w:r>
        <w:t>formación sobre la situación de las mujeres perten</w:t>
      </w:r>
      <w:r>
        <w:t>e</w:t>
      </w:r>
      <w:r>
        <w:t>cientes a minorías. Si bien en el informe se proporci</w:t>
      </w:r>
      <w:r>
        <w:t>o</w:t>
      </w:r>
      <w:r>
        <w:t>na cierta información sobre las tasas de matriculación en la educación secundaria de los grupos étnicos (pág</w:t>
      </w:r>
      <w:r>
        <w:t>i</w:t>
      </w:r>
      <w:r>
        <w:t>nas 83 y 87), la experta pide datos sobre el número de estudiantes en todos los niveles, las tasas de gradu</w:t>
      </w:r>
      <w:r>
        <w:t>a</w:t>
      </w:r>
      <w:r>
        <w:t>ción, la representación de las minorías en el personal docente y el éxito educacional de los grupos étnicos, entre otros, los romaníes.</w:t>
      </w:r>
    </w:p>
    <w:p w:rsidR="00CA3F10" w:rsidRDefault="00CA3F10">
      <w:pPr>
        <w:pStyle w:val="DualTxt"/>
      </w:pPr>
      <w:r>
        <w:t>18.</w:t>
      </w:r>
      <w:r>
        <w:tab/>
        <w:t>Dice que de acuerdo con la información que ha recibido de fuentes de la sociedad civil, las niñas de grupos étnicos, inclu</w:t>
      </w:r>
      <w:r>
        <w:t>i</w:t>
      </w:r>
      <w:r>
        <w:t>dos los romaníes, tienen las tasas más elevadas de analfabetismo y deserción escolar y las tasas más bajas de asistencia. De la misma forma, los niños pertenecientes a grupos étnicos suelen tener dificultades con el maced</w:t>
      </w:r>
      <w:r>
        <w:t>o</w:t>
      </w:r>
      <w:r>
        <w:t>nio y, a consecuencia de ello, se los suele enviar a escuelas para discapacit</w:t>
      </w:r>
      <w:r>
        <w:t>a</w:t>
      </w:r>
      <w:r>
        <w:t>dos mentales; o los docentes y compañeros de escuela su</w:t>
      </w:r>
      <w:r>
        <w:t>e</w:t>
      </w:r>
      <w:r>
        <w:t>len margina</w:t>
      </w:r>
      <w:r>
        <w:t>r</w:t>
      </w:r>
      <w:r>
        <w:t>los. Por lo tanto, quedan en una situación de desventaja en el sistema escolar y reciben una ed</w:t>
      </w:r>
      <w:r>
        <w:t>u</w:t>
      </w:r>
      <w:r>
        <w:t>cación deficiente debido a los prejuicios, los estereot</w:t>
      </w:r>
      <w:r>
        <w:t>i</w:t>
      </w:r>
      <w:r>
        <w:t>pos y la marginación, y a consecuencia de ello les r</w:t>
      </w:r>
      <w:r>
        <w:t>e</w:t>
      </w:r>
      <w:r>
        <w:t>sulta mucho más difícil encontrar empleo. La oradora señala que es necesario fortalecer los programas para satisfacer las necesidades educacionales concretas de esos grupos, y que la formulación de políticas y la ev</w:t>
      </w:r>
      <w:r>
        <w:t>a</w:t>
      </w:r>
      <w:r>
        <w:t>luación en general deben tener en cuenta la necesidad de mejorar la situación de las mujeres pertenecientes a minorías.</w:t>
      </w:r>
    </w:p>
    <w:p w:rsidR="00CA3F10" w:rsidRDefault="00CA3F10">
      <w:pPr>
        <w:pStyle w:val="DualTxt"/>
      </w:pPr>
      <w:r>
        <w:t>19.</w:t>
      </w:r>
      <w:r>
        <w:tab/>
      </w:r>
      <w:r>
        <w:rPr>
          <w:b/>
          <w:bCs/>
        </w:rPr>
        <w:t>La Sra. Gaspard</w:t>
      </w:r>
      <w:r>
        <w:t xml:space="preserve"> d</w:t>
      </w:r>
      <w:r>
        <w:t>i</w:t>
      </w:r>
      <w:r>
        <w:t>ce que, si bien toma nota con satisfacción de que una importante proporción del personal docente en la educación superior está co</w:t>
      </w:r>
      <w:r>
        <w:t>m</w:t>
      </w:r>
      <w:r>
        <w:t>puesta por mujeres, las estadísticas que se presentan son difíciles de entender y, a veces, resultan contradi</w:t>
      </w:r>
      <w:r>
        <w:t>c</w:t>
      </w:r>
      <w:r>
        <w:t>torias; hay que hacer todos los esfuerzos posibles para presentar esos datos de forma clara y desglosados por tema. Pregunta si en las universidades se imparte ens</w:t>
      </w:r>
      <w:r>
        <w:t>e</w:t>
      </w:r>
      <w:r>
        <w:t>ñanza y se realizan investigaciones sobre cuestiones de género, y si ciertos órganos como los Comités sobre Igualdad de Género, establecidos en 10 ciudades, están trabajando para promover las cuestiones de género. La dificultad de i</w:t>
      </w:r>
      <w:r>
        <w:t>n</w:t>
      </w:r>
      <w:r>
        <w:t>tegrar a las cuestiones de género en los programas e instituciones se debe a la falta de exp</w:t>
      </w:r>
      <w:r>
        <w:t>e</w:t>
      </w:r>
      <w:r>
        <w:t>riencia y, por lo tanto, es importante contar con doce</w:t>
      </w:r>
      <w:r>
        <w:t>n</w:t>
      </w:r>
      <w:r>
        <w:t>tes y expertos capacitados a nivel universitario que tr</w:t>
      </w:r>
      <w:r>
        <w:t>a</w:t>
      </w:r>
      <w:r>
        <w:t>bajen en las cuestiones de género y contribuyan a la formulación de políticas relativas a la igualdad de género.</w:t>
      </w:r>
    </w:p>
    <w:p w:rsidR="00CA3F10" w:rsidRDefault="00CA3F10">
      <w:pPr>
        <w:pStyle w:val="DualTxt"/>
      </w:pPr>
      <w:r>
        <w:t>20.</w:t>
      </w:r>
      <w:r>
        <w:tab/>
      </w:r>
      <w:r>
        <w:rPr>
          <w:b/>
          <w:bCs/>
        </w:rPr>
        <w:t>La Sra. Ivanova</w:t>
      </w:r>
      <w:r>
        <w:t xml:space="preserve"> (ex República Yugoslava de Macedonia) dice que los artículos 9 y 44 de la Const</w:t>
      </w:r>
      <w:r>
        <w:t>i</w:t>
      </w:r>
      <w:r>
        <w:t>tución garantizan la igualdad de oportunidades educ</w:t>
      </w:r>
      <w:r>
        <w:t>a</w:t>
      </w:r>
      <w:r>
        <w:t>cionales y la educación primaria gr</w:t>
      </w:r>
      <w:r>
        <w:t>a</w:t>
      </w:r>
      <w:r>
        <w:t>tuita y obligatoria; de la misma forma, el Ministerio de Educación cree que todos los ciudadanos deben tener igualdad de acc</w:t>
      </w:r>
      <w:r>
        <w:t>e</w:t>
      </w:r>
      <w:r>
        <w:t>so a la educación. Las tasas de deserción escolar alca</w:t>
      </w:r>
      <w:r>
        <w:t>n</w:t>
      </w:r>
      <w:r>
        <w:t>zan aproximadame</w:t>
      </w:r>
      <w:r>
        <w:t>n</w:t>
      </w:r>
      <w:r>
        <w:t>te el 1% para los dos sexos; a nivel primario, la tasa de deserción escolar es del 1,42% y los niños romaníes representan aproximadamente el 10% de las deserciones, seguidos por los niños de or</w:t>
      </w:r>
      <w:r>
        <w:t>i</w:t>
      </w:r>
      <w:r>
        <w:t>gen albanés; entre la escuela primaria y secundaria, la tasa de deserción de los niños alcanza aproximadame</w:t>
      </w:r>
      <w:r>
        <w:t>n</w:t>
      </w:r>
      <w:r>
        <w:t xml:space="preserve">te el 0,5%, del que cerca del 17% corresponde a las minorías étnicas. </w:t>
      </w:r>
    </w:p>
    <w:p w:rsidR="00CA3F10" w:rsidRDefault="00CA3F10">
      <w:pPr>
        <w:pStyle w:val="DualTxt"/>
      </w:pPr>
      <w:r>
        <w:t>21.</w:t>
      </w:r>
      <w:r>
        <w:tab/>
        <w:t>La oradora dice que su Gobierno ha extendido el período de educación obligatoria a nueve años, agr</w:t>
      </w:r>
      <w:r>
        <w:t>e</w:t>
      </w:r>
      <w:r>
        <w:t>gando un programa preescolar; ello ayudará a preparar a los estudiantes para la escuela común. Las comun</w:t>
      </w:r>
      <w:r>
        <w:t>i</w:t>
      </w:r>
      <w:r>
        <w:t>dades locales tienen la responsabilidad de hacerse ca</w:t>
      </w:r>
      <w:r>
        <w:t>r</w:t>
      </w:r>
      <w:r>
        <w:t>go del transporte gratuito para los niños hasta la escu</w:t>
      </w:r>
      <w:r>
        <w:t>e</w:t>
      </w:r>
      <w:r>
        <w:t>la más próxima. Respecto de las tasas de matriculación de las niñas, dice que éstas representan el 52,33% de los estudiantes universitarios, el 45,5% de los estudia</w:t>
      </w:r>
      <w:r>
        <w:t>n</w:t>
      </w:r>
      <w:r>
        <w:t>tes s</w:t>
      </w:r>
      <w:r>
        <w:t>e</w:t>
      </w:r>
      <w:r>
        <w:t>cundarios y el 48% de los estudiantes primarios. Se tomarán medidas para aumentar las tasas de matr</w:t>
      </w:r>
      <w:r>
        <w:t>i</w:t>
      </w:r>
      <w:r>
        <w:t>culación y retención de las niñas en el nivel secund</w:t>
      </w:r>
      <w:r>
        <w:t>a</w:t>
      </w:r>
      <w:r>
        <w:t>rio, difundiendo mejor las necesidades en materia de planes de estudios y mejorando la infrae</w:t>
      </w:r>
      <w:r>
        <w:t>s</w:t>
      </w:r>
      <w:r>
        <w:t>tructura, entre otras cosas, mediante la promoción de las tecnologías de la información. Se espera que esas medidas redu</w:t>
      </w:r>
      <w:r>
        <w:t>z</w:t>
      </w:r>
      <w:r>
        <w:t>can la tasa de deserción escolar.</w:t>
      </w:r>
    </w:p>
    <w:p w:rsidR="00CA3F10" w:rsidRDefault="00CA3F10">
      <w:pPr>
        <w:pStyle w:val="DualTxt"/>
      </w:pPr>
    </w:p>
    <w:p w:rsidR="00CA3F10" w:rsidRDefault="00CA3F10">
      <w:pPr>
        <w:pStyle w:val="DualTxt"/>
      </w:pPr>
      <w:r>
        <w:t>22.</w:t>
      </w:r>
      <w:r>
        <w:tab/>
      </w:r>
      <w:r>
        <w:rPr>
          <w:b/>
          <w:bCs/>
        </w:rPr>
        <w:t>La Sra. Kamberi</w:t>
      </w:r>
      <w:r>
        <w:t xml:space="preserve"> (ex República Yugoslava de Macedonia) dice que la mejora de la situación g</w:t>
      </w:r>
      <w:r>
        <w:t>e</w:t>
      </w:r>
      <w:r>
        <w:t>neral y el éxito educacional de los niños romaníes constit</w:t>
      </w:r>
      <w:r>
        <w:t>u</w:t>
      </w:r>
      <w:r>
        <w:t>yen una prioridad. Se ha establecido un fondo especial educacional romaní para contribuir a cerrar la brecha entre los niños romaníes y los que no lo son. El hecho de que numerosos niños romaníes hablan romaní en sus hogares entorpece sus posibilidades de tener éxito en la escuela, puesto que el macedonio es el idioma de in</w:t>
      </w:r>
      <w:r>
        <w:t>s</w:t>
      </w:r>
      <w:r>
        <w:t>trucción y a menudo la situación económica de la fam</w:t>
      </w:r>
      <w:r>
        <w:t>i</w:t>
      </w:r>
      <w:r>
        <w:t>lia impide que los niños concurran al ja</w:t>
      </w:r>
      <w:r>
        <w:t>r</w:t>
      </w:r>
      <w:r>
        <w:t>dín de infantes. Se espera que el nuevo año preescolar obligatorio los prepare mejor para la escuela común y mejore las tasas de graduación del nivel primario. En el Ministerio se están elaborando planes para aume</w:t>
      </w:r>
      <w:r>
        <w:t>n</w:t>
      </w:r>
      <w:r>
        <w:t>tar la participación de los niños romaníes en las a</w:t>
      </w:r>
      <w:r>
        <w:t>c</w:t>
      </w:r>
      <w:r>
        <w:t>tividades preescolares a fin de que puedan mejorar su macedonio y aprender más fácilmente el plan de estudios. A tal fin, el Mini</w:t>
      </w:r>
      <w:r>
        <w:t>s</w:t>
      </w:r>
      <w:r>
        <w:t>terio de Trabajo y Pol</w:t>
      </w:r>
      <w:r>
        <w:t>í</w:t>
      </w:r>
      <w:r>
        <w:t>tica Social ha destinado 220.000 euros, y se tratará de obtener financiación adicional del fondo ed</w:t>
      </w:r>
      <w:r>
        <w:t>u</w:t>
      </w:r>
      <w:r>
        <w:t>cacional romaní.</w:t>
      </w:r>
    </w:p>
    <w:p w:rsidR="00CA3F10" w:rsidRDefault="00CA3F10">
      <w:pPr>
        <w:pStyle w:val="DualTxt"/>
      </w:pPr>
      <w:r>
        <w:t>23.</w:t>
      </w:r>
      <w:r>
        <w:tab/>
        <w:t>La delegada dice que se enorgullece de i</w:t>
      </w:r>
      <w:r>
        <w:t>n</w:t>
      </w:r>
      <w:r>
        <w:t>formar que hay 150 estudiantes romaníes en la universidad, muchos de ellos mujeres. La tasa de transición de la escuela primaria a secundaria constituye un problema para los estudiantes romaníes, a menudo a consecue</w:t>
      </w:r>
      <w:r>
        <w:t>n</w:t>
      </w:r>
      <w:r>
        <w:t>cia de la situación financiera de las familias. El Mini</w:t>
      </w:r>
      <w:r>
        <w:t>s</w:t>
      </w:r>
      <w:r>
        <w:t>terio de Educación, en cooperación con el Open Soci</w:t>
      </w:r>
      <w:r>
        <w:t>e</w:t>
      </w:r>
      <w:r>
        <w:t>ty Institute – Macedonia y el fondo educacional rom</w:t>
      </w:r>
      <w:r>
        <w:t>a</w:t>
      </w:r>
      <w:r>
        <w:t>ní, ha puesto a disposición 1.200.000 euros en conce</w:t>
      </w:r>
      <w:r>
        <w:t>p</w:t>
      </w:r>
      <w:r>
        <w:t xml:space="preserve">to de becas para alentar la asistencia a la escuela </w:t>
      </w:r>
      <w:r>
        <w:br/>
        <w:t>s</w:t>
      </w:r>
      <w:r>
        <w:t>e</w:t>
      </w:r>
      <w:r>
        <w:t>cundaria.</w:t>
      </w:r>
    </w:p>
    <w:p w:rsidR="00CA3F10" w:rsidRDefault="00CA3F10">
      <w:pPr>
        <w:pStyle w:val="DualTxt"/>
      </w:pPr>
      <w:r>
        <w:t>24.</w:t>
      </w:r>
      <w:r>
        <w:tab/>
      </w:r>
      <w:r>
        <w:rPr>
          <w:b/>
          <w:bCs/>
        </w:rPr>
        <w:t>La Sra. Geleva</w:t>
      </w:r>
      <w:r>
        <w:t xml:space="preserve"> (ex República Yugoslava de M</w:t>
      </w:r>
      <w:r>
        <w:t>a</w:t>
      </w:r>
      <w:r>
        <w:t>cedonia) dice que actualmente la ley garantiza a las comunidades étnicas el derecho a la educación en su idioma materno hasta el nivel universitario e incluido el mismo. A nivel universitario se ut</w:t>
      </w:r>
      <w:r>
        <w:t>i</w:t>
      </w:r>
      <w:r>
        <w:t>liza también el sistema de cuotas para aumentar la asistencia de las minorías, si bien no se basan en el género. Dos unive</w:t>
      </w:r>
      <w:r>
        <w:t>r</w:t>
      </w:r>
      <w:r>
        <w:t>sidades nuevas acogen principalmente a estudiante de origen albanés, de los que el 45% son mujeres; y el 70% de los estudiantes de origen albanés que est</w:t>
      </w:r>
      <w:r>
        <w:t>u</w:t>
      </w:r>
      <w:r>
        <w:t>dian para ser docentes de la escuela elemental y secund</w:t>
      </w:r>
      <w:r>
        <w:t>a</w:t>
      </w:r>
      <w:r>
        <w:t>ria son mujeres.</w:t>
      </w:r>
    </w:p>
    <w:p w:rsidR="00CA3F10" w:rsidRDefault="00CA3F10">
      <w:pPr>
        <w:pStyle w:val="DualTxt"/>
      </w:pPr>
      <w:r>
        <w:t>25.</w:t>
      </w:r>
      <w:r>
        <w:tab/>
      </w:r>
      <w:r>
        <w:rPr>
          <w:b/>
          <w:bCs/>
        </w:rPr>
        <w:t>La Sra. Grozdanova</w:t>
      </w:r>
      <w:r>
        <w:t xml:space="preserve"> (ex República Yugoslava de Macedonia) dice que se está realizando una investig</w:t>
      </w:r>
      <w:r>
        <w:t>a</w:t>
      </w:r>
      <w:r>
        <w:t>ción sobre cuestiones de género a nivel universitario y que se están ofreciendo cursos sobre cuestiones de género. La Asociación de Mujeres de Macedonia patr</w:t>
      </w:r>
      <w:r>
        <w:t>o</w:t>
      </w:r>
      <w:r>
        <w:t>cina también un estudio sobre cuestiones de género.</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Artículo 11</w:t>
      </w:r>
    </w:p>
    <w:p w:rsidR="00CA3F10" w:rsidRDefault="00CA3F10">
      <w:pPr>
        <w:pStyle w:val="DualTxt"/>
        <w:spacing w:after="0" w:line="120" w:lineRule="exact"/>
        <w:rPr>
          <w:sz w:val="10"/>
        </w:rPr>
      </w:pPr>
    </w:p>
    <w:p w:rsidR="00CA3F10" w:rsidRDefault="00CA3F10">
      <w:pPr>
        <w:pStyle w:val="DualTxt"/>
      </w:pPr>
      <w:r>
        <w:t>26.</w:t>
      </w:r>
      <w:r>
        <w:tab/>
      </w:r>
      <w:r>
        <w:rPr>
          <w:b/>
          <w:bCs/>
        </w:rPr>
        <w:t>La Sra. Arocha-Domínguez</w:t>
      </w:r>
      <w:r>
        <w:t xml:space="preserve"> observa que las re</w:t>
      </w:r>
      <w:r>
        <w:t>s</w:t>
      </w:r>
      <w:r>
        <w:t>puestas del Estado parte a las cuestiones y las pregu</w:t>
      </w:r>
      <w:r>
        <w:t>n</w:t>
      </w:r>
      <w:r>
        <w:t>tas planteadas por el Comité (CEDAW/C/MKD/Q/1-3/Add.1) parecen dar por supuesto que es suficiente armonizar la legislación nacional con la legislación de la Unión Europea. El Gobierno debe mo</w:t>
      </w:r>
      <w:r>
        <w:t>s</w:t>
      </w:r>
      <w:r>
        <w:t>trarse cauto al formular esa suposición. Como ha visto el Comité en ocasiones anteriores, la legi</w:t>
      </w:r>
      <w:r>
        <w:t>s</w:t>
      </w:r>
      <w:r>
        <w:t>lación de los países de la Unión Europea no siempre se ajusta a las disp</w:t>
      </w:r>
      <w:r>
        <w:t>o</w:t>
      </w:r>
      <w:r>
        <w:t>siciones de la Conve</w:t>
      </w:r>
      <w:r>
        <w:t>n</w:t>
      </w:r>
      <w:r>
        <w:t>ción.</w:t>
      </w:r>
    </w:p>
    <w:p w:rsidR="00CA3F10" w:rsidRDefault="00CA3F10">
      <w:pPr>
        <w:pStyle w:val="DualTxt"/>
      </w:pPr>
      <w:r>
        <w:t>27.</w:t>
      </w:r>
      <w:r>
        <w:tab/>
        <w:t>El Comité ha pedido información al Estado que presenta su informe sobre el número de familias enc</w:t>
      </w:r>
      <w:r>
        <w:t>a</w:t>
      </w:r>
      <w:r>
        <w:t>bezadas por mujeres y las medidas que se han adoptado para potenciar a las mujeres que encabezan a una fam</w:t>
      </w:r>
      <w:r>
        <w:t>i</w:t>
      </w:r>
      <w:r>
        <w:t>lia (CEDAW/C/MKD/Q/1-3, párr.22). El Gobierno ha proporcionado estadísticas sobre hogares encab</w:t>
      </w:r>
      <w:r>
        <w:t>e</w:t>
      </w:r>
      <w:r>
        <w:t>zados por mujeres pero no ha explicado lo que se está haciendo para potenciar económicamente a la mujer. Por lo tanto, reit</w:t>
      </w:r>
      <w:r>
        <w:t>e</w:t>
      </w:r>
      <w:r>
        <w:t>ra esa pregunta.</w:t>
      </w:r>
    </w:p>
    <w:p w:rsidR="00CA3F10" w:rsidRDefault="00CA3F10">
      <w:pPr>
        <w:pStyle w:val="DualTxt"/>
      </w:pPr>
      <w:r>
        <w:t>28.</w:t>
      </w:r>
      <w:r>
        <w:tab/>
        <w:t>La experta dice que, en su respuesta a la pregu</w:t>
      </w:r>
      <w:r>
        <w:t>n</w:t>
      </w:r>
      <w:r>
        <w:t>ta 23 sobre la lista de cuesti</w:t>
      </w:r>
      <w:r>
        <w:t>o</w:t>
      </w:r>
      <w:r>
        <w:t>nes y preguntas, el Estado parte indica que algunas organizaciones no gubern</w:t>
      </w:r>
      <w:r>
        <w:t>a</w:t>
      </w:r>
      <w:r>
        <w:t>mentales han organizado capacitación p</w:t>
      </w:r>
      <w:r>
        <w:t>a</w:t>
      </w:r>
      <w:r>
        <w:t>ra mujeres de diferentes grupos étnicos y que el Gobierno está ap</w:t>
      </w:r>
      <w:r>
        <w:t>o</w:t>
      </w:r>
      <w:r>
        <w:t>yando las actividades del sector de las organizaci</w:t>
      </w:r>
      <w:r>
        <w:t>o</w:t>
      </w:r>
      <w:r>
        <w:t>nes no gubernamentales. La oradora se pregunta si el Gobierno está haciendo algo, con apoyo de las organ</w:t>
      </w:r>
      <w:r>
        <w:t>i</w:t>
      </w:r>
      <w:r>
        <w:t>zaciones no gubernamentales, para mejorar la cond</w:t>
      </w:r>
      <w:r>
        <w:t>i</w:t>
      </w:r>
      <w:r>
        <w:t>ción socioeconómica de las mujeres pertenecientes a minorías.</w:t>
      </w:r>
    </w:p>
    <w:p w:rsidR="00CA3F10" w:rsidRDefault="00CA3F10">
      <w:pPr>
        <w:pStyle w:val="DualTxt"/>
      </w:pPr>
      <w:r>
        <w:t>29.</w:t>
      </w:r>
      <w:r>
        <w:tab/>
      </w:r>
      <w:r>
        <w:rPr>
          <w:b/>
          <w:bCs/>
        </w:rPr>
        <w:t>La Sra. Zou</w:t>
      </w:r>
      <w:r>
        <w:t xml:space="preserve"> pregunta qué se está haciendo para reducir la alta tasa de desempleo femenino, en partic</w:t>
      </w:r>
      <w:r>
        <w:t>u</w:t>
      </w:r>
      <w:r>
        <w:t>lar mediante el apoyo a las actividades empresariales entre las mujeres, y qué se ha hecho para garantizar que la mujer tenga el mismo acceso al crédito que el hombre y goce de cierta preferencia respecto de los préstamos gubern</w:t>
      </w:r>
      <w:r>
        <w:t>a</w:t>
      </w:r>
      <w:r>
        <w:t>mentales.</w:t>
      </w:r>
    </w:p>
    <w:p w:rsidR="00CA3F10" w:rsidRDefault="00CA3F10">
      <w:pPr>
        <w:pStyle w:val="DualTxt"/>
      </w:pPr>
      <w:r>
        <w:t>30.</w:t>
      </w:r>
      <w:r>
        <w:tab/>
        <w:t>En el informe se describen los beneficios de m</w:t>
      </w:r>
      <w:r>
        <w:t>a</w:t>
      </w:r>
      <w:r>
        <w:t>ternidad disponibles para las trabajadoras con arreglo a la ley de trabajo del país. Pregunta si esos beneficios están a disposición tanto de las trab</w:t>
      </w:r>
      <w:r>
        <w:t>a</w:t>
      </w:r>
      <w:r>
        <w:t>jadoras del sector público como privado. Además, la oradora pregunta si existe algún mecanismo de s</w:t>
      </w:r>
      <w:r>
        <w:t>u</w:t>
      </w:r>
      <w:r>
        <w:t>pervisión con arreglo a la Ley de relaciones labor</w:t>
      </w:r>
      <w:r>
        <w:t>a</w:t>
      </w:r>
      <w:r>
        <w:t>les ante el cual la mujer cuyos derechos se han violado puede presentar una denuncia y si, en ese caso, se ha presentado hasta la fecha alguna d</w:t>
      </w:r>
      <w:r>
        <w:t>e</w:t>
      </w:r>
      <w:r>
        <w:t>nuncia de ese tipo.</w:t>
      </w:r>
    </w:p>
    <w:p w:rsidR="00CA3F10" w:rsidRDefault="00CA3F10">
      <w:pPr>
        <w:pStyle w:val="DualTxt"/>
      </w:pPr>
      <w:r>
        <w:t>31.</w:t>
      </w:r>
      <w:r>
        <w:tab/>
      </w:r>
      <w:r>
        <w:rPr>
          <w:b/>
          <w:bCs/>
        </w:rPr>
        <w:t>El Sr. Jakimovski</w:t>
      </w:r>
      <w:r>
        <w:t xml:space="preserve"> (ex República Yugoslava de Macedonia), al responder a las preguntas relativas al acceso al crédito para la mujer, dice que las mujeres empres</w:t>
      </w:r>
      <w:r>
        <w:t>a</w:t>
      </w:r>
      <w:r>
        <w:t>rias tienen a su disposición ciertas líneas de crédito en el sector bancario privado. El Gobierno no está en condiciones de proporcionar créditos o prést</w:t>
      </w:r>
      <w:r>
        <w:t>a</w:t>
      </w:r>
      <w:r>
        <w:t>mos, pero ofrece programas especiales de capac</w:t>
      </w:r>
      <w:r>
        <w:t>i</w:t>
      </w:r>
      <w:r>
        <w:t>tación para las empres</w:t>
      </w:r>
      <w:r>
        <w:t>a</w:t>
      </w:r>
      <w:r>
        <w:t>rias.</w:t>
      </w:r>
    </w:p>
    <w:p w:rsidR="00CA3F10" w:rsidRDefault="00CA3F10">
      <w:pPr>
        <w:pStyle w:val="DualTxt"/>
      </w:pPr>
      <w:r>
        <w:t>32.</w:t>
      </w:r>
      <w:r>
        <w:tab/>
        <w:t>Respecto de la licencia de maternidad, las trab</w:t>
      </w:r>
      <w:r>
        <w:t>a</w:t>
      </w:r>
      <w:r>
        <w:t>jadoras tanto del sector público como del privado ti</w:t>
      </w:r>
      <w:r>
        <w:t>e</w:t>
      </w:r>
      <w:r>
        <w:t>nen derecho a los mismos beneficios, y se imponen sanciones estrictas a las violaciones de ese derecho. Sin embargo, los beneficios de una mujer pueden red</w:t>
      </w:r>
      <w:r>
        <w:t>u</w:t>
      </w:r>
      <w:r>
        <w:t>cirse si su empleador quiebra o no paga las contrib</w:t>
      </w:r>
      <w:r>
        <w:t>u</w:t>
      </w:r>
      <w:r>
        <w:t>ciones correspondientes al seg</w:t>
      </w:r>
      <w:r>
        <w:t>u</w:t>
      </w:r>
      <w:r>
        <w:t>ro social.</w:t>
      </w:r>
    </w:p>
    <w:p w:rsidR="00CA3F10" w:rsidRDefault="00CA3F10">
      <w:pPr>
        <w:pStyle w:val="DualTxt"/>
      </w:pPr>
      <w:r>
        <w:t>33.</w:t>
      </w:r>
      <w:r>
        <w:tab/>
      </w:r>
      <w:r>
        <w:rPr>
          <w:b/>
          <w:bCs/>
          <w:spacing w:val="2"/>
        </w:rPr>
        <w:t>La Sra. Grozdanova</w:t>
      </w:r>
      <w:r>
        <w:rPr>
          <w:spacing w:val="2"/>
        </w:rPr>
        <w:t xml:space="preserve"> (ex República Yugoslava de Macedonia) dice que el Gobierno no ha realizado una investigación concreta sobre la discr</w:t>
      </w:r>
      <w:r>
        <w:rPr>
          <w:spacing w:val="2"/>
        </w:rPr>
        <w:t>i</w:t>
      </w:r>
      <w:r>
        <w:rPr>
          <w:spacing w:val="2"/>
        </w:rPr>
        <w:t>minación contra las mujeres de las diversas comunidades étnicas respecto de sus derechos a la educación, la atención de la salud o la representación política. Diversas organizaciones no g</w:t>
      </w:r>
      <w:r>
        <w:rPr>
          <w:spacing w:val="2"/>
        </w:rPr>
        <w:t>u</w:t>
      </w:r>
      <w:r>
        <w:rPr>
          <w:spacing w:val="2"/>
        </w:rPr>
        <w:t>bernamentales han realizado esfuerzos para evaluar la situación e identificar las necesidades y los problemas especiales de las m</w:t>
      </w:r>
      <w:r>
        <w:rPr>
          <w:spacing w:val="2"/>
        </w:rPr>
        <w:t>u</w:t>
      </w:r>
      <w:r>
        <w:rPr>
          <w:spacing w:val="2"/>
        </w:rPr>
        <w:t>jeres que viven en las zonas rurales, así como para informarlas sobre sus derechos y oport</w:t>
      </w:r>
      <w:r>
        <w:rPr>
          <w:spacing w:val="2"/>
        </w:rPr>
        <w:t>u</w:t>
      </w:r>
      <w:r>
        <w:rPr>
          <w:spacing w:val="2"/>
        </w:rPr>
        <w:t>nidades con arreglo a la legislación existente. Como se ha indicado en las re</w:t>
      </w:r>
      <w:r>
        <w:rPr>
          <w:spacing w:val="2"/>
        </w:rPr>
        <w:t>s</w:t>
      </w:r>
      <w:r>
        <w:rPr>
          <w:spacing w:val="2"/>
        </w:rPr>
        <w:t>puestas del Gobierno, el Ministerio de Trabajo y Política Social está apoyando esas iniciat</w:t>
      </w:r>
      <w:r>
        <w:rPr>
          <w:spacing w:val="2"/>
        </w:rPr>
        <w:t>i</w:t>
      </w:r>
      <w:r>
        <w:rPr>
          <w:spacing w:val="2"/>
        </w:rPr>
        <w:t>vas. En el próximo período, el Gobierno, en colabor</w:t>
      </w:r>
      <w:r>
        <w:rPr>
          <w:spacing w:val="2"/>
        </w:rPr>
        <w:t>a</w:t>
      </w:r>
      <w:r>
        <w:rPr>
          <w:spacing w:val="2"/>
        </w:rPr>
        <w:t>ción con las organizaciones no gubernamentales, prevé organizar una i</w:t>
      </w:r>
      <w:r>
        <w:rPr>
          <w:spacing w:val="2"/>
        </w:rPr>
        <w:t>n</w:t>
      </w:r>
      <w:r>
        <w:rPr>
          <w:spacing w:val="2"/>
        </w:rPr>
        <w:t>vestigación para identificar los diversos tipos de discriminación a que hacen frente las mujeres de diferentes grupos étn</w:t>
      </w:r>
      <w:r>
        <w:rPr>
          <w:spacing w:val="2"/>
        </w:rPr>
        <w:t>i</w:t>
      </w:r>
      <w:r>
        <w:rPr>
          <w:spacing w:val="2"/>
        </w:rPr>
        <w:t>cos</w:t>
      </w:r>
      <w:r>
        <w:t>.</w:t>
      </w:r>
    </w:p>
    <w:p w:rsidR="00CA3F10" w:rsidRDefault="00CA3F10">
      <w:pPr>
        <w:pStyle w:val="DualTxt"/>
      </w:pPr>
      <w:r>
        <w:t>34.</w:t>
      </w:r>
      <w:r>
        <w:tab/>
      </w:r>
      <w:r>
        <w:rPr>
          <w:b/>
          <w:bCs/>
        </w:rPr>
        <w:t>La Sra. Ljatifi</w:t>
      </w:r>
      <w:r>
        <w:t xml:space="preserve"> (ex República Yugoslava de M</w:t>
      </w:r>
      <w:r>
        <w:t>a</w:t>
      </w:r>
      <w:r>
        <w:t>cedonia) dice que, después que se publicó el informe de su país, la edad de jubilación se ha elevado de 60 a 62 años para la mujer y de 63 a 64 años para el ho</w:t>
      </w:r>
      <w:r>
        <w:t>m</w:t>
      </w:r>
      <w:r>
        <w:t>bre, y actualmente, para estar en condiciones de jub</w:t>
      </w:r>
      <w:r>
        <w:t>i</w:t>
      </w:r>
      <w:r>
        <w:t>larse, ya no se requieren 20 años de servicio sino 15 años. De esa forma, se ha reducido la diferencia en la edad de jubilación. El Gobierno está estudiando la p</w:t>
      </w:r>
      <w:r>
        <w:t>o</w:t>
      </w:r>
      <w:r>
        <w:t>sibilidad de igualar la edad de jubilación como parte del esfuerzo por armonizar la legislación nacional con la legisl</w:t>
      </w:r>
      <w:r>
        <w:t>a</w:t>
      </w:r>
      <w:r>
        <w:t>ción europea y ajustarla a las directrices de la Unión Europea sobre la igualdad de tratamiento de hombres y mujeres respecto de los beneficios del seg</w:t>
      </w:r>
      <w:r>
        <w:t>u</w:t>
      </w:r>
      <w:r>
        <w:t>ro social.</w:t>
      </w:r>
    </w:p>
    <w:p w:rsidR="00CA3F10" w:rsidRDefault="00CA3F10">
      <w:pPr>
        <w:pStyle w:val="DualTxt"/>
      </w:pPr>
      <w:r>
        <w:t>35.</w:t>
      </w:r>
      <w:r>
        <w:tab/>
        <w:t>La delegada señala que tiene también estadí</w:t>
      </w:r>
      <w:r>
        <w:t>s</w:t>
      </w:r>
      <w:r>
        <w:t>ticas actualizadas sobre las cifras relativas a hombres y m</w:t>
      </w:r>
      <w:r>
        <w:t>u</w:t>
      </w:r>
      <w:r>
        <w:t>jeres jubilados y estará encantada de proporcionarlas por escrito, si el Comité así lo desea.</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Artículo 12</w:t>
      </w:r>
    </w:p>
    <w:p w:rsidR="00CA3F10" w:rsidRDefault="00CA3F10">
      <w:pPr>
        <w:pStyle w:val="DualTxt"/>
        <w:spacing w:after="0" w:line="120" w:lineRule="exact"/>
        <w:rPr>
          <w:sz w:val="10"/>
        </w:rPr>
      </w:pPr>
    </w:p>
    <w:p w:rsidR="00CA3F10" w:rsidRDefault="00CA3F10">
      <w:pPr>
        <w:pStyle w:val="DualTxt"/>
      </w:pPr>
      <w:r>
        <w:t>36.</w:t>
      </w:r>
      <w:r>
        <w:tab/>
      </w:r>
      <w:r>
        <w:rPr>
          <w:b/>
          <w:bCs/>
        </w:rPr>
        <w:t>La Sra. Diariam</w:t>
      </w:r>
      <w:r>
        <w:t xml:space="preserve"> celebra que en el informe se proporcionen detalles sobre la incidencia de las enfe</w:t>
      </w:r>
      <w:r>
        <w:t>r</w:t>
      </w:r>
      <w:r>
        <w:t>medades en las mujeres, ya que esa inform</w:t>
      </w:r>
      <w:r>
        <w:t>a</w:t>
      </w:r>
      <w:r>
        <w:t>ción ofrece una descripción más completa del e</w:t>
      </w:r>
      <w:r>
        <w:t>s</w:t>
      </w:r>
      <w:r>
        <w:t>tado de salud de la mujer macedonia de lo que pu</w:t>
      </w:r>
      <w:r>
        <w:t>e</w:t>
      </w:r>
      <w:r>
        <w:t>de deducirse solamente a partir de los datos de salud reproductiva. Sin emba</w:t>
      </w:r>
      <w:r>
        <w:t>r</w:t>
      </w:r>
      <w:r>
        <w:t>go, no se incluye i</w:t>
      </w:r>
      <w:r>
        <w:t>n</w:t>
      </w:r>
      <w:r>
        <w:t>formación alguna sobre los tipos de servicios orientados a la mujer que se prestan para hacer fre</w:t>
      </w:r>
      <w:r>
        <w:t>n</w:t>
      </w:r>
      <w:r>
        <w:t>te a los problemas y los riesgos especiales de salud que afectan a la mujer, según se pide en la rec</w:t>
      </w:r>
      <w:r>
        <w:t>o</w:t>
      </w:r>
      <w:r>
        <w:t>mendación general No.24 del Comité. Pregunta si el Ministerio de Salud tiene plena conciencia de sus re</w:t>
      </w:r>
      <w:r>
        <w:t>s</w:t>
      </w:r>
      <w:r>
        <w:t>ponsabilidades con arreglo a esa recomendación y al artículo 12 de la Convención, y si ha desarrollado o e</w:t>
      </w:r>
      <w:r>
        <w:t>s</w:t>
      </w:r>
      <w:r>
        <w:t>tá planeando desarrollar las competencias necesarias para cumplir esas respo</w:t>
      </w:r>
      <w:r>
        <w:t>n</w:t>
      </w:r>
      <w:r>
        <w:t>sabilidades.</w:t>
      </w:r>
    </w:p>
    <w:p w:rsidR="00CA3F10" w:rsidRDefault="00CA3F10">
      <w:pPr>
        <w:pStyle w:val="DualTxt"/>
      </w:pPr>
      <w:r>
        <w:t>37.</w:t>
      </w:r>
      <w:r>
        <w:tab/>
        <w:t>La oradora desea más información sobre el acc</w:t>
      </w:r>
      <w:r>
        <w:t>e</w:t>
      </w:r>
      <w:r>
        <w:t>so, en particular para las mujeres pertenecientes a m</w:t>
      </w:r>
      <w:r>
        <w:t>i</w:t>
      </w:r>
      <w:r>
        <w:t>norías, a los servicios básicos de salud y a los servicios especializados de salud reproductiva que atienden pr</w:t>
      </w:r>
      <w:r>
        <w:t>o</w:t>
      </w:r>
      <w:r>
        <w:t>blemas ginecológicos en las zonas rurales. Quiere s</w:t>
      </w:r>
      <w:r>
        <w:t>a</w:t>
      </w:r>
      <w:r>
        <w:t>ber, en particular, de qué forma se están prestando esos servicios y si en su prestación el gobierno está vigila</w:t>
      </w:r>
      <w:r>
        <w:t>n</w:t>
      </w:r>
      <w:r>
        <w:t>do la posibilidad de discriminación dir</w:t>
      </w:r>
      <w:r>
        <w:t>e</w:t>
      </w:r>
      <w:r>
        <w:t>cta o indirecta. Ésta puede ocurrir, por ejemplo, en el caso de mujeres pobres que carecen de seguro de salud y a las que, por lo tanto, se les niega concretamente el acceso a la atención.</w:t>
      </w:r>
    </w:p>
    <w:p w:rsidR="00CA3F10" w:rsidRDefault="00CA3F10">
      <w:pPr>
        <w:pStyle w:val="DualTxt"/>
      </w:pPr>
      <w:r>
        <w:t>38.</w:t>
      </w:r>
      <w:r>
        <w:tab/>
        <w:t>Por último, la experta pregunta si el nuevo pr</w:t>
      </w:r>
      <w:r>
        <w:t>o</w:t>
      </w:r>
      <w:r>
        <w:t>yecto de estrategia de salud abordará esas preocup</w:t>
      </w:r>
      <w:r>
        <w:t>a</w:t>
      </w:r>
      <w:r>
        <w:t>ciones y si se basará en el artículo 12 de la Convención y en la rec</w:t>
      </w:r>
      <w:r>
        <w:t>o</w:t>
      </w:r>
      <w:r>
        <w:t>mendación general No.24 del Comité.</w:t>
      </w:r>
    </w:p>
    <w:p w:rsidR="00CA3F10" w:rsidRDefault="00CA3F10">
      <w:pPr>
        <w:pStyle w:val="DualTxt"/>
      </w:pPr>
      <w:r>
        <w:t>39.</w:t>
      </w:r>
      <w:r>
        <w:tab/>
      </w:r>
      <w:r>
        <w:rPr>
          <w:b/>
          <w:bCs/>
        </w:rPr>
        <w:t>La Sra. Pimentel</w:t>
      </w:r>
      <w:r>
        <w:t xml:space="preserve"> s</w:t>
      </w:r>
      <w:r>
        <w:t>e</w:t>
      </w:r>
      <w:r>
        <w:t>ñala que el Estado parte ha ndicado que tiene intención de elaborar una estrat</w:t>
      </w:r>
      <w:r>
        <w:t>e</w:t>
      </w:r>
      <w:r>
        <w:t>gia nacional para los adolescentes y los jóvenes. Pr</w:t>
      </w:r>
      <w:r>
        <w:t>e</w:t>
      </w:r>
      <w:r>
        <w:t>gunta si se está examinando también la posibilidad de elab</w:t>
      </w:r>
      <w:r>
        <w:t>o</w:t>
      </w:r>
      <w:r>
        <w:t>rar una estrategia nacional para hacer frente a las nec</w:t>
      </w:r>
      <w:r>
        <w:t>e</w:t>
      </w:r>
      <w:r>
        <w:t>sidades de las personas de edad, en particular las mujeres. Además, la or</w:t>
      </w:r>
      <w:r>
        <w:t>a</w:t>
      </w:r>
      <w:r>
        <w:t>dora desea saber si el país cuenta con una estrategia nacional de asistencia para las mujeres discapacitadas que rebase la contratación de un s</w:t>
      </w:r>
      <w:r>
        <w:t>e</w:t>
      </w:r>
      <w:r>
        <w:t>guro de discapacidad y medidas semejantes en el ma</w:t>
      </w:r>
      <w:r>
        <w:t>r</w:t>
      </w:r>
      <w:r>
        <w:t>co del seguro social.</w:t>
      </w:r>
    </w:p>
    <w:p w:rsidR="00CA3F10" w:rsidRDefault="00CA3F10">
      <w:pPr>
        <w:pStyle w:val="DualTxt"/>
      </w:pPr>
      <w:r>
        <w:t>40.</w:t>
      </w:r>
      <w:r>
        <w:tab/>
      </w:r>
      <w:r>
        <w:rPr>
          <w:b/>
          <w:bCs/>
        </w:rPr>
        <w:t>La Sra. Morvai</w:t>
      </w:r>
      <w:r>
        <w:t xml:space="preserve"> dice que le preocupa que el aborto se siga utilizando tan extensamente como mét</w:t>
      </w:r>
      <w:r>
        <w:t>o</w:t>
      </w:r>
      <w:r>
        <w:t>do de control de la fecundidad. El número de abortos realizados por año es aproximadamente cinco veces más el</w:t>
      </w:r>
      <w:r>
        <w:t>e</w:t>
      </w:r>
      <w:r>
        <w:t>vado que el promedio de la Unión Europea. Desea saber si se ha realizado una investigación para determinar las razones de ese fenómeno y, si es así, cuáles han sido los resultados. Pregunta también cuál es la razón de la drástica disminución en la utiliz</w:t>
      </w:r>
      <w:r>
        <w:t>a</w:t>
      </w:r>
      <w:r>
        <w:t>ción de dispositivos anticonceptivos que, de acuerdo con las cifras prese</w:t>
      </w:r>
      <w:r>
        <w:t>n</w:t>
      </w:r>
      <w:r>
        <w:t>tadas en el informe, ha disminuido en aproximadame</w:t>
      </w:r>
      <w:r>
        <w:t>n</w:t>
      </w:r>
      <w:r>
        <w:t>te un 60% desde 1990.</w:t>
      </w:r>
    </w:p>
    <w:p w:rsidR="00CA3F10" w:rsidRDefault="00CA3F10">
      <w:pPr>
        <w:pStyle w:val="DualTxt"/>
      </w:pPr>
      <w:r>
        <w:t>41.</w:t>
      </w:r>
      <w:r>
        <w:tab/>
      </w:r>
      <w:r>
        <w:rPr>
          <w:b/>
          <w:bCs/>
        </w:rPr>
        <w:t>La Sra. Janeva</w:t>
      </w:r>
      <w:r>
        <w:t xml:space="preserve"> (ex República Yugoslava de M</w:t>
      </w:r>
      <w:r>
        <w:t>a</w:t>
      </w:r>
      <w:r>
        <w:t>cedonia) dice que su país no ha elaborado aún un pr</w:t>
      </w:r>
      <w:r>
        <w:t>o</w:t>
      </w:r>
      <w:r>
        <w:t>grama especial para mejorar la salud de las personas de edad pero que cuenta con un programa encaminado a reducir las enfermedades crónicas, incluidas algunas que son más frecue</w:t>
      </w:r>
      <w:r>
        <w:t>n</w:t>
      </w:r>
      <w:r>
        <w:t>tes en las mujeres o que las afectan exclusivamente. Además, la nueva estrategia nacional de salud hará hincapié en la salud de las mujeres de edad y en los factores concretos de riesgo a los que se exponen.</w:t>
      </w:r>
    </w:p>
    <w:p w:rsidR="00CA3F10" w:rsidRDefault="00CA3F10">
      <w:pPr>
        <w:pStyle w:val="DualTxt"/>
      </w:pPr>
      <w:r>
        <w:t>42.</w:t>
      </w:r>
      <w:r>
        <w:tab/>
        <w:t>Respecto del acceso a clínicas que se especi</w:t>
      </w:r>
      <w:r>
        <w:t>a</w:t>
      </w:r>
      <w:r>
        <w:t>lizan en ginecología, la oradora dice que esas cl</w:t>
      </w:r>
      <w:r>
        <w:t>í</w:t>
      </w:r>
      <w:r>
        <w:t>nicas están principalme</w:t>
      </w:r>
      <w:r>
        <w:t>n</w:t>
      </w:r>
      <w:r>
        <w:t>te ubicadas en las zonas urbanas. Por ello, el Gobierno ha realizado una amplia campaña de ed</w:t>
      </w:r>
      <w:r>
        <w:t>u</w:t>
      </w:r>
      <w:r>
        <w:t>cación entre el personal de enfermería que trabaja en las comunidades y que está disponible en todas las z</w:t>
      </w:r>
      <w:r>
        <w:t>o</w:t>
      </w:r>
      <w:r>
        <w:t>nas rurales, a fin de capacitarlo para prestar servicios ginecológicos. El país tiene también un eficiente sist</w:t>
      </w:r>
      <w:r>
        <w:t>e</w:t>
      </w:r>
      <w:r>
        <w:t>ma de consulta y una buena infrae</w:t>
      </w:r>
      <w:r>
        <w:t>s</w:t>
      </w:r>
      <w:r>
        <w:t>tructura vial; en una emergencia, se puede transferir con facilidad a las m</w:t>
      </w:r>
      <w:r>
        <w:t>u</w:t>
      </w:r>
      <w:r>
        <w:t>jeres de las zonas rurales a los establecimientos esp</w:t>
      </w:r>
      <w:r>
        <w:t>e</w:t>
      </w:r>
      <w:r>
        <w:t>cializados de salud. No hay discrimin</w:t>
      </w:r>
      <w:r>
        <w:t>a</w:t>
      </w:r>
      <w:r>
        <w:t>ción contra las mujeres de las zonas rurales en materia de cobertura sanitaria.</w:t>
      </w:r>
    </w:p>
    <w:p w:rsidR="00CA3F10" w:rsidRDefault="00CA3F10">
      <w:pPr>
        <w:pStyle w:val="DualTxt"/>
      </w:pPr>
      <w:r>
        <w:t>43.</w:t>
      </w:r>
      <w:r>
        <w:tab/>
        <w:t>El cáncer cérvico uterino es una importante pr</w:t>
      </w:r>
      <w:r>
        <w:t>e</w:t>
      </w:r>
      <w:r>
        <w:t>ocupación en el ámb</w:t>
      </w:r>
      <w:r>
        <w:t>i</w:t>
      </w:r>
      <w:r>
        <w:t>to de la salud pública de su país y, en 2004, el Gobierno inició un amplio programa de prevención y detección de cáncer cé</w:t>
      </w:r>
      <w:r>
        <w:t>r</w:t>
      </w:r>
      <w:r>
        <w:t>vico uterino, que prevé la realización de pruebas de Papanicolau a todas las mujeres, incluidas las mujeres pobres o que car</w:t>
      </w:r>
      <w:r>
        <w:t>e</w:t>
      </w:r>
      <w:r>
        <w:t>cen de seguro.</w:t>
      </w:r>
    </w:p>
    <w:p w:rsidR="00CA3F10" w:rsidRDefault="00CA3F10">
      <w:pPr>
        <w:pStyle w:val="DualTxt"/>
      </w:pPr>
      <w:r>
        <w:t>44.</w:t>
      </w:r>
      <w:r>
        <w:tab/>
        <w:t>La delegada recon</w:t>
      </w:r>
      <w:r>
        <w:t>o</w:t>
      </w:r>
      <w:r>
        <w:t>ce que las tasas de aborto son elevadas comparadas con las de otros países e</w:t>
      </w:r>
      <w:r>
        <w:t>u</w:t>
      </w:r>
      <w:r>
        <w:t>ropeos, pero dice que la situación está mejorando. En 1994, por ejemplo, la proporción de abortos con los nacimientos vivos era de 50 a 100, mie</w:t>
      </w:r>
      <w:r>
        <w:t>n</w:t>
      </w:r>
      <w:r>
        <w:t>tras que actualmente es de 30 a 100. En las clínicas, actualmente, se cuenta con asesoramiento en planif</w:t>
      </w:r>
      <w:r>
        <w:t>i</w:t>
      </w:r>
      <w:r>
        <w:t>cación de la familia, pero no se ha realizado investigación concreta alguna para saber la razón por la que las mujeres no suelen recurrir a esos servicios. Si bien es cierto que p</w:t>
      </w:r>
      <w:r>
        <w:t>a</w:t>
      </w:r>
      <w:r>
        <w:t>rece haber disminuido el número de dispositivos anticonceptivos que se pr</w:t>
      </w:r>
      <w:r>
        <w:t>o</w:t>
      </w:r>
      <w:r>
        <w:t>porcionan a las mujeres por conducto de los servicios públicos de asesoramiento de planificación de la fam</w:t>
      </w:r>
      <w:r>
        <w:t>i</w:t>
      </w:r>
      <w:r>
        <w:t>lia, ello es un reflejo de la amplia privatización de los servicios de salud desde pri</w:t>
      </w:r>
      <w:r>
        <w:t>n</w:t>
      </w:r>
      <w:r>
        <w:t>cipios del decenio de 1990. Los datos oficiales no incluyen necesariamente las estadísticas sobre los anticonceptivos entregados por conducto de clínicas ginecológicas privadas o los anticonce</w:t>
      </w:r>
      <w:r>
        <w:t>p</w:t>
      </w:r>
      <w:r>
        <w:t>tivos que las mujeres compran directamente en las farmacias.</w:t>
      </w:r>
    </w:p>
    <w:p w:rsidR="00CA3F10" w:rsidRDefault="00CA3F10">
      <w:pPr>
        <w:pStyle w:val="DualTxt"/>
      </w:pPr>
      <w:r>
        <w:t>45.</w:t>
      </w:r>
      <w:r>
        <w:tab/>
      </w:r>
      <w:r>
        <w:rPr>
          <w:b/>
          <w:bCs/>
        </w:rPr>
        <w:t>El Sr. Jakimovski</w:t>
      </w:r>
      <w:r>
        <w:t xml:space="preserve"> afirma que todos los ciudad</w:t>
      </w:r>
      <w:r>
        <w:t>a</w:t>
      </w:r>
      <w:r>
        <w:t>nos, entre otros, las personas de edad, los discapacit</w:t>
      </w:r>
      <w:r>
        <w:t>a</w:t>
      </w:r>
      <w:r>
        <w:t>dos, los pobres y la población de las zonas rurales, ti</w:t>
      </w:r>
      <w:r>
        <w:t>e</w:t>
      </w:r>
      <w:r>
        <w:t>nen acc</w:t>
      </w:r>
      <w:r>
        <w:t>e</w:t>
      </w:r>
      <w:r>
        <w:t>so a los servicios de atención de la salud. Aun las pe</w:t>
      </w:r>
      <w:r>
        <w:t>r</w:t>
      </w:r>
      <w:r>
        <w:t>sonas que buscan asilo y que no son macedonios están cubiertas con arr</w:t>
      </w:r>
      <w:r>
        <w:t>e</w:t>
      </w:r>
      <w:r>
        <w:t>glo a un plan en que la Oficina del Alto Com</w:t>
      </w:r>
      <w:r>
        <w:t>i</w:t>
      </w:r>
      <w:r>
        <w:t>sionado de las Naciones Unidas para los Refugiados reembolsa al Gobierno los gastos de esa cobertura. Por lo tanto, no se discrimina a nadie re</w:t>
      </w:r>
      <w:r>
        <w:t>s</w:t>
      </w:r>
      <w:r>
        <w:t>pecto del derecho a la atención de la salud.</w:t>
      </w:r>
    </w:p>
    <w:p w:rsidR="00CA3F10" w:rsidRDefault="00CA3F10">
      <w:pPr>
        <w:pStyle w:val="DualTxt"/>
        <w:spacing w:after="0" w:line="120" w:lineRule="exact"/>
        <w:rPr>
          <w:sz w:val="10"/>
        </w:rPr>
      </w:pPr>
    </w:p>
    <w:p w:rsidR="00CA3F10" w:rsidRDefault="00CA3F10">
      <w:pPr>
        <w:pStyle w:val="H23"/>
        <w:tabs>
          <w:tab w:val="right" w:pos="360"/>
          <w:tab w:val="left" w:pos="475"/>
          <w:tab w:val="left" w:pos="965"/>
          <w:tab w:val="left" w:pos="1440"/>
          <w:tab w:val="left" w:pos="1915"/>
          <w:tab w:val="left" w:pos="2405"/>
          <w:tab w:val="left" w:pos="2880"/>
          <w:tab w:val="left" w:pos="3355"/>
        </w:tabs>
        <w:ind w:left="475" w:hanging="475"/>
      </w:pPr>
      <w:r>
        <w:t>Artículo 14</w:t>
      </w:r>
    </w:p>
    <w:p w:rsidR="00CA3F10" w:rsidRDefault="00CA3F10">
      <w:pPr>
        <w:pStyle w:val="DualTxt"/>
        <w:spacing w:after="0" w:line="120" w:lineRule="exact"/>
        <w:rPr>
          <w:sz w:val="10"/>
        </w:rPr>
      </w:pPr>
    </w:p>
    <w:p w:rsidR="00CA3F10" w:rsidRDefault="00CA3F10">
      <w:pPr>
        <w:pStyle w:val="DualTxt"/>
      </w:pPr>
      <w:r>
        <w:t>46.</w:t>
      </w:r>
      <w:r>
        <w:tab/>
      </w:r>
      <w:r>
        <w:rPr>
          <w:b/>
          <w:bCs/>
        </w:rPr>
        <w:t>La Sra. Tan</w:t>
      </w:r>
      <w:r>
        <w:t xml:space="preserve"> señala que en el informe no se me</w:t>
      </w:r>
      <w:r>
        <w:t>n</w:t>
      </w:r>
      <w:r>
        <w:t>ciona ningún progr</w:t>
      </w:r>
      <w:r>
        <w:t>a</w:t>
      </w:r>
      <w:r>
        <w:t>ma especial para las niñas que abandonan la escuela prematuramente, un fenómeno que suele ocurrir con mayor frecuencia en las zonas r</w:t>
      </w:r>
      <w:r>
        <w:t>u</w:t>
      </w:r>
      <w:r>
        <w:t>rales. Pregunta si el Gobierno ha est</w:t>
      </w:r>
      <w:r>
        <w:t>a</w:t>
      </w:r>
      <w:r>
        <w:t>blecido como prioridad la ejecución de programas encaminados a r</w:t>
      </w:r>
      <w:r>
        <w:t>e</w:t>
      </w:r>
      <w:r>
        <w:t>ducir las tasas de deserción escolar de las niñas de las zonas rurales, y a convencer a las niñas y las mujeres que han abandonado prematuramente la escuela a re</w:t>
      </w:r>
      <w:r>
        <w:t>a</w:t>
      </w:r>
      <w:r>
        <w:t>nudar su educación. Si se ha ejecutado ese tipo de pr</w:t>
      </w:r>
      <w:r>
        <w:t>o</w:t>
      </w:r>
      <w:r>
        <w:t>gramas, la oradora desea que la delegación propo</w:t>
      </w:r>
      <w:r>
        <w:t>r</w:t>
      </w:r>
      <w:r>
        <w:t>cione información sobre sus repercusiones. Quiere saber también si el Gobierno ha elaborado planes para mej</w:t>
      </w:r>
      <w:r>
        <w:t>o</w:t>
      </w:r>
      <w:r>
        <w:t>rar el acceso de las mujeres y las niñas de las zonas r</w:t>
      </w:r>
      <w:r>
        <w:t>u</w:t>
      </w:r>
      <w:r>
        <w:t>rales a la información relativa a la salud reproductiva y la planificación de la fam</w:t>
      </w:r>
      <w:r>
        <w:t>i</w:t>
      </w:r>
      <w:r>
        <w:t>lia.</w:t>
      </w:r>
    </w:p>
    <w:p w:rsidR="00CA3F10" w:rsidRDefault="00CA3F10">
      <w:pPr>
        <w:pStyle w:val="DualTxt"/>
      </w:pPr>
      <w:r>
        <w:t>47.</w:t>
      </w:r>
      <w:r>
        <w:tab/>
      </w:r>
      <w:r>
        <w:rPr>
          <w:b/>
          <w:bCs/>
        </w:rPr>
        <w:t>La Sra Simms</w:t>
      </w:r>
      <w:r>
        <w:t xml:space="preserve"> dice que, si bien es muy inter</w:t>
      </w:r>
      <w:r>
        <w:t>e</w:t>
      </w:r>
      <w:r>
        <w:t>sante enterarse de todos los acontecimientos que están teniendo lugar en ex República Yugoslava de Macedonia, parecería que la clase media está rec</w:t>
      </w:r>
      <w:r>
        <w:t>i</w:t>
      </w:r>
      <w:r>
        <w:t>biendo la mayor parte de los beneficios y que la situ</w:t>
      </w:r>
      <w:r>
        <w:t>a</w:t>
      </w:r>
      <w:r>
        <w:t>ción en las zonas rurales parece ser muy diferente. Le parece c</w:t>
      </w:r>
      <w:r>
        <w:t>u</w:t>
      </w:r>
      <w:r>
        <w:t>rioso que en el informe se señale que, por una parte, debido a su escasa educación las mujeres en las zonas rurales no tienen otra alternativa que la de trab</w:t>
      </w:r>
      <w:r>
        <w:t>a</w:t>
      </w:r>
      <w:r>
        <w:t>jar en la agricult</w:t>
      </w:r>
      <w:r>
        <w:t>u</w:t>
      </w:r>
      <w:r>
        <w:t>ra y que, por la otra parte,  a causa de ello la autoridad del padre se está debilitando. Ello s</w:t>
      </w:r>
      <w:r>
        <w:t>u</w:t>
      </w:r>
      <w:r>
        <w:t>giere que alguien es el causante de ese debilitamiento y que el hombre es la víctima. De hecho, lo que se nec</w:t>
      </w:r>
      <w:r>
        <w:t>e</w:t>
      </w:r>
      <w:r>
        <w:t>sita es un programa para lograr que los hombres as</w:t>
      </w:r>
      <w:r>
        <w:t>u</w:t>
      </w:r>
      <w:r>
        <w:t>man cierta responsabilidad, en particular en las zonas rurales, para que no piensen que tienen un derecho d</w:t>
      </w:r>
      <w:r>
        <w:t>i</w:t>
      </w:r>
      <w:r>
        <w:t>vino a la aut</w:t>
      </w:r>
      <w:r>
        <w:t>o</w:t>
      </w:r>
      <w:r>
        <w:t>ridad.</w:t>
      </w:r>
    </w:p>
    <w:p w:rsidR="00CA3F10" w:rsidRDefault="00CA3F10">
      <w:pPr>
        <w:pStyle w:val="DualTxt"/>
      </w:pPr>
      <w:r>
        <w:t>48.</w:t>
      </w:r>
      <w:r>
        <w:tab/>
      </w:r>
      <w:r>
        <w:rPr>
          <w:b/>
          <w:bCs/>
        </w:rPr>
        <w:t>La Sra. Coker-Appiah</w:t>
      </w:r>
      <w:r>
        <w:t xml:space="preserve"> dice que, en numerosos países, la mujer de las zonas rurales suele aparecer en posición de desventaja respecto del acceso a los serv</w:t>
      </w:r>
      <w:r>
        <w:t>i</w:t>
      </w:r>
      <w:r>
        <w:t>cios sociales y el goce de sus derechos. Desea tener más información sobre los servicios de salud para la mujer de las zonas rurales, concretamente, qué dista</w:t>
      </w:r>
      <w:r>
        <w:t>n</w:t>
      </w:r>
      <w:r>
        <w:t>cia deben recorrer los habitantes de las zonas rurales para llegar al centro de salud más próximo, y la pr</w:t>
      </w:r>
      <w:r>
        <w:t>o</w:t>
      </w:r>
      <w:r>
        <w:t>porción de médicos por paciente. La oradora insta al Estado parte a que, en el próximo informe, prese</w:t>
      </w:r>
      <w:r>
        <w:t>n</w:t>
      </w:r>
      <w:r>
        <w:t>te una descripción cabal de la s</w:t>
      </w:r>
      <w:r>
        <w:t>i</w:t>
      </w:r>
      <w:r>
        <w:t>tuación de la mujer de las zonas rurales, como exige el artículo 14 de la Conve</w:t>
      </w:r>
      <w:r>
        <w:t>n</w:t>
      </w:r>
      <w:r>
        <w:t>ción.</w:t>
      </w:r>
    </w:p>
    <w:p w:rsidR="00CA3F10" w:rsidRDefault="00CA3F10">
      <w:pPr>
        <w:pStyle w:val="DualTxt"/>
      </w:pPr>
      <w:r>
        <w:t>49.</w:t>
      </w:r>
      <w:r>
        <w:tab/>
      </w:r>
      <w:r>
        <w:rPr>
          <w:b/>
          <w:bCs/>
        </w:rPr>
        <w:t>La Sra. Ivanova</w:t>
      </w:r>
      <w:r>
        <w:t xml:space="preserve"> (ex República Yugoslava de Macedonia) dice que, de acuerdo con las disposici</w:t>
      </w:r>
      <w:r>
        <w:t>o</w:t>
      </w:r>
      <w:r>
        <w:t>nes de diversos instrumentos de derechos humanos, el G</w:t>
      </w:r>
      <w:r>
        <w:t>o</w:t>
      </w:r>
      <w:r>
        <w:t>bierno ha establecido una oficina para el desarrollo y la promoción de la educación en los idiomas pertenecie</w:t>
      </w:r>
      <w:r>
        <w:t>n</w:t>
      </w:r>
      <w:r>
        <w:t>tes a las comunidades étnicas minoritarias, con una l</w:t>
      </w:r>
      <w:r>
        <w:t>e</w:t>
      </w:r>
      <w:r>
        <w:t>gislación de apoyo adecuada. Ha elaborado un proye</w:t>
      </w:r>
      <w:r>
        <w:t>c</w:t>
      </w:r>
      <w:r>
        <w:t>to de estrategia nacional de educación para los años 2005-2015, que tiene en cuenta la situación de los n</w:t>
      </w:r>
      <w:r>
        <w:t>i</w:t>
      </w:r>
      <w:r>
        <w:t>ños en las zonas rurales y su participación peri</w:t>
      </w:r>
      <w:r>
        <w:t>ó</w:t>
      </w:r>
      <w:r>
        <w:t>dica en todas las etapas del sistema educacional. Para apoyar esa iniciativa se ha creado, con apoyo de las organiz</w:t>
      </w:r>
      <w:r>
        <w:t>a</w:t>
      </w:r>
      <w:r>
        <w:t>ciones no gubernamentales, un sistema de mentores p</w:t>
      </w:r>
      <w:r>
        <w:t>a</w:t>
      </w:r>
      <w:r>
        <w:t>ra los padres de los estudiantes de las zonas rur</w:t>
      </w:r>
      <w:r>
        <w:t>a</w:t>
      </w:r>
      <w:r>
        <w:t>les, en los ambientes más difíciles desde el punto devista s</w:t>
      </w:r>
      <w:r>
        <w:t>o</w:t>
      </w:r>
      <w:r>
        <w:t>cial, y de las zonas en que hay un número muy reduc</w:t>
      </w:r>
      <w:r>
        <w:t>i</w:t>
      </w:r>
      <w:r>
        <w:t>do de niños en cualquier etapa del sistema educaci</w:t>
      </w:r>
      <w:r>
        <w:t>o</w:t>
      </w:r>
      <w:r>
        <w:t>nal. A ese respecto, ya se observan resultados positivos. Además, se están realizando esfuerzos para perfecci</w:t>
      </w:r>
      <w:r>
        <w:t>o</w:t>
      </w:r>
      <w:r>
        <w:t>nar al personal docente y modernizar los planes de e</w:t>
      </w:r>
      <w:r>
        <w:t>s</w:t>
      </w:r>
      <w:r>
        <w:t>tudios, a fin de que la escuela resulte más atractiva p</w:t>
      </w:r>
      <w:r>
        <w:t>a</w:t>
      </w:r>
      <w:r>
        <w:t>ra los docentes y más interesante para los est</w:t>
      </w:r>
      <w:r>
        <w:t>u</w:t>
      </w:r>
      <w:r>
        <w:t>diantes.</w:t>
      </w:r>
    </w:p>
    <w:p w:rsidR="00CA3F10" w:rsidRDefault="00CA3F10">
      <w:pPr>
        <w:pStyle w:val="DualTxt"/>
      </w:pPr>
      <w:r>
        <w:t>50.</w:t>
      </w:r>
      <w:r>
        <w:tab/>
      </w:r>
      <w:r>
        <w:rPr>
          <w:b/>
          <w:bCs/>
        </w:rPr>
        <w:t>La Sra. Janeva</w:t>
      </w:r>
      <w:r>
        <w:t xml:space="preserve"> (ex República Yugoslava de M</w:t>
      </w:r>
      <w:r>
        <w:t>a</w:t>
      </w:r>
      <w:r>
        <w:t>cedonia) explica que las unidades médicas r</w:t>
      </w:r>
      <w:r>
        <w:t>u</w:t>
      </w:r>
      <w:r>
        <w:t>rales, que cuentan con la atención de un médico clínico y de pa</w:t>
      </w:r>
      <w:r>
        <w:t>r</w:t>
      </w:r>
      <w:r>
        <w:t>teras, están ubicadas en todas las zonas rurales y, de esa forma, el acceso de la mujer a los servicios de s</w:t>
      </w:r>
      <w:r>
        <w:t>a</w:t>
      </w:r>
      <w:r>
        <w:t>lud no constituye pr</w:t>
      </w:r>
      <w:r>
        <w:t>o</w:t>
      </w:r>
      <w:r>
        <w:t>blema alguno.</w:t>
      </w:r>
    </w:p>
    <w:p w:rsidR="00CA3F10" w:rsidRDefault="00CA3F10">
      <w:pPr>
        <w:pStyle w:val="DualTxt"/>
      </w:pPr>
      <w:r>
        <w:t>51.</w:t>
      </w:r>
      <w:r>
        <w:tab/>
      </w:r>
      <w:r>
        <w:rPr>
          <w:b/>
          <w:bCs/>
        </w:rPr>
        <w:t>La Sra. Grozdanova</w:t>
      </w:r>
      <w:r>
        <w:t xml:space="preserve"> (ex República Yugoslava de Macedonia) acepta que las mujeres en las zonas rurales experimentan mayores dificultades para reafirmar sus derechos con arreglo a la Convención. Por ello, se han e</w:t>
      </w:r>
      <w:r>
        <w:t>s</w:t>
      </w:r>
      <w:r>
        <w:t>tablecido en el seno de los gobiernos locales Comités para la igualdad entre los géneros, con el fin de organ</w:t>
      </w:r>
      <w:r>
        <w:t>i</w:t>
      </w:r>
      <w:r>
        <w:t>zar campañas de educación para informar a las muj</w:t>
      </w:r>
      <w:r>
        <w:t>e</w:t>
      </w:r>
      <w:r>
        <w:t>res –así como a los hombres- sobre la necesidad de pa</w:t>
      </w:r>
      <w:r>
        <w:t>r</w:t>
      </w:r>
      <w:r>
        <w:t>ticipar en los procesos actuales a nivel local para mej</w:t>
      </w:r>
      <w:r>
        <w:t>o</w:t>
      </w:r>
      <w:r>
        <w:t>rar la vida de su comunidad. Además, el G</w:t>
      </w:r>
      <w:r>
        <w:t>o</w:t>
      </w:r>
      <w:r>
        <w:t>bierno, en cooperación con organizaciones no gubernament</w:t>
      </w:r>
      <w:r>
        <w:t>a</w:t>
      </w:r>
      <w:r>
        <w:t>les, ha organizado campañas de información para ed</w:t>
      </w:r>
      <w:r>
        <w:t>u</w:t>
      </w:r>
      <w:r>
        <w:t>car a las mujeres de las zonas rurales respecto de sus derechos.</w:t>
      </w:r>
    </w:p>
    <w:p w:rsidR="00CA3F10" w:rsidRDefault="00CA3F10">
      <w:pPr>
        <w:pStyle w:val="DualTxt"/>
      </w:pPr>
      <w:r>
        <w:t>52.</w:t>
      </w:r>
      <w:r>
        <w:tab/>
      </w:r>
      <w:r>
        <w:rPr>
          <w:b/>
          <w:bCs/>
        </w:rPr>
        <w:t>La Sra. Gnacadja</w:t>
      </w:r>
      <w:r>
        <w:t xml:space="preserve"> pregunta si, en caso de un d</w:t>
      </w:r>
      <w:r>
        <w:t>i</w:t>
      </w:r>
      <w:r>
        <w:t>vorcio en que se otorga la custodia de los hijos a la e</w:t>
      </w:r>
      <w:r>
        <w:t>s</w:t>
      </w:r>
      <w:r>
        <w:t>posa, se puede ordenar que el marido pague la prest</w:t>
      </w:r>
      <w:r>
        <w:t>a</w:t>
      </w:r>
      <w:r>
        <w:t>ción por hijo y, si es así, si la ley prevé también med</w:t>
      </w:r>
      <w:r>
        <w:t>i</w:t>
      </w:r>
      <w:r>
        <w:t>das coerc</w:t>
      </w:r>
      <w:r>
        <w:t>i</w:t>
      </w:r>
      <w:r>
        <w:t>tivas como el embargo del salario en caso de falta de pago de la prestación por hijo. En segundo l</w:t>
      </w:r>
      <w:r>
        <w:t>u</w:t>
      </w:r>
      <w:r>
        <w:t>gar, en el informe se señala que determinar a cuál de los padres debe otorgarse la custodia es una decisión difícil y, por lo tanto, es necesario modernizar la actual legislación. La oradora desea saber por qué esa dec</w:t>
      </w:r>
      <w:r>
        <w:t>i</w:t>
      </w:r>
      <w:r>
        <w:t xml:space="preserve">sión es tan difícil, y por qué hay que modernizar la </w:t>
      </w:r>
      <w:r>
        <w:br/>
        <w:t>l</w:t>
      </w:r>
      <w:r>
        <w:t>e</w:t>
      </w:r>
      <w:r>
        <w:t>gislación.</w:t>
      </w:r>
    </w:p>
    <w:p w:rsidR="00CA3F10" w:rsidRDefault="00CA3F10">
      <w:pPr>
        <w:pStyle w:val="DualTxt"/>
      </w:pPr>
      <w:r>
        <w:t>53.</w:t>
      </w:r>
      <w:r>
        <w:tab/>
        <w:t>Respecto del derecho a elegir el apellido, en el i</w:t>
      </w:r>
      <w:r>
        <w:t>n</w:t>
      </w:r>
      <w:r>
        <w:t>forme se critica (p.137) la i</w:t>
      </w:r>
      <w:r>
        <w:t>n</w:t>
      </w:r>
      <w:r>
        <w:t>fluencia de la tradición por la que el apellido del padre toma automáticamente pr</w:t>
      </w:r>
      <w:r>
        <w:t>e</w:t>
      </w:r>
      <w:r>
        <w:t>cedencia, y se citan los ejemplos de ciertos cuestion</w:t>
      </w:r>
      <w:r>
        <w:t>a</w:t>
      </w:r>
      <w:r>
        <w:t>rios gubernamentales que ni siquiera disponen de esp</w:t>
      </w:r>
      <w:r>
        <w:t>a</w:t>
      </w:r>
      <w:r>
        <w:t>cio para el apellido de la madre. La experta desea saber si el Gobierno ha adoptado medidas para poner fin a ese tipo de discriminación y sugiere que se debe si</w:t>
      </w:r>
      <w:r>
        <w:t>m</w:t>
      </w:r>
      <w:r>
        <w:t>plemente declarar la invalidez de los documentos pe</w:t>
      </w:r>
      <w:r>
        <w:t>r</w:t>
      </w:r>
      <w:r>
        <w:t>sonales que no incluyen el apellido de la madre.</w:t>
      </w:r>
    </w:p>
    <w:p w:rsidR="00CA3F10" w:rsidRDefault="00CA3F10">
      <w:pPr>
        <w:pStyle w:val="DualTxt"/>
      </w:pPr>
      <w:r>
        <w:t>54.</w:t>
      </w:r>
      <w:r>
        <w:tab/>
        <w:t>En cuanto al asunto de la igualdad ante los trib</w:t>
      </w:r>
      <w:r>
        <w:t>u</w:t>
      </w:r>
      <w:r>
        <w:t>nales, pregunta si en las zonas rurales hay suficientes tribunales disponibles y si hay un sistema de asistencia letrada para ayudar a las mujeres pobres de las zonas rurales a hacer frente a los gastos judiciales.</w:t>
      </w:r>
    </w:p>
    <w:p w:rsidR="00CA3F10" w:rsidRDefault="00CA3F10">
      <w:pPr>
        <w:pStyle w:val="DualTxt"/>
      </w:pPr>
      <w:r>
        <w:t>55.</w:t>
      </w:r>
      <w:r>
        <w:tab/>
      </w:r>
      <w:r>
        <w:rPr>
          <w:b/>
          <w:bCs/>
        </w:rPr>
        <w:t>La Sra. Tan</w:t>
      </w:r>
      <w:r>
        <w:t xml:space="preserve"> señala que si bien hombres y muj</w:t>
      </w:r>
      <w:r>
        <w:t>e</w:t>
      </w:r>
      <w:r>
        <w:t>res gozan de igualdad de derechos respecto de la pr</w:t>
      </w:r>
      <w:r>
        <w:t>o</w:t>
      </w:r>
      <w:r>
        <w:t>piedad y las transacciones, en realidad la tradición y las costumbres dictan que la propiedad se registre hab</w:t>
      </w:r>
      <w:r>
        <w:t>i</w:t>
      </w:r>
      <w:r>
        <w:t>tualmente con el apellido del hombre. Pregunta qué e</w:t>
      </w:r>
      <w:r>
        <w:t>s</w:t>
      </w:r>
      <w:r>
        <w:t>tá haciendo el Gobierno para informar a la mujer sobre sus d</w:t>
      </w:r>
      <w:r>
        <w:t>e</w:t>
      </w:r>
      <w:r>
        <w:t>rechos jurídicos respecto de la propiedad.</w:t>
      </w:r>
    </w:p>
    <w:p w:rsidR="00CA3F10" w:rsidRDefault="00CA3F10">
      <w:pPr>
        <w:pStyle w:val="DualTxt"/>
      </w:pPr>
      <w:r>
        <w:t>56.</w:t>
      </w:r>
      <w:r>
        <w:tab/>
        <w:t>La oradora dice que tiene entendido que el acto sexual entre un adulto y un menor no está prohibido. Pregunta cuál es la razón de ello y si el Estado prevé enmendar la ley.</w:t>
      </w:r>
    </w:p>
    <w:p w:rsidR="00CA3F10" w:rsidRDefault="00CA3F10">
      <w:pPr>
        <w:pStyle w:val="DualTxt"/>
      </w:pPr>
      <w:r>
        <w:t>57.</w:t>
      </w:r>
      <w:r>
        <w:tab/>
      </w:r>
      <w:r>
        <w:rPr>
          <w:b/>
          <w:bCs/>
        </w:rPr>
        <w:t>La Sra. Grozdanova</w:t>
      </w:r>
      <w:r>
        <w:t xml:space="preserve"> (ex República Yugoslava de Macedonia) explica que las decisiones sobre la prest</w:t>
      </w:r>
      <w:r>
        <w:t>a</w:t>
      </w:r>
      <w:r>
        <w:t>ción por hijo tras el divorcio las adoptan los tribunales y entran en vigor inmediatamente. Sin embargo, exi</w:t>
      </w:r>
      <w:r>
        <w:t>s</w:t>
      </w:r>
      <w:r>
        <w:t>ten obstáculos prácticos para su aplicación, ya que n</w:t>
      </w:r>
      <w:r>
        <w:t>u</w:t>
      </w:r>
      <w:r>
        <w:t>merosos padres están desempleados y carecen de los fondos para pagar la prestación por hijo o la pensión alimenticia. Tras el divorcio, el centro de trabajo social toma la decisión sobre la custodia de los hijos. El ce</w:t>
      </w:r>
      <w:r>
        <w:t>n</w:t>
      </w:r>
      <w:r>
        <w:t>tro entrevista a los padres y los hijos por separado y luego decide qué padre debe recibir la custodia, o si é</w:t>
      </w:r>
      <w:r>
        <w:t>s</w:t>
      </w:r>
      <w:r>
        <w:t>ta debe otorgarse a un tercero.</w:t>
      </w:r>
    </w:p>
    <w:p w:rsidR="00CA3F10" w:rsidRDefault="00CA3F10">
      <w:pPr>
        <w:pStyle w:val="DualTxt"/>
      </w:pPr>
      <w:r>
        <w:t>58.</w:t>
      </w:r>
      <w:r>
        <w:tab/>
        <w:t>Respecto de la disponibilidad de los tribunales en las zonas rurales, dice que la mayoría de los gobiernos locales tienen tribunales municipales que son acces</w:t>
      </w:r>
      <w:r>
        <w:t>i</w:t>
      </w:r>
      <w:r>
        <w:t>bles a todos los ciudadanos, incluidos los de las zonas rurales.</w:t>
      </w:r>
    </w:p>
    <w:p w:rsidR="00CA3F10" w:rsidRDefault="00CA3F10">
      <w:pPr>
        <w:pStyle w:val="DualTxt"/>
      </w:pPr>
      <w:r>
        <w:t>59.</w:t>
      </w:r>
      <w:r>
        <w:tab/>
        <w:t>Si bien es verdad que se suele considerar al padre como cabeza de familia, ello se debe principalmente a los estereotipos y prejuicios que son comunes tanto e</w:t>
      </w:r>
      <w:r>
        <w:t>n</w:t>
      </w:r>
      <w:r>
        <w:t>tre mujeres como hombres; esa situación sólo puede superarse mediante la educación permanente del públ</w:t>
      </w:r>
      <w:r>
        <w:t>i</w:t>
      </w:r>
      <w:r>
        <w:t>co. Hay una tendencia cada vez más marcada en las j</w:t>
      </w:r>
      <w:r>
        <w:t>ó</w:t>
      </w:r>
      <w:r>
        <w:t>venes familias a que los cónyuges compartan, en pié de igualdad, la vida profesional y familiar, y adopten de manera conjunta las decisiones relativas a las neces</w:t>
      </w:r>
      <w:r>
        <w:t>i</w:t>
      </w:r>
      <w:r>
        <w:t>dades y las iniciativas de la familia.</w:t>
      </w:r>
    </w:p>
    <w:p w:rsidR="00CA3F10" w:rsidRDefault="00CA3F10">
      <w:pPr>
        <w:pStyle w:val="DualTxt"/>
      </w:pPr>
      <w:r>
        <w:t>60.</w:t>
      </w:r>
      <w:r>
        <w:tab/>
        <w:t>La oradora señala que los derechos de herencia de la mujer están reglament</w:t>
      </w:r>
      <w:r>
        <w:t>a</w:t>
      </w:r>
      <w:r>
        <w:t>dos con arreglo al derecho de familia pero, nuevamente, debido a los estereotipos y prejuicios, el cumplimiento de los derechos de la m</w:t>
      </w:r>
      <w:r>
        <w:t>u</w:t>
      </w:r>
      <w:r>
        <w:t>jer sigue siendo deficiente. En particular, las mujeres no reafirman sus derechos tras el divorcio. Recient</w:t>
      </w:r>
      <w:r>
        <w:t>e</w:t>
      </w:r>
      <w:r>
        <w:t xml:space="preserve">mente, se han establecido asociaciones de abogados </w:t>
      </w:r>
      <w:r>
        <w:br/>
        <w:t>para prestar asesoramiento letrado gratuito a las muj</w:t>
      </w:r>
      <w:r>
        <w:t>e</w:t>
      </w:r>
      <w:r>
        <w:t>res que han sido privadas de sus bienes. Además, con arreglo a la ley actual, cualquiera de los cónyuges tiene el derecho, en todo momento, de vetar la venta de pr</w:t>
      </w:r>
      <w:r>
        <w:t>o</w:t>
      </w:r>
      <w:r>
        <w:t>piedades, prescindiendo de si el título de la propiedad está a nombre del marido o la esposa. Si un cónyuge ha vendido la propiedad ilícitamente, los tribunales co</w:t>
      </w:r>
      <w:r>
        <w:t>n</w:t>
      </w:r>
      <w:r>
        <w:t>ceden al otro una indemnización.</w:t>
      </w:r>
    </w:p>
    <w:p w:rsidR="00CA3F10" w:rsidRDefault="00CA3F10">
      <w:pPr>
        <w:pStyle w:val="DualTxt"/>
      </w:pPr>
      <w:r>
        <w:t>61.</w:t>
      </w:r>
      <w:r>
        <w:tab/>
        <w:t>Por último, dice que, actualmente, el acto sexual entre un adulto y un menor constituye un delito que se castiga de acuerdo con las disposiciones del código p</w:t>
      </w:r>
      <w:r>
        <w:t>e</w:t>
      </w:r>
      <w:r>
        <w:t>nal.</w:t>
      </w:r>
    </w:p>
    <w:p w:rsidR="00CA3F10" w:rsidRDefault="00CA3F10">
      <w:pPr>
        <w:pStyle w:val="DualTxt"/>
      </w:pPr>
      <w:r>
        <w:t>62.</w:t>
      </w:r>
      <w:r>
        <w:tab/>
      </w:r>
      <w:r>
        <w:rPr>
          <w:b/>
          <w:bCs/>
        </w:rPr>
        <w:t>La Sra. Trajkovic</w:t>
      </w:r>
      <w:r>
        <w:t xml:space="preserve"> (ex República Yugoslava de Macedonia) agrega que existe ahora una variedad de delitos para los que la pena aumenta automáticamente si el delito se comete con la presencia de un menor: a</w:t>
      </w:r>
      <w:r>
        <w:t>c</w:t>
      </w:r>
      <w:r>
        <w:t>to sexual en público a la vista de un niño; incesto en que participe un niño; prostitución en que participe un niño; exhibición de pornografía a un niño, etc. No i</w:t>
      </w:r>
      <w:r>
        <w:t>m</w:t>
      </w:r>
      <w:r>
        <w:t>porta que se trate de un niño o una n</w:t>
      </w:r>
      <w:r>
        <w:t>i</w:t>
      </w:r>
      <w:r>
        <w:t>ña.</w:t>
      </w:r>
    </w:p>
    <w:p w:rsidR="00CA3F10" w:rsidRDefault="00CA3F10">
      <w:pPr>
        <w:pStyle w:val="DualTxt"/>
      </w:pPr>
      <w:r>
        <w:t>63.</w:t>
      </w:r>
      <w:r>
        <w:tab/>
      </w:r>
      <w:r>
        <w:rPr>
          <w:b/>
          <w:bCs/>
        </w:rPr>
        <w:t>El Sr. Jakimovski</w:t>
      </w:r>
      <w:r>
        <w:t xml:space="preserve"> (ex República Yugoslava de Macedonia) da las gracias a los miembros del Comité por sus preguntas detalladas y su apoyo. Dice que, si bien su país ha realizado numerosos progresos en el ámbito de los derechos de la mujer, queda aún mucho por hacer, en particular en el ámbito de las múltiples formas de discriminación que enfrentan las mujeres de las minorías étnicas. Cree que, en ciertas esferas, su país está más avanzado que sus vecinos y espera con interés la pr</w:t>
      </w:r>
      <w:r>
        <w:t>e</w:t>
      </w:r>
      <w:r>
        <w:t>sentación de nuevos informes.</w:t>
      </w:r>
    </w:p>
    <w:p w:rsidR="00CA3F10" w:rsidRDefault="00CA3F10">
      <w:pPr>
        <w:pStyle w:val="DualTxt"/>
      </w:pPr>
      <w:r>
        <w:t>64.</w:t>
      </w:r>
      <w:r>
        <w:tab/>
      </w:r>
      <w:r>
        <w:rPr>
          <w:b/>
          <w:bCs/>
        </w:rPr>
        <w:t>La Presidenta</w:t>
      </w:r>
      <w:r>
        <w:t xml:space="preserve"> señala que la ex República Yugo</w:t>
      </w:r>
      <w:r>
        <w:t>s</w:t>
      </w:r>
      <w:r>
        <w:t>lava de Macedonia ha realizado numerosos progresos en un breve período. Felicita a la delegación por la l</w:t>
      </w:r>
      <w:r>
        <w:t>a</w:t>
      </w:r>
      <w:r>
        <w:t>bor realizada hasta el momento, y espera con interés recibir los futuros informes.</w:t>
      </w:r>
    </w:p>
    <w:p w:rsidR="00CA3F10" w:rsidRDefault="00CA3F10">
      <w:pPr>
        <w:pStyle w:val="DualTxt"/>
        <w:rPr>
          <w:lang w:val="es-AR"/>
        </w:rPr>
      </w:pPr>
      <w:r>
        <w:rPr>
          <w:i/>
          <w:iCs/>
        </w:rPr>
        <w:t>Se levanta la sesión a las 17.15 horas</w:t>
      </w:r>
      <w:r>
        <w:t>.</w:t>
      </w:r>
    </w:p>
    <w:sectPr w:rsidR="00CA3F1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A3F10" w:rsidRDefault="00CA3F1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NO&gt;&gt;N0622137S&lt;&lt;ODS JOB NO&gt;&gt;</w:t>
      </w:r>
    </w:p>
    <w:p w:rsidR="00CA3F10" w:rsidRDefault="00CA3F10">
      <w:pPr>
        <w:pStyle w:val="CommentText"/>
        <w:rPr>
          <w:lang w:val="en-US"/>
        </w:rPr>
      </w:pPr>
      <w:r>
        <w:rPr>
          <w:lang w:val="en-US"/>
        </w:rPr>
        <w:t>&lt;&lt;ODS DOC SYMBOL1&gt;&gt;CEDAW/C/SR.712&lt;&lt;ODS DOC SYMBOL1&gt;&gt;</w:t>
      </w:r>
    </w:p>
    <w:p w:rsidR="00CA3F10" w:rsidRDefault="00CA3F1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4DF" w:rsidRDefault="00B074DF">
      <w:r>
        <w:separator/>
      </w:r>
    </w:p>
  </w:endnote>
  <w:endnote w:type="continuationSeparator" w:id="0">
    <w:p w:rsidR="00B074DF" w:rsidRDefault="00B0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A3F10">
      <w:tblPrEx>
        <w:tblCellMar>
          <w:top w:w="0" w:type="dxa"/>
          <w:bottom w:w="0" w:type="dxa"/>
        </w:tblCellMar>
      </w:tblPrEx>
      <w:tc>
        <w:tcPr>
          <w:tcW w:w="5033" w:type="dxa"/>
          <w:vAlign w:val="bottom"/>
        </w:tcPr>
        <w:p w:rsidR="00CA3F10" w:rsidRDefault="00CA3F10">
          <w:pPr>
            <w:pStyle w:val="Footer"/>
            <w:rPr>
              <w:b w:val="0"/>
              <w:bCs/>
            </w:rPr>
          </w:pPr>
          <w:r>
            <w:rPr>
              <w:rStyle w:val="PageNumber"/>
              <w:b w:val="0"/>
              <w:bCs/>
            </w:rPr>
            <w:fldChar w:fldCharType="begin"/>
          </w:r>
          <w:r>
            <w:rPr>
              <w:rStyle w:val="PageNumber"/>
              <w:b w:val="0"/>
              <w:bCs/>
            </w:rPr>
            <w:instrText xml:space="preserve"> PAGE </w:instrText>
          </w:r>
          <w:r>
            <w:rPr>
              <w:rStyle w:val="PageNumber"/>
              <w:b w:val="0"/>
              <w:bCs/>
            </w:rPr>
            <w:fldChar w:fldCharType="separate"/>
          </w:r>
          <w:r w:rsidR="005539E5">
            <w:rPr>
              <w:rStyle w:val="PageNumber"/>
              <w:b w:val="0"/>
              <w:bCs/>
            </w:rPr>
            <w:t>2</w:t>
          </w:r>
          <w:r>
            <w:rPr>
              <w:rStyle w:val="PageNumber"/>
              <w:b w:val="0"/>
              <w:bCs/>
            </w:rPr>
            <w:fldChar w:fldCharType="end"/>
          </w:r>
        </w:p>
      </w:tc>
      <w:tc>
        <w:tcPr>
          <w:tcW w:w="5033" w:type="dxa"/>
          <w:vAlign w:val="bottom"/>
        </w:tcPr>
        <w:p w:rsidR="00CA3F10" w:rsidRDefault="00CA3F10">
          <w:pPr>
            <w:pStyle w:val="Footer"/>
            <w:jc w:val="right"/>
            <w:rPr>
              <w:b w:val="0"/>
              <w:bCs/>
              <w:sz w:val="14"/>
            </w:rPr>
          </w:pPr>
          <w:r>
            <w:rPr>
              <w:b w:val="0"/>
              <w:bCs/>
              <w:sz w:val="14"/>
            </w:rPr>
            <w:t>0622137</w:t>
          </w:r>
        </w:p>
      </w:tc>
    </w:tr>
  </w:tbl>
  <w:p w:rsidR="00CA3F10" w:rsidRDefault="00CA3F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A3F10">
      <w:tblPrEx>
        <w:tblCellMar>
          <w:top w:w="0" w:type="dxa"/>
          <w:bottom w:w="0" w:type="dxa"/>
        </w:tblCellMar>
      </w:tblPrEx>
      <w:tc>
        <w:tcPr>
          <w:tcW w:w="5033" w:type="dxa"/>
          <w:vAlign w:val="bottom"/>
        </w:tcPr>
        <w:p w:rsidR="00CA3F10" w:rsidRDefault="00CA3F1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sidR="005539E5">
            <w:rPr>
              <w:b w:val="0"/>
              <w:sz w:val="14"/>
            </w:rPr>
            <w:t>9</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sidR="005539E5">
            <w:rPr>
              <w:b w:val="0"/>
              <w:sz w:val="14"/>
            </w:rPr>
            <w:t>0622137s.doc</w:t>
          </w:r>
          <w:r>
            <w:rPr>
              <w:b w:val="0"/>
              <w:sz w:val="14"/>
            </w:rPr>
            <w:fldChar w:fldCharType="end"/>
          </w:r>
        </w:p>
      </w:tc>
      <w:tc>
        <w:tcPr>
          <w:tcW w:w="5033" w:type="dxa"/>
          <w:vAlign w:val="bottom"/>
        </w:tcPr>
        <w:p w:rsidR="00CA3F10" w:rsidRDefault="00CA3F10">
          <w:pPr>
            <w:pStyle w:val="Footer"/>
            <w:jc w:val="right"/>
            <w:rPr>
              <w:b w:val="0"/>
              <w:bCs/>
              <w:sz w:val="14"/>
            </w:rPr>
          </w:pPr>
          <w:r>
            <w:rPr>
              <w:rStyle w:val="PageNumber"/>
              <w:b w:val="0"/>
              <w:bCs/>
            </w:rPr>
            <w:fldChar w:fldCharType="begin"/>
          </w:r>
          <w:r>
            <w:rPr>
              <w:rStyle w:val="PageNumber"/>
              <w:b w:val="0"/>
              <w:bCs/>
            </w:rPr>
            <w:instrText xml:space="preserve"> PAGE </w:instrText>
          </w:r>
          <w:r>
            <w:rPr>
              <w:rStyle w:val="PageNumber"/>
              <w:b w:val="0"/>
              <w:bCs/>
            </w:rPr>
            <w:fldChar w:fldCharType="separate"/>
          </w:r>
          <w:r w:rsidR="005539E5">
            <w:rPr>
              <w:rStyle w:val="PageNumber"/>
              <w:b w:val="0"/>
              <w:bCs/>
            </w:rPr>
            <w:t>9</w:t>
          </w:r>
          <w:r>
            <w:rPr>
              <w:rStyle w:val="PageNumber"/>
              <w:b w:val="0"/>
              <w:bCs/>
            </w:rPr>
            <w:fldChar w:fldCharType="end"/>
          </w:r>
        </w:p>
      </w:tc>
    </w:tr>
  </w:tbl>
  <w:p w:rsidR="00CA3F10" w:rsidRDefault="00CA3F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F10" w:rsidRDefault="00CA3F10">
    <w:pPr>
      <w:pStyle w:val="Footer"/>
      <w:pBdr>
        <w:top w:val="single" w:sz="2" w:space="1" w:color="auto"/>
      </w:pBdr>
      <w:rPr>
        <w:sz w:val="2"/>
      </w:rPr>
    </w:pPr>
  </w:p>
  <w:p w:rsidR="00CA3F10" w:rsidRDefault="00CA3F1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A3F10" w:rsidRDefault="00CA3F1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A3F10" w:rsidRDefault="00CA3F1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A3F10" w:rsidRDefault="00CA3F10">
    <w:pPr>
      <w:pStyle w:val="FootnoteText"/>
      <w:spacing w:line="120" w:lineRule="exact"/>
      <w:ind w:left="1267" w:right="1267" w:firstLine="0"/>
      <w:rPr>
        <w:sz w:val="10"/>
      </w:rPr>
    </w:pPr>
  </w:p>
  <w:p w:rsidR="00CA3F10" w:rsidRDefault="00CA3F10">
    <w:pPr>
      <w:pStyle w:val="Footer"/>
      <w:rPr>
        <w:b w:val="0"/>
        <w:sz w:val="20"/>
      </w:rPr>
    </w:pPr>
    <w:r>
      <w:rPr>
        <w:b w:val="0"/>
        <w:sz w:val="20"/>
      </w:rPr>
      <w:t>06-22137 (S)</w:t>
    </w:r>
  </w:p>
  <w:p w:rsidR="00CA3F10" w:rsidRPr="00CA3F10" w:rsidRDefault="00CA3F10" w:rsidP="00CA3F10">
    <w:pPr>
      <w:pStyle w:val="Footer"/>
      <w:spacing w:before="120" w:line="240" w:lineRule="exact"/>
      <w:rPr>
        <w:rFonts w:ascii="Barcode 3 of 9 by request" w:hAnsi="Barcode 3 of 9 by request"/>
        <w:b w:val="0"/>
        <w:sz w:val="24"/>
      </w:rPr>
    </w:pPr>
    <w:r w:rsidRPr="00CA3F10">
      <w:rPr>
        <w:rFonts w:ascii="Barcode 3 of 9 by request" w:hAnsi="Barcode 3 of 9 by request"/>
        <w:b w:val="0"/>
        <w:sz w:val="24"/>
      </w:rPr>
      <w:t>*0622137*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4DF" w:rsidRDefault="00B074DF">
      <w:r>
        <w:separator/>
      </w:r>
    </w:p>
  </w:footnote>
  <w:footnote w:type="continuationSeparator" w:id="0">
    <w:p w:rsidR="00B074DF" w:rsidRDefault="00B07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F10" w:rsidRDefault="00CA3F1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A3F10">
                  <w:tblPrEx>
                    <w:tblCellMar>
                      <w:top w:w="0" w:type="dxa"/>
                      <w:bottom w:w="0" w:type="dxa"/>
                    </w:tblCellMar>
                  </w:tblPrEx>
                  <w:trPr>
                    <w:trHeight w:hRule="exact" w:val="864"/>
                  </w:trPr>
                  <w:tc>
                    <w:tcPr>
                      <w:tcW w:w="4838" w:type="dxa"/>
                      <w:vAlign w:val="bottom"/>
                    </w:tcPr>
                    <w:p w:rsidR="00CA3F10" w:rsidRDefault="00CA3F10">
                      <w:pPr>
                        <w:pStyle w:val="Header"/>
                        <w:spacing w:after="80"/>
                        <w:rPr>
                          <w:b/>
                        </w:rPr>
                      </w:pPr>
                      <w:r>
                        <w:rPr>
                          <w:b/>
                        </w:rPr>
                        <w:t>CEDAW/C/SR.712</w:t>
                      </w:r>
                    </w:p>
                  </w:tc>
                  <w:tc>
                    <w:tcPr>
                      <w:tcW w:w="5048" w:type="dxa"/>
                      <w:vAlign w:val="bottom"/>
                    </w:tcPr>
                    <w:p w:rsidR="00CA3F10" w:rsidRDefault="00CA3F10">
                      <w:pPr>
                        <w:pStyle w:val="Header"/>
                      </w:pPr>
                    </w:p>
                  </w:tc>
                </w:tr>
              </w:tbl>
              <w:p w:rsidR="00CA3F10" w:rsidRDefault="00CA3F1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F10" w:rsidRDefault="00CA3F1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A3F10">
                  <w:tblPrEx>
                    <w:tblCellMar>
                      <w:top w:w="0" w:type="dxa"/>
                      <w:bottom w:w="0" w:type="dxa"/>
                    </w:tblCellMar>
                  </w:tblPrEx>
                  <w:trPr>
                    <w:trHeight w:hRule="exact" w:val="864"/>
                  </w:trPr>
                  <w:tc>
                    <w:tcPr>
                      <w:tcW w:w="4838" w:type="dxa"/>
                      <w:vAlign w:val="bottom"/>
                    </w:tcPr>
                    <w:p w:rsidR="00CA3F10" w:rsidRDefault="00CA3F10">
                      <w:pPr>
                        <w:pStyle w:val="Header"/>
                      </w:pPr>
                    </w:p>
                  </w:tc>
                  <w:tc>
                    <w:tcPr>
                      <w:tcW w:w="5048" w:type="dxa"/>
                      <w:vAlign w:val="bottom"/>
                    </w:tcPr>
                    <w:p w:rsidR="00CA3F10" w:rsidRDefault="00CA3F10">
                      <w:pPr>
                        <w:pStyle w:val="Header"/>
                        <w:spacing w:after="80"/>
                        <w:jc w:val="right"/>
                        <w:rPr>
                          <w:b/>
                        </w:rPr>
                      </w:pPr>
                      <w:r>
                        <w:rPr>
                          <w:b/>
                        </w:rPr>
                        <w:t>CEDAW/C/SR.712</w:t>
                      </w:r>
                    </w:p>
                  </w:tc>
                </w:tr>
              </w:tbl>
              <w:p w:rsidR="00CA3F10" w:rsidRDefault="00CA3F1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A3F1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A3F10" w:rsidRDefault="00CA3F10">
          <w:pPr>
            <w:pStyle w:val="Header"/>
            <w:spacing w:after="120"/>
          </w:pPr>
        </w:p>
      </w:tc>
      <w:tc>
        <w:tcPr>
          <w:tcW w:w="2059" w:type="dxa"/>
          <w:tcBorders>
            <w:top w:val="nil"/>
            <w:left w:val="nil"/>
            <w:bottom w:val="single" w:sz="4" w:space="0" w:color="auto"/>
            <w:right w:val="nil"/>
          </w:tcBorders>
          <w:vAlign w:val="bottom"/>
        </w:tcPr>
        <w:p w:rsidR="00CA3F10" w:rsidRDefault="00CA3F1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CA3F10" w:rsidRDefault="00CA3F10">
          <w:pPr>
            <w:pStyle w:val="Header"/>
            <w:spacing w:after="120"/>
          </w:pPr>
        </w:p>
      </w:tc>
      <w:tc>
        <w:tcPr>
          <w:tcW w:w="6523" w:type="dxa"/>
          <w:gridSpan w:val="3"/>
          <w:tcBorders>
            <w:top w:val="nil"/>
            <w:left w:val="nil"/>
            <w:bottom w:val="single" w:sz="4" w:space="0" w:color="auto"/>
            <w:right w:val="nil"/>
          </w:tcBorders>
          <w:vAlign w:val="bottom"/>
        </w:tcPr>
        <w:p w:rsidR="00CA3F10" w:rsidRDefault="00CA3F10">
          <w:pPr>
            <w:spacing w:after="80" w:line="240" w:lineRule="auto"/>
            <w:jc w:val="right"/>
            <w:rPr>
              <w:position w:val="-4"/>
            </w:rPr>
          </w:pPr>
          <w:r>
            <w:rPr>
              <w:position w:val="-4"/>
              <w:sz w:val="40"/>
            </w:rPr>
            <w:t>CEDAW</w:t>
          </w:r>
          <w:r>
            <w:rPr>
              <w:position w:val="-4"/>
            </w:rPr>
            <w:t>/C/SR.712</w:t>
          </w:r>
        </w:p>
      </w:tc>
    </w:tr>
    <w:tr w:rsidR="00CA3F10">
      <w:tblPrEx>
        <w:tblCellMar>
          <w:top w:w="0" w:type="dxa"/>
          <w:bottom w:w="0" w:type="dxa"/>
        </w:tblCellMar>
      </w:tblPrEx>
      <w:trPr>
        <w:trHeight w:hRule="exact" w:val="2880"/>
      </w:trPr>
      <w:tc>
        <w:tcPr>
          <w:tcW w:w="1267" w:type="dxa"/>
          <w:tcBorders>
            <w:left w:val="nil"/>
            <w:bottom w:val="single" w:sz="12" w:space="0" w:color="auto"/>
            <w:right w:val="nil"/>
          </w:tcBorders>
        </w:tcPr>
        <w:p w:rsidR="00CA3F10" w:rsidRDefault="00CA3F10">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A3F10" w:rsidRDefault="00CA3F10">
          <w:pPr>
            <w:pStyle w:val="Header"/>
            <w:spacing w:before="109"/>
            <w:rPr>
              <w:lang w:val="es-ES"/>
            </w:rPr>
          </w:pPr>
        </w:p>
      </w:tc>
      <w:tc>
        <w:tcPr>
          <w:tcW w:w="5227" w:type="dxa"/>
          <w:gridSpan w:val="3"/>
          <w:tcBorders>
            <w:left w:val="nil"/>
            <w:bottom w:val="single" w:sz="12" w:space="0" w:color="auto"/>
            <w:right w:val="nil"/>
          </w:tcBorders>
        </w:tcPr>
        <w:p w:rsidR="00CA3F10" w:rsidRDefault="00CA3F1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CA3F10" w:rsidRDefault="00CA3F10">
          <w:pPr>
            <w:pStyle w:val="Header"/>
            <w:spacing w:before="109"/>
            <w:rPr>
              <w:lang w:val="es-ES"/>
            </w:rPr>
          </w:pPr>
        </w:p>
      </w:tc>
      <w:tc>
        <w:tcPr>
          <w:tcW w:w="3180" w:type="dxa"/>
          <w:gridSpan w:val="2"/>
          <w:tcBorders>
            <w:left w:val="nil"/>
            <w:bottom w:val="single" w:sz="12" w:space="0" w:color="auto"/>
            <w:right w:val="nil"/>
          </w:tcBorders>
        </w:tcPr>
        <w:p w:rsidR="00CA3F10" w:rsidRDefault="00CA3F10">
          <w:pPr>
            <w:spacing w:before="240"/>
          </w:pPr>
          <w:r>
            <w:t>Distr. general</w:t>
          </w:r>
        </w:p>
        <w:p w:rsidR="00CA3F10" w:rsidRDefault="005539E5">
          <w:r>
            <w:t>7 de abril</w:t>
          </w:r>
          <w:r w:rsidR="00CA3F10">
            <w:t xml:space="preserve"> de 2006</w:t>
          </w:r>
        </w:p>
        <w:p w:rsidR="00CA3F10" w:rsidRDefault="00CA3F10">
          <w:r>
            <w:t>Español</w:t>
          </w:r>
        </w:p>
        <w:p w:rsidR="00CA3F10" w:rsidRDefault="00CA3F10">
          <w:r>
            <w:t>Original: inglés</w:t>
          </w:r>
        </w:p>
      </w:tc>
    </w:tr>
  </w:tbl>
  <w:p w:rsidR="00CA3F10" w:rsidRDefault="00CA3F10">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6 17:25:13"/>
    <w:docVar w:name="DocCategory" w:val="SROthers"/>
    <w:docVar w:name="DocType" w:val="Final"/>
    <w:docVar w:name="JobNo" w:val="0622137S"/>
    <w:docVar w:name="OandT" w:val=" "/>
    <w:docVar w:name="Symbol1" w:val="CEDAW/C/SR.712"/>
    <w:docVar w:name="Symbol2" w:val="-"/>
  </w:docVars>
  <w:rsids>
    <w:rsidRoot w:val="009C207E"/>
    <w:rsid w:val="005539E5"/>
    <w:rsid w:val="009C207E"/>
    <w:rsid w:val="00B074DF"/>
    <w:rsid w:val="00CA3F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9C20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6291</Words>
  <Characters>32152</Characters>
  <Application>Microsoft Office Word</Application>
  <DocSecurity>4</DocSecurity>
  <Lines>803</Lines>
  <Paragraphs>99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4</cp:revision>
  <cp:lastPrinted>2006-04-07T07:40:00Z</cp:lastPrinted>
  <dcterms:created xsi:type="dcterms:W3CDTF">2006-04-07T07:39:00Z</dcterms:created>
  <dcterms:modified xsi:type="dcterms:W3CDTF">2006-04-07T07:43:00Z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0622137</vt:lpwstr>
  </property>
  <property fmtid="{D5CDD505-2E9C-101B-9397-08002B2CF9AE}" pid="3" name="Symbol1">
    <vt:lpwstr>CEDAW/C/SR.712</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