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A34A5" w:rsidRPr="00F257CA" w14:paraId="6D8E3F1C" w14:textId="77777777" w:rsidTr="00E56EE3">
        <w:trPr>
          <w:trHeight w:hRule="exact" w:val="851"/>
        </w:trPr>
        <w:tc>
          <w:tcPr>
            <w:tcW w:w="1280" w:type="dxa"/>
            <w:tcBorders>
              <w:bottom w:val="single" w:sz="4" w:space="0" w:color="auto"/>
            </w:tcBorders>
            <w:shd w:val="clear" w:color="auto" w:fill="auto"/>
          </w:tcPr>
          <w:p w14:paraId="728878D1" w14:textId="77777777" w:rsidR="002D5AAC" w:rsidRPr="00605579" w:rsidRDefault="002D5AAC" w:rsidP="00605579">
            <w:pPr>
              <w:pStyle w:val="H1G"/>
            </w:pPr>
          </w:p>
        </w:tc>
        <w:tc>
          <w:tcPr>
            <w:tcW w:w="2273" w:type="dxa"/>
            <w:tcBorders>
              <w:bottom w:val="single" w:sz="4" w:space="0" w:color="auto"/>
            </w:tcBorders>
            <w:shd w:val="clear" w:color="auto" w:fill="auto"/>
            <w:vAlign w:val="bottom"/>
          </w:tcPr>
          <w:p w14:paraId="788FCF3A" w14:textId="77777777" w:rsidR="002D5AAC" w:rsidRPr="00F257CA" w:rsidRDefault="00696B12" w:rsidP="00E56EE3">
            <w:pPr>
              <w:spacing w:after="80" w:line="300" w:lineRule="exact"/>
              <w:rPr>
                <w:sz w:val="28"/>
              </w:rPr>
            </w:pPr>
            <w:r w:rsidRPr="00F257CA">
              <w:rPr>
                <w:sz w:val="28"/>
              </w:rPr>
              <w:t>Naciones Unidas</w:t>
            </w:r>
          </w:p>
        </w:tc>
        <w:tc>
          <w:tcPr>
            <w:tcW w:w="6086" w:type="dxa"/>
            <w:gridSpan w:val="2"/>
            <w:tcBorders>
              <w:bottom w:val="single" w:sz="4" w:space="0" w:color="auto"/>
            </w:tcBorders>
            <w:shd w:val="clear" w:color="auto" w:fill="auto"/>
            <w:vAlign w:val="bottom"/>
          </w:tcPr>
          <w:p w14:paraId="400DD417" w14:textId="401BC225" w:rsidR="002D5AAC" w:rsidRPr="00CF1D37" w:rsidRDefault="00CF1D37" w:rsidP="00CF1D37">
            <w:pPr>
              <w:jc w:val="right"/>
            </w:pPr>
            <w:r w:rsidRPr="00CF1D37">
              <w:rPr>
                <w:sz w:val="40"/>
              </w:rPr>
              <w:t>CCPR</w:t>
            </w:r>
            <w:r>
              <w:t>/C/PRY/FCO/4</w:t>
            </w:r>
          </w:p>
        </w:tc>
      </w:tr>
      <w:tr w:rsidR="009A34A5" w:rsidRPr="00F257CA" w14:paraId="1B043A6D" w14:textId="77777777" w:rsidTr="00E56EE3">
        <w:trPr>
          <w:trHeight w:hRule="exact" w:val="2835"/>
        </w:trPr>
        <w:tc>
          <w:tcPr>
            <w:tcW w:w="1280" w:type="dxa"/>
            <w:tcBorders>
              <w:top w:val="single" w:sz="4" w:space="0" w:color="auto"/>
              <w:bottom w:val="single" w:sz="12" w:space="0" w:color="auto"/>
            </w:tcBorders>
            <w:shd w:val="clear" w:color="auto" w:fill="auto"/>
          </w:tcPr>
          <w:p w14:paraId="0517FD53" w14:textId="77777777" w:rsidR="002D5AAC" w:rsidRPr="00F257CA" w:rsidRDefault="00172B77" w:rsidP="00E56EE3">
            <w:pPr>
              <w:spacing w:before="120"/>
              <w:jc w:val="center"/>
            </w:pPr>
            <w:r>
              <w:rPr>
                <w:noProof/>
                <w:lang w:val="en-GB" w:eastAsia="en-GB"/>
              </w:rPr>
              <w:drawing>
                <wp:inline distT="0" distB="0" distL="0" distR="0" wp14:anchorId="0B21AC4A" wp14:editId="25DB3F18">
                  <wp:extent cx="715010" cy="58991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5E1F37" w14:textId="77777777" w:rsidR="002D5AAC" w:rsidRPr="00F257CA" w:rsidRDefault="00696B12" w:rsidP="00E56EE3">
            <w:pPr>
              <w:spacing w:before="120" w:line="360" w:lineRule="exact"/>
              <w:rPr>
                <w:b/>
                <w:sz w:val="34"/>
                <w:szCs w:val="34"/>
              </w:rPr>
            </w:pPr>
            <w:r w:rsidRPr="00F257CA">
              <w:rPr>
                <w:b/>
                <w:sz w:val="34"/>
                <w:szCs w:val="34"/>
              </w:rPr>
              <w:t>Pacto Internacional de Derechos</w:t>
            </w:r>
            <w:r w:rsidRPr="00F257CA">
              <w:rPr>
                <w:b/>
                <w:sz w:val="34"/>
                <w:szCs w:val="34"/>
              </w:rPr>
              <w:br/>
              <w:t>Civiles y Políticos</w:t>
            </w:r>
          </w:p>
        </w:tc>
        <w:tc>
          <w:tcPr>
            <w:tcW w:w="2819" w:type="dxa"/>
            <w:tcBorders>
              <w:top w:val="single" w:sz="4" w:space="0" w:color="auto"/>
              <w:bottom w:val="single" w:sz="12" w:space="0" w:color="auto"/>
            </w:tcBorders>
            <w:shd w:val="clear" w:color="auto" w:fill="auto"/>
          </w:tcPr>
          <w:p w14:paraId="29E02E17" w14:textId="77777777" w:rsidR="00935A0B" w:rsidRPr="00F257CA" w:rsidRDefault="00696B12" w:rsidP="00935A0B">
            <w:pPr>
              <w:spacing w:before="240" w:line="240" w:lineRule="exact"/>
            </w:pPr>
            <w:r w:rsidRPr="00F257CA">
              <w:t>Distr. general</w:t>
            </w:r>
          </w:p>
          <w:p w14:paraId="1854E92C" w14:textId="08F1073E" w:rsidR="00935A0B" w:rsidRPr="00F257CA" w:rsidRDefault="00240649" w:rsidP="00935A0B">
            <w:r>
              <w:t>1</w:t>
            </w:r>
            <w:r w:rsidR="002F215B">
              <w:t xml:space="preserve"> de </w:t>
            </w:r>
            <w:r>
              <w:t xml:space="preserve">diciembre </w:t>
            </w:r>
            <w:r w:rsidR="002F215B">
              <w:t>de 2023</w:t>
            </w:r>
          </w:p>
          <w:p w14:paraId="0C81F509" w14:textId="77777777" w:rsidR="00935A0B" w:rsidRPr="00F257CA" w:rsidRDefault="00935A0B" w:rsidP="00935A0B"/>
          <w:p w14:paraId="70A208A6" w14:textId="77777777" w:rsidR="00935A0B" w:rsidRPr="00F257CA" w:rsidRDefault="00696B12" w:rsidP="00935A0B">
            <w:r w:rsidRPr="00F257CA">
              <w:t>Original: español</w:t>
            </w:r>
          </w:p>
          <w:p w14:paraId="1332B2DB" w14:textId="77777777" w:rsidR="002D5AAC" w:rsidRPr="00F257CA" w:rsidRDefault="00935A0B" w:rsidP="00935A0B">
            <w:pPr>
              <w:spacing w:line="240" w:lineRule="exact"/>
            </w:pPr>
            <w:r w:rsidRPr="00F257CA">
              <w:t>Español e inglés únicamente</w:t>
            </w:r>
          </w:p>
        </w:tc>
      </w:tr>
    </w:tbl>
    <w:p w14:paraId="0C422A4A" w14:textId="77777777" w:rsidR="00D5651E" w:rsidRPr="00C75E55" w:rsidRDefault="00696B12" w:rsidP="00D85239">
      <w:pPr>
        <w:spacing w:before="120"/>
        <w:rPr>
          <w:b/>
          <w:color w:val="000000"/>
          <w:sz w:val="24"/>
        </w:rPr>
      </w:pPr>
      <w:r w:rsidRPr="00C75E55">
        <w:rPr>
          <w:b/>
          <w:color w:val="000000"/>
          <w:sz w:val="24"/>
        </w:rPr>
        <w:t>Comité de Derechos Humanos</w:t>
      </w:r>
    </w:p>
    <w:p w14:paraId="615CFF52" w14:textId="130D0D63" w:rsidR="00D85239" w:rsidRPr="00C75E55" w:rsidRDefault="00696B12" w:rsidP="00240649">
      <w:pPr>
        <w:pStyle w:val="HChG"/>
        <w:rPr>
          <w:lang w:val="es-ES_tradnl"/>
        </w:rPr>
      </w:pPr>
      <w:r w:rsidRPr="00C75E55">
        <w:tab/>
      </w:r>
      <w:r w:rsidRPr="00C75E55">
        <w:tab/>
      </w:r>
      <w:r w:rsidRPr="00C75E55">
        <w:rPr>
          <w:lang w:val="es-ES_tradnl"/>
        </w:rPr>
        <w:t>Información recibida de</w:t>
      </w:r>
      <w:r w:rsidR="00390C3B">
        <w:rPr>
          <w:lang w:val="es-ES_tradnl"/>
        </w:rPr>
        <w:t>l</w:t>
      </w:r>
      <w:r w:rsidRPr="00C75E55">
        <w:rPr>
          <w:lang w:val="es-ES_tradnl"/>
        </w:rPr>
        <w:t xml:space="preserve"> </w:t>
      </w:r>
      <w:r w:rsidR="002F215B">
        <w:rPr>
          <w:lang w:val="es-ES_tradnl"/>
        </w:rPr>
        <w:t>Paraguay</w:t>
      </w:r>
      <w:r w:rsidR="004F3D76">
        <w:rPr>
          <w:lang w:val="es-ES_tradnl"/>
        </w:rPr>
        <w:t xml:space="preserve"> </w:t>
      </w:r>
      <w:r w:rsidR="006C4285">
        <w:rPr>
          <w:lang w:val="es-ES_tradnl"/>
        </w:rPr>
        <w:t>relativa a</w:t>
      </w:r>
      <w:r w:rsidRPr="00C75E55">
        <w:rPr>
          <w:lang w:val="es-ES_tradnl"/>
        </w:rPr>
        <w:t>l seguimiento</w:t>
      </w:r>
      <w:r w:rsidR="00240649">
        <w:rPr>
          <w:lang w:val="es-ES_tradnl"/>
        </w:rPr>
        <w:br/>
      </w:r>
      <w:r w:rsidRPr="00C75E55">
        <w:rPr>
          <w:lang w:val="es-ES_tradnl"/>
        </w:rPr>
        <w:t>de las observaciones finales</w:t>
      </w:r>
      <w:r w:rsidR="00741B14" w:rsidRPr="00C75E55">
        <w:t xml:space="preserve"> </w:t>
      </w:r>
      <w:r w:rsidR="00741B14" w:rsidRPr="00C75E55">
        <w:rPr>
          <w:lang w:val="es-ES_tradnl"/>
        </w:rPr>
        <w:t xml:space="preserve">sobre </w:t>
      </w:r>
      <w:r w:rsidR="00F257CA" w:rsidRPr="00C75E55">
        <w:rPr>
          <w:lang w:val="es-ES_tradnl"/>
        </w:rPr>
        <w:t>su</w:t>
      </w:r>
      <w:r w:rsidR="00924634">
        <w:rPr>
          <w:lang w:val="es-ES_tradnl"/>
        </w:rPr>
        <w:t xml:space="preserve"> </w:t>
      </w:r>
      <w:r w:rsidR="002F215B">
        <w:rPr>
          <w:lang w:val="es-ES_tradnl"/>
        </w:rPr>
        <w:t>cuarto</w:t>
      </w:r>
      <w:r w:rsidR="004F3D76">
        <w:rPr>
          <w:lang w:val="es-ES_tradnl"/>
        </w:rPr>
        <w:t xml:space="preserve"> </w:t>
      </w:r>
      <w:r w:rsidR="00741B14" w:rsidRPr="00C75E55">
        <w:rPr>
          <w:lang w:val="es-ES_tradnl"/>
        </w:rPr>
        <w:t>informe periódico</w:t>
      </w:r>
      <w:r w:rsidRPr="00E86B0A">
        <w:rPr>
          <w:rStyle w:val="Refdenotaalpie"/>
          <w:b w:val="0"/>
          <w:sz w:val="20"/>
          <w:vertAlign w:val="baseline"/>
          <w:lang w:val="es-ES_tradnl"/>
        </w:rPr>
        <w:footnoteReference w:customMarkFollows="1" w:id="1"/>
        <w:t>*</w:t>
      </w:r>
    </w:p>
    <w:p w14:paraId="47BBCD99" w14:textId="546E63FE" w:rsidR="00D5651E" w:rsidRDefault="00696B12" w:rsidP="00D5651E">
      <w:pPr>
        <w:pStyle w:val="SingleTxtG"/>
        <w:jc w:val="right"/>
      </w:pPr>
      <w:r w:rsidRPr="00C75E55">
        <w:t>[</w:t>
      </w:r>
      <w:r w:rsidRPr="00C75E55">
        <w:rPr>
          <w:lang w:val="es-ES_tradnl"/>
        </w:rPr>
        <w:t>Fecha de recepción:</w:t>
      </w:r>
      <w:r w:rsidRPr="00C75E55">
        <w:t xml:space="preserve"> </w:t>
      </w:r>
      <w:r w:rsidR="002F215B">
        <w:t>12</w:t>
      </w:r>
      <w:r w:rsidR="00605579">
        <w:t xml:space="preserve"> de </w:t>
      </w:r>
      <w:r w:rsidR="002F215B">
        <w:t>mayo</w:t>
      </w:r>
      <w:r w:rsidR="00605579">
        <w:t xml:space="preserve"> de 202</w:t>
      </w:r>
      <w:r w:rsidR="002F215B">
        <w:t>3</w:t>
      </w:r>
      <w:r w:rsidRPr="00C75E55">
        <w:t>]</w:t>
      </w:r>
    </w:p>
    <w:p w14:paraId="4AE9FBF0" w14:textId="701D7B4F" w:rsidR="00172BBC" w:rsidRDefault="00696B12" w:rsidP="00172BBC">
      <w:pPr>
        <w:pStyle w:val="H1G"/>
        <w:ind w:firstLine="0"/>
        <w:rPr>
          <w:noProof/>
          <w:lang w:val="es-PY"/>
        </w:rPr>
      </w:pPr>
      <w:r w:rsidRPr="00C75E55">
        <w:br w:type="page"/>
      </w:r>
    </w:p>
    <w:p w14:paraId="5FA3B223" w14:textId="2482D9CB" w:rsidR="003A5EF4" w:rsidRPr="003A1EEB" w:rsidRDefault="003A5EF4" w:rsidP="00240649">
      <w:pPr>
        <w:pStyle w:val="HChG"/>
      </w:pPr>
      <w:r>
        <w:rPr>
          <w:lang w:val="es-PY"/>
        </w:rPr>
        <w:lastRenderedPageBreak/>
        <w:tab/>
      </w:r>
      <w:r>
        <w:rPr>
          <w:lang w:val="es-PY"/>
        </w:rPr>
        <w:tab/>
      </w:r>
      <w:r w:rsidRPr="00240649">
        <w:rPr>
          <w:lang w:val="es-ES_tradnl"/>
        </w:rPr>
        <w:t>Introducción</w:t>
      </w:r>
    </w:p>
    <w:p w14:paraId="681640BC" w14:textId="73A88AD3" w:rsidR="003A5EF4" w:rsidRPr="003A1EEB" w:rsidRDefault="003A5EF4" w:rsidP="003A1EEB">
      <w:pPr>
        <w:pStyle w:val="SingleTxtG"/>
        <w:rPr>
          <w:highlight w:val="yellow"/>
          <w:lang w:val="es-PY"/>
        </w:rPr>
      </w:pPr>
      <w:r>
        <w:rPr>
          <w:noProof/>
          <w:lang w:val="es-PY"/>
        </w:rPr>
        <w:t>1.</w:t>
      </w:r>
      <w:r>
        <w:rPr>
          <w:noProof/>
          <w:lang w:val="es-PY"/>
        </w:rPr>
        <w:tab/>
      </w:r>
      <w:r w:rsidRPr="00C27146">
        <w:rPr>
          <w:noProof/>
          <w:lang w:val="es-PY"/>
        </w:rPr>
        <w:t>De conformidad con el párrafo 47 de las Observaciones finales del Comité de Derechos Humanos sobre el cuarto informe periódico del Paraguay (</w:t>
      </w:r>
      <w:r w:rsidRPr="00C27146">
        <w:rPr>
          <w:rFonts w:eastAsia="Times New Roman"/>
          <w:lang w:val="es-PY"/>
        </w:rPr>
        <w:t>CCPR/C/PRY/CO/4</w:t>
      </w:r>
      <w:r w:rsidRPr="00C27146">
        <w:rPr>
          <w:lang w:val="es-PY"/>
        </w:rPr>
        <w:t xml:space="preserve">), y en atención </w:t>
      </w:r>
      <w:r w:rsidRPr="00C27146">
        <w:rPr>
          <w:rFonts w:eastAsia="Times New Roman"/>
          <w:lang w:val="es-PY"/>
        </w:rPr>
        <w:t xml:space="preserve">a la nota GH/fup-133 de la </w:t>
      </w:r>
      <w:r w:rsidRPr="00C27146">
        <w:rPr>
          <w:lang w:val="es-PY"/>
        </w:rPr>
        <w:t xml:space="preserve">Relatora Especial para Seguimiento de Observaciones Finales, se provee en este documento </w:t>
      </w:r>
      <w:r w:rsidRPr="00C27146">
        <w:rPr>
          <w:noProof/>
          <w:lang w:val="es-PY"/>
        </w:rPr>
        <w:t xml:space="preserve">información relevante sobre la implementación de las recomendaciones </w:t>
      </w:r>
      <w:r>
        <w:rPr>
          <w:noProof/>
          <w:lang w:val="es-PY"/>
        </w:rPr>
        <w:t>contenidas</w:t>
      </w:r>
      <w:r w:rsidRPr="00C27146">
        <w:rPr>
          <w:noProof/>
          <w:lang w:val="es-PY"/>
        </w:rPr>
        <w:t xml:space="preserve"> en los párrafos 13, 29 y 35.</w:t>
      </w:r>
    </w:p>
    <w:p w14:paraId="4A3BE153" w14:textId="58C212E4" w:rsidR="002F215B" w:rsidRPr="00C27146" w:rsidRDefault="002F215B" w:rsidP="00240649">
      <w:pPr>
        <w:pStyle w:val="H1G"/>
        <w:rPr>
          <w:noProof/>
          <w:lang w:val="es-PY"/>
        </w:rPr>
      </w:pPr>
      <w:r>
        <w:rPr>
          <w:noProof/>
          <w:lang w:val="es-PY"/>
        </w:rPr>
        <w:tab/>
      </w:r>
      <w:r>
        <w:rPr>
          <w:noProof/>
          <w:lang w:val="es-PY"/>
        </w:rPr>
        <w:tab/>
      </w:r>
      <w:r>
        <w:rPr>
          <w:noProof/>
          <w:lang w:val="es-PY"/>
        </w:rPr>
        <w:tab/>
      </w:r>
      <w:r w:rsidR="003A5EF4" w:rsidRPr="003A5EF4">
        <w:rPr>
          <w:noProof/>
          <w:lang w:val="es-PY"/>
        </w:rPr>
        <w:t>Información de seguimiento sobre el párrafo 1</w:t>
      </w:r>
      <w:r w:rsidR="003A5EF4">
        <w:rPr>
          <w:noProof/>
          <w:lang w:val="es-PY"/>
        </w:rPr>
        <w:t>3 a)</w:t>
      </w:r>
      <w:r w:rsidR="003A5EF4" w:rsidRPr="003A5EF4">
        <w:rPr>
          <w:noProof/>
          <w:lang w:val="es-PY"/>
        </w:rPr>
        <w:t xml:space="preserve"> de las</w:t>
      </w:r>
      <w:r w:rsidR="00240649">
        <w:rPr>
          <w:noProof/>
          <w:lang w:val="es-PY"/>
        </w:rPr>
        <w:br/>
      </w:r>
      <w:r w:rsidR="003A5EF4" w:rsidRPr="003A5EF4">
        <w:rPr>
          <w:noProof/>
          <w:lang w:val="es-PY"/>
        </w:rPr>
        <w:t xml:space="preserve">observaciones finales </w:t>
      </w:r>
      <w:r w:rsidR="003A5EF4" w:rsidRPr="00C27146">
        <w:rPr>
          <w:noProof/>
          <w:lang w:val="es-PY"/>
        </w:rPr>
        <w:t>(</w:t>
      </w:r>
      <w:r w:rsidR="003A5EF4" w:rsidRPr="00C27146">
        <w:rPr>
          <w:rFonts w:eastAsia="Times New Roman"/>
          <w:lang w:val="es-PY"/>
        </w:rPr>
        <w:t>CCPR/C/PRY/CO/4</w:t>
      </w:r>
      <w:r w:rsidR="003A5EF4" w:rsidRPr="00C27146">
        <w:rPr>
          <w:lang w:val="es-PY"/>
        </w:rPr>
        <w:t>)</w:t>
      </w:r>
    </w:p>
    <w:p w14:paraId="1313BC08" w14:textId="3D59B622" w:rsidR="002F215B" w:rsidRPr="00F15FE4" w:rsidRDefault="003A5EF4" w:rsidP="002F215B">
      <w:pPr>
        <w:pStyle w:val="SingleTxtG"/>
        <w:rPr>
          <w:noProof/>
        </w:rPr>
      </w:pPr>
      <w:r>
        <w:rPr>
          <w:noProof/>
        </w:rPr>
        <w:t>2</w:t>
      </w:r>
      <w:r w:rsidR="002F215B" w:rsidRPr="00F15FE4">
        <w:rPr>
          <w:noProof/>
        </w:rPr>
        <w:t>.</w:t>
      </w:r>
      <w:r w:rsidR="002F215B" w:rsidRPr="00F15FE4">
        <w:rPr>
          <w:noProof/>
        </w:rPr>
        <w:tab/>
        <w:t>Además de las condenas obtenidas en procesos cuya investigación correspondieron al Poder Judicial (PJ) bajo el sistema inquisitivo vigente antes de la reforma penal de 1997, la Unidad Especializada de Derechos Humanos del Ministerio Público (MP) ha propiciado avances en varios procesos con imputaciones y acusaciones que se espera concluyan con las correspondientes condenas. Como Anexo I se identifican causas que a la fecha se encuentran pendientes de audiencias preliminares o resolución de recursos.</w:t>
      </w:r>
    </w:p>
    <w:p w14:paraId="52260DC9" w14:textId="35AD10CA" w:rsidR="002F215B" w:rsidRPr="00ED72E6" w:rsidRDefault="00172BBC" w:rsidP="002F215B">
      <w:pPr>
        <w:pStyle w:val="SingleTxtG"/>
        <w:rPr>
          <w:noProof/>
        </w:rPr>
      </w:pPr>
      <w:r>
        <w:rPr>
          <w:noProof/>
        </w:rPr>
        <w:t>3</w:t>
      </w:r>
      <w:r w:rsidR="002F215B" w:rsidRPr="00F15FE4">
        <w:rPr>
          <w:noProof/>
        </w:rPr>
        <w:t>.</w:t>
      </w:r>
      <w:r w:rsidR="002F215B" w:rsidRPr="00F15FE4">
        <w:rPr>
          <w:noProof/>
        </w:rPr>
        <w:tab/>
        <w:t xml:space="preserve">Una de las condenas más representativas fue la obtenida en la causa 3154/89 </w:t>
      </w:r>
      <w:r w:rsidR="002F215B" w:rsidRPr="00ED72E6">
        <w:rPr>
          <w:noProof/>
        </w:rPr>
        <w:t>“Alfredo Stroessner y otros s/ Tortura y Otros” (caso Martin Almada – Celestina Pérez), en</w:t>
      </w:r>
      <w:r w:rsidR="002F215B" w:rsidRPr="00C27146">
        <w:rPr>
          <w:noProof/>
        </w:rPr>
        <w:t xml:space="preserve"> la que por Sentencia Nº 03, del 20 de diciembre de 2019, fueron condenados Fortunato Laspina, Camilo Almada Morel y Nicolás Lucilo Benítez, por diversos hechos punibles contra los derechos humanos. Asimismo, se ha obtenido una condena de 7 años en la causa</w:t>
      </w:r>
      <w:r w:rsidR="002F215B">
        <w:rPr>
          <w:noProof/>
        </w:rPr>
        <w:t xml:space="preserve"> </w:t>
      </w:r>
      <w:r w:rsidR="002F215B" w:rsidRPr="00C27146">
        <w:rPr>
          <w:noProof/>
        </w:rPr>
        <w:t xml:space="preserve">53/2017 </w:t>
      </w:r>
      <w:r w:rsidR="002F215B" w:rsidRPr="00ED72E6">
        <w:rPr>
          <w:noProof/>
        </w:rPr>
        <w:t>“Jorge Francisco Bogarín s/ Lesión Corporal en ejercicio de funciones públicas”.</w:t>
      </w:r>
    </w:p>
    <w:p w14:paraId="27F2F57D" w14:textId="5AF30E00" w:rsidR="002F215B" w:rsidRPr="00C27146" w:rsidRDefault="002F215B" w:rsidP="00240649">
      <w:pPr>
        <w:pStyle w:val="H1G"/>
        <w:rPr>
          <w:noProof/>
          <w:lang w:val="es-PY"/>
        </w:rPr>
      </w:pPr>
      <w:r>
        <w:rPr>
          <w:noProof/>
          <w:lang w:val="es-PY"/>
        </w:rPr>
        <w:tab/>
      </w:r>
      <w:r>
        <w:rPr>
          <w:noProof/>
          <w:lang w:val="es-PY"/>
        </w:rPr>
        <w:tab/>
      </w:r>
      <w:r w:rsidR="00E344B2" w:rsidRPr="003A5EF4">
        <w:rPr>
          <w:noProof/>
          <w:lang w:val="es-PY"/>
        </w:rPr>
        <w:t>Información de seguimiento sobre el párrafo 1</w:t>
      </w:r>
      <w:r w:rsidR="00E344B2">
        <w:rPr>
          <w:noProof/>
          <w:lang w:val="es-PY"/>
        </w:rPr>
        <w:t>3 b)</w:t>
      </w:r>
      <w:r w:rsidR="00E344B2" w:rsidRPr="003A5EF4">
        <w:rPr>
          <w:noProof/>
          <w:lang w:val="es-PY"/>
        </w:rPr>
        <w:t xml:space="preserve"> de las</w:t>
      </w:r>
      <w:r w:rsidR="00240649">
        <w:rPr>
          <w:noProof/>
          <w:lang w:val="es-PY"/>
        </w:rPr>
        <w:br/>
      </w:r>
      <w:r w:rsidR="00E344B2" w:rsidRPr="003A5EF4">
        <w:rPr>
          <w:noProof/>
          <w:lang w:val="es-PY"/>
        </w:rPr>
        <w:t>observaciones finales</w:t>
      </w:r>
    </w:p>
    <w:p w14:paraId="2A5FC8CF" w14:textId="55FA562E" w:rsidR="002F215B" w:rsidRPr="00C27146" w:rsidRDefault="00E344B2" w:rsidP="002F215B">
      <w:pPr>
        <w:pStyle w:val="SingleTxtG"/>
        <w:rPr>
          <w:lang w:val="es-PY"/>
        </w:rPr>
      </w:pPr>
      <w:r>
        <w:rPr>
          <w:lang w:val="es-PY"/>
        </w:rPr>
        <w:t>4</w:t>
      </w:r>
      <w:r w:rsidR="002F215B">
        <w:rPr>
          <w:lang w:val="es-PY"/>
        </w:rPr>
        <w:t xml:space="preserve">. </w:t>
      </w:r>
      <w:r w:rsidR="002F215B">
        <w:rPr>
          <w:lang w:val="es-PY"/>
        </w:rPr>
        <w:tab/>
      </w:r>
      <w:r w:rsidR="002F215B" w:rsidRPr="00C27146">
        <w:rPr>
          <w:lang w:val="es-PY"/>
        </w:rPr>
        <w:t>Conforme al marco legal</w:t>
      </w:r>
      <w:r w:rsidR="002F215B" w:rsidRPr="00C27146">
        <w:rPr>
          <w:rStyle w:val="Refdenotaalpie"/>
          <w:lang w:val="es-PY"/>
        </w:rPr>
        <w:footnoteReference w:id="2"/>
      </w:r>
      <w:r w:rsidR="002F215B" w:rsidRPr="00C27146">
        <w:rPr>
          <w:lang w:val="es-PY"/>
        </w:rPr>
        <w:t xml:space="preserve"> vigente, las indemnizaciones </w:t>
      </w:r>
      <w:r w:rsidR="002F215B">
        <w:rPr>
          <w:lang w:val="es-PY"/>
        </w:rPr>
        <w:t xml:space="preserve">por </w:t>
      </w:r>
      <w:r w:rsidR="002F215B" w:rsidRPr="00C27146">
        <w:rPr>
          <w:lang w:val="es-PY"/>
        </w:rPr>
        <w:t xml:space="preserve">violaciones de derechos humanos durante </w:t>
      </w:r>
      <w:r w:rsidR="002F215B">
        <w:rPr>
          <w:lang w:val="es-PY"/>
        </w:rPr>
        <w:t>la</w:t>
      </w:r>
      <w:r w:rsidR="002F215B" w:rsidRPr="00C27146">
        <w:rPr>
          <w:lang w:val="es-PY"/>
        </w:rPr>
        <w:t xml:space="preserve"> dicta</w:t>
      </w:r>
      <w:r w:rsidR="002F215B">
        <w:rPr>
          <w:lang w:val="es-PY"/>
        </w:rPr>
        <w:t xml:space="preserve">dura </w:t>
      </w:r>
      <w:r w:rsidR="002F215B" w:rsidRPr="00C27146">
        <w:rPr>
          <w:lang w:val="es-PY"/>
        </w:rPr>
        <w:t>son otorgadas previo dictamen vinculante de la Procuraduría General de la República (PGR) sobre las solicitudes presentadas por la Defensoría del Pueblo</w:t>
      </w:r>
      <w:r w:rsidR="002F215B">
        <w:rPr>
          <w:lang w:val="es-PY"/>
        </w:rPr>
        <w:t xml:space="preserve"> (DP). </w:t>
      </w:r>
    </w:p>
    <w:p w14:paraId="2BF815BA" w14:textId="3F21C2CF" w:rsidR="002F215B" w:rsidRPr="00C27146" w:rsidRDefault="00E344B2" w:rsidP="002F215B">
      <w:pPr>
        <w:pStyle w:val="SingleTxtG"/>
        <w:rPr>
          <w:rFonts w:eastAsia="Calibri"/>
          <w:noProof/>
          <w:lang w:val="es-PY"/>
        </w:rPr>
      </w:pPr>
      <w:r>
        <w:rPr>
          <w:lang w:val="es-PY"/>
        </w:rPr>
        <w:t>5</w:t>
      </w:r>
      <w:r w:rsidR="002F215B">
        <w:rPr>
          <w:lang w:val="es-PY"/>
        </w:rPr>
        <w:t xml:space="preserve">. </w:t>
      </w:r>
      <w:r w:rsidR="002F215B">
        <w:rPr>
          <w:lang w:val="es-PY"/>
        </w:rPr>
        <w:tab/>
      </w:r>
      <w:r w:rsidR="002F215B" w:rsidRPr="00C27146">
        <w:rPr>
          <w:lang w:val="es-PY"/>
        </w:rPr>
        <w:t xml:space="preserve">Si bien los recursos asignados al DP para dicho </w:t>
      </w:r>
      <w:r w:rsidR="002F215B">
        <w:rPr>
          <w:lang w:val="es-PY"/>
        </w:rPr>
        <w:t>no han estado ajenos a los ajustes presupuestarios</w:t>
      </w:r>
      <w:r w:rsidR="002F215B" w:rsidRPr="00C27146">
        <w:rPr>
          <w:lang w:val="es-PY"/>
        </w:rPr>
        <w:t xml:space="preserve"> para hacer frente a la pandemia de COVID-</w:t>
      </w:r>
      <w:r w:rsidR="002F215B">
        <w:rPr>
          <w:lang w:val="es-PY"/>
        </w:rPr>
        <w:t>19</w:t>
      </w:r>
      <w:r w:rsidR="002F215B" w:rsidRPr="00C27146">
        <w:rPr>
          <w:lang w:val="es-PY"/>
        </w:rPr>
        <w:t xml:space="preserve">, </w:t>
      </w:r>
      <w:r w:rsidR="002F215B">
        <w:rPr>
          <w:lang w:val="es-PY"/>
        </w:rPr>
        <w:t>se</w:t>
      </w:r>
      <w:r w:rsidR="002F215B" w:rsidRPr="00C27146">
        <w:rPr>
          <w:lang w:val="es-PY"/>
        </w:rPr>
        <w:t xml:space="preserve"> ha</w:t>
      </w:r>
      <w:r w:rsidR="002F215B">
        <w:rPr>
          <w:lang w:val="es-PY"/>
        </w:rPr>
        <w:t>n</w:t>
      </w:r>
      <w:r w:rsidR="002F215B" w:rsidRPr="00C27146">
        <w:rPr>
          <w:lang w:val="es-PY"/>
        </w:rPr>
        <w:t xml:space="preserve"> empeñado esfuerzos para renivelar la asignación hasta recuperar, por lo menos, los montos destinados en 2019</w:t>
      </w:r>
      <w:r w:rsidR="002F215B">
        <w:rPr>
          <w:lang w:val="es-PY"/>
        </w:rPr>
        <w:t xml:space="preserve">, </w:t>
      </w:r>
      <w:r w:rsidR="002F215B" w:rsidRPr="00C27146">
        <w:rPr>
          <w:rFonts w:eastAsia="Calibri"/>
          <w:noProof/>
          <w:lang w:val="es-PY"/>
        </w:rPr>
        <w:t>año</w:t>
      </w:r>
      <w:r w:rsidR="002F215B">
        <w:rPr>
          <w:rFonts w:eastAsia="Calibri"/>
          <w:noProof/>
          <w:lang w:val="es-PY"/>
        </w:rPr>
        <w:t xml:space="preserve"> en que</w:t>
      </w:r>
      <w:r w:rsidR="002F215B" w:rsidRPr="00C27146">
        <w:rPr>
          <w:rFonts w:eastAsia="Calibri"/>
          <w:noProof/>
          <w:lang w:val="es-PY"/>
        </w:rPr>
        <w:t xml:space="preserve"> </w:t>
      </w:r>
      <w:r w:rsidR="002F215B">
        <w:rPr>
          <w:rFonts w:eastAsia="Calibri"/>
          <w:noProof/>
          <w:lang w:val="es-PY"/>
        </w:rPr>
        <w:t>el presupuesto</w:t>
      </w:r>
      <w:r w:rsidR="002F215B" w:rsidRPr="00C27146">
        <w:rPr>
          <w:rFonts w:eastAsia="Calibri"/>
          <w:noProof/>
          <w:lang w:val="es-PY"/>
        </w:rPr>
        <w:t xml:space="preserve"> para indemnizaciones fue de </w:t>
      </w:r>
      <w:r w:rsidR="002F215B">
        <w:rPr>
          <w:rFonts w:eastAsia="Calibri"/>
          <w:noProof/>
          <w:lang w:val="es-PY"/>
        </w:rPr>
        <w:t xml:space="preserve">G. </w:t>
      </w:r>
      <w:r w:rsidR="002F215B" w:rsidRPr="00C27146">
        <w:rPr>
          <w:rFonts w:eastAsia="Calibri"/>
          <w:noProof/>
          <w:lang w:val="es-PY"/>
        </w:rPr>
        <w:t xml:space="preserve">28.680.305.013; monto que se mantuvo idéntico en 2020, dado que la aprobación del presupuesto fue previa a la declaración de pandemia. </w:t>
      </w:r>
    </w:p>
    <w:p w14:paraId="5AD594C4" w14:textId="0D3B5824" w:rsidR="002F215B" w:rsidRPr="00C27146" w:rsidRDefault="00E344B2" w:rsidP="002F215B">
      <w:pPr>
        <w:pStyle w:val="SingleTxtG"/>
        <w:rPr>
          <w:bCs/>
          <w:iCs/>
          <w:noProof/>
          <w:lang w:val="es-PY"/>
        </w:rPr>
      </w:pPr>
      <w:r>
        <w:rPr>
          <w:noProof/>
          <w:lang w:val="es-PY"/>
        </w:rPr>
        <w:t>6</w:t>
      </w:r>
      <w:r w:rsidR="002F215B">
        <w:rPr>
          <w:noProof/>
          <w:lang w:val="es-PY"/>
        </w:rPr>
        <w:t xml:space="preserve">. </w:t>
      </w:r>
      <w:r w:rsidR="002F215B">
        <w:rPr>
          <w:noProof/>
          <w:lang w:val="es-PY"/>
        </w:rPr>
        <w:tab/>
      </w:r>
      <w:r w:rsidR="002F215B" w:rsidRPr="00C27146">
        <w:rPr>
          <w:noProof/>
          <w:lang w:val="es-PY"/>
        </w:rPr>
        <w:t xml:space="preserve">Los consabidos efectos de la pandemia obligaron al Estado a reajustar el presupuesto para indeminzaciones </w:t>
      </w:r>
      <w:r w:rsidR="002F215B">
        <w:rPr>
          <w:noProof/>
          <w:lang w:val="es-PY"/>
        </w:rPr>
        <w:t>por</w:t>
      </w:r>
      <w:r w:rsidR="002F215B" w:rsidRPr="00C27146">
        <w:rPr>
          <w:noProof/>
          <w:lang w:val="es-PY"/>
        </w:rPr>
        <w:t xml:space="preserve"> de violaciones de derechos humanos durante la dictadura, que en 2021 disminuyó a la suma de </w:t>
      </w:r>
      <w:r w:rsidR="002F215B">
        <w:rPr>
          <w:noProof/>
          <w:lang w:val="es-PY"/>
        </w:rPr>
        <w:t xml:space="preserve">G. </w:t>
      </w:r>
      <w:r w:rsidR="002F215B" w:rsidRPr="00C27146">
        <w:rPr>
          <w:noProof/>
          <w:lang w:val="es-PY"/>
        </w:rPr>
        <w:t xml:space="preserve">9.644.185.951. En un esfuerzo </w:t>
      </w:r>
      <w:r w:rsidR="002F215B">
        <w:rPr>
          <w:noProof/>
          <w:lang w:val="es-PY"/>
        </w:rPr>
        <w:t>para aumentar</w:t>
      </w:r>
      <w:r w:rsidR="002F215B" w:rsidRPr="00C27146">
        <w:rPr>
          <w:noProof/>
          <w:lang w:val="es-PY"/>
        </w:rPr>
        <w:t xml:space="preserve"> la asignación, en 2022 el presupuesto aumentó a </w:t>
      </w:r>
      <w:r w:rsidR="002F215B">
        <w:rPr>
          <w:noProof/>
          <w:lang w:val="es-PY"/>
        </w:rPr>
        <w:t xml:space="preserve">G. </w:t>
      </w:r>
      <w:r w:rsidR="002F215B" w:rsidRPr="00C27146">
        <w:rPr>
          <w:noProof/>
          <w:lang w:val="es-PY"/>
        </w:rPr>
        <w:t>15.000.000.</w:t>
      </w:r>
      <w:r w:rsidR="002F215B">
        <w:rPr>
          <w:noProof/>
          <w:lang w:val="es-PY"/>
        </w:rPr>
        <w:t>0</w:t>
      </w:r>
      <w:r w:rsidR="002F215B" w:rsidRPr="00C27146">
        <w:rPr>
          <w:noProof/>
          <w:lang w:val="es-PY"/>
        </w:rPr>
        <w:t xml:space="preserve">00; y en 2023 aumentó nuevamente a </w:t>
      </w:r>
      <w:r w:rsidR="002F215B">
        <w:rPr>
          <w:noProof/>
          <w:lang w:val="es-PY"/>
        </w:rPr>
        <w:t xml:space="preserve">G. </w:t>
      </w:r>
      <w:r w:rsidR="002F215B" w:rsidRPr="00C27146">
        <w:rPr>
          <w:noProof/>
          <w:lang w:val="es-PY"/>
        </w:rPr>
        <w:t>25.196.209.428.</w:t>
      </w:r>
    </w:p>
    <w:p w14:paraId="4EB90C07" w14:textId="38B127DB" w:rsidR="002F215B" w:rsidRPr="00C27146" w:rsidRDefault="00E344B2" w:rsidP="002F215B">
      <w:pPr>
        <w:pStyle w:val="SingleTxtG"/>
        <w:rPr>
          <w:noProof/>
        </w:rPr>
      </w:pPr>
      <w:r>
        <w:rPr>
          <w:noProof/>
        </w:rPr>
        <w:t>7</w:t>
      </w:r>
      <w:r w:rsidR="002F215B">
        <w:rPr>
          <w:noProof/>
        </w:rPr>
        <w:t xml:space="preserve">. </w:t>
      </w:r>
      <w:r w:rsidR="002F215B">
        <w:rPr>
          <w:noProof/>
        </w:rPr>
        <w:tab/>
      </w:r>
      <w:r w:rsidR="002F215B" w:rsidRPr="00C27146">
        <w:rPr>
          <w:noProof/>
        </w:rPr>
        <w:t xml:space="preserve">En cuanto a datos estadísticos sobre recepción de solicitudes de la DP y dictámenes de la PGR, en 2019 se recibió un total de 207 solicitudes y la PGR emitió 177 dictámenes; en 2020, las solicitudes fueron 79 y se emitieron 81 dictámenes; en 2021 se recibieron 106 solicitudes y se emitieron 102 dictámenes; 352 solicitudes fueron presentadas en 2022, con un total de 92 dictámentes; y en lo que va del 2023, fueron recibidas 159 solicitudes y se emitieron 31 dictámentes a la fecha del presente informe. </w:t>
      </w:r>
    </w:p>
    <w:p w14:paraId="611C13A4" w14:textId="7F52E109" w:rsidR="002F215B" w:rsidRPr="00C27146" w:rsidRDefault="00E344B2" w:rsidP="002F215B">
      <w:pPr>
        <w:pStyle w:val="SingleTxtG"/>
        <w:rPr>
          <w:lang w:val="es-PY"/>
        </w:rPr>
      </w:pPr>
      <w:r>
        <w:rPr>
          <w:noProof/>
          <w:lang w:val="es-PY"/>
        </w:rPr>
        <w:t>8</w:t>
      </w:r>
      <w:r w:rsidR="002F215B">
        <w:rPr>
          <w:noProof/>
          <w:lang w:val="es-PY"/>
        </w:rPr>
        <w:t xml:space="preserve">. </w:t>
      </w:r>
      <w:r w:rsidR="002F215B">
        <w:rPr>
          <w:noProof/>
          <w:lang w:val="es-PY"/>
        </w:rPr>
        <w:tab/>
      </w:r>
      <w:r w:rsidR="002F215B" w:rsidRPr="00C27146">
        <w:rPr>
          <w:noProof/>
          <w:lang w:val="es-PY"/>
        </w:rPr>
        <w:t xml:space="preserve">Hasta la actualidad se han tramitado un total de 17.000 expedientes ante la DP. </w:t>
      </w:r>
      <w:r w:rsidR="002F215B" w:rsidRPr="00C27146">
        <w:rPr>
          <w:lang w:val="es-PY"/>
        </w:rPr>
        <w:t xml:space="preserve">A raíz de la alta cantidad de solicitudes que no cumplían con los requisitos establecidos en la ley 838/96, y sus modificaciones, la PGR se ha visto obligada a dictaminar de manera negativa en muchos casos, ya que dicho órgano debe aplicar criterios generales eminentemente </w:t>
      </w:r>
      <w:r w:rsidR="002F215B" w:rsidRPr="00C27146">
        <w:rPr>
          <w:lang w:val="es-PY"/>
        </w:rPr>
        <w:lastRenderedPageBreak/>
        <w:t>legales, que podrían no contempla</w:t>
      </w:r>
      <w:r w:rsidR="002F215B">
        <w:rPr>
          <w:lang w:val="es-PY"/>
        </w:rPr>
        <w:t>r</w:t>
      </w:r>
      <w:r w:rsidR="002F215B" w:rsidRPr="00C27146">
        <w:rPr>
          <w:lang w:val="es-PY"/>
        </w:rPr>
        <w:t xml:space="preserve"> ciertas caracterizaciones de violaciones de derechos humanos que se presentan en cada caso particular. Aun así, </w:t>
      </w:r>
      <w:r w:rsidR="002F215B" w:rsidRPr="00C27146">
        <w:rPr>
          <w:bCs/>
          <w:iCs/>
          <w:noProof/>
          <w:lang w:val="es-PY"/>
        </w:rPr>
        <w:t>en los casos en que la PGR dictamina en sentido negativo, los afectados cuentan con el derecho de recurrir judicialmente.</w:t>
      </w:r>
    </w:p>
    <w:p w14:paraId="2FB2937B" w14:textId="0A1B5A28" w:rsidR="002F215B" w:rsidRPr="00C27146" w:rsidRDefault="00E344B2" w:rsidP="002F215B">
      <w:pPr>
        <w:pStyle w:val="SingleTxtG"/>
        <w:rPr>
          <w:bCs/>
          <w:iCs/>
          <w:noProof/>
        </w:rPr>
      </w:pPr>
      <w:r>
        <w:rPr>
          <w:noProof/>
        </w:rPr>
        <w:t>9</w:t>
      </w:r>
      <w:r w:rsidR="002F215B">
        <w:rPr>
          <w:noProof/>
        </w:rPr>
        <w:t xml:space="preserve">. </w:t>
      </w:r>
      <w:r w:rsidR="002F215B">
        <w:rPr>
          <w:noProof/>
        </w:rPr>
        <w:tab/>
      </w:r>
      <w:r w:rsidR="002F215B" w:rsidRPr="00C27146">
        <w:rPr>
          <w:noProof/>
        </w:rPr>
        <w:t xml:space="preserve">No obstante, conviene resaltar que </w:t>
      </w:r>
      <w:r w:rsidR="002F215B">
        <w:rPr>
          <w:noProof/>
        </w:rPr>
        <w:t>con la finalidad</w:t>
      </w:r>
      <w:r w:rsidR="002F215B" w:rsidRPr="00C27146">
        <w:rPr>
          <w:noProof/>
        </w:rPr>
        <w:t xml:space="preserve"> de mejorar los mecanismos de indemnización a víctimas y familiares de víctimas</w:t>
      </w:r>
      <w:r w:rsidR="002F215B">
        <w:rPr>
          <w:noProof/>
        </w:rPr>
        <w:t>, s</w:t>
      </w:r>
      <w:r w:rsidR="002F215B" w:rsidRPr="00C27146">
        <w:rPr>
          <w:noProof/>
        </w:rPr>
        <w:t xml:space="preserve">e encuentra en trámite </w:t>
      </w:r>
      <w:r w:rsidR="002F215B">
        <w:rPr>
          <w:noProof/>
        </w:rPr>
        <w:t xml:space="preserve">en </w:t>
      </w:r>
      <w:r w:rsidR="002F215B" w:rsidRPr="00C27146">
        <w:rPr>
          <w:noProof/>
        </w:rPr>
        <w:t xml:space="preserve">el Congreso Nacional </w:t>
      </w:r>
      <w:r w:rsidR="002F215B">
        <w:rPr>
          <w:noProof/>
        </w:rPr>
        <w:t>el</w:t>
      </w:r>
      <w:r w:rsidR="002F215B" w:rsidRPr="00C27146">
        <w:rPr>
          <w:noProof/>
        </w:rPr>
        <w:t xml:space="preserve"> </w:t>
      </w:r>
      <w:r w:rsidR="002F215B">
        <w:rPr>
          <w:noProof/>
        </w:rPr>
        <w:t>p</w:t>
      </w:r>
      <w:r w:rsidR="002F215B" w:rsidRPr="00C27146">
        <w:rPr>
          <w:noProof/>
        </w:rPr>
        <w:t>royecto de Ley</w:t>
      </w:r>
      <w:r w:rsidR="002F215B" w:rsidRPr="00C27146">
        <w:rPr>
          <w:rStyle w:val="Refdenotaalpie"/>
          <w:noProof/>
        </w:rPr>
        <w:footnoteReference w:id="3"/>
      </w:r>
      <w:r w:rsidR="002F215B" w:rsidRPr="00C27146">
        <w:rPr>
          <w:noProof/>
        </w:rPr>
        <w:t xml:space="preserve"> “Que autoriza el pago al ministerio de hacienda en los casos de violaciones de derechos humanos durante el per</w:t>
      </w:r>
      <w:r w:rsidR="007613EA">
        <w:rPr>
          <w:noProof/>
        </w:rPr>
        <w:t>í</w:t>
      </w:r>
      <w:r w:rsidR="002F215B" w:rsidRPr="00C27146">
        <w:rPr>
          <w:noProof/>
        </w:rPr>
        <w:t>odo 1954</w:t>
      </w:r>
      <w:r w:rsidR="007613EA">
        <w:rPr>
          <w:noProof/>
        </w:rPr>
        <w:t>-</w:t>
      </w:r>
      <w:r w:rsidR="002F215B" w:rsidRPr="00C27146">
        <w:rPr>
          <w:noProof/>
        </w:rPr>
        <w:t xml:space="preserve">1989, que cuentan con resolución favorable de la defensoria del pueblo y cuyos expedientes fueron iniciados con anterioridad a la vigencia de la </w:t>
      </w:r>
      <w:r w:rsidR="007613EA" w:rsidRPr="00C27146">
        <w:rPr>
          <w:noProof/>
        </w:rPr>
        <w:t xml:space="preserve">Ley </w:t>
      </w:r>
      <w:r w:rsidR="002F215B" w:rsidRPr="00C27146">
        <w:rPr>
          <w:noProof/>
        </w:rPr>
        <w:t>4381/2011”.</w:t>
      </w:r>
    </w:p>
    <w:p w14:paraId="0C69CD37" w14:textId="240E9336" w:rsidR="002F215B" w:rsidRPr="00C27146" w:rsidRDefault="002F215B" w:rsidP="00240649">
      <w:pPr>
        <w:pStyle w:val="H1G"/>
        <w:rPr>
          <w:noProof/>
          <w:lang w:val="es-PY"/>
        </w:rPr>
      </w:pPr>
      <w:r>
        <w:rPr>
          <w:noProof/>
          <w:lang w:val="es-PY"/>
        </w:rPr>
        <w:tab/>
      </w:r>
      <w:r>
        <w:rPr>
          <w:noProof/>
          <w:lang w:val="es-PY"/>
        </w:rPr>
        <w:tab/>
      </w:r>
      <w:r w:rsidR="00E344B2" w:rsidRPr="003A5EF4">
        <w:rPr>
          <w:noProof/>
          <w:lang w:val="es-PY"/>
        </w:rPr>
        <w:t>Información de seguimiento sobre el párrafo 1</w:t>
      </w:r>
      <w:r w:rsidR="00E344B2">
        <w:rPr>
          <w:noProof/>
          <w:lang w:val="es-PY"/>
        </w:rPr>
        <w:t>3 c)</w:t>
      </w:r>
      <w:r w:rsidR="00E344B2" w:rsidRPr="003A5EF4">
        <w:rPr>
          <w:noProof/>
          <w:lang w:val="es-PY"/>
        </w:rPr>
        <w:t xml:space="preserve"> de las</w:t>
      </w:r>
      <w:r w:rsidR="00240649">
        <w:rPr>
          <w:noProof/>
          <w:lang w:val="es-PY"/>
        </w:rPr>
        <w:br/>
      </w:r>
      <w:r w:rsidR="00E344B2" w:rsidRPr="003A5EF4">
        <w:rPr>
          <w:noProof/>
          <w:lang w:val="es-PY"/>
        </w:rPr>
        <w:t>observaciones finales</w:t>
      </w:r>
    </w:p>
    <w:p w14:paraId="5C4C97C7" w14:textId="7D99F91F" w:rsidR="002F215B" w:rsidRPr="00C27146" w:rsidRDefault="00E344B2" w:rsidP="002F215B">
      <w:pPr>
        <w:pStyle w:val="SingleTxtG"/>
        <w:rPr>
          <w:noProof/>
        </w:rPr>
      </w:pPr>
      <w:r>
        <w:rPr>
          <w:noProof/>
        </w:rPr>
        <w:t>10</w:t>
      </w:r>
      <w:r w:rsidR="002F215B">
        <w:rPr>
          <w:noProof/>
        </w:rPr>
        <w:t xml:space="preserve">. </w:t>
      </w:r>
      <w:r w:rsidR="002F215B">
        <w:rPr>
          <w:noProof/>
        </w:rPr>
        <w:tab/>
      </w:r>
      <w:r w:rsidR="002F215B" w:rsidRPr="00C27146">
        <w:rPr>
          <w:noProof/>
        </w:rPr>
        <w:t xml:space="preserve">Además de la constitución del Banco de Datos Genéticos, en cuyo marco se ha contactado con más de 200 personas en Paraguay y alrededor de 100 en Argentina, </w:t>
      </w:r>
      <w:r w:rsidR="002F215B">
        <w:rPr>
          <w:noProof/>
        </w:rPr>
        <w:t>obteniéndose</w:t>
      </w:r>
      <w:r w:rsidR="002F215B" w:rsidRPr="00C27146">
        <w:rPr>
          <w:noProof/>
        </w:rPr>
        <w:t xml:space="preserve"> muestra</w:t>
      </w:r>
      <w:r w:rsidR="002F215B">
        <w:rPr>
          <w:noProof/>
        </w:rPr>
        <w:t>s que</w:t>
      </w:r>
      <w:r w:rsidR="002F215B" w:rsidRPr="00C27146">
        <w:rPr>
          <w:noProof/>
        </w:rPr>
        <w:t xml:space="preserve"> corresponden a familiares de 158 personas desaparecidas, el Equipo Nacional </w:t>
      </w:r>
      <w:r w:rsidR="002F215B">
        <w:rPr>
          <w:noProof/>
        </w:rPr>
        <w:t>de</w:t>
      </w:r>
      <w:r w:rsidR="002F215B" w:rsidRPr="00C27146">
        <w:rPr>
          <w:noProof/>
        </w:rPr>
        <w:t xml:space="preserve"> búsqueda, investigación e identificación de personas detenidas-desaparecidas y ejecutadas extrajudicialmente</w:t>
      </w:r>
      <w:r w:rsidR="002F215B">
        <w:rPr>
          <w:noProof/>
        </w:rPr>
        <w:t xml:space="preserve"> </w:t>
      </w:r>
      <w:r w:rsidR="002F215B" w:rsidRPr="00C27146">
        <w:rPr>
          <w:noProof/>
        </w:rPr>
        <w:t>durante el per</w:t>
      </w:r>
      <w:r w:rsidR="007613EA">
        <w:rPr>
          <w:noProof/>
        </w:rPr>
        <w:t>í</w:t>
      </w:r>
      <w:r w:rsidR="002F215B" w:rsidRPr="00C27146">
        <w:rPr>
          <w:noProof/>
        </w:rPr>
        <w:t xml:space="preserve">odo 1954-1989 (ENABI) y el Equipo Argentino de Antropología Forense (EAAF) presentaron el perfil genético de la población paraguaya, que permite conocer </w:t>
      </w:r>
      <w:r w:rsidR="002F215B" w:rsidRPr="00C27146">
        <w:t>la variabilidad y frecuencias genéticas poblacionales</w:t>
      </w:r>
      <w:r w:rsidR="002F215B" w:rsidRPr="00C27146">
        <w:rPr>
          <w:noProof/>
        </w:rPr>
        <w:t>. Para ello, se han tomado 550 muestras sanguíneas aleatorias de voluntarios de diferentes puntos del país.</w:t>
      </w:r>
    </w:p>
    <w:p w14:paraId="7DA65EC7" w14:textId="5A8C7626" w:rsidR="002F215B" w:rsidRPr="00C27146" w:rsidRDefault="00E344B2" w:rsidP="002F215B">
      <w:pPr>
        <w:pStyle w:val="SingleTxtG"/>
        <w:rPr>
          <w:noProof/>
        </w:rPr>
      </w:pPr>
      <w:r>
        <w:rPr>
          <w:noProof/>
        </w:rPr>
        <w:t>11</w:t>
      </w:r>
      <w:r w:rsidR="002F215B">
        <w:rPr>
          <w:noProof/>
        </w:rPr>
        <w:t xml:space="preserve">. </w:t>
      </w:r>
      <w:r w:rsidR="002F215B">
        <w:rPr>
          <w:noProof/>
        </w:rPr>
        <w:tab/>
      </w:r>
      <w:r w:rsidR="002F215B" w:rsidRPr="00C27146">
        <w:rPr>
          <w:noProof/>
        </w:rPr>
        <w:t>La “Campaña Nacional para la Identificación de Personas Desaparecidas entre 1954 y 1989” prosigue con la búsqueda de familiares y extracción de muestras de sangre para ampliar el Banco de Datos Genéticos y continuar con su comparación con los 37 restos óseos hallados hasta la fecha, y que han dado</w:t>
      </w:r>
      <w:r w:rsidR="002F215B">
        <w:rPr>
          <w:noProof/>
        </w:rPr>
        <w:t xml:space="preserve"> lugar</w:t>
      </w:r>
      <w:r w:rsidR="002F215B" w:rsidRPr="00C27146">
        <w:rPr>
          <w:noProof/>
        </w:rPr>
        <w:t xml:space="preserve"> a las primeras cuatro</w:t>
      </w:r>
      <w:r w:rsidR="002F215B" w:rsidRPr="00C27146">
        <w:rPr>
          <w:noProof/>
          <w:vertAlign w:val="superscript"/>
        </w:rPr>
        <w:footnoteReference w:id="4"/>
      </w:r>
      <w:r w:rsidR="002F215B" w:rsidRPr="00C27146">
        <w:rPr>
          <w:noProof/>
        </w:rPr>
        <w:t xml:space="preserve"> identificaciones en el marco de las causas</w:t>
      </w:r>
      <w:r w:rsidR="002F215B">
        <w:rPr>
          <w:noProof/>
        </w:rPr>
        <w:t xml:space="preserve"> </w:t>
      </w:r>
      <w:r w:rsidR="002F215B" w:rsidRPr="00C27146">
        <w:rPr>
          <w:noProof/>
        </w:rPr>
        <w:t xml:space="preserve">2291/2001 y 5236/2009 “Personas Innominadas s/ desaparición forzosa”. Además, se encuentran bajo análisis restos óseos correspondientes a cinco exhumaciones realizadas entre los años 2010 y 2018. </w:t>
      </w:r>
    </w:p>
    <w:p w14:paraId="6F115DC0" w14:textId="599D6E23" w:rsidR="002F215B" w:rsidRPr="00C27146" w:rsidRDefault="00E344B2" w:rsidP="002F215B">
      <w:pPr>
        <w:pStyle w:val="SingleTxtG"/>
        <w:rPr>
          <w:noProof/>
        </w:rPr>
      </w:pPr>
      <w:r>
        <w:rPr>
          <w:noProof/>
        </w:rPr>
        <w:t>12</w:t>
      </w:r>
      <w:r w:rsidR="002F215B">
        <w:rPr>
          <w:noProof/>
        </w:rPr>
        <w:t xml:space="preserve">. </w:t>
      </w:r>
      <w:r w:rsidR="002F215B">
        <w:rPr>
          <w:noProof/>
        </w:rPr>
        <w:tab/>
      </w:r>
      <w:r w:rsidR="002F215B" w:rsidRPr="00C27146">
        <w:rPr>
          <w:noProof/>
        </w:rPr>
        <w:t xml:space="preserve">A pesar de los desafíos que se enfrentan en materia presupuestaria para avanzar con las excavaciones en una docena de sitios identificados, se han realizado los primeros trabajos de prospección en una zona del departamento de Caaguazú, en torno al caso de diez desaparecidos de la década del 80, con la asistencia del EAAF y geofísicos de la empresa estatal Petróleos Paraguayos (PETROPAR). </w:t>
      </w:r>
    </w:p>
    <w:p w14:paraId="15E6F864" w14:textId="079728DC" w:rsidR="002F215B" w:rsidRPr="00C27146" w:rsidRDefault="00E344B2" w:rsidP="002F215B">
      <w:pPr>
        <w:pStyle w:val="SingleTxtG"/>
        <w:rPr>
          <w:noProof/>
        </w:rPr>
      </w:pPr>
      <w:r>
        <w:rPr>
          <w:noProof/>
        </w:rPr>
        <w:t>13</w:t>
      </w:r>
      <w:r w:rsidR="002F215B">
        <w:rPr>
          <w:noProof/>
        </w:rPr>
        <w:t xml:space="preserve">. </w:t>
      </w:r>
      <w:r w:rsidR="002F215B">
        <w:rPr>
          <w:noProof/>
        </w:rPr>
        <w:tab/>
        <w:t>E</w:t>
      </w:r>
      <w:r w:rsidR="002F215B" w:rsidRPr="00C27146">
        <w:rPr>
          <w:noProof/>
        </w:rPr>
        <w:t xml:space="preserve">stas diligencias se enmarcan en </w:t>
      </w:r>
      <w:r w:rsidR="002F215B">
        <w:rPr>
          <w:noProof/>
        </w:rPr>
        <w:t>investigaciones</w:t>
      </w:r>
      <w:r w:rsidR="002F215B" w:rsidRPr="00C27146">
        <w:rPr>
          <w:noProof/>
        </w:rPr>
        <w:t xml:space="preserve"> desarrollad</w:t>
      </w:r>
      <w:r w:rsidR="002F215B">
        <w:rPr>
          <w:noProof/>
        </w:rPr>
        <w:t>a</w:t>
      </w:r>
      <w:r w:rsidR="002F215B" w:rsidRPr="00C27146">
        <w:rPr>
          <w:noProof/>
        </w:rPr>
        <w:t xml:space="preserve">s </w:t>
      </w:r>
      <w:r w:rsidR="002F215B">
        <w:rPr>
          <w:noProof/>
        </w:rPr>
        <w:t>por</w:t>
      </w:r>
      <w:r w:rsidR="002F215B" w:rsidRPr="00C27146">
        <w:rPr>
          <w:noProof/>
        </w:rPr>
        <w:t xml:space="preserve"> la Unidad Especializada de Derechos Humanos del Ministerio Público, entre </w:t>
      </w:r>
      <w:r w:rsidR="002F215B">
        <w:rPr>
          <w:noProof/>
        </w:rPr>
        <w:t>ellas, la</w:t>
      </w:r>
      <w:r w:rsidR="002F215B" w:rsidRPr="00C27146">
        <w:rPr>
          <w:noProof/>
        </w:rPr>
        <w:t xml:space="preserve"> causa</w:t>
      </w:r>
      <w:r w:rsidR="002F215B">
        <w:rPr>
          <w:noProof/>
        </w:rPr>
        <w:t xml:space="preserve"> </w:t>
      </w:r>
      <w:r w:rsidR="002F215B" w:rsidRPr="00C27146">
        <w:rPr>
          <w:noProof/>
        </w:rPr>
        <w:t>5236/09 “Personas Innominadas s/ Desaparición Forzosa de personas”; causa 2291/2001 “Alfredo Stroessner y otros s/ Desaparición Forzosa de personas y tortura” (“Movimiento 14 de Mayo”); causa</w:t>
      </w:r>
      <w:r w:rsidR="002F215B">
        <w:rPr>
          <w:noProof/>
        </w:rPr>
        <w:t xml:space="preserve"> </w:t>
      </w:r>
      <w:r w:rsidR="002F215B" w:rsidRPr="00C27146">
        <w:rPr>
          <w:noProof/>
        </w:rPr>
        <w:t>13/2015 “Hallazgo de restos óseos en Paso de Patr</w:t>
      </w:r>
      <w:r w:rsidR="002F215B">
        <w:rPr>
          <w:noProof/>
        </w:rPr>
        <w:t xml:space="preserve">ia, Ñeembucú”; </w:t>
      </w:r>
      <w:r w:rsidR="002F215B" w:rsidRPr="00C27146">
        <w:rPr>
          <w:noProof/>
        </w:rPr>
        <w:t>causa</w:t>
      </w:r>
      <w:r w:rsidR="002F215B">
        <w:rPr>
          <w:noProof/>
        </w:rPr>
        <w:t xml:space="preserve"> </w:t>
      </w:r>
      <w:r w:rsidR="002F215B" w:rsidRPr="00C27146">
        <w:rPr>
          <w:noProof/>
        </w:rPr>
        <w:t>80/2014 “Carlos Calcagno y otros s/ Desaparición Forzosa” (desapariciones durante el “Operativo Cóndor”); y causa</w:t>
      </w:r>
      <w:r w:rsidR="002F215B">
        <w:rPr>
          <w:noProof/>
        </w:rPr>
        <w:t xml:space="preserve"> </w:t>
      </w:r>
      <w:r w:rsidR="002F215B" w:rsidRPr="00C27146">
        <w:rPr>
          <w:noProof/>
        </w:rPr>
        <w:t xml:space="preserve">5236/09 “Personas Innominadas s/ Desaparición forzosa”. </w:t>
      </w:r>
    </w:p>
    <w:p w14:paraId="509F1041" w14:textId="4D0721DD" w:rsidR="002F215B" w:rsidRPr="00C27146" w:rsidRDefault="00E344B2" w:rsidP="002F215B">
      <w:pPr>
        <w:pStyle w:val="SingleTxtG"/>
        <w:rPr>
          <w:noProof/>
        </w:rPr>
      </w:pPr>
      <w:r>
        <w:rPr>
          <w:noProof/>
        </w:rPr>
        <w:t>14</w:t>
      </w:r>
      <w:r w:rsidR="002F215B">
        <w:rPr>
          <w:noProof/>
        </w:rPr>
        <w:t xml:space="preserve">. </w:t>
      </w:r>
      <w:r w:rsidR="002F215B">
        <w:rPr>
          <w:noProof/>
        </w:rPr>
        <w:tab/>
      </w:r>
      <w:r w:rsidR="002F215B" w:rsidRPr="00C27146">
        <w:rPr>
          <w:noProof/>
        </w:rPr>
        <w:t xml:space="preserve">Ante el hallazgo de restos óseos en la que fuera propiedad del ex dictador Alfredo Stroessner en Ciudad del Este, en setiembre de 2019, el </w:t>
      </w:r>
      <w:r w:rsidR="002F215B">
        <w:rPr>
          <w:noProof/>
        </w:rPr>
        <w:t>MP</w:t>
      </w:r>
      <w:r w:rsidR="002F215B" w:rsidRPr="00C27146">
        <w:rPr>
          <w:noProof/>
        </w:rPr>
        <w:t xml:space="preserve"> se </w:t>
      </w:r>
      <w:r w:rsidR="002F215B">
        <w:rPr>
          <w:noProof/>
        </w:rPr>
        <w:t xml:space="preserve">constituyó </w:t>
      </w:r>
      <w:r w:rsidR="002F215B" w:rsidRPr="00C27146">
        <w:rPr>
          <w:noProof/>
        </w:rPr>
        <w:t xml:space="preserve">para realizar </w:t>
      </w:r>
      <w:r w:rsidR="002F215B">
        <w:rPr>
          <w:noProof/>
        </w:rPr>
        <w:t xml:space="preserve">excavaciones y colectar </w:t>
      </w:r>
      <w:r w:rsidR="002F215B" w:rsidRPr="00C27146">
        <w:rPr>
          <w:noProof/>
        </w:rPr>
        <w:t xml:space="preserve">evidencias. En la ocasión fueron hallados restos óseos de posibles víctimas de la dictadura, entre ellos </w:t>
      </w:r>
      <w:r w:rsidR="002F215B">
        <w:rPr>
          <w:noProof/>
        </w:rPr>
        <w:t>tres</w:t>
      </w:r>
      <w:r w:rsidR="002F215B" w:rsidRPr="00C27146">
        <w:rPr>
          <w:noProof/>
        </w:rPr>
        <w:t xml:space="preserve"> cráneos, dos fémures y un húmero, así como restos de ropa</w:t>
      </w:r>
      <w:r w:rsidR="002F215B">
        <w:rPr>
          <w:noProof/>
        </w:rPr>
        <w:t xml:space="preserve">, que </w:t>
      </w:r>
      <w:r w:rsidR="002F215B" w:rsidRPr="00C27146">
        <w:rPr>
          <w:noProof/>
        </w:rPr>
        <w:t xml:space="preserve">fueron trasladados hasta la capital para el estudio correspondiente. </w:t>
      </w:r>
    </w:p>
    <w:p w14:paraId="7C225443" w14:textId="25AAFFFE" w:rsidR="002F215B" w:rsidRPr="00C27146" w:rsidRDefault="00E344B2" w:rsidP="002F215B">
      <w:pPr>
        <w:pStyle w:val="SingleTxtG"/>
        <w:rPr>
          <w:noProof/>
        </w:rPr>
      </w:pPr>
      <w:r>
        <w:rPr>
          <w:noProof/>
        </w:rPr>
        <w:t>15</w:t>
      </w:r>
      <w:r w:rsidR="002F215B">
        <w:rPr>
          <w:noProof/>
        </w:rPr>
        <w:t xml:space="preserve">. </w:t>
      </w:r>
      <w:r w:rsidR="002F215B">
        <w:rPr>
          <w:noProof/>
        </w:rPr>
        <w:tab/>
      </w:r>
      <w:r w:rsidR="002F215B" w:rsidRPr="00C27146">
        <w:rPr>
          <w:noProof/>
        </w:rPr>
        <w:t xml:space="preserve">En cuanto a capacidades técnicas, el ENABI recibe asistencia y capacitación del EAAF en materia de Antropología Forense, como parte del fortalecimiento institucional y de capacidades del equipo local. Asimismo, en casos de necesidad, el EAAF brinda apoyo para excavaciones y análisis de perfil biológico de restos óseos exhumados mediante su remisión a las dependencias del EAAF en Argentina, para la extracción de material genético y su consiguiente comparación con la información del Banco de Datos Genéticos. </w:t>
      </w:r>
    </w:p>
    <w:p w14:paraId="56EBFF1D" w14:textId="46F211CE" w:rsidR="002F215B" w:rsidRPr="00775AE0" w:rsidRDefault="002F215B" w:rsidP="00240649">
      <w:pPr>
        <w:pStyle w:val="H1G"/>
        <w:rPr>
          <w:noProof/>
          <w:lang w:val="es-PY"/>
        </w:rPr>
      </w:pPr>
      <w:r>
        <w:rPr>
          <w:noProof/>
          <w:lang w:val="es-PY"/>
        </w:rPr>
        <w:lastRenderedPageBreak/>
        <w:tab/>
      </w:r>
      <w:r>
        <w:rPr>
          <w:noProof/>
          <w:lang w:val="es-PY"/>
        </w:rPr>
        <w:tab/>
      </w:r>
      <w:r w:rsidR="00E647DB" w:rsidRPr="003A5EF4">
        <w:rPr>
          <w:noProof/>
          <w:lang w:val="es-PY"/>
        </w:rPr>
        <w:t xml:space="preserve">Información de seguimiento sobre el párrafo </w:t>
      </w:r>
      <w:r w:rsidR="00E647DB">
        <w:rPr>
          <w:noProof/>
          <w:lang w:val="es-PY"/>
        </w:rPr>
        <w:t>29 a)</w:t>
      </w:r>
      <w:r w:rsidR="00E647DB" w:rsidRPr="003A5EF4">
        <w:rPr>
          <w:noProof/>
          <w:lang w:val="es-PY"/>
        </w:rPr>
        <w:t xml:space="preserve"> de las</w:t>
      </w:r>
      <w:r w:rsidR="00240649">
        <w:rPr>
          <w:noProof/>
          <w:lang w:val="es-PY"/>
        </w:rPr>
        <w:br/>
      </w:r>
      <w:r w:rsidR="00E647DB" w:rsidRPr="003A5EF4">
        <w:rPr>
          <w:noProof/>
          <w:lang w:val="es-PY"/>
        </w:rPr>
        <w:t>observaciones finales</w:t>
      </w:r>
    </w:p>
    <w:p w14:paraId="3BA79AC7" w14:textId="099E72A1" w:rsidR="002F215B" w:rsidRPr="00477843" w:rsidRDefault="00E647DB" w:rsidP="002F215B">
      <w:pPr>
        <w:pStyle w:val="SingleTxtG"/>
        <w:rPr>
          <w:noProof/>
        </w:rPr>
      </w:pPr>
      <w:r>
        <w:rPr>
          <w:noProof/>
        </w:rPr>
        <w:t>16</w:t>
      </w:r>
      <w:r w:rsidR="002F215B">
        <w:rPr>
          <w:noProof/>
        </w:rPr>
        <w:t xml:space="preserve">. </w:t>
      </w:r>
      <w:r w:rsidR="002F215B">
        <w:rPr>
          <w:noProof/>
        </w:rPr>
        <w:tab/>
      </w:r>
      <w:r w:rsidR="002F215B" w:rsidRPr="00477843">
        <w:rPr>
          <w:noProof/>
        </w:rPr>
        <w:t>Conforme a la legislación vigente</w:t>
      </w:r>
      <w:r w:rsidR="002F215B" w:rsidRPr="00477843">
        <w:rPr>
          <w:rStyle w:val="Refdenotaalpie"/>
          <w:noProof/>
        </w:rPr>
        <w:footnoteReference w:id="5"/>
      </w:r>
      <w:r w:rsidR="002F215B" w:rsidRPr="00477843">
        <w:rPr>
          <w:noProof/>
        </w:rPr>
        <w:t xml:space="preserve">, la prisión preventiva constituye un recurso de </w:t>
      </w:r>
      <w:r w:rsidR="002F215B" w:rsidRPr="00477843">
        <w:rPr>
          <w:i/>
          <w:iCs/>
          <w:noProof/>
        </w:rPr>
        <w:t>última ratio</w:t>
      </w:r>
      <w:r w:rsidR="002F215B" w:rsidRPr="00477843">
        <w:rPr>
          <w:noProof/>
        </w:rPr>
        <w:t xml:space="preserve">, además de la posibilidad de que el Juez Penal, de oficio o a petición de parte, aplique medidas anternativas a la prisión preventiva o la sustituya por medidas cautelares menos gravosas, o incluso otorgar la libertad, a través del proceso de revisión de medidas cautelares (artículos 245 y 250 del Código Procesal Penal). </w:t>
      </w:r>
    </w:p>
    <w:p w14:paraId="46F74073" w14:textId="1EA04A54" w:rsidR="002F215B" w:rsidRPr="001E69D5" w:rsidRDefault="00E647DB" w:rsidP="002F215B">
      <w:pPr>
        <w:pStyle w:val="SingleTxtG"/>
        <w:rPr>
          <w:noProof/>
        </w:rPr>
      </w:pPr>
      <w:r>
        <w:rPr>
          <w:noProof/>
        </w:rPr>
        <w:t>17</w:t>
      </w:r>
      <w:r w:rsidR="002F215B">
        <w:rPr>
          <w:noProof/>
        </w:rPr>
        <w:t xml:space="preserve">. </w:t>
      </w:r>
      <w:r w:rsidR="002F215B">
        <w:rPr>
          <w:noProof/>
        </w:rPr>
        <w:tab/>
      </w:r>
      <w:r w:rsidR="002F215B" w:rsidRPr="00477843">
        <w:rPr>
          <w:noProof/>
        </w:rPr>
        <w:t xml:space="preserve">No obstante, a partir de la vigencia de la Ley 4431/11, </w:t>
      </w:r>
      <w:r w:rsidR="002F215B">
        <w:rPr>
          <w:noProof/>
        </w:rPr>
        <w:t xml:space="preserve">se </w:t>
      </w:r>
      <w:r w:rsidR="002F215B" w:rsidRPr="00477843">
        <w:rPr>
          <w:noProof/>
        </w:rPr>
        <w:t>limit</w:t>
      </w:r>
      <w:r w:rsidR="002F215B">
        <w:rPr>
          <w:noProof/>
        </w:rPr>
        <w:t xml:space="preserve">ó </w:t>
      </w:r>
      <w:r w:rsidR="002F215B" w:rsidRPr="00477843">
        <w:rPr>
          <w:noProof/>
        </w:rPr>
        <w:t xml:space="preserve">la posibilidad de </w:t>
      </w:r>
      <w:r w:rsidR="002F215B" w:rsidRPr="001E69D5">
        <w:rPr>
          <w:noProof/>
        </w:rPr>
        <w:t>otorgar medidas alternativas o de modificar la prisión preventiva por una sustitutiva, en determinados casos, lo que provocó un incremento exponencial de la población penitenciaria. Ante esta circunstancia, equipo inter poderes impulsó la promulgación de la Ley 6350/19</w:t>
      </w:r>
      <w:r w:rsidR="002F215B" w:rsidRPr="00FF1D8B">
        <w:rPr>
          <w:noProof/>
          <w:vertAlign w:val="superscript"/>
        </w:rPr>
        <w:footnoteReference w:id="6"/>
      </w:r>
      <w:r w:rsidR="002F215B" w:rsidRPr="001E69D5">
        <w:rPr>
          <w:noProof/>
        </w:rPr>
        <w:t>, que derogó la Ley 4431/11. Además, se encuentra en estudio el proyecto de ley “Que establece el procedimiento especial de levantamiento de prisión preventiva por cumplimiento del plazo establecido en el artículo 19 de la Constitución”</w:t>
      </w:r>
      <w:r w:rsidR="002F215B" w:rsidRPr="00FF1D8B">
        <w:rPr>
          <w:noProof/>
          <w:vertAlign w:val="superscript"/>
        </w:rPr>
        <w:footnoteReference w:id="7"/>
      </w:r>
      <w:r w:rsidR="002F215B" w:rsidRPr="001E69D5">
        <w:rPr>
          <w:noProof/>
        </w:rPr>
        <w:t xml:space="preserve"> (Expediente S-177505)</w:t>
      </w:r>
      <w:r w:rsidR="002F215B" w:rsidRPr="00FF1D8B">
        <w:rPr>
          <w:noProof/>
          <w:vertAlign w:val="superscript"/>
        </w:rPr>
        <w:footnoteReference w:id="8"/>
      </w:r>
      <w:r w:rsidR="002F215B" w:rsidRPr="001E69D5">
        <w:rPr>
          <w:noProof/>
        </w:rPr>
        <w:t>.</w:t>
      </w:r>
    </w:p>
    <w:p w14:paraId="6C721883" w14:textId="06504911" w:rsidR="002F215B" w:rsidRPr="009E5EA0" w:rsidRDefault="00E647DB" w:rsidP="002F215B">
      <w:pPr>
        <w:pStyle w:val="SingleTxtG"/>
        <w:rPr>
          <w:noProof/>
        </w:rPr>
      </w:pPr>
      <w:r>
        <w:rPr>
          <w:noProof/>
        </w:rPr>
        <w:t>18</w:t>
      </w:r>
      <w:r w:rsidR="002F215B">
        <w:rPr>
          <w:noProof/>
        </w:rPr>
        <w:t xml:space="preserve">. </w:t>
      </w:r>
      <w:r w:rsidR="002F215B">
        <w:rPr>
          <w:noProof/>
        </w:rPr>
        <w:tab/>
        <w:t>E</w:t>
      </w:r>
      <w:r w:rsidR="002F215B" w:rsidRPr="009E5EA0">
        <w:rPr>
          <w:noProof/>
        </w:rPr>
        <w:t xml:space="preserve">l Ministerio de </w:t>
      </w:r>
      <w:r w:rsidR="002F215B">
        <w:rPr>
          <w:noProof/>
        </w:rPr>
        <w:t xml:space="preserve">Justicia (MJ) impulsó la suscripción, en diciembre de 2021, de un </w:t>
      </w:r>
      <w:r w:rsidR="002F215B" w:rsidRPr="003314B7">
        <w:rPr>
          <w:noProof/>
        </w:rPr>
        <w:t>Acuerdo de Cooperación para la conformación de</w:t>
      </w:r>
      <w:r w:rsidR="002F215B">
        <w:rPr>
          <w:noProof/>
        </w:rPr>
        <w:t xml:space="preserve"> un </w:t>
      </w:r>
      <w:r w:rsidR="002F215B" w:rsidRPr="003314B7">
        <w:rPr>
          <w:noProof/>
        </w:rPr>
        <w:t xml:space="preserve">Comité para la Aplicación de Medidas Alternativas a la privación de libertad, </w:t>
      </w:r>
      <w:r w:rsidR="002F215B">
        <w:rPr>
          <w:noProof/>
        </w:rPr>
        <w:t>con</w:t>
      </w:r>
      <w:r w:rsidR="002F215B" w:rsidRPr="003314B7">
        <w:rPr>
          <w:noProof/>
        </w:rPr>
        <w:t xml:space="preserve"> las máximas autoridades de la Corte Suprema de Justicia</w:t>
      </w:r>
      <w:r w:rsidR="002F215B">
        <w:rPr>
          <w:noProof/>
        </w:rPr>
        <w:t xml:space="preserve"> (CSJ)</w:t>
      </w:r>
      <w:r w:rsidR="002F215B" w:rsidRPr="003314B7">
        <w:rPr>
          <w:noProof/>
        </w:rPr>
        <w:t>, del Ministerio Público</w:t>
      </w:r>
      <w:r w:rsidR="002F215B">
        <w:rPr>
          <w:noProof/>
        </w:rPr>
        <w:t xml:space="preserve"> (MP)</w:t>
      </w:r>
      <w:r w:rsidR="002F215B" w:rsidRPr="003314B7">
        <w:rPr>
          <w:noProof/>
        </w:rPr>
        <w:t>, del Ministerio de la Defensa Pública</w:t>
      </w:r>
      <w:r w:rsidR="002F215B">
        <w:rPr>
          <w:noProof/>
        </w:rPr>
        <w:t xml:space="preserve"> (MDP).</w:t>
      </w:r>
    </w:p>
    <w:p w14:paraId="1325215E" w14:textId="510FCEC4" w:rsidR="002F215B" w:rsidRPr="009E5EA0" w:rsidRDefault="00E647DB" w:rsidP="002F215B">
      <w:pPr>
        <w:pStyle w:val="SingleTxtG"/>
        <w:rPr>
          <w:noProof/>
        </w:rPr>
      </w:pPr>
      <w:r>
        <w:rPr>
          <w:noProof/>
        </w:rPr>
        <w:t>19</w:t>
      </w:r>
      <w:r w:rsidR="002F215B">
        <w:rPr>
          <w:noProof/>
        </w:rPr>
        <w:t xml:space="preserve">. </w:t>
      </w:r>
      <w:r w:rsidR="002F215B">
        <w:rPr>
          <w:noProof/>
        </w:rPr>
        <w:tab/>
        <w:t>Por su parte, en</w:t>
      </w:r>
      <w:r w:rsidR="002F215B" w:rsidRPr="009E5EA0">
        <w:rPr>
          <w:noProof/>
        </w:rPr>
        <w:t xml:space="preserve"> 2021, la C</w:t>
      </w:r>
      <w:r w:rsidR="002F215B">
        <w:rPr>
          <w:noProof/>
        </w:rPr>
        <w:t xml:space="preserve">SJ </w:t>
      </w:r>
      <w:r w:rsidR="002F215B" w:rsidRPr="009E5EA0">
        <w:rPr>
          <w:noProof/>
        </w:rPr>
        <w:t xml:space="preserve">emitió </w:t>
      </w:r>
      <w:r w:rsidR="002F215B" w:rsidRPr="00D651DC">
        <w:rPr>
          <w:noProof/>
        </w:rPr>
        <w:t>la Acordada</w:t>
      </w:r>
      <w:r w:rsidR="002F215B">
        <w:rPr>
          <w:noProof/>
        </w:rPr>
        <w:t xml:space="preserve"> </w:t>
      </w:r>
      <w:r w:rsidR="002F215B" w:rsidRPr="00D651DC">
        <w:rPr>
          <w:noProof/>
        </w:rPr>
        <w:t>1511</w:t>
      </w:r>
      <w:r w:rsidR="002F215B">
        <w:rPr>
          <w:rStyle w:val="Refdenotaalpie"/>
          <w:noProof/>
          <w:color w:val="000000" w:themeColor="text1"/>
        </w:rPr>
        <w:footnoteReference w:id="9"/>
      </w:r>
      <w:r w:rsidR="002F215B">
        <w:rPr>
          <w:noProof/>
        </w:rPr>
        <w:t xml:space="preserve"> </w:t>
      </w:r>
      <w:r w:rsidR="002F215B" w:rsidRPr="00D651DC">
        <w:rPr>
          <w:noProof/>
        </w:rPr>
        <w:t>por l</w:t>
      </w:r>
      <w:r w:rsidR="002F215B">
        <w:rPr>
          <w:noProof/>
        </w:rPr>
        <w:t>a que, partiendo del principio de aplicación excepcional de</w:t>
      </w:r>
      <w:r w:rsidR="002F215B" w:rsidRPr="00D651DC">
        <w:rPr>
          <w:noProof/>
        </w:rPr>
        <w:t xml:space="preserve"> la prisión preventiva</w:t>
      </w:r>
      <w:r w:rsidR="002F215B">
        <w:rPr>
          <w:noProof/>
        </w:rPr>
        <w:t xml:space="preserve">, </w:t>
      </w:r>
      <w:r w:rsidR="002F215B" w:rsidRPr="00D651DC">
        <w:rPr>
          <w:noProof/>
        </w:rPr>
        <w:t>proporciona</w:t>
      </w:r>
      <w:r w:rsidR="002F215B">
        <w:rPr>
          <w:noProof/>
        </w:rPr>
        <w:t xml:space="preserve"> </w:t>
      </w:r>
      <w:r w:rsidR="002F215B" w:rsidRPr="00D651DC">
        <w:rPr>
          <w:noProof/>
        </w:rPr>
        <w:t>una guía para el efecto y prom</w:t>
      </w:r>
      <w:r w:rsidR="002F215B">
        <w:rPr>
          <w:noProof/>
        </w:rPr>
        <w:t>ueve la aplicación</w:t>
      </w:r>
      <w:r w:rsidR="002F215B" w:rsidRPr="00D651DC">
        <w:rPr>
          <w:noProof/>
        </w:rPr>
        <w:t xml:space="preserve"> de la revisión de oficio de las medidas cautelares</w:t>
      </w:r>
      <w:r w:rsidR="002F215B" w:rsidRPr="009E5EA0">
        <w:rPr>
          <w:noProof/>
        </w:rPr>
        <w:t xml:space="preserve"> como instrumento para la descongestión penitenciaria. </w:t>
      </w:r>
    </w:p>
    <w:p w14:paraId="7E22BAD4" w14:textId="667C1AE1" w:rsidR="002F215B" w:rsidRPr="00E67576" w:rsidRDefault="00E647DB" w:rsidP="002F215B">
      <w:pPr>
        <w:pStyle w:val="SingleTxtG"/>
        <w:rPr>
          <w:noProof/>
        </w:rPr>
      </w:pPr>
      <w:r>
        <w:rPr>
          <w:noProof/>
        </w:rPr>
        <w:t>20</w:t>
      </w:r>
      <w:r w:rsidR="002F215B">
        <w:rPr>
          <w:noProof/>
        </w:rPr>
        <w:t xml:space="preserve">. </w:t>
      </w:r>
      <w:r w:rsidR="002F215B">
        <w:rPr>
          <w:noProof/>
        </w:rPr>
        <w:tab/>
      </w:r>
      <w:r w:rsidR="002F215B" w:rsidRPr="00E67576">
        <w:rPr>
          <w:noProof/>
        </w:rPr>
        <w:t>La Ley</w:t>
      </w:r>
      <w:r w:rsidR="002F215B">
        <w:rPr>
          <w:noProof/>
        </w:rPr>
        <w:t xml:space="preserve"> </w:t>
      </w:r>
      <w:r w:rsidR="002F215B" w:rsidRPr="00E67576">
        <w:rPr>
          <w:noProof/>
        </w:rPr>
        <w:t>5863/17</w:t>
      </w:r>
      <w:r w:rsidR="002F215B">
        <w:rPr>
          <w:noProof/>
        </w:rPr>
        <w:t xml:space="preserve"> </w:t>
      </w:r>
      <w:r w:rsidR="002F215B" w:rsidRPr="00E67576">
        <w:rPr>
          <w:noProof/>
        </w:rPr>
        <w:t>“Que Establece la Implementación del Dispositivo Electrónico o de Control”</w:t>
      </w:r>
      <w:r w:rsidR="002F215B" w:rsidRPr="00E67576">
        <w:rPr>
          <w:noProof/>
          <w:vertAlign w:val="superscript"/>
        </w:rPr>
        <w:footnoteReference w:id="10"/>
      </w:r>
      <w:r w:rsidR="002F215B" w:rsidRPr="00E67576">
        <w:rPr>
          <w:i/>
          <w:iCs/>
          <w:noProof/>
        </w:rPr>
        <w:t xml:space="preserve"> </w:t>
      </w:r>
      <w:r w:rsidR="002F215B" w:rsidRPr="00E67576">
        <w:rPr>
          <w:noProof/>
        </w:rPr>
        <w:t>como pulseras, tobilleras u otro medio idóneo similar, fue modificada mediante Ley</w:t>
      </w:r>
      <w:r w:rsidR="007011EE">
        <w:rPr>
          <w:noProof/>
        </w:rPr>
        <w:t xml:space="preserve"> </w:t>
      </w:r>
      <w:r w:rsidR="002F215B" w:rsidRPr="00E67576">
        <w:rPr>
          <w:noProof/>
        </w:rPr>
        <w:t>6345/19</w:t>
      </w:r>
      <w:r w:rsidR="002F215B" w:rsidRPr="007011EE">
        <w:rPr>
          <w:noProof/>
          <w:vertAlign w:val="superscript"/>
        </w:rPr>
        <w:footnoteReference w:id="11"/>
      </w:r>
      <w:r w:rsidR="002F215B" w:rsidRPr="00E67576">
        <w:rPr>
          <w:noProof/>
        </w:rPr>
        <w:t>, a fin de encargar su reglamentación e implementación al Poder Ejecutivo, ante la falta de competencia del P</w:t>
      </w:r>
      <w:r w:rsidR="002F215B">
        <w:rPr>
          <w:noProof/>
        </w:rPr>
        <w:t xml:space="preserve">J </w:t>
      </w:r>
      <w:r w:rsidR="002F215B" w:rsidRPr="00E67576">
        <w:rPr>
          <w:noProof/>
        </w:rPr>
        <w:t xml:space="preserve">para el efecto. </w:t>
      </w:r>
    </w:p>
    <w:p w14:paraId="114C9B2E" w14:textId="4220163C" w:rsidR="002F215B" w:rsidRPr="00E67576" w:rsidRDefault="00E647DB" w:rsidP="002F215B">
      <w:pPr>
        <w:pStyle w:val="SingleTxtG"/>
        <w:rPr>
          <w:noProof/>
        </w:rPr>
      </w:pPr>
      <w:r>
        <w:rPr>
          <w:noProof/>
        </w:rPr>
        <w:t>21</w:t>
      </w:r>
      <w:r w:rsidR="002F215B">
        <w:rPr>
          <w:noProof/>
        </w:rPr>
        <w:t xml:space="preserve">. </w:t>
      </w:r>
      <w:r w:rsidR="002F215B">
        <w:rPr>
          <w:noProof/>
        </w:rPr>
        <w:tab/>
      </w:r>
      <w:r w:rsidR="002F215B" w:rsidRPr="00E67576">
        <w:rPr>
          <w:noProof/>
        </w:rPr>
        <w:t xml:space="preserve">El proceso de reglamentación </w:t>
      </w:r>
      <w:r w:rsidR="002F215B">
        <w:rPr>
          <w:noProof/>
        </w:rPr>
        <w:t>es</w:t>
      </w:r>
      <w:r w:rsidR="002F215B" w:rsidRPr="00E67576">
        <w:rPr>
          <w:noProof/>
        </w:rPr>
        <w:t xml:space="preserve"> impulsado por el Ministerio del Interior (MDI), que en marzo de 2023 convocó a una reunión de trabajo a fin de avanzar en la implementación de la Ley en coordinación con la CSJ, el MP y el MJ, cuyas máximas autoridades participaron del encuentro, </w:t>
      </w:r>
      <w:r w:rsidR="002F215B">
        <w:rPr>
          <w:noProof/>
        </w:rPr>
        <w:t>el cual</w:t>
      </w:r>
      <w:r w:rsidR="002F215B" w:rsidRPr="00E67576">
        <w:rPr>
          <w:noProof/>
        </w:rPr>
        <w:t xml:space="preserve"> contó además con la presencia del </w:t>
      </w:r>
      <w:r w:rsidR="002F215B">
        <w:rPr>
          <w:noProof/>
        </w:rPr>
        <w:t>M</w:t>
      </w:r>
      <w:r w:rsidR="002F215B" w:rsidRPr="00E67576">
        <w:rPr>
          <w:noProof/>
        </w:rPr>
        <w:t xml:space="preserve">inistro de Tecnologías de la Información y Comunicación, el </w:t>
      </w:r>
      <w:r w:rsidR="002F215B">
        <w:rPr>
          <w:noProof/>
        </w:rPr>
        <w:t>C</w:t>
      </w:r>
      <w:r w:rsidR="002F215B" w:rsidRPr="00E67576">
        <w:rPr>
          <w:noProof/>
        </w:rPr>
        <w:t>omandante y otras autoridades de la Policía Nacional</w:t>
      </w:r>
      <w:r w:rsidR="002F215B">
        <w:rPr>
          <w:noProof/>
        </w:rPr>
        <w:t xml:space="preserve"> (PN)</w:t>
      </w:r>
      <w:r w:rsidR="002F215B" w:rsidRPr="00E67576">
        <w:rPr>
          <w:noProof/>
        </w:rPr>
        <w:t>, así como representantes de la Dirección Nacional de Contrataciones Públicas.</w:t>
      </w:r>
    </w:p>
    <w:p w14:paraId="42E9FC3E" w14:textId="6401D63C" w:rsidR="002F215B" w:rsidRDefault="00E64C5F" w:rsidP="002F215B">
      <w:pPr>
        <w:pStyle w:val="SingleTxtG"/>
        <w:rPr>
          <w:noProof/>
        </w:rPr>
      </w:pPr>
      <w:r>
        <w:rPr>
          <w:noProof/>
        </w:rPr>
        <w:t>22</w:t>
      </w:r>
      <w:r w:rsidR="002F215B">
        <w:rPr>
          <w:noProof/>
        </w:rPr>
        <w:t xml:space="preserve">. </w:t>
      </w:r>
      <w:r w:rsidR="002F215B">
        <w:rPr>
          <w:noProof/>
        </w:rPr>
        <w:tab/>
      </w:r>
      <w:r w:rsidR="002F215B" w:rsidRPr="00E67576">
        <w:rPr>
          <w:noProof/>
        </w:rPr>
        <w:t>Como muestra de la voluntad del Estado de avanzar decididamente con la implementación de la Ley, quedó conformada una mesa interinstitucional que se ocupará de examinar las diversas alternativas</w:t>
      </w:r>
      <w:r w:rsidR="002F215B">
        <w:rPr>
          <w:noProof/>
        </w:rPr>
        <w:t>,</w:t>
      </w:r>
      <w:r w:rsidR="002F215B" w:rsidRPr="00E67576">
        <w:rPr>
          <w:noProof/>
        </w:rPr>
        <w:t xml:space="preserve"> con base en las posibilidades reales, así como los ajustes necesarios, las cuestiones legales, el mecanismo de control y los aspectos administrativos presupuestarios. </w:t>
      </w:r>
    </w:p>
    <w:p w14:paraId="0743BCD7" w14:textId="35849EDA" w:rsidR="002F215B" w:rsidRDefault="00E64C5F" w:rsidP="002F215B">
      <w:pPr>
        <w:pStyle w:val="SingleTxtG"/>
        <w:rPr>
          <w:noProof/>
        </w:rPr>
      </w:pPr>
      <w:r>
        <w:rPr>
          <w:noProof/>
        </w:rPr>
        <w:t>23</w:t>
      </w:r>
      <w:r w:rsidR="002F215B">
        <w:rPr>
          <w:noProof/>
        </w:rPr>
        <w:t xml:space="preserve">. </w:t>
      </w:r>
      <w:r w:rsidR="002F215B">
        <w:rPr>
          <w:noProof/>
        </w:rPr>
        <w:tab/>
        <w:t>Por otro lado, la implementación de</w:t>
      </w:r>
      <w:r w:rsidR="002F215B" w:rsidRPr="004F5127">
        <w:rPr>
          <w:noProof/>
        </w:rPr>
        <w:t>l Programa de Justicia Juvenil Restaurativa</w:t>
      </w:r>
      <w:r w:rsidR="002F215B">
        <w:rPr>
          <w:noProof/>
        </w:rPr>
        <w:t xml:space="preserve"> </w:t>
      </w:r>
      <w:r w:rsidR="002F215B" w:rsidRPr="004F5127">
        <w:rPr>
          <w:noProof/>
        </w:rPr>
        <w:t>que</w:t>
      </w:r>
      <w:r w:rsidR="002F215B">
        <w:rPr>
          <w:noProof/>
        </w:rPr>
        <w:t>,</w:t>
      </w:r>
      <w:r w:rsidR="002F215B" w:rsidRPr="004F5127">
        <w:rPr>
          <w:noProof/>
        </w:rPr>
        <w:t xml:space="preserve"> en línea con </w:t>
      </w:r>
      <w:r w:rsidR="002F215B">
        <w:rPr>
          <w:noProof/>
        </w:rPr>
        <w:t xml:space="preserve">el </w:t>
      </w:r>
      <w:r w:rsidR="002F215B" w:rsidRPr="004F5127">
        <w:rPr>
          <w:noProof/>
        </w:rPr>
        <w:t>Código de la Niñez y la Adolescencia</w:t>
      </w:r>
      <w:r w:rsidR="002F215B">
        <w:rPr>
          <w:noProof/>
        </w:rPr>
        <w:t>,</w:t>
      </w:r>
      <w:r w:rsidR="002F215B" w:rsidRPr="004F5127">
        <w:rPr>
          <w:noProof/>
        </w:rPr>
        <w:t xml:space="preserve"> busca vigilar el procedimiento penal y optimizar la aplicación de la prisión preventiva como medida de último recurso y potenciar </w:t>
      </w:r>
      <w:r w:rsidR="002F215B" w:rsidRPr="004F5127">
        <w:rPr>
          <w:noProof/>
        </w:rPr>
        <w:lastRenderedPageBreak/>
        <w:t>en su lugar medidas socioeducativas ha permitido disminuir la cantidad de adolescentes privados de libertad en el Paraguay.</w:t>
      </w:r>
    </w:p>
    <w:p w14:paraId="21DAC393" w14:textId="3BCEEFFB" w:rsidR="002F215B" w:rsidRPr="00641932" w:rsidRDefault="00E64C5F" w:rsidP="002F215B">
      <w:pPr>
        <w:pStyle w:val="SingleTxtG"/>
        <w:rPr>
          <w:noProof/>
        </w:rPr>
      </w:pPr>
      <w:r>
        <w:rPr>
          <w:noProof/>
        </w:rPr>
        <w:t>24</w:t>
      </w:r>
      <w:r w:rsidR="002F215B">
        <w:rPr>
          <w:noProof/>
        </w:rPr>
        <w:t xml:space="preserve">. </w:t>
      </w:r>
      <w:r w:rsidR="002F215B">
        <w:rPr>
          <w:noProof/>
        </w:rPr>
        <w:tab/>
      </w:r>
      <w:r w:rsidR="002F215B" w:rsidRPr="00E96020">
        <w:rPr>
          <w:noProof/>
        </w:rPr>
        <w:t>El proyecto “</w:t>
      </w:r>
      <w:r w:rsidR="002F215B" w:rsidRPr="004344F5">
        <w:rPr>
          <w:noProof/>
        </w:rPr>
        <w:t>F</w:t>
      </w:r>
      <w:r w:rsidR="002F215B" w:rsidRPr="00E96020">
        <w:rPr>
          <w:noProof/>
        </w:rPr>
        <w:t>ortalecimiento del Enfoque Restaurativo en los procesos de Responsabilidad Penal de Adolescentes”</w:t>
      </w:r>
      <w:r w:rsidR="002F215B">
        <w:rPr>
          <w:noProof/>
        </w:rPr>
        <w:t xml:space="preserve"> fue implementado en su </w:t>
      </w:r>
      <w:r w:rsidR="002F215B" w:rsidRPr="00E96020">
        <w:rPr>
          <w:noProof/>
        </w:rPr>
        <w:t xml:space="preserve">primera fase </w:t>
      </w:r>
      <w:r w:rsidR="002F215B">
        <w:rPr>
          <w:noProof/>
        </w:rPr>
        <w:t>entre</w:t>
      </w:r>
      <w:r w:rsidR="002F215B" w:rsidRPr="00E96020">
        <w:rPr>
          <w:noProof/>
        </w:rPr>
        <w:t xml:space="preserve"> 2019 </w:t>
      </w:r>
      <w:r w:rsidR="002F215B">
        <w:rPr>
          <w:noProof/>
        </w:rPr>
        <w:t>y</w:t>
      </w:r>
      <w:r w:rsidR="002F215B" w:rsidRPr="00E96020">
        <w:rPr>
          <w:noProof/>
        </w:rPr>
        <w:t xml:space="preserve"> 2021</w:t>
      </w:r>
      <w:r w:rsidR="002F215B">
        <w:rPr>
          <w:noProof/>
        </w:rPr>
        <w:t xml:space="preserve">, encontrándose actualmente en su segunda fase, con un alcance a </w:t>
      </w:r>
      <w:r w:rsidR="002F215B" w:rsidRPr="00E96020">
        <w:rPr>
          <w:noProof/>
        </w:rPr>
        <w:t xml:space="preserve">8 </w:t>
      </w:r>
      <w:r w:rsidR="002F215B" w:rsidRPr="00641932">
        <w:rPr>
          <w:noProof/>
        </w:rPr>
        <w:t>Centros E</w:t>
      </w:r>
      <w:r w:rsidR="002F215B" w:rsidRPr="00E96020">
        <w:rPr>
          <w:noProof/>
        </w:rPr>
        <w:t>ducativos</w:t>
      </w:r>
      <w:r w:rsidR="002F215B" w:rsidRPr="00641932">
        <w:rPr>
          <w:noProof/>
        </w:rPr>
        <w:t>. De acuerdo con datos de</w:t>
      </w:r>
      <w:r w:rsidR="002F215B" w:rsidRPr="00E96020">
        <w:rPr>
          <w:noProof/>
        </w:rPr>
        <w:t>l Servicio Nacional de Atención al Adolescente Infractor (SENAAI) del M</w:t>
      </w:r>
      <w:r w:rsidR="002F215B" w:rsidRPr="00641932">
        <w:rPr>
          <w:noProof/>
        </w:rPr>
        <w:t xml:space="preserve">J, </w:t>
      </w:r>
      <w:r w:rsidR="002F215B" w:rsidRPr="00E96020">
        <w:rPr>
          <w:noProof/>
        </w:rPr>
        <w:t xml:space="preserve">la cantidad de adolescentes atendidos </w:t>
      </w:r>
      <w:r w:rsidR="002F215B" w:rsidRPr="00641932">
        <w:rPr>
          <w:noProof/>
        </w:rPr>
        <w:t>en 2019 fue 1.030;</w:t>
      </w:r>
      <w:r w:rsidR="002F215B" w:rsidRPr="00E96020">
        <w:rPr>
          <w:noProof/>
        </w:rPr>
        <w:t xml:space="preserve"> en 2020 </w:t>
      </w:r>
      <w:r w:rsidR="002F215B" w:rsidRPr="00641932">
        <w:rPr>
          <w:noProof/>
        </w:rPr>
        <w:t xml:space="preserve">se redujo a 626; </w:t>
      </w:r>
      <w:r w:rsidR="002F215B" w:rsidRPr="00E96020">
        <w:rPr>
          <w:noProof/>
        </w:rPr>
        <w:t>en 2021 alcanzó 780</w:t>
      </w:r>
      <w:r w:rsidR="002F215B" w:rsidRPr="00641932">
        <w:rPr>
          <w:noProof/>
        </w:rPr>
        <w:t xml:space="preserve">, para volver a descender a 561 </w:t>
      </w:r>
      <w:r w:rsidR="002F215B" w:rsidRPr="00E96020">
        <w:rPr>
          <w:noProof/>
        </w:rPr>
        <w:t>en 2022.</w:t>
      </w:r>
      <w:r w:rsidR="007011EE">
        <w:rPr>
          <w:noProof/>
        </w:rPr>
        <w:t xml:space="preserve"> </w:t>
      </w:r>
    </w:p>
    <w:p w14:paraId="36388756" w14:textId="05AF08BA" w:rsidR="002F215B" w:rsidRPr="00151DBC" w:rsidRDefault="00E64C5F" w:rsidP="002F215B">
      <w:pPr>
        <w:pStyle w:val="SingleTxtG"/>
        <w:rPr>
          <w:noProof/>
        </w:rPr>
      </w:pPr>
      <w:r>
        <w:rPr>
          <w:noProof/>
        </w:rPr>
        <w:t>25</w:t>
      </w:r>
      <w:r w:rsidR="002F215B">
        <w:rPr>
          <w:noProof/>
        </w:rPr>
        <w:t xml:space="preserve">. </w:t>
      </w:r>
      <w:r w:rsidR="002F215B">
        <w:rPr>
          <w:noProof/>
        </w:rPr>
        <w:tab/>
      </w:r>
      <w:r w:rsidR="002F215B" w:rsidRPr="00E96020">
        <w:rPr>
          <w:noProof/>
        </w:rPr>
        <w:t xml:space="preserve">Mediante </w:t>
      </w:r>
      <w:r w:rsidR="002F215B" w:rsidRPr="00151DBC">
        <w:rPr>
          <w:noProof/>
        </w:rPr>
        <w:t>esta</w:t>
      </w:r>
      <w:r w:rsidR="002F215B" w:rsidRPr="00E96020">
        <w:rPr>
          <w:noProof/>
        </w:rPr>
        <w:t xml:space="preserve"> iniciativa de fortalecimiento del enfoque restaurativo</w:t>
      </w:r>
      <w:r w:rsidR="002F215B">
        <w:rPr>
          <w:noProof/>
        </w:rPr>
        <w:t xml:space="preserve"> se han desarrollado </w:t>
      </w:r>
      <w:r w:rsidR="002F215B" w:rsidRPr="00E96020">
        <w:rPr>
          <w:noProof/>
        </w:rPr>
        <w:t xml:space="preserve">protocolos de medidas privativas y no privativas de libertad y </w:t>
      </w:r>
      <w:r w:rsidR="002F215B">
        <w:rPr>
          <w:noProof/>
        </w:rPr>
        <w:t>un</w:t>
      </w:r>
      <w:r w:rsidR="002F215B" w:rsidRPr="00E96020">
        <w:rPr>
          <w:noProof/>
        </w:rPr>
        <w:t xml:space="preserve"> modelo de atenció</w:t>
      </w:r>
      <w:r w:rsidR="002F215B">
        <w:rPr>
          <w:noProof/>
        </w:rPr>
        <w:t xml:space="preserve">n educativo para adolescentes, a través del </w:t>
      </w:r>
      <w:r w:rsidR="002F215B" w:rsidRPr="00E96020">
        <w:rPr>
          <w:noProof/>
        </w:rPr>
        <w:t xml:space="preserve">trabajo coordinado </w:t>
      </w:r>
      <w:r w:rsidR="002F215B" w:rsidRPr="00151DBC">
        <w:rPr>
          <w:noProof/>
        </w:rPr>
        <w:t>entre todos los</w:t>
      </w:r>
      <w:r w:rsidR="002F215B" w:rsidRPr="00E96020">
        <w:rPr>
          <w:noProof/>
        </w:rPr>
        <w:t xml:space="preserve"> actores del </w:t>
      </w:r>
      <w:r w:rsidR="002F215B" w:rsidRPr="00151DBC">
        <w:rPr>
          <w:noProof/>
        </w:rPr>
        <w:t>sistema de j</w:t>
      </w:r>
      <w:r w:rsidR="002F215B" w:rsidRPr="00E96020">
        <w:rPr>
          <w:noProof/>
        </w:rPr>
        <w:t xml:space="preserve">usticia </w:t>
      </w:r>
      <w:r w:rsidR="002F215B" w:rsidRPr="00151DBC">
        <w:rPr>
          <w:noProof/>
        </w:rPr>
        <w:t>p</w:t>
      </w:r>
      <w:r w:rsidR="002F215B" w:rsidRPr="00E96020">
        <w:rPr>
          <w:noProof/>
        </w:rPr>
        <w:t xml:space="preserve">enal </w:t>
      </w:r>
      <w:r w:rsidR="002F215B" w:rsidRPr="00151DBC">
        <w:rPr>
          <w:noProof/>
        </w:rPr>
        <w:t xml:space="preserve">juvenil: CSJ, MP, MDP y MJ, entre los que se constituyó </w:t>
      </w:r>
      <w:r w:rsidR="002F215B" w:rsidRPr="00E96020">
        <w:rPr>
          <w:noProof/>
        </w:rPr>
        <w:t>la Mesa Interinstitucional de Justicia Restaurativa Juvenil.</w:t>
      </w:r>
    </w:p>
    <w:p w14:paraId="4BDDE6CD" w14:textId="10093A21" w:rsidR="002F215B" w:rsidRPr="00945431" w:rsidRDefault="002F215B" w:rsidP="00240649">
      <w:pPr>
        <w:pStyle w:val="H1G"/>
        <w:rPr>
          <w:noProof/>
          <w:lang w:val="es-PY"/>
        </w:rPr>
      </w:pPr>
      <w:r>
        <w:rPr>
          <w:iCs/>
          <w:noProof/>
          <w:lang w:val="es-PY"/>
        </w:rPr>
        <w:tab/>
      </w:r>
      <w:r>
        <w:rPr>
          <w:iCs/>
          <w:noProof/>
          <w:lang w:val="es-PY"/>
        </w:rPr>
        <w:tab/>
      </w:r>
      <w:r w:rsidR="00E64C5F" w:rsidRPr="003A5EF4">
        <w:rPr>
          <w:noProof/>
          <w:lang w:val="es-PY"/>
        </w:rPr>
        <w:t xml:space="preserve">Información de seguimiento sobre el párrafo </w:t>
      </w:r>
      <w:r w:rsidR="00E64C5F">
        <w:rPr>
          <w:noProof/>
          <w:lang w:val="es-PY"/>
        </w:rPr>
        <w:t>29 b)</w:t>
      </w:r>
      <w:r w:rsidR="00E64C5F" w:rsidRPr="003A5EF4">
        <w:rPr>
          <w:noProof/>
          <w:lang w:val="es-PY"/>
        </w:rPr>
        <w:t xml:space="preserve"> de las</w:t>
      </w:r>
      <w:r w:rsidR="00240649">
        <w:rPr>
          <w:noProof/>
          <w:lang w:val="es-PY"/>
        </w:rPr>
        <w:br/>
      </w:r>
      <w:r w:rsidR="00E64C5F" w:rsidRPr="003A5EF4">
        <w:rPr>
          <w:noProof/>
          <w:lang w:val="es-PY"/>
        </w:rPr>
        <w:t>observaciones finales</w:t>
      </w:r>
    </w:p>
    <w:p w14:paraId="70E2603F" w14:textId="64016829" w:rsidR="002F215B" w:rsidRDefault="00E64C5F" w:rsidP="002F215B">
      <w:pPr>
        <w:pStyle w:val="SingleTxtG"/>
        <w:rPr>
          <w:i/>
          <w:iCs/>
          <w:noProof/>
          <w:color w:val="000000"/>
        </w:rPr>
      </w:pPr>
      <w:r>
        <w:rPr>
          <w:noProof/>
        </w:rPr>
        <w:t>26</w:t>
      </w:r>
      <w:r w:rsidR="002F215B">
        <w:rPr>
          <w:noProof/>
        </w:rPr>
        <w:t xml:space="preserve">. </w:t>
      </w:r>
      <w:r w:rsidR="002F215B">
        <w:rPr>
          <w:noProof/>
        </w:rPr>
        <w:tab/>
      </w:r>
      <w:r w:rsidR="002F215B" w:rsidRPr="00E37FE8">
        <w:rPr>
          <w:noProof/>
        </w:rPr>
        <w:t>Los artículos 12, 16 y 17 de la Constitución del Paraguay son claro</w:t>
      </w:r>
      <w:r w:rsidR="002F215B">
        <w:rPr>
          <w:noProof/>
        </w:rPr>
        <w:t>s</w:t>
      </w:r>
      <w:r w:rsidR="002F215B" w:rsidRPr="00E37FE8">
        <w:rPr>
          <w:noProof/>
        </w:rPr>
        <w:t xml:space="preserve"> respecto a los derechos y garantías de toda persona en el marco de prodecimientos de detención o arresto</w:t>
      </w:r>
      <w:r w:rsidR="002F215B">
        <w:rPr>
          <w:noProof/>
        </w:rPr>
        <w:t>,</w:t>
      </w:r>
      <w:r w:rsidR="002F215B" w:rsidRPr="00E37FE8">
        <w:rPr>
          <w:noProof/>
        </w:rPr>
        <w:t xml:space="preserve"> así como en los procesos judiciales, entre ellos, el derecho a ser informado del motivo de la detención y de sus derechos, el acceso </w:t>
      </w:r>
      <w:r w:rsidR="002F215B">
        <w:rPr>
          <w:noProof/>
        </w:rPr>
        <w:t xml:space="preserve">a un defensor gratuito de ser necesario </w:t>
      </w:r>
      <w:r w:rsidR="002F215B" w:rsidRPr="00E37FE8">
        <w:rPr>
          <w:noProof/>
        </w:rPr>
        <w:t>y la comunicación con un familiar o persona de confianza.</w:t>
      </w:r>
      <w:r w:rsidR="002F215B">
        <w:rPr>
          <w:noProof/>
        </w:rPr>
        <w:t xml:space="preserve"> </w:t>
      </w:r>
    </w:p>
    <w:p w14:paraId="295B73F3" w14:textId="2505D652" w:rsidR="002F215B" w:rsidRDefault="00E64C5F" w:rsidP="002F215B">
      <w:pPr>
        <w:pStyle w:val="SingleTxtG"/>
        <w:rPr>
          <w:lang w:val="es-PY"/>
        </w:rPr>
      </w:pPr>
      <w:r>
        <w:rPr>
          <w:lang w:val="es-PY"/>
        </w:rPr>
        <w:t>27</w:t>
      </w:r>
      <w:r w:rsidR="002F215B">
        <w:rPr>
          <w:lang w:val="es-PY"/>
        </w:rPr>
        <w:t xml:space="preserve">. </w:t>
      </w:r>
      <w:r w:rsidR="002F215B">
        <w:rPr>
          <w:lang w:val="es-PY"/>
        </w:rPr>
        <w:tab/>
        <w:t xml:space="preserve">En ese sentido, el MDP </w:t>
      </w:r>
      <w:r w:rsidR="002F215B" w:rsidRPr="007411EC">
        <w:rPr>
          <w:lang w:val="es-PY"/>
        </w:rPr>
        <w:t xml:space="preserve">brinda asistencia jurídica gratuita, en cumplimiento de </w:t>
      </w:r>
      <w:r w:rsidR="002F215B">
        <w:rPr>
          <w:lang w:val="es-PY"/>
        </w:rPr>
        <w:t xml:space="preserve">su función misional </w:t>
      </w:r>
      <w:r w:rsidR="002F215B" w:rsidRPr="007411EC">
        <w:rPr>
          <w:lang w:val="es-PY"/>
        </w:rPr>
        <w:t>de “…Asesorar, asistir, representar y defender gratuitamente a las personas físicas que carecen de recursos suficientes para el acceso a la jurisdicción…” (art. 9, inc. 3</w:t>
      </w:r>
      <w:r w:rsidR="002F215B">
        <w:rPr>
          <w:lang w:val="es-PY"/>
        </w:rPr>
        <w:t xml:space="preserve"> de su Carta Orgánica). En sus diversas sedes en todo el país</w:t>
      </w:r>
      <w:r w:rsidR="002F215B">
        <w:rPr>
          <w:rStyle w:val="Refdenotaalpie"/>
          <w:lang w:val="es-PY"/>
        </w:rPr>
        <w:footnoteReference w:id="12"/>
      </w:r>
      <w:r w:rsidR="002F215B">
        <w:rPr>
          <w:lang w:val="es-PY"/>
        </w:rPr>
        <w:t xml:space="preserve">, cuenta con </w:t>
      </w:r>
      <w:r w:rsidR="002F215B" w:rsidRPr="007411EC">
        <w:rPr>
          <w:lang w:val="es-PY"/>
        </w:rPr>
        <w:t xml:space="preserve">profesionales en las </w:t>
      </w:r>
      <w:r w:rsidR="002F215B">
        <w:rPr>
          <w:lang w:val="es-PY"/>
        </w:rPr>
        <w:t>distintas</w:t>
      </w:r>
      <w:r w:rsidR="002F215B" w:rsidRPr="007411EC">
        <w:rPr>
          <w:lang w:val="es-PY"/>
        </w:rPr>
        <w:t xml:space="preserve"> áreas jurisdiccionales, encargados de ejercer la representación y defensa en juicio de las personas que carecen de recursos económicos</w:t>
      </w:r>
      <w:r w:rsidR="002F215B">
        <w:rPr>
          <w:lang w:val="es-PY"/>
        </w:rPr>
        <w:t>. Informes de gestión con datos sobre el alcance de los servicios prestados por el MDP están disponibles en línea</w:t>
      </w:r>
      <w:r w:rsidR="002F215B">
        <w:rPr>
          <w:rStyle w:val="Refdenotaalpie"/>
          <w:lang w:val="es-PY"/>
        </w:rPr>
        <w:footnoteReference w:id="13"/>
      </w:r>
      <w:r w:rsidR="002F215B">
        <w:rPr>
          <w:lang w:val="es-PY"/>
        </w:rPr>
        <w:t>.</w:t>
      </w:r>
    </w:p>
    <w:p w14:paraId="13144E7B" w14:textId="6BFBD111" w:rsidR="002F215B" w:rsidRDefault="00E64C5F" w:rsidP="002F215B">
      <w:pPr>
        <w:pStyle w:val="SingleTxtG"/>
        <w:rPr>
          <w:lang w:val="es-PY"/>
        </w:rPr>
      </w:pPr>
      <w:r>
        <w:rPr>
          <w:lang w:val="es-PY"/>
        </w:rPr>
        <w:t>28</w:t>
      </w:r>
      <w:r w:rsidR="002F215B">
        <w:rPr>
          <w:lang w:val="es-PY"/>
        </w:rPr>
        <w:t xml:space="preserve">. </w:t>
      </w:r>
      <w:r w:rsidR="002F215B">
        <w:rPr>
          <w:lang w:val="es-PY"/>
        </w:rPr>
        <w:tab/>
      </w:r>
      <w:r w:rsidR="002F215B" w:rsidRPr="00DF4FC8">
        <w:rPr>
          <w:lang w:val="es-PY"/>
        </w:rPr>
        <w:t>Los Defensores Públicos reciben capacitación permanente en materia de derechos humanos y garantías procesales en el Centro de Formación y Capacitación del M</w:t>
      </w:r>
      <w:r w:rsidR="002F215B">
        <w:rPr>
          <w:lang w:val="es-PY"/>
        </w:rPr>
        <w:t xml:space="preserve">DP </w:t>
      </w:r>
      <w:r w:rsidR="002F215B" w:rsidRPr="00DF4FC8">
        <w:rPr>
          <w:lang w:val="es-PY"/>
        </w:rPr>
        <w:t>(Instituto Técnico Superior de la Defensa Púbica desde 2021), a través de talleres organizados con el Centro de Entrenamiento del Ministerio Público</w:t>
      </w:r>
      <w:r w:rsidR="002F215B">
        <w:rPr>
          <w:lang w:val="es-PY"/>
        </w:rPr>
        <w:t xml:space="preserve"> </w:t>
      </w:r>
      <w:r w:rsidR="002F215B" w:rsidRPr="00591C27">
        <w:rPr>
          <w:lang w:val="es-PY"/>
        </w:rPr>
        <w:t>(CEMP)</w:t>
      </w:r>
      <w:r w:rsidR="002F215B">
        <w:rPr>
          <w:lang w:val="es-PY"/>
        </w:rPr>
        <w:t xml:space="preserve">, </w:t>
      </w:r>
      <w:r w:rsidR="002F215B" w:rsidRPr="00DF4FC8">
        <w:rPr>
          <w:lang w:val="es-PY"/>
        </w:rPr>
        <w:t xml:space="preserve">sobre Restricción de Derechos, Estándares Interamericanos del Debido Proceso, Libertad personal, entre otros. </w:t>
      </w:r>
    </w:p>
    <w:p w14:paraId="42C402BA" w14:textId="36906BBE" w:rsidR="002F215B" w:rsidRPr="00725BC3" w:rsidRDefault="00E64C5F" w:rsidP="002F215B">
      <w:pPr>
        <w:pStyle w:val="SingleTxtG"/>
        <w:rPr>
          <w:lang w:val="es-PY"/>
        </w:rPr>
      </w:pPr>
      <w:r>
        <w:rPr>
          <w:lang w:val="es-PY"/>
        </w:rPr>
        <w:t>29</w:t>
      </w:r>
      <w:r w:rsidR="002F215B">
        <w:rPr>
          <w:lang w:val="es-PY"/>
        </w:rPr>
        <w:t xml:space="preserve">. </w:t>
      </w:r>
      <w:r w:rsidR="002F215B">
        <w:rPr>
          <w:lang w:val="es-PY"/>
        </w:rPr>
        <w:tab/>
      </w:r>
      <w:r w:rsidR="002F215B" w:rsidRPr="00725BC3">
        <w:rPr>
          <w:lang w:val="es-PY"/>
        </w:rPr>
        <w:t>El Departamento de Derechos Humanos de la P</w:t>
      </w:r>
      <w:r w:rsidR="002F215B">
        <w:rPr>
          <w:lang w:val="es-PY"/>
        </w:rPr>
        <w:t xml:space="preserve">N </w:t>
      </w:r>
      <w:r w:rsidR="002F215B" w:rsidRPr="00725BC3">
        <w:rPr>
          <w:lang w:val="es-PY"/>
        </w:rPr>
        <w:t>lleva a cabo la capacitación continua al personal policial en materia de derechos humanos, a través de Jornadas de Capacitación en Materia de Derechos Humanos, Talleres de Capacitación sobre Procedimiento Policial Ajustado a Estándares Internacionales de Derechos Humanos y Principios Humanitarios Aplicados a la Función Policial, desarrollados en diversas jurisdicciones policiales y destinados a personal de las distintas áreas y servicios de la P</w:t>
      </w:r>
      <w:r w:rsidR="002F215B">
        <w:rPr>
          <w:lang w:val="es-PY"/>
        </w:rPr>
        <w:t>N.</w:t>
      </w:r>
      <w:r w:rsidR="002F215B" w:rsidRPr="00725BC3">
        <w:rPr>
          <w:lang w:val="es-PY"/>
        </w:rPr>
        <w:t xml:space="preserve"> </w:t>
      </w:r>
    </w:p>
    <w:p w14:paraId="2147D124" w14:textId="5D822785" w:rsidR="002F215B" w:rsidRPr="00725BC3" w:rsidRDefault="00E64C5F" w:rsidP="002F215B">
      <w:pPr>
        <w:pStyle w:val="SingleTxtG"/>
        <w:rPr>
          <w:lang w:val="es-PY"/>
        </w:rPr>
      </w:pPr>
      <w:r>
        <w:rPr>
          <w:lang w:val="es-PY"/>
        </w:rPr>
        <w:t>30</w:t>
      </w:r>
      <w:r w:rsidR="002F215B">
        <w:rPr>
          <w:lang w:val="es-PY"/>
        </w:rPr>
        <w:t xml:space="preserve">. </w:t>
      </w:r>
      <w:r w:rsidR="002F215B">
        <w:rPr>
          <w:lang w:val="es-PY"/>
        </w:rPr>
        <w:tab/>
      </w:r>
      <w:r w:rsidR="002F215B" w:rsidRPr="00DF4FC8">
        <w:rPr>
          <w:lang w:val="es-PY"/>
        </w:rPr>
        <w:t>Asimismo, la P</w:t>
      </w:r>
      <w:r w:rsidR="002F215B">
        <w:rPr>
          <w:lang w:val="es-PY"/>
        </w:rPr>
        <w:t xml:space="preserve">N </w:t>
      </w:r>
      <w:r w:rsidR="002F215B" w:rsidRPr="00DF4FC8">
        <w:rPr>
          <w:lang w:val="es-PY"/>
        </w:rPr>
        <w:t xml:space="preserve">cuenta con el Departamento de Asuntos Internos que se encarga de investigar denuncias sobre procedimientos policiales conforme a los requerimientos del debido proceso, a fin de remitir los antecedentes a la Dirección de Justicia Policial para la determinación de responsabilidades y eventual remisión de antecedentes al MP. </w:t>
      </w:r>
    </w:p>
    <w:p w14:paraId="38EBC81E" w14:textId="3AEB2F5A" w:rsidR="002F215B" w:rsidRDefault="002F215B" w:rsidP="00240649">
      <w:pPr>
        <w:pStyle w:val="H1G"/>
        <w:rPr>
          <w:noProof/>
          <w:lang w:val="es-PY"/>
        </w:rPr>
      </w:pPr>
      <w:r>
        <w:rPr>
          <w:noProof/>
          <w:lang w:val="es-PY"/>
        </w:rPr>
        <w:tab/>
      </w:r>
      <w:r>
        <w:rPr>
          <w:noProof/>
          <w:lang w:val="es-PY"/>
        </w:rPr>
        <w:tab/>
      </w:r>
      <w:r w:rsidR="00E64C5F" w:rsidRPr="003A5EF4">
        <w:rPr>
          <w:noProof/>
          <w:lang w:val="es-PY"/>
        </w:rPr>
        <w:t xml:space="preserve">Información de seguimiento sobre </w:t>
      </w:r>
      <w:r w:rsidR="00E64C5F">
        <w:rPr>
          <w:noProof/>
          <w:lang w:val="es-PY"/>
        </w:rPr>
        <w:t>los</w:t>
      </w:r>
      <w:r w:rsidR="00E64C5F" w:rsidRPr="003A5EF4">
        <w:rPr>
          <w:noProof/>
          <w:lang w:val="es-PY"/>
        </w:rPr>
        <w:t xml:space="preserve"> párrafo</w:t>
      </w:r>
      <w:r w:rsidR="00E64C5F">
        <w:rPr>
          <w:noProof/>
          <w:lang w:val="es-PY"/>
        </w:rPr>
        <w:t>s</w:t>
      </w:r>
      <w:r w:rsidR="00E64C5F" w:rsidRPr="003A5EF4">
        <w:rPr>
          <w:noProof/>
          <w:lang w:val="es-PY"/>
        </w:rPr>
        <w:t xml:space="preserve"> </w:t>
      </w:r>
      <w:r w:rsidR="00E64C5F">
        <w:rPr>
          <w:noProof/>
          <w:lang w:val="es-PY"/>
        </w:rPr>
        <w:t>35 a), b)</w:t>
      </w:r>
      <w:r w:rsidR="00E64C5F" w:rsidRPr="003A5EF4">
        <w:rPr>
          <w:noProof/>
          <w:lang w:val="es-PY"/>
        </w:rPr>
        <w:t xml:space="preserve"> </w:t>
      </w:r>
      <w:r w:rsidR="00E64C5F">
        <w:rPr>
          <w:noProof/>
          <w:lang w:val="es-PY"/>
        </w:rPr>
        <w:t>y c)</w:t>
      </w:r>
      <w:r w:rsidR="00240649">
        <w:rPr>
          <w:noProof/>
          <w:lang w:val="es-PY"/>
        </w:rPr>
        <w:br/>
      </w:r>
      <w:r w:rsidR="00E64C5F" w:rsidRPr="003A5EF4">
        <w:rPr>
          <w:noProof/>
          <w:lang w:val="es-PY"/>
        </w:rPr>
        <w:t>de las observaciones finales</w:t>
      </w:r>
    </w:p>
    <w:p w14:paraId="7D2BFCE7" w14:textId="1FDB31CB" w:rsidR="002F215B" w:rsidRPr="001A6006" w:rsidRDefault="00E64C5F" w:rsidP="002F215B">
      <w:pPr>
        <w:pStyle w:val="SingleTxtG"/>
        <w:rPr>
          <w:lang w:val="es-PY"/>
        </w:rPr>
      </w:pPr>
      <w:r>
        <w:rPr>
          <w:lang w:val="es-PY"/>
        </w:rPr>
        <w:t>31</w:t>
      </w:r>
      <w:r w:rsidR="002F215B">
        <w:rPr>
          <w:lang w:val="es-PY"/>
        </w:rPr>
        <w:t xml:space="preserve">. </w:t>
      </w:r>
      <w:r w:rsidR="00F15FE4">
        <w:rPr>
          <w:lang w:val="es-PY"/>
        </w:rPr>
        <w:tab/>
      </w:r>
      <w:r w:rsidR="002F215B" w:rsidRPr="00DC2938">
        <w:rPr>
          <w:lang w:val="es-PY"/>
        </w:rPr>
        <w:t xml:space="preserve">Desde </w:t>
      </w:r>
      <w:r w:rsidR="002F215B" w:rsidRPr="00DC2938">
        <w:rPr>
          <w:rStyle w:val="Ninguno"/>
          <w:lang w:val="es-PY"/>
        </w:rPr>
        <w:t>la</w:t>
      </w:r>
      <w:r w:rsidR="002F215B" w:rsidRPr="00DC2938">
        <w:rPr>
          <w:lang w:val="es-PY"/>
        </w:rPr>
        <w:t xml:space="preserve"> Secretaría Nacional Anticorrupción se han propiciado importantes avances en la lucha contra la corrupción, promoción de transparencia y rendición de cuentas, entre </w:t>
      </w:r>
      <w:r w:rsidR="002F215B" w:rsidRPr="00DC2938">
        <w:rPr>
          <w:lang w:val="es-PY"/>
        </w:rPr>
        <w:lastRenderedPageBreak/>
        <w:t>ellos el Portal de Denuncias Anticorrupción</w:t>
      </w:r>
      <w:r w:rsidR="002F215B" w:rsidRPr="00DC2938">
        <w:rPr>
          <w:rStyle w:val="Refdenotaalpie"/>
          <w:lang w:val="es-PY"/>
        </w:rPr>
        <w:footnoteReference w:id="14"/>
      </w:r>
      <w:r w:rsidR="002F215B" w:rsidRPr="00DC2938">
        <w:rPr>
          <w:lang w:val="es-PY"/>
        </w:rPr>
        <w:t>, con un Sistema de Registro y Seguimiento de Causas Penales, Sumarios e Investigaciones</w:t>
      </w:r>
      <w:r w:rsidR="002F215B" w:rsidRPr="00DC2938">
        <w:rPr>
          <w:rStyle w:val="Refdenotaalpie"/>
          <w:lang w:val="es-PY"/>
        </w:rPr>
        <w:footnoteReference w:id="15"/>
      </w:r>
      <w:r w:rsidR="002F215B" w:rsidRPr="00DC2938">
        <w:rPr>
          <w:lang w:val="es-PY"/>
        </w:rPr>
        <w:t>; la Plataforma</w:t>
      </w:r>
      <w:r w:rsidR="002F215B" w:rsidRPr="00DC2938">
        <w:rPr>
          <w:rStyle w:val="Refdenotaalpie"/>
          <w:lang w:val="es-PY"/>
        </w:rPr>
        <w:footnoteReference w:id="16"/>
      </w:r>
      <w:r w:rsidR="002F215B" w:rsidRPr="00DC2938">
        <w:rPr>
          <w:lang w:val="es-PY"/>
        </w:rPr>
        <w:t xml:space="preserve"> de monitoreo del cumplimiento de las obligaciones de transparencia activa en el sector público; la aprobación del Plan Nacional de Integridad, Transparencia y Anticorrupción 2021-2025</w:t>
      </w:r>
      <w:r w:rsidR="002F215B" w:rsidRPr="00DC2938">
        <w:rPr>
          <w:rStyle w:val="Refdenotaalpie"/>
          <w:lang w:val="es-PY"/>
        </w:rPr>
        <w:footnoteReference w:id="17"/>
      </w:r>
      <w:r w:rsidR="002F215B" w:rsidRPr="00DC2938">
        <w:rPr>
          <w:lang w:val="es-PY"/>
        </w:rPr>
        <w:t xml:space="preserve"> (Decreto 4458/20), impulsado por el Equipo Nacional de Integridad y Transparencia (ENIT)</w:t>
      </w:r>
      <w:r w:rsidR="002F215B">
        <w:rPr>
          <w:lang w:val="es-PY"/>
        </w:rPr>
        <w:t xml:space="preserve">, creado por Decreto </w:t>
      </w:r>
      <w:r w:rsidR="002F215B" w:rsidRPr="001A6006">
        <w:rPr>
          <w:lang w:val="es-PY"/>
        </w:rPr>
        <w:t>3003/19.</w:t>
      </w:r>
    </w:p>
    <w:p w14:paraId="4DF160D7" w14:textId="37120AF1" w:rsidR="002F215B" w:rsidRPr="009E5EA0" w:rsidRDefault="00E64C5F" w:rsidP="00F15FE4">
      <w:pPr>
        <w:pStyle w:val="SingleTxtG"/>
        <w:rPr>
          <w:noProof/>
        </w:rPr>
      </w:pPr>
      <w:r>
        <w:rPr>
          <w:lang w:eastAsia="en-US"/>
        </w:rPr>
        <w:t>32</w:t>
      </w:r>
      <w:r w:rsidR="002F215B">
        <w:rPr>
          <w:lang w:eastAsia="en-US"/>
        </w:rPr>
        <w:t xml:space="preserve">. </w:t>
      </w:r>
      <w:r w:rsidR="00F15FE4">
        <w:rPr>
          <w:lang w:eastAsia="en-US"/>
        </w:rPr>
        <w:tab/>
      </w:r>
      <w:r w:rsidR="002F215B" w:rsidRPr="001A6006">
        <w:rPr>
          <w:lang w:eastAsia="en-US"/>
        </w:rPr>
        <w:t>El Plan de Capacitación Curricular del CEMP</w:t>
      </w:r>
      <w:r w:rsidR="002F215B">
        <w:rPr>
          <w:lang w:eastAsia="en-US"/>
        </w:rPr>
        <w:t xml:space="preserve"> </w:t>
      </w:r>
      <w:r w:rsidR="002F215B" w:rsidRPr="001A6006">
        <w:rPr>
          <w:lang w:eastAsia="en-US"/>
        </w:rPr>
        <w:t>cuenta con programas académicos especializados, destinados a mejorar y sensibilizar la gestión fiscal como una herramienta efectiva para la lucha contra la corrupción, además de apoyarse en investigaciones científico-académicas y publicaciones de la Revista Jurídica sobre</w:t>
      </w:r>
      <w:r w:rsidR="002F215B" w:rsidRPr="00591C27">
        <w:rPr>
          <w:noProof/>
          <w:color w:val="000000"/>
        </w:rPr>
        <w:t xml:space="preserve"> </w:t>
      </w:r>
      <w:r w:rsidR="002F215B" w:rsidRPr="00ED72E6">
        <w:rPr>
          <w:noProof/>
          <w:color w:val="000000"/>
        </w:rPr>
        <w:t>Los esfuerzos para combatir la corrupción en el Poder Judicial, que incluye la sensibilización de los jueces, agentes fiscales y la policía nacional</w:t>
      </w:r>
      <w:r w:rsidR="002F215B" w:rsidRPr="00591C27">
        <w:rPr>
          <w:noProof/>
          <w:color w:val="000000"/>
        </w:rPr>
        <w:t xml:space="preserve">. Entre 2019 y 2021 se abordaron temas con la finalidad de crear un espacio de debate informado para visibilizar y sensibilizar </w:t>
      </w:r>
      <w:r w:rsidR="002F215B">
        <w:rPr>
          <w:noProof/>
          <w:color w:val="000000"/>
        </w:rPr>
        <w:t>el</w:t>
      </w:r>
      <w:r w:rsidR="002F215B" w:rsidRPr="00591C27">
        <w:rPr>
          <w:noProof/>
          <w:color w:val="000000"/>
        </w:rPr>
        <w:t xml:space="preserve"> problema</w:t>
      </w:r>
      <w:r w:rsidR="002F215B">
        <w:rPr>
          <w:noProof/>
          <w:color w:val="000000"/>
        </w:rPr>
        <w:t xml:space="preserve"> de la corrupción</w:t>
      </w:r>
      <w:r w:rsidR="002F215B" w:rsidRPr="00591C27">
        <w:rPr>
          <w:noProof/>
          <w:color w:val="000000"/>
        </w:rPr>
        <w:t>.</w:t>
      </w:r>
    </w:p>
    <w:p w14:paraId="32F331A5" w14:textId="4A3AA35B" w:rsidR="002F215B" w:rsidRDefault="00E64C5F" w:rsidP="00F15FE4">
      <w:pPr>
        <w:pStyle w:val="SingleTxtG"/>
        <w:rPr>
          <w:lang w:val="es-PY"/>
        </w:rPr>
      </w:pPr>
      <w:r>
        <w:rPr>
          <w:lang w:val="es-PY"/>
        </w:rPr>
        <w:t>33</w:t>
      </w:r>
      <w:r w:rsidR="002F215B">
        <w:rPr>
          <w:lang w:val="es-PY"/>
        </w:rPr>
        <w:t xml:space="preserve">. </w:t>
      </w:r>
      <w:r w:rsidR="00F15FE4">
        <w:rPr>
          <w:lang w:val="es-PY"/>
        </w:rPr>
        <w:tab/>
      </w:r>
      <w:r w:rsidR="002F215B" w:rsidRPr="001A6006">
        <w:rPr>
          <w:lang w:val="es-PY"/>
        </w:rPr>
        <w:t xml:space="preserve">De este modo, ha desarrollado diversas actividades </w:t>
      </w:r>
      <w:r w:rsidR="002F215B">
        <w:rPr>
          <w:lang w:val="es-PY"/>
        </w:rPr>
        <w:t>como</w:t>
      </w:r>
      <w:r w:rsidR="002F215B" w:rsidRPr="001A6006">
        <w:rPr>
          <w:lang w:val="es-PY"/>
        </w:rPr>
        <w:t xml:space="preserve"> estrategias para contrarrestar la corrupción, tales como: construcción de indicadores de gestión fiscal para la Unidad de Delitos Económicos y Anticorrupción; Investigaciones financieras y recuperación de activos; Módulo sobre Principios y valores éticos para la función y anticorrupción; Conversatorios sobre efectos negativos de la corrupción en la realización de los derechos económicos, sociales y culturales; Taller de consolidación del equipo de revisión del código de Ética; Diplomados sobre herramientas de gestión para el sistema de justicia de un Estado de Derecho, crimen organizado, entre otros.</w:t>
      </w:r>
    </w:p>
    <w:p w14:paraId="26460FE4" w14:textId="4699B1CD" w:rsidR="002F215B" w:rsidRDefault="00E64C5F" w:rsidP="00F15FE4">
      <w:pPr>
        <w:pStyle w:val="SingleTxtG"/>
        <w:rPr>
          <w:noProof/>
          <w:color w:val="000000"/>
        </w:rPr>
      </w:pPr>
      <w:r>
        <w:rPr>
          <w:noProof/>
        </w:rPr>
        <w:t>34</w:t>
      </w:r>
      <w:r w:rsidR="002F215B">
        <w:rPr>
          <w:noProof/>
        </w:rPr>
        <w:t xml:space="preserve">. </w:t>
      </w:r>
      <w:r w:rsidR="00F15FE4">
        <w:rPr>
          <w:noProof/>
        </w:rPr>
        <w:tab/>
      </w:r>
      <w:r w:rsidR="002F215B">
        <w:rPr>
          <w:noProof/>
        </w:rPr>
        <w:t xml:space="preserve">Mediante Acordada 7916/20, el CSJ </w:t>
      </w:r>
      <w:r w:rsidR="002F215B" w:rsidRPr="001A6006">
        <w:rPr>
          <w:noProof/>
        </w:rPr>
        <w:t>declar</w:t>
      </w:r>
      <w:r w:rsidR="002F215B">
        <w:rPr>
          <w:noProof/>
        </w:rPr>
        <w:t>ó</w:t>
      </w:r>
      <w:r w:rsidR="002F215B" w:rsidRPr="001A6006">
        <w:rPr>
          <w:noProof/>
        </w:rPr>
        <w:t xml:space="preserve"> el 2020 como “</w:t>
      </w:r>
      <w:r w:rsidR="002F215B">
        <w:rPr>
          <w:noProof/>
        </w:rPr>
        <w:t>A</w:t>
      </w:r>
      <w:r w:rsidR="002F215B" w:rsidRPr="001A6006">
        <w:rPr>
          <w:noProof/>
        </w:rPr>
        <w:t>ño de la lucha contra la corrupción y la impunidad”</w:t>
      </w:r>
      <w:r w:rsidR="002F215B">
        <w:rPr>
          <w:noProof/>
        </w:rPr>
        <w:t xml:space="preserve">, y en ese marco lanzó el </w:t>
      </w:r>
      <w:r w:rsidR="002F215B" w:rsidRPr="009E5EA0">
        <w:rPr>
          <w:noProof/>
        </w:rPr>
        <w:t>material “Normativas y pronunciamientos sobre corrupción y derechos humanos</w:t>
      </w:r>
      <w:r w:rsidR="002F215B" w:rsidRPr="009E5EA0">
        <w:rPr>
          <w:rStyle w:val="Refdenotaalpie"/>
          <w:noProof/>
        </w:rPr>
        <w:footnoteReference w:id="18"/>
      </w:r>
      <w:r w:rsidR="002F215B">
        <w:rPr>
          <w:noProof/>
        </w:rPr>
        <w:t xml:space="preserve"> y realizó un webinario </w:t>
      </w:r>
      <w:r w:rsidR="002F215B" w:rsidRPr="009E5EA0">
        <w:rPr>
          <w:noProof/>
        </w:rPr>
        <w:t>sobre corrupción y derechos humanos</w:t>
      </w:r>
      <w:r w:rsidR="002F215B">
        <w:rPr>
          <w:noProof/>
          <w:color w:val="000000"/>
        </w:rPr>
        <w:t xml:space="preserve">. </w:t>
      </w:r>
      <w:r w:rsidR="002F215B" w:rsidRPr="003314B7">
        <w:rPr>
          <w:noProof/>
          <w:color w:val="000000"/>
        </w:rPr>
        <w:t>En el marco de</w:t>
      </w:r>
      <w:r w:rsidR="002F215B">
        <w:rPr>
          <w:noProof/>
          <w:color w:val="000000"/>
        </w:rPr>
        <w:t xml:space="preserve"> su política de </w:t>
      </w:r>
      <w:r w:rsidR="002F215B" w:rsidRPr="003314B7">
        <w:rPr>
          <w:noProof/>
          <w:color w:val="000000"/>
        </w:rPr>
        <w:t>transparencia y acceso a la información, la C</w:t>
      </w:r>
      <w:r w:rsidR="002F215B">
        <w:rPr>
          <w:noProof/>
          <w:color w:val="000000"/>
        </w:rPr>
        <w:t xml:space="preserve">SJ </w:t>
      </w:r>
      <w:r w:rsidR="002F215B" w:rsidRPr="003314B7">
        <w:rPr>
          <w:noProof/>
          <w:color w:val="000000"/>
        </w:rPr>
        <w:t>p</w:t>
      </w:r>
      <w:r w:rsidR="002F215B">
        <w:rPr>
          <w:noProof/>
          <w:color w:val="000000"/>
        </w:rPr>
        <w:t xml:space="preserve">uso </w:t>
      </w:r>
      <w:r w:rsidR="002F215B" w:rsidRPr="003314B7">
        <w:rPr>
          <w:noProof/>
          <w:color w:val="000000"/>
        </w:rPr>
        <w:t xml:space="preserve">a disposición de la ciudadanía </w:t>
      </w:r>
      <w:r w:rsidR="002F215B">
        <w:rPr>
          <w:noProof/>
          <w:color w:val="000000"/>
        </w:rPr>
        <w:t>tres</w:t>
      </w:r>
      <w:r w:rsidR="002F215B" w:rsidRPr="003314B7">
        <w:rPr>
          <w:noProof/>
          <w:color w:val="000000"/>
        </w:rPr>
        <w:t xml:space="preserve"> plataforma</w:t>
      </w:r>
      <w:r w:rsidR="002F215B">
        <w:rPr>
          <w:noProof/>
          <w:color w:val="000000"/>
        </w:rPr>
        <w:t>s</w:t>
      </w:r>
      <w:r w:rsidR="002F215B" w:rsidRPr="003314B7">
        <w:rPr>
          <w:noProof/>
          <w:color w:val="000000"/>
        </w:rPr>
        <w:t xml:space="preserve"> web </w:t>
      </w:r>
      <w:r w:rsidR="002F215B">
        <w:rPr>
          <w:noProof/>
          <w:color w:val="000000"/>
        </w:rPr>
        <w:t>como O</w:t>
      </w:r>
      <w:r w:rsidR="002F215B" w:rsidRPr="009E5EA0">
        <w:rPr>
          <w:noProof/>
          <w:color w:val="000000"/>
        </w:rPr>
        <w:t>bservatorio de causas judiciales</w:t>
      </w:r>
      <w:r w:rsidR="002F215B">
        <w:rPr>
          <w:rStyle w:val="Refdenotaalpie"/>
          <w:noProof/>
          <w:color w:val="000000"/>
        </w:rPr>
        <w:footnoteReference w:id="19"/>
      </w:r>
      <w:r w:rsidR="002F215B">
        <w:rPr>
          <w:noProof/>
          <w:color w:val="000000"/>
        </w:rPr>
        <w:t>,</w:t>
      </w:r>
      <w:r w:rsidR="002F215B" w:rsidRPr="009E5EA0">
        <w:rPr>
          <w:noProof/>
          <w:color w:val="000000"/>
        </w:rPr>
        <w:t xml:space="preserve"> </w:t>
      </w:r>
      <w:r w:rsidR="002F215B" w:rsidRPr="003314B7">
        <w:rPr>
          <w:noProof/>
          <w:color w:val="000000"/>
        </w:rPr>
        <w:t xml:space="preserve">para el monitoreo de </w:t>
      </w:r>
      <w:r w:rsidR="002F215B">
        <w:rPr>
          <w:noProof/>
          <w:color w:val="000000"/>
        </w:rPr>
        <w:t>casos</w:t>
      </w:r>
      <w:r w:rsidR="002F215B" w:rsidRPr="003314B7">
        <w:rPr>
          <w:noProof/>
          <w:color w:val="000000"/>
        </w:rPr>
        <w:t xml:space="preserve"> relacionad</w:t>
      </w:r>
      <w:r w:rsidR="002F215B">
        <w:rPr>
          <w:noProof/>
          <w:color w:val="000000"/>
        </w:rPr>
        <w:t>o</w:t>
      </w:r>
      <w:r w:rsidR="002F215B" w:rsidRPr="003314B7">
        <w:rPr>
          <w:noProof/>
          <w:color w:val="000000"/>
        </w:rPr>
        <w:t>s con corrupción.</w:t>
      </w:r>
    </w:p>
    <w:p w14:paraId="6AA5E6C9" w14:textId="1146D3DA" w:rsidR="002F215B" w:rsidRDefault="00E64C5F" w:rsidP="00F15FE4">
      <w:pPr>
        <w:pStyle w:val="SingleTxtG"/>
        <w:rPr>
          <w:noProof/>
        </w:rPr>
      </w:pPr>
      <w:r>
        <w:rPr>
          <w:noProof/>
        </w:rPr>
        <w:t>35</w:t>
      </w:r>
      <w:r w:rsidR="002F215B">
        <w:rPr>
          <w:noProof/>
        </w:rPr>
        <w:t xml:space="preserve">. </w:t>
      </w:r>
      <w:r w:rsidR="00F15FE4">
        <w:rPr>
          <w:noProof/>
        </w:rPr>
        <w:tab/>
      </w:r>
      <w:r w:rsidR="002F215B" w:rsidRPr="008373D5">
        <w:rPr>
          <w:noProof/>
        </w:rPr>
        <w:t>Como</w:t>
      </w:r>
      <w:r w:rsidR="002F215B" w:rsidRPr="00EC3521">
        <w:rPr>
          <w:noProof/>
        </w:rPr>
        <w:t xml:space="preserve"> </w:t>
      </w:r>
      <w:r w:rsidR="002F215B" w:rsidRPr="001A71F8">
        <w:rPr>
          <w:noProof/>
        </w:rPr>
        <w:t>plataforma</w:t>
      </w:r>
      <w:r w:rsidR="002F215B" w:rsidRPr="00EC3521">
        <w:rPr>
          <w:noProof/>
        </w:rPr>
        <w:t xml:space="preserve"> de denuncia de irregularidades, la Oficina de Quejas y Denuncias del PJ propicia la </w:t>
      </w:r>
      <w:r w:rsidR="002F215B" w:rsidRPr="001A71F8">
        <w:rPr>
          <w:noProof/>
        </w:rPr>
        <w:t>transparencia</w:t>
      </w:r>
      <w:r w:rsidR="002F215B" w:rsidRPr="00EC3521">
        <w:rPr>
          <w:noProof/>
        </w:rPr>
        <w:t xml:space="preserve"> para reducir la corrupción y la impunidad, a través de procedimientos de investigación que involucran a la Superintendencia General de Justicia y al Consejo de Superintendencia. Desde 2006 hasta la actualidad, las denuncias han aumentado en 5000%, demostrando que el programa de transparencia y anticorrupción ha permeado en los usuarios.</w:t>
      </w:r>
    </w:p>
    <w:p w14:paraId="2EFF312F" w14:textId="653A0585" w:rsidR="002F215B" w:rsidRPr="00FF51FA" w:rsidRDefault="00E64C5F" w:rsidP="00F15FE4">
      <w:pPr>
        <w:pStyle w:val="SingleTxtG"/>
        <w:rPr>
          <w:noProof/>
        </w:rPr>
      </w:pPr>
      <w:r>
        <w:rPr>
          <w:noProof/>
        </w:rPr>
        <w:t>36</w:t>
      </w:r>
      <w:r w:rsidR="002F215B">
        <w:rPr>
          <w:noProof/>
        </w:rPr>
        <w:t xml:space="preserve">. </w:t>
      </w:r>
      <w:r w:rsidR="00F15FE4">
        <w:rPr>
          <w:noProof/>
        </w:rPr>
        <w:tab/>
      </w:r>
      <w:r w:rsidR="002F215B" w:rsidRPr="00FF51FA">
        <w:rPr>
          <w:noProof/>
        </w:rPr>
        <w:t>Conforme a las Leyes 5189/14 y 5282/14, que regulan la provisión de información sobre uso de recursos públicos, y el acceso a información pública y transparencia, el P</w:t>
      </w:r>
      <w:r w:rsidR="002F215B">
        <w:rPr>
          <w:noProof/>
        </w:rPr>
        <w:t xml:space="preserve">J </w:t>
      </w:r>
      <w:r w:rsidR="002F215B" w:rsidRPr="00FF51FA">
        <w:rPr>
          <w:noProof/>
        </w:rPr>
        <w:t xml:space="preserve">cuenta con procedimientos de provisión de información pública vía </w:t>
      </w:r>
      <w:r w:rsidR="002F215B" w:rsidRPr="00FF51FA">
        <w:rPr>
          <w:i/>
          <w:iCs/>
          <w:noProof/>
        </w:rPr>
        <w:t>e-mail</w:t>
      </w:r>
      <w:r w:rsidR="002F215B" w:rsidRPr="00FF51FA">
        <w:rPr>
          <w:noProof/>
        </w:rPr>
        <w:t>, telefónica, presencial, o mediante el Portal Unificado de Acceso a Información Pública</w:t>
      </w:r>
      <w:r w:rsidR="002F215B" w:rsidRPr="00FF51FA">
        <w:rPr>
          <w:noProof/>
          <w:vertAlign w:val="superscript"/>
        </w:rPr>
        <w:footnoteReference w:id="20"/>
      </w:r>
      <w:r w:rsidR="002F215B" w:rsidRPr="00FF51FA">
        <w:rPr>
          <w:noProof/>
        </w:rPr>
        <w:t>, administrado por el MJ. El resumen de solicitudes recibidas y procesadas es accesible en linea</w:t>
      </w:r>
      <w:r w:rsidR="002F215B" w:rsidRPr="007D0D85">
        <w:rPr>
          <w:iCs/>
          <w:noProof/>
          <w:vertAlign w:val="superscript"/>
        </w:rPr>
        <w:footnoteReference w:id="21"/>
      </w:r>
      <w:r w:rsidR="002F215B" w:rsidRPr="00FF51FA">
        <w:rPr>
          <w:noProof/>
        </w:rPr>
        <w:t>.</w:t>
      </w:r>
    </w:p>
    <w:p w14:paraId="424AA9FD" w14:textId="7DF2A969" w:rsidR="002F215B" w:rsidRPr="00FF51FA" w:rsidRDefault="00E64C5F" w:rsidP="00F15FE4">
      <w:pPr>
        <w:pStyle w:val="SingleTxtG"/>
        <w:rPr>
          <w:rStyle w:val="Ninguno"/>
          <w:lang w:val="es-PY"/>
        </w:rPr>
      </w:pPr>
      <w:r>
        <w:rPr>
          <w:lang w:val="es-PY"/>
        </w:rPr>
        <w:t>37</w:t>
      </w:r>
      <w:r w:rsidR="002F215B">
        <w:rPr>
          <w:lang w:val="es-PY"/>
        </w:rPr>
        <w:t xml:space="preserve">. </w:t>
      </w:r>
      <w:r w:rsidR="00F15FE4">
        <w:rPr>
          <w:lang w:val="es-PY"/>
        </w:rPr>
        <w:tab/>
      </w:r>
      <w:r w:rsidR="002F215B" w:rsidRPr="00FF51FA">
        <w:rPr>
          <w:lang w:val="es-PY"/>
        </w:rPr>
        <w:t>Mediante Acordada 1309/20, la CSJ reglamentó los criterios y procedimie</w:t>
      </w:r>
      <w:r w:rsidR="002F215B">
        <w:rPr>
          <w:lang w:val="es-PY"/>
        </w:rPr>
        <w:t xml:space="preserve">ntos administrativos y técnicos para </w:t>
      </w:r>
      <w:r w:rsidR="002F215B" w:rsidRPr="00FF51FA">
        <w:rPr>
          <w:lang w:val="es-PY"/>
        </w:rPr>
        <w:t>la gestión de concursos de ingreso y promoción en el PJ</w:t>
      </w:r>
      <w:r w:rsidR="002F215B" w:rsidRPr="00FF51FA">
        <w:rPr>
          <w:rStyle w:val="Refdenotaalpie"/>
          <w:lang w:val="es-PY"/>
        </w:rPr>
        <w:footnoteReference w:id="22"/>
      </w:r>
      <w:r w:rsidR="002F215B" w:rsidRPr="00FF51FA">
        <w:rPr>
          <w:lang w:val="es-PY"/>
        </w:rPr>
        <w:t xml:space="preserve">. La </w:t>
      </w:r>
      <w:r w:rsidR="002F215B" w:rsidRPr="00FF51FA">
        <w:rPr>
          <w:rStyle w:val="Ninguno"/>
          <w:lang w:val="es-PY"/>
        </w:rPr>
        <w:t>Oficina de Ética Judicial</w:t>
      </w:r>
      <w:r w:rsidR="002F215B" w:rsidRPr="00FF51FA">
        <w:rPr>
          <w:rStyle w:val="Ninguno"/>
          <w:b/>
          <w:lang w:val="es-PY"/>
        </w:rPr>
        <w:t xml:space="preserve"> </w:t>
      </w:r>
      <w:r w:rsidR="002F215B" w:rsidRPr="00FF51FA">
        <w:rPr>
          <w:rStyle w:val="Ninguno"/>
          <w:lang w:val="es-PY"/>
        </w:rPr>
        <w:t>promueve y supervisa la</w:t>
      </w:r>
      <w:r w:rsidR="002F215B" w:rsidRPr="00FF51FA">
        <w:rPr>
          <w:rStyle w:val="Ninguno"/>
          <w:b/>
          <w:lang w:val="es-PY"/>
        </w:rPr>
        <w:t xml:space="preserve"> </w:t>
      </w:r>
      <w:r w:rsidR="002F215B" w:rsidRPr="00FF51FA">
        <w:rPr>
          <w:rStyle w:val="Ninguno"/>
          <w:lang w:val="es-PY"/>
        </w:rPr>
        <w:t xml:space="preserve">aplicación del Código de Ética Judicial, y brinda soporte técnico al Tribunal y al Consejo Consultivo de Ética Judicial, </w:t>
      </w:r>
      <w:r w:rsidR="002F215B" w:rsidRPr="00A1339A">
        <w:rPr>
          <w:rStyle w:val="Ninguno"/>
        </w:rPr>
        <w:t xml:space="preserve">dictando </w:t>
      </w:r>
      <w:r w:rsidR="002F215B" w:rsidRPr="00A1339A">
        <w:rPr>
          <w:rStyle w:val="Ninguno"/>
        </w:rPr>
        <w:lastRenderedPageBreak/>
        <w:t>resoluciones sobre denuncias que llegan a su conocimiento</w:t>
      </w:r>
      <w:r w:rsidR="002F215B" w:rsidRPr="00FF51FA">
        <w:rPr>
          <w:rStyle w:val="Refdenotaalpie"/>
          <w:noProof/>
          <w:color w:val="000000"/>
          <w:lang w:val="es-PY"/>
        </w:rPr>
        <w:footnoteReference w:id="23"/>
      </w:r>
      <w:r w:rsidR="002F215B" w:rsidRPr="00FF51FA">
        <w:rPr>
          <w:rStyle w:val="Ninguno"/>
          <w:lang w:val="es-PY"/>
        </w:rPr>
        <w:t xml:space="preserve">. Además, realiza </w:t>
      </w:r>
      <w:r w:rsidR="002F215B">
        <w:rPr>
          <w:rStyle w:val="Ninguno"/>
          <w:lang w:val="es-PY"/>
        </w:rPr>
        <w:t xml:space="preserve">campañas </w:t>
      </w:r>
      <w:r w:rsidR="002F215B" w:rsidRPr="00FF51FA">
        <w:rPr>
          <w:rStyle w:val="Ninguno"/>
          <w:lang w:val="es-PY"/>
        </w:rPr>
        <w:t xml:space="preserve">de socialización y sensibilización, entre ellas, “Judicialmente Éticos” dirigida a Magistrados. </w:t>
      </w:r>
    </w:p>
    <w:p w14:paraId="49714E18" w14:textId="615A2923" w:rsidR="002F215B" w:rsidRDefault="00E64C5F" w:rsidP="00F15FE4">
      <w:pPr>
        <w:pStyle w:val="SingleTxtG"/>
        <w:rPr>
          <w:noProof/>
        </w:rPr>
      </w:pPr>
      <w:r>
        <w:rPr>
          <w:noProof/>
        </w:rPr>
        <w:t>38</w:t>
      </w:r>
      <w:r w:rsidR="002F215B">
        <w:rPr>
          <w:noProof/>
        </w:rPr>
        <w:t xml:space="preserve">. </w:t>
      </w:r>
      <w:r w:rsidR="00F15FE4">
        <w:rPr>
          <w:noProof/>
        </w:rPr>
        <w:tab/>
      </w:r>
      <w:r w:rsidR="002F215B">
        <w:rPr>
          <w:noProof/>
        </w:rPr>
        <w:t>E</w:t>
      </w:r>
      <w:r w:rsidR="002F215B" w:rsidRPr="009E5EA0">
        <w:rPr>
          <w:noProof/>
        </w:rPr>
        <w:t>l M</w:t>
      </w:r>
      <w:r w:rsidR="002F215B">
        <w:rPr>
          <w:noProof/>
        </w:rPr>
        <w:t xml:space="preserve">DI </w:t>
      </w:r>
      <w:r w:rsidR="002F215B" w:rsidRPr="009E5EA0">
        <w:rPr>
          <w:noProof/>
        </w:rPr>
        <w:t xml:space="preserve">ha </w:t>
      </w:r>
      <w:r w:rsidR="002F215B">
        <w:rPr>
          <w:noProof/>
        </w:rPr>
        <w:t>desarrollado</w:t>
      </w:r>
      <w:r w:rsidR="002F215B" w:rsidRPr="009E5EA0">
        <w:rPr>
          <w:noProof/>
        </w:rPr>
        <w:t xml:space="preserve"> varias actividades en distintas dependencias de la Institución Policial, en el marco de la lucha contra la corrupción, y con el fin de orientar</w:t>
      </w:r>
      <w:r w:rsidR="002F215B">
        <w:rPr>
          <w:noProof/>
        </w:rPr>
        <w:t xml:space="preserve"> y </w:t>
      </w:r>
      <w:r w:rsidR="002F215B" w:rsidRPr="009E5EA0">
        <w:rPr>
          <w:noProof/>
        </w:rPr>
        <w:t xml:space="preserve">capacitar al plantel sobre los mecanismos existentes aplicables </w:t>
      </w:r>
      <w:r w:rsidR="002F215B">
        <w:rPr>
          <w:noProof/>
        </w:rPr>
        <w:t xml:space="preserve">a la cuestión </w:t>
      </w:r>
      <w:r w:rsidR="002F215B" w:rsidRPr="009E5EA0">
        <w:rPr>
          <w:noProof/>
        </w:rPr>
        <w:t xml:space="preserve">dentro de la función policial, </w:t>
      </w:r>
      <w:r w:rsidR="002F215B">
        <w:rPr>
          <w:noProof/>
        </w:rPr>
        <w:t xml:space="preserve">como la creación </w:t>
      </w:r>
      <w:r w:rsidR="002F215B" w:rsidRPr="009E5EA0">
        <w:rPr>
          <w:noProof/>
        </w:rPr>
        <w:t>del Comité de Mapa de Riesgo</w:t>
      </w:r>
      <w:r w:rsidR="002F215B">
        <w:rPr>
          <w:noProof/>
        </w:rPr>
        <w:t xml:space="preserve"> de Corrupción y diversas charlas charlas informativas sobre la temática. </w:t>
      </w:r>
    </w:p>
    <w:p w14:paraId="613E0285" w14:textId="5AE917A1" w:rsidR="002F215B" w:rsidRPr="009A43B8" w:rsidRDefault="00E64C5F" w:rsidP="00F15FE4">
      <w:pPr>
        <w:pStyle w:val="SingleTxtG"/>
        <w:rPr>
          <w:noProof/>
        </w:rPr>
      </w:pPr>
      <w:r>
        <w:rPr>
          <w:noProof/>
        </w:rPr>
        <w:t>39</w:t>
      </w:r>
      <w:r w:rsidR="002F215B">
        <w:rPr>
          <w:noProof/>
        </w:rPr>
        <w:t xml:space="preserve">. </w:t>
      </w:r>
      <w:r w:rsidR="00F15FE4">
        <w:rPr>
          <w:noProof/>
        </w:rPr>
        <w:tab/>
      </w:r>
      <w:r w:rsidR="002F215B" w:rsidRPr="001C3252">
        <w:rPr>
          <w:noProof/>
        </w:rPr>
        <w:t xml:space="preserve">La Unidad Anticorrupción del MDI fue elevada a Dirección General de Transparencia y Anticorrupción, a fin de implementar las políticas de integridad. </w:t>
      </w:r>
      <w:r w:rsidR="002F215B">
        <w:rPr>
          <w:noProof/>
        </w:rPr>
        <w:t xml:space="preserve">Fue establecida </w:t>
      </w:r>
      <w:r w:rsidR="002F215B" w:rsidRPr="001C3252">
        <w:rPr>
          <w:noProof/>
        </w:rPr>
        <w:t xml:space="preserve">la estructura orgánica y funcional del Departamento de Trasparencia y Anticorrupción, y la Oficina de Acceso a Información Pública del MDI. </w:t>
      </w:r>
      <w:r w:rsidR="002F215B">
        <w:rPr>
          <w:noProof/>
        </w:rPr>
        <w:t>Además, s</w:t>
      </w:r>
      <w:r w:rsidR="002F215B" w:rsidRPr="009A43B8">
        <w:rPr>
          <w:noProof/>
        </w:rPr>
        <w:t>e estableció el Departamento de Asuntos Internos como instancia de investigación de denuncias contra efectivos policiales, cuyos resultados son remitidos a la Dirección de Justicia Policial, para determinación de responsabilidades y</w:t>
      </w:r>
      <w:r w:rsidR="002F215B">
        <w:rPr>
          <w:noProof/>
        </w:rPr>
        <w:t xml:space="preserve"> eventual</w:t>
      </w:r>
      <w:r w:rsidR="002F215B" w:rsidRPr="009A43B8">
        <w:rPr>
          <w:noProof/>
        </w:rPr>
        <w:t xml:space="preserve"> remisión de antecedentes al MP</w:t>
      </w:r>
      <w:r w:rsidR="002F215B">
        <w:rPr>
          <w:noProof/>
        </w:rPr>
        <w:t xml:space="preserve">. </w:t>
      </w:r>
    </w:p>
    <w:p w14:paraId="74BDB437" w14:textId="3B3C5541" w:rsidR="002F215B" w:rsidRPr="00313319" w:rsidRDefault="00E64C5F" w:rsidP="00F15FE4">
      <w:pPr>
        <w:pStyle w:val="SingleTxtG"/>
        <w:rPr>
          <w:rStyle w:val="Ninguno"/>
          <w:noProof/>
          <w:color w:val="000000"/>
        </w:rPr>
      </w:pPr>
      <w:r>
        <w:rPr>
          <w:noProof/>
        </w:rPr>
        <w:t>40</w:t>
      </w:r>
      <w:r w:rsidR="002F215B">
        <w:rPr>
          <w:noProof/>
        </w:rPr>
        <w:t xml:space="preserve">. </w:t>
      </w:r>
      <w:r w:rsidR="00F15FE4">
        <w:rPr>
          <w:noProof/>
        </w:rPr>
        <w:tab/>
      </w:r>
      <w:r w:rsidR="002F215B" w:rsidRPr="00CA10E9">
        <w:rPr>
          <w:noProof/>
        </w:rPr>
        <w:t>La creación de juzgados especializados en delitos económicos y corrupción</w:t>
      </w:r>
      <w:r w:rsidR="002F215B">
        <w:rPr>
          <w:noProof/>
        </w:rPr>
        <w:t>,</w:t>
      </w:r>
      <w:r w:rsidR="002F215B" w:rsidRPr="00CA10E9">
        <w:rPr>
          <w:noProof/>
        </w:rPr>
        <w:t xml:space="preserve"> con potestad de conocer, decidir y ejecutar lo decidido en procesos de cohecho, soborno, prevaricato y otros, a través de la la Ley</w:t>
      </w:r>
      <w:r w:rsidR="002F215B">
        <w:rPr>
          <w:noProof/>
        </w:rPr>
        <w:t xml:space="preserve"> </w:t>
      </w:r>
      <w:r w:rsidR="002F215B" w:rsidRPr="00CA10E9">
        <w:rPr>
          <w:noProof/>
        </w:rPr>
        <w:t>6379/19</w:t>
      </w:r>
      <w:r w:rsidR="002F215B" w:rsidRPr="00CA10E9">
        <w:rPr>
          <w:rStyle w:val="Refdenotaalpie"/>
          <w:noProof/>
          <w:color w:val="000000"/>
        </w:rPr>
        <w:footnoteReference w:id="24"/>
      </w:r>
      <w:r w:rsidR="002F215B" w:rsidRPr="00CA10E9">
        <w:rPr>
          <w:noProof/>
        </w:rPr>
        <w:t xml:space="preserve">, ha sido fortalecido con la Ley 6.430/19 </w:t>
      </w:r>
      <w:r w:rsidR="002F215B" w:rsidRPr="00ED72E6">
        <w:rPr>
          <w:noProof/>
        </w:rPr>
        <w:t>“Que previene, tipifica y sanciona el cohecho y el soborno transnacional”</w:t>
      </w:r>
      <w:r w:rsidR="002F215B" w:rsidRPr="00CA10E9">
        <w:rPr>
          <w:rStyle w:val="Refdenotaalpie"/>
          <w:noProof/>
          <w:color w:val="000000"/>
        </w:rPr>
        <w:footnoteReference w:id="25"/>
      </w:r>
      <w:r w:rsidR="002F215B" w:rsidRPr="00CA10E9">
        <w:rPr>
          <w:noProof/>
        </w:rPr>
        <w:t>. Además, d</w:t>
      </w:r>
      <w:r w:rsidR="002F215B" w:rsidRPr="00CA10E9">
        <w:t>esde</w:t>
      </w:r>
      <w:r w:rsidR="002F215B" w:rsidRPr="00CA10E9">
        <w:rPr>
          <w:rStyle w:val="Ninguno"/>
          <w:bCs/>
          <w:lang w:val="es-ES_tradnl"/>
        </w:rPr>
        <w:t xml:space="preserve"> </w:t>
      </w:r>
      <w:r w:rsidR="002F215B" w:rsidRPr="00CA10E9">
        <w:t>2019</w:t>
      </w:r>
      <w:r w:rsidR="002F215B" w:rsidRPr="00CA10E9">
        <w:rPr>
          <w:rStyle w:val="Ninguno"/>
          <w:bCs/>
          <w:lang w:val="es-ES_tradnl"/>
        </w:rPr>
        <w:t>, el Sistema de Información Policial incorporó criterios de recolección de datos sobre “actos que conllevan fraude, engaño o corrupción”, desagregados por presuntos hechos de usura, cohecho pasivo, fraude, enriquecimiento ilícito, tráfico de influencias, soborno, corrupción, etc.</w:t>
      </w:r>
    </w:p>
    <w:p w14:paraId="1A4348EE" w14:textId="149F6952" w:rsidR="002F215B" w:rsidRPr="00CA10E9" w:rsidRDefault="00E64C5F" w:rsidP="00F15FE4">
      <w:pPr>
        <w:pStyle w:val="SingleTxtG"/>
        <w:rPr>
          <w:noProof/>
        </w:rPr>
      </w:pPr>
      <w:r>
        <w:rPr>
          <w:noProof/>
          <w:color w:val="000000"/>
        </w:rPr>
        <w:t>41</w:t>
      </w:r>
      <w:r w:rsidR="002F215B">
        <w:rPr>
          <w:noProof/>
          <w:color w:val="000000"/>
        </w:rPr>
        <w:t xml:space="preserve">. </w:t>
      </w:r>
      <w:r w:rsidR="00F15FE4">
        <w:rPr>
          <w:noProof/>
          <w:color w:val="000000"/>
        </w:rPr>
        <w:tab/>
      </w:r>
      <w:r w:rsidR="002F215B">
        <w:rPr>
          <w:noProof/>
          <w:color w:val="000000"/>
        </w:rPr>
        <w:t>L</w:t>
      </w:r>
      <w:r w:rsidR="002F215B" w:rsidRPr="009E5EA0">
        <w:rPr>
          <w:noProof/>
          <w:color w:val="000000"/>
        </w:rPr>
        <w:t xml:space="preserve">a Unidad Especializada de Delitos Económicos y Anticorrupción </w:t>
      </w:r>
      <w:r w:rsidR="002F215B">
        <w:rPr>
          <w:noProof/>
          <w:color w:val="000000"/>
        </w:rPr>
        <w:t xml:space="preserve">del MP </w:t>
      </w:r>
      <w:r w:rsidR="002F215B" w:rsidRPr="003314B7">
        <w:t>investiga</w:t>
      </w:r>
      <w:r w:rsidR="002F215B">
        <w:t xml:space="preserve"> </w:t>
      </w:r>
      <w:r w:rsidR="002F215B" w:rsidRPr="003314B7">
        <w:t>delitos de corrupción pública, delitos económicos, lavado de activos y financiamiento del terrorismo. Se encuentra a cargo de una Fiscalía Adjunta y conformada por 14 agentes fiscales</w:t>
      </w:r>
      <w:r w:rsidR="002F215B">
        <w:rPr>
          <w:noProof/>
          <w:color w:val="000000"/>
        </w:rPr>
        <w:t>, que</w:t>
      </w:r>
      <w:r w:rsidR="002F215B" w:rsidRPr="009E5EA0">
        <w:rPr>
          <w:noProof/>
          <w:color w:val="000000"/>
        </w:rPr>
        <w:t xml:space="preserve"> han obtenido condenas emblemáticas</w:t>
      </w:r>
      <w:r w:rsidR="002F215B">
        <w:rPr>
          <w:noProof/>
          <w:color w:val="000000"/>
        </w:rPr>
        <w:t xml:space="preserve">, siendo </w:t>
      </w:r>
      <w:r w:rsidR="002F215B" w:rsidRPr="009E5EA0">
        <w:rPr>
          <w:noProof/>
          <w:color w:val="000000"/>
        </w:rPr>
        <w:t>la</w:t>
      </w:r>
      <w:r w:rsidR="002F215B">
        <w:rPr>
          <w:noProof/>
          <w:color w:val="000000"/>
        </w:rPr>
        <w:t>s</w:t>
      </w:r>
      <w:r w:rsidR="002F215B" w:rsidRPr="009E5EA0">
        <w:rPr>
          <w:noProof/>
          <w:color w:val="000000"/>
        </w:rPr>
        <w:t xml:space="preserve"> más elevada</w:t>
      </w:r>
      <w:r w:rsidR="002F215B">
        <w:rPr>
          <w:noProof/>
          <w:color w:val="000000"/>
        </w:rPr>
        <w:t>s</w:t>
      </w:r>
      <w:r w:rsidR="002F215B" w:rsidRPr="009E5EA0">
        <w:rPr>
          <w:noProof/>
          <w:color w:val="000000"/>
        </w:rPr>
        <w:t xml:space="preserve"> obtenida</w:t>
      </w:r>
      <w:r w:rsidR="002F215B">
        <w:rPr>
          <w:noProof/>
          <w:color w:val="000000"/>
        </w:rPr>
        <w:t>s</w:t>
      </w:r>
      <w:r w:rsidR="002F215B" w:rsidRPr="009E5EA0">
        <w:rPr>
          <w:noProof/>
          <w:color w:val="000000"/>
        </w:rPr>
        <w:t xml:space="preserve"> hasta la fecha</w:t>
      </w:r>
      <w:r w:rsidR="002F215B">
        <w:rPr>
          <w:noProof/>
          <w:color w:val="000000"/>
        </w:rPr>
        <w:t xml:space="preserve"> una</w:t>
      </w:r>
      <w:r w:rsidR="002F215B" w:rsidRPr="009E5EA0">
        <w:rPr>
          <w:noProof/>
          <w:color w:val="000000"/>
        </w:rPr>
        <w:t xml:space="preserve"> 15 años</w:t>
      </w:r>
      <w:r w:rsidR="002F215B">
        <w:rPr>
          <w:noProof/>
          <w:color w:val="000000"/>
        </w:rPr>
        <w:t xml:space="preserve"> de pena privativa de libertad </w:t>
      </w:r>
      <w:r w:rsidR="002F215B" w:rsidRPr="009E5EA0">
        <w:rPr>
          <w:noProof/>
          <w:color w:val="000000"/>
        </w:rPr>
        <w:t>y una confirmación de 12 años de cárcel.</w:t>
      </w:r>
    </w:p>
    <w:p w14:paraId="2DBFAC06" w14:textId="429825F0" w:rsidR="002F215B" w:rsidRPr="00FF51FA" w:rsidRDefault="00E64C5F" w:rsidP="00F15FE4">
      <w:pPr>
        <w:pStyle w:val="SingleTxtG"/>
        <w:rPr>
          <w:lang w:val="es-PY"/>
        </w:rPr>
      </w:pPr>
      <w:r>
        <w:t>42</w:t>
      </w:r>
      <w:r w:rsidR="002F215B">
        <w:t xml:space="preserve">. </w:t>
      </w:r>
      <w:r w:rsidR="00F15FE4">
        <w:tab/>
      </w:r>
      <w:r w:rsidR="002F215B" w:rsidRPr="00FF51FA">
        <w:rPr>
          <w:lang w:val="es-PY"/>
        </w:rPr>
        <w:t xml:space="preserve">De acuerdo con la </w:t>
      </w:r>
      <w:r w:rsidR="002F215B">
        <w:rPr>
          <w:lang w:val="es-PY"/>
        </w:rPr>
        <w:t>Constitución</w:t>
      </w:r>
      <w:r w:rsidR="002F215B" w:rsidRPr="00FF51FA">
        <w:rPr>
          <w:lang w:val="es-PY"/>
        </w:rPr>
        <w:t xml:space="preserve">, </w:t>
      </w:r>
      <w:r w:rsidR="002F215B" w:rsidRPr="00FF51FA">
        <w:rPr>
          <w:rStyle w:val="Ninguno"/>
          <w:lang w:val="es-PY"/>
        </w:rPr>
        <w:t xml:space="preserve">los miembros de la CSJ, Tribunales y Juzgados, el Fiscal General y los Agentes Fiscales son </w:t>
      </w:r>
      <w:r w:rsidR="002F215B">
        <w:rPr>
          <w:rStyle w:val="Ninguno"/>
          <w:lang w:val="es-PY"/>
        </w:rPr>
        <w:t>elegidos</w:t>
      </w:r>
      <w:r w:rsidR="002F215B" w:rsidRPr="00FF51FA">
        <w:rPr>
          <w:rStyle w:val="Ninguno"/>
          <w:lang w:val="es-PY"/>
        </w:rPr>
        <w:t xml:space="preserve"> </w:t>
      </w:r>
      <w:r w:rsidR="002F215B">
        <w:rPr>
          <w:rStyle w:val="Ninguno"/>
          <w:lang w:val="es-PY"/>
        </w:rPr>
        <w:t>de</w:t>
      </w:r>
      <w:r w:rsidR="002F215B" w:rsidRPr="00FF51FA">
        <w:rPr>
          <w:rStyle w:val="Ninguno"/>
          <w:lang w:val="es-PY"/>
        </w:rPr>
        <w:t xml:space="preserve"> ternas </w:t>
      </w:r>
      <w:r w:rsidR="002F215B">
        <w:rPr>
          <w:rStyle w:val="Ninguno"/>
          <w:lang w:val="es-PY"/>
        </w:rPr>
        <w:t xml:space="preserve">propuestas por </w:t>
      </w:r>
      <w:r w:rsidR="002F215B" w:rsidRPr="00FF51FA">
        <w:rPr>
          <w:rStyle w:val="Ninguno"/>
          <w:lang w:val="es-PY"/>
        </w:rPr>
        <w:t xml:space="preserve">el Consejo de la Magistratura, previo cumplimiento de requisitos constitucionales y legales para acceder a tales cargos. La reglamentación de procedimientos incluye </w:t>
      </w:r>
      <w:r w:rsidR="002F215B" w:rsidRPr="00FF51FA">
        <w:rPr>
          <w:lang w:val="es-PY"/>
        </w:rPr>
        <w:t>calificación de méritos académicos y experiencia, evaluación de honorabilidad y análisis de antecedentes, trayectoria, desempeño y reconocimiento social, mediante Audiencia Pública que puede transmitirse por medios tecnológicos de difusión.</w:t>
      </w:r>
    </w:p>
    <w:p w14:paraId="381DDEFC" w14:textId="61F43609" w:rsidR="002F215B" w:rsidRDefault="00E64C5F" w:rsidP="00F15FE4">
      <w:pPr>
        <w:pStyle w:val="SingleTxtG"/>
        <w:rPr>
          <w:noProof/>
        </w:rPr>
      </w:pPr>
      <w:r>
        <w:rPr>
          <w:noProof/>
        </w:rPr>
        <w:t>43</w:t>
      </w:r>
      <w:r w:rsidR="002F215B">
        <w:rPr>
          <w:noProof/>
        </w:rPr>
        <w:t xml:space="preserve">. </w:t>
      </w:r>
      <w:r w:rsidR="00F15FE4">
        <w:rPr>
          <w:noProof/>
        </w:rPr>
        <w:tab/>
      </w:r>
      <w:r w:rsidR="002F215B">
        <w:rPr>
          <w:noProof/>
        </w:rPr>
        <w:t>Mediante Ley 6814/21</w:t>
      </w:r>
      <w:r w:rsidR="002F215B">
        <w:rPr>
          <w:rStyle w:val="Refdenotaalpie"/>
          <w:noProof/>
          <w:color w:val="000000"/>
        </w:rPr>
        <w:footnoteReference w:id="26"/>
      </w:r>
      <w:r w:rsidR="002F215B">
        <w:rPr>
          <w:noProof/>
        </w:rPr>
        <w:t xml:space="preserve"> se estableció el proceso de enjuiciamiento y eventual remoción del cargo de los miembros de Tribunales de Apelación, Jueces, Fiscales Adjuntos, Agentes Fiscales, Defensor General, Defensores Adjuntos y Defensores Públicos. </w:t>
      </w:r>
    </w:p>
    <w:p w14:paraId="3D0F2B2F" w14:textId="70C9ECE7" w:rsidR="002F215B" w:rsidRDefault="00E64C5F" w:rsidP="00F15FE4">
      <w:pPr>
        <w:pStyle w:val="SingleTxtG"/>
        <w:rPr>
          <w:noProof/>
        </w:rPr>
      </w:pPr>
      <w:r>
        <w:rPr>
          <w:noProof/>
        </w:rPr>
        <w:t>44</w:t>
      </w:r>
      <w:r w:rsidR="002F215B">
        <w:rPr>
          <w:noProof/>
        </w:rPr>
        <w:t xml:space="preserve">. </w:t>
      </w:r>
      <w:r w:rsidR="00F15FE4">
        <w:rPr>
          <w:noProof/>
        </w:rPr>
        <w:tab/>
      </w:r>
      <w:r w:rsidR="002F215B" w:rsidRPr="009E5EA0">
        <w:rPr>
          <w:noProof/>
        </w:rPr>
        <w:t>En cuanto a la revisión de leyes en materia de administración de justicia</w:t>
      </w:r>
      <w:r w:rsidR="002F215B">
        <w:rPr>
          <w:noProof/>
        </w:rPr>
        <w:t xml:space="preserve">, la </w:t>
      </w:r>
      <w:r w:rsidR="002F215B" w:rsidRPr="009E5EA0">
        <w:rPr>
          <w:noProof/>
        </w:rPr>
        <w:t>Ley 6721</w:t>
      </w:r>
      <w:r w:rsidR="002F215B">
        <w:rPr>
          <w:noProof/>
        </w:rPr>
        <w:t>/21</w:t>
      </w:r>
      <w:r w:rsidR="002F215B">
        <w:rPr>
          <w:rStyle w:val="Refdenotaalpie"/>
          <w:noProof/>
          <w:color w:val="000000"/>
        </w:rPr>
        <w:footnoteReference w:id="27"/>
      </w:r>
      <w:r w:rsidR="002F215B" w:rsidRPr="009E5EA0">
        <w:rPr>
          <w:noProof/>
        </w:rPr>
        <w:t xml:space="preserve"> </w:t>
      </w:r>
      <w:r w:rsidR="002F215B">
        <w:rPr>
          <w:noProof/>
        </w:rPr>
        <w:t xml:space="preserve">estableció que la Comisión Nacional integrada para el efecto </w:t>
      </w:r>
      <w:r w:rsidR="002F215B" w:rsidRPr="009E5EA0">
        <w:rPr>
          <w:noProof/>
        </w:rPr>
        <w:t>elevará sus conclusiones a consideración del Poder Legislativo, en el plazo de cuatro años</w:t>
      </w:r>
      <w:r w:rsidR="002F215B">
        <w:rPr>
          <w:noProof/>
        </w:rPr>
        <w:t>.</w:t>
      </w:r>
    </w:p>
    <w:p w14:paraId="1A8560BD" w14:textId="0D9260DE" w:rsidR="002F215B" w:rsidRPr="008865CD" w:rsidRDefault="00E64C5F" w:rsidP="00795792">
      <w:pPr>
        <w:pStyle w:val="SingleTxtG"/>
        <w:keepNext/>
        <w:keepLines/>
        <w:rPr>
          <w:color w:val="000000"/>
        </w:rPr>
      </w:pPr>
      <w:r>
        <w:rPr>
          <w:rFonts w:eastAsia="Times New Roman"/>
          <w:noProof/>
          <w:color w:val="000000"/>
          <w:lang w:val="es-PY" w:eastAsia="es-PY"/>
        </w:rPr>
        <w:lastRenderedPageBreak/>
        <w:t>45</w:t>
      </w:r>
      <w:r w:rsidR="00F15FE4">
        <w:rPr>
          <w:rFonts w:eastAsia="Times New Roman"/>
          <w:noProof/>
          <w:color w:val="000000"/>
          <w:lang w:val="es-PY" w:eastAsia="es-PY"/>
        </w:rPr>
        <w:t>.</w:t>
      </w:r>
      <w:r w:rsidR="00F15FE4">
        <w:rPr>
          <w:rFonts w:eastAsia="Times New Roman"/>
          <w:noProof/>
          <w:color w:val="000000"/>
          <w:lang w:val="es-PY" w:eastAsia="es-PY"/>
        </w:rPr>
        <w:tab/>
      </w:r>
      <w:r w:rsidR="002F215B">
        <w:rPr>
          <w:rFonts w:eastAsia="Times New Roman"/>
          <w:noProof/>
          <w:color w:val="000000"/>
          <w:lang w:val="es-PY" w:eastAsia="es-PY"/>
        </w:rPr>
        <w:t xml:space="preserve">Finalemente, </w:t>
      </w:r>
      <w:r w:rsidR="002F215B" w:rsidRPr="00104976">
        <w:rPr>
          <w:lang w:val="es-PY"/>
        </w:rPr>
        <w:t xml:space="preserve">el Paraguay reafirma su franca voluntad de seguir colaborando de buena fe con </w:t>
      </w:r>
      <w:r w:rsidR="002F215B">
        <w:rPr>
          <w:lang w:val="es-PY"/>
        </w:rPr>
        <w:t>el honorable Comité de Derechos Humanos</w:t>
      </w:r>
      <w:r w:rsidR="002F215B" w:rsidRPr="00104976">
        <w:rPr>
          <w:lang w:val="es-PY"/>
        </w:rPr>
        <w:t>,</w:t>
      </w:r>
      <w:r w:rsidR="002F215B">
        <w:rPr>
          <w:lang w:val="es-PY"/>
        </w:rPr>
        <w:t xml:space="preserve"> así como </w:t>
      </w:r>
      <w:r w:rsidR="002F215B" w:rsidRPr="00104976">
        <w:rPr>
          <w:lang w:val="es-PY"/>
        </w:rPr>
        <w:t>su compromiso con los derechos humanos y su disposición al diálogo transparente y a la cooperación constructiva con los mecanismos internacionales de promoción y protección</w:t>
      </w:r>
      <w:r w:rsidR="002F215B">
        <w:rPr>
          <w:lang w:val="es-PY"/>
        </w:rPr>
        <w:t xml:space="preserve"> de los derechos humanos. </w:t>
      </w:r>
    </w:p>
    <w:p w14:paraId="09DCF6A0" w14:textId="6D78966A" w:rsidR="00CA1D8A" w:rsidRPr="007011EE" w:rsidRDefault="00CA1D8A">
      <w:pPr>
        <w:spacing w:line="240" w:lineRule="auto"/>
        <w:rPr>
          <w:noProof/>
          <w:color w:val="000000"/>
          <w:sz w:val="24"/>
          <w:szCs w:val="24"/>
        </w:rPr>
      </w:pPr>
      <w:r w:rsidRPr="007011EE">
        <w:rPr>
          <w:noProof/>
          <w:color w:val="000000"/>
        </w:rPr>
        <w:br w:type="page"/>
      </w:r>
    </w:p>
    <w:p w14:paraId="33183F4B" w14:textId="53AC1B9C" w:rsidR="002F215B" w:rsidRDefault="00F15FE4" w:rsidP="00240649">
      <w:pPr>
        <w:pStyle w:val="HChG"/>
        <w:rPr>
          <w:noProof/>
          <w:lang w:val="es-PY"/>
        </w:rPr>
      </w:pPr>
      <w:r>
        <w:rPr>
          <w:noProof/>
          <w:lang w:val="es-PY"/>
        </w:rPr>
        <w:lastRenderedPageBreak/>
        <w:tab/>
        <w:t>Anexo</w:t>
      </w:r>
      <w:r w:rsidR="00E64C5F">
        <w:rPr>
          <w:noProof/>
          <w:lang w:val="es-PY"/>
        </w:rPr>
        <w:t xml:space="preserve"> I</w:t>
      </w:r>
    </w:p>
    <w:tbl>
      <w:tblPr>
        <w:tblStyle w:val="Tablaconcuadrcula"/>
        <w:tblW w:w="751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834"/>
        <w:gridCol w:w="1889"/>
        <w:gridCol w:w="1881"/>
        <w:gridCol w:w="1909"/>
      </w:tblGrid>
      <w:tr w:rsidR="00F15FE4" w:rsidRPr="00240649" w14:paraId="00288EA5" w14:textId="77777777" w:rsidTr="007216D1">
        <w:trPr>
          <w:trHeight w:val="240"/>
          <w:tblHeader/>
        </w:trPr>
        <w:tc>
          <w:tcPr>
            <w:tcW w:w="1834" w:type="dxa"/>
            <w:tcBorders>
              <w:top w:val="single" w:sz="4" w:space="0" w:color="auto"/>
              <w:bottom w:val="single" w:sz="12" w:space="0" w:color="auto"/>
            </w:tcBorders>
            <w:shd w:val="clear" w:color="auto" w:fill="auto"/>
            <w:vAlign w:val="bottom"/>
          </w:tcPr>
          <w:p w14:paraId="701646C4" w14:textId="77777777" w:rsidR="002F215B" w:rsidRPr="00240649" w:rsidRDefault="002F215B" w:rsidP="00240649">
            <w:pPr>
              <w:spacing w:before="80" w:after="80" w:line="200" w:lineRule="exact"/>
              <w:rPr>
                <w:rFonts w:eastAsiaTheme="minorHAnsi"/>
                <w:i/>
                <w:noProof/>
                <w:sz w:val="16"/>
                <w:lang w:eastAsia="en-US"/>
              </w:rPr>
            </w:pPr>
            <w:bookmarkStart w:id="0" w:name="_Hlk134555039"/>
            <w:r w:rsidRPr="00240649">
              <w:rPr>
                <w:i/>
                <w:noProof/>
                <w:sz w:val="16"/>
              </w:rPr>
              <w:t>Causa Nº 28/10 “Eusebio Torres y Otros s/ Tortura”</w:t>
            </w:r>
          </w:p>
        </w:tc>
        <w:tc>
          <w:tcPr>
            <w:tcW w:w="1889" w:type="dxa"/>
            <w:tcBorders>
              <w:top w:val="single" w:sz="4" w:space="0" w:color="auto"/>
              <w:bottom w:val="single" w:sz="12" w:space="0" w:color="auto"/>
            </w:tcBorders>
            <w:shd w:val="clear" w:color="auto" w:fill="auto"/>
            <w:vAlign w:val="bottom"/>
          </w:tcPr>
          <w:p w14:paraId="21A5AF36" w14:textId="645A08EC" w:rsidR="002F215B" w:rsidRPr="00240649" w:rsidRDefault="002F215B" w:rsidP="00240649">
            <w:pPr>
              <w:spacing w:before="80" w:after="80" w:line="200" w:lineRule="exact"/>
              <w:rPr>
                <w:rFonts w:eastAsiaTheme="minorHAnsi"/>
                <w:i/>
                <w:noProof/>
                <w:sz w:val="16"/>
                <w:lang w:eastAsia="en-US"/>
              </w:rPr>
            </w:pPr>
            <w:r w:rsidRPr="00240649">
              <w:rPr>
                <w:i/>
                <w:noProof/>
                <w:sz w:val="16"/>
              </w:rPr>
              <w:t>Causa Nº 83/11 “Lucilo Benítez y</w:t>
            </w:r>
            <w:r w:rsidR="007011EE" w:rsidRPr="00240649">
              <w:rPr>
                <w:i/>
                <w:noProof/>
                <w:sz w:val="16"/>
              </w:rPr>
              <w:t xml:space="preserve"> </w:t>
            </w:r>
            <w:r w:rsidRPr="00240649">
              <w:rPr>
                <w:i/>
                <w:noProof/>
                <w:sz w:val="16"/>
              </w:rPr>
              <w:t>Otros s/ Tortura”</w:t>
            </w:r>
          </w:p>
        </w:tc>
        <w:tc>
          <w:tcPr>
            <w:tcW w:w="1881" w:type="dxa"/>
            <w:tcBorders>
              <w:top w:val="single" w:sz="4" w:space="0" w:color="auto"/>
              <w:bottom w:val="single" w:sz="12" w:space="0" w:color="auto"/>
            </w:tcBorders>
            <w:shd w:val="clear" w:color="auto" w:fill="auto"/>
            <w:vAlign w:val="bottom"/>
          </w:tcPr>
          <w:p w14:paraId="6C3F7492" w14:textId="77777777" w:rsidR="002F215B" w:rsidRPr="00240649" w:rsidRDefault="002F215B" w:rsidP="00240649">
            <w:pPr>
              <w:spacing w:before="80" w:after="80" w:line="200" w:lineRule="exact"/>
              <w:rPr>
                <w:rFonts w:eastAsiaTheme="minorHAnsi"/>
                <w:i/>
                <w:noProof/>
                <w:sz w:val="16"/>
                <w:lang w:eastAsia="en-US"/>
              </w:rPr>
            </w:pPr>
            <w:r w:rsidRPr="00240649">
              <w:rPr>
                <w:i/>
                <w:noProof/>
                <w:sz w:val="16"/>
              </w:rPr>
              <w:t>Causa Nº 26/18 “Lucilo Benítez y Otros s/ Tortura”</w:t>
            </w:r>
          </w:p>
        </w:tc>
        <w:tc>
          <w:tcPr>
            <w:tcW w:w="1909" w:type="dxa"/>
            <w:tcBorders>
              <w:top w:val="single" w:sz="4" w:space="0" w:color="auto"/>
              <w:bottom w:val="single" w:sz="12" w:space="0" w:color="auto"/>
            </w:tcBorders>
            <w:shd w:val="clear" w:color="auto" w:fill="auto"/>
            <w:vAlign w:val="bottom"/>
          </w:tcPr>
          <w:p w14:paraId="02793D12" w14:textId="3F7A797A" w:rsidR="002F215B" w:rsidRPr="00240649" w:rsidRDefault="002F215B" w:rsidP="00240649">
            <w:pPr>
              <w:spacing w:before="80" w:after="80" w:line="200" w:lineRule="exact"/>
              <w:rPr>
                <w:rFonts w:eastAsiaTheme="minorHAnsi"/>
                <w:i/>
                <w:noProof/>
                <w:sz w:val="16"/>
                <w:lang w:eastAsia="en-US"/>
              </w:rPr>
            </w:pPr>
            <w:r w:rsidRPr="00240649">
              <w:rPr>
                <w:i/>
                <w:noProof/>
                <w:sz w:val="16"/>
              </w:rPr>
              <w:t>Causa Nº 4827/2010</w:t>
            </w:r>
            <w:r w:rsidR="00240649">
              <w:rPr>
                <w:i/>
                <w:noProof/>
                <w:sz w:val="16"/>
              </w:rPr>
              <w:t xml:space="preserve"> </w:t>
            </w:r>
            <w:r w:rsidRPr="00240649">
              <w:rPr>
                <w:i/>
                <w:noProof/>
                <w:sz w:val="16"/>
              </w:rPr>
              <w:t>“Lucilo Benítez s/ Tortura”</w:t>
            </w:r>
          </w:p>
        </w:tc>
      </w:tr>
      <w:tr w:rsidR="00F15FE4" w:rsidRPr="00240649" w14:paraId="39C3C6F6" w14:textId="77777777" w:rsidTr="007216D1">
        <w:trPr>
          <w:trHeight w:hRule="exact" w:val="113"/>
        </w:trPr>
        <w:tc>
          <w:tcPr>
            <w:tcW w:w="1834" w:type="dxa"/>
            <w:tcBorders>
              <w:top w:val="single" w:sz="12" w:space="0" w:color="auto"/>
            </w:tcBorders>
            <w:shd w:val="clear" w:color="auto" w:fill="auto"/>
          </w:tcPr>
          <w:p w14:paraId="726B36F1" w14:textId="77777777" w:rsidR="00F15FE4" w:rsidRPr="00240649" w:rsidRDefault="00F15FE4" w:rsidP="00240649">
            <w:pPr>
              <w:spacing w:before="40" w:after="120"/>
              <w:rPr>
                <w:noProof/>
              </w:rPr>
            </w:pPr>
          </w:p>
        </w:tc>
        <w:tc>
          <w:tcPr>
            <w:tcW w:w="1889" w:type="dxa"/>
            <w:tcBorders>
              <w:top w:val="single" w:sz="12" w:space="0" w:color="auto"/>
            </w:tcBorders>
            <w:shd w:val="clear" w:color="auto" w:fill="auto"/>
          </w:tcPr>
          <w:p w14:paraId="1627ABCC" w14:textId="77777777" w:rsidR="00F15FE4" w:rsidRPr="00240649" w:rsidRDefault="00F15FE4" w:rsidP="00240649">
            <w:pPr>
              <w:spacing w:before="40" w:after="120"/>
              <w:rPr>
                <w:noProof/>
              </w:rPr>
            </w:pPr>
          </w:p>
        </w:tc>
        <w:tc>
          <w:tcPr>
            <w:tcW w:w="1881" w:type="dxa"/>
            <w:tcBorders>
              <w:top w:val="single" w:sz="12" w:space="0" w:color="auto"/>
            </w:tcBorders>
            <w:shd w:val="clear" w:color="auto" w:fill="auto"/>
          </w:tcPr>
          <w:p w14:paraId="0AF6687C" w14:textId="77777777" w:rsidR="00F15FE4" w:rsidRPr="00240649" w:rsidRDefault="00F15FE4" w:rsidP="00240649">
            <w:pPr>
              <w:spacing w:before="40" w:after="120"/>
              <w:rPr>
                <w:noProof/>
              </w:rPr>
            </w:pPr>
          </w:p>
        </w:tc>
        <w:tc>
          <w:tcPr>
            <w:tcW w:w="1909" w:type="dxa"/>
            <w:tcBorders>
              <w:top w:val="single" w:sz="12" w:space="0" w:color="auto"/>
            </w:tcBorders>
            <w:shd w:val="clear" w:color="auto" w:fill="auto"/>
          </w:tcPr>
          <w:p w14:paraId="2A131971" w14:textId="77777777" w:rsidR="00F15FE4" w:rsidRPr="00240649" w:rsidRDefault="00F15FE4" w:rsidP="00240649">
            <w:pPr>
              <w:spacing w:before="40" w:after="120"/>
              <w:rPr>
                <w:noProof/>
              </w:rPr>
            </w:pPr>
          </w:p>
        </w:tc>
      </w:tr>
      <w:tr w:rsidR="00F15FE4" w:rsidRPr="00240649" w14:paraId="69798192" w14:textId="77777777" w:rsidTr="007216D1">
        <w:trPr>
          <w:trHeight w:val="240"/>
        </w:trPr>
        <w:tc>
          <w:tcPr>
            <w:tcW w:w="1834" w:type="dxa"/>
            <w:tcBorders>
              <w:bottom w:val="single" w:sz="12" w:space="0" w:color="auto"/>
            </w:tcBorders>
            <w:shd w:val="clear" w:color="auto" w:fill="auto"/>
          </w:tcPr>
          <w:p w14:paraId="07DED090" w14:textId="6B846FAD" w:rsidR="002F215B" w:rsidRPr="00240649" w:rsidRDefault="002F215B" w:rsidP="00240649">
            <w:pPr>
              <w:spacing w:before="40" w:after="120"/>
              <w:rPr>
                <w:rFonts w:eastAsiaTheme="minorHAnsi"/>
                <w:noProof/>
                <w:lang w:eastAsia="en-US"/>
              </w:rPr>
            </w:pPr>
            <w:r w:rsidRPr="00240649">
              <w:rPr>
                <w:noProof/>
              </w:rPr>
              <w:t>Con recurso de casación pendiente de resolución.</w:t>
            </w:r>
          </w:p>
        </w:tc>
        <w:tc>
          <w:tcPr>
            <w:tcW w:w="1889" w:type="dxa"/>
            <w:tcBorders>
              <w:bottom w:val="single" w:sz="12" w:space="0" w:color="auto"/>
            </w:tcBorders>
            <w:shd w:val="clear" w:color="auto" w:fill="auto"/>
          </w:tcPr>
          <w:p w14:paraId="6A98F2D4" w14:textId="079835B2" w:rsidR="002F215B" w:rsidRPr="00240649" w:rsidRDefault="002F215B" w:rsidP="007216D1">
            <w:pPr>
              <w:spacing w:before="40" w:after="120"/>
              <w:rPr>
                <w:rFonts w:eastAsiaTheme="minorHAnsi"/>
                <w:noProof/>
                <w:lang w:eastAsia="en-US"/>
              </w:rPr>
            </w:pPr>
            <w:r w:rsidRPr="00240649">
              <w:rPr>
                <w:noProof/>
              </w:rPr>
              <w:t xml:space="preserve">Con Acusación Fiscal contra nueve ex efectivos policiales. Actualmente ante la Sala Penal Nº 3 de la Corte Suprema de Justicia, con recusaciones pendientes de resolución. </w:t>
            </w:r>
          </w:p>
        </w:tc>
        <w:tc>
          <w:tcPr>
            <w:tcW w:w="1881" w:type="dxa"/>
            <w:tcBorders>
              <w:bottom w:val="single" w:sz="12" w:space="0" w:color="auto"/>
            </w:tcBorders>
            <w:shd w:val="clear" w:color="auto" w:fill="auto"/>
          </w:tcPr>
          <w:p w14:paraId="483A6154" w14:textId="01518AA2" w:rsidR="002F215B" w:rsidRPr="00240649" w:rsidRDefault="002F215B" w:rsidP="001C67A5">
            <w:pPr>
              <w:spacing w:before="40" w:after="120"/>
              <w:rPr>
                <w:rFonts w:eastAsiaTheme="minorHAnsi"/>
                <w:noProof/>
                <w:lang w:eastAsia="en-US"/>
              </w:rPr>
            </w:pPr>
            <w:r w:rsidRPr="00240649">
              <w:rPr>
                <w:noProof/>
              </w:rPr>
              <w:t xml:space="preserve">Con Acusación Fiscal contra varios ex funcionarios del régimen dictatorial, ntre ellos: Nicolas Lucilo Benítez Santacruz, Camilo Almada Morel, Juan Aniceto Martínez Amarilla, Eusebio Torres Romero, Agustín Belotto Vouga, Manuel Crescencio Alcaraz, Obdulio Arguello Britez, Felipe Nery Saldivar y Fortunato Lorenzo Laspina. </w:t>
            </w:r>
          </w:p>
        </w:tc>
        <w:tc>
          <w:tcPr>
            <w:tcW w:w="1909" w:type="dxa"/>
            <w:tcBorders>
              <w:bottom w:val="single" w:sz="12" w:space="0" w:color="auto"/>
            </w:tcBorders>
            <w:shd w:val="clear" w:color="auto" w:fill="auto"/>
          </w:tcPr>
          <w:p w14:paraId="02B4B467" w14:textId="77777777" w:rsidR="002F215B" w:rsidRPr="00240649" w:rsidRDefault="002F215B" w:rsidP="00240649">
            <w:pPr>
              <w:spacing w:before="40" w:after="120"/>
              <w:rPr>
                <w:rFonts w:eastAsiaTheme="minorHAnsi"/>
                <w:noProof/>
                <w:lang w:eastAsia="en-US"/>
              </w:rPr>
            </w:pPr>
            <w:r w:rsidRPr="00240649">
              <w:rPr>
                <w:noProof/>
              </w:rPr>
              <w:t>Se ha imputado a Lucilo Benítez, actualmente en estado rebeldía.</w:t>
            </w:r>
          </w:p>
        </w:tc>
      </w:tr>
    </w:tbl>
    <w:bookmarkEnd w:id="0"/>
    <w:p w14:paraId="2E53334B" w14:textId="42CE2062" w:rsidR="00240649" w:rsidRPr="007216D1" w:rsidRDefault="00240649" w:rsidP="007216D1">
      <w:pPr>
        <w:pStyle w:val="SingleTxtG"/>
        <w:suppressAutoHyphens/>
        <w:spacing w:before="240" w:after="0"/>
        <w:jc w:val="center"/>
        <w:rPr>
          <w:u w:val="single"/>
        </w:rPr>
      </w:pPr>
      <w:r>
        <w:tab/>
      </w:r>
      <w:r w:rsidR="007216D1">
        <w:rPr>
          <w:u w:val="single"/>
        </w:rPr>
        <w:tab/>
      </w:r>
      <w:r w:rsidR="007216D1">
        <w:rPr>
          <w:u w:val="single"/>
        </w:rPr>
        <w:tab/>
      </w:r>
      <w:r w:rsidR="007216D1">
        <w:rPr>
          <w:u w:val="single"/>
        </w:rPr>
        <w:tab/>
      </w:r>
    </w:p>
    <w:sectPr w:rsidR="00240649" w:rsidRPr="007216D1"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BBBC8" w14:textId="77777777" w:rsidR="00735D07" w:rsidRDefault="00735D07">
      <w:pPr>
        <w:spacing w:line="240" w:lineRule="auto"/>
      </w:pPr>
      <w:r>
        <w:separator/>
      </w:r>
    </w:p>
  </w:endnote>
  <w:endnote w:type="continuationSeparator" w:id="0">
    <w:p w14:paraId="2975733F" w14:textId="77777777" w:rsidR="00735D07" w:rsidRDefault="00735D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7FFAE" w14:textId="480CBACF" w:rsidR="001A4396" w:rsidRPr="001A4396" w:rsidRDefault="00696B1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B563A">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DE6D" w14:textId="7725D52C" w:rsidR="001A4396" w:rsidRPr="001A4396" w:rsidRDefault="00696B1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B563A">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A8029" w14:textId="00064434" w:rsidR="00CF1D37" w:rsidRPr="00CF1D37" w:rsidRDefault="00CF1D37" w:rsidP="00CF1D37">
    <w:pPr>
      <w:pStyle w:val="Piedepgina"/>
      <w:tabs>
        <w:tab w:val="left" w:pos="6520"/>
        <w:tab w:val="right" w:pos="9638"/>
      </w:tabs>
      <w:spacing w:before="120" w:line="240" w:lineRule="auto"/>
      <w:rPr>
        <w:sz w:val="20"/>
      </w:rPr>
    </w:pPr>
    <w:proofErr w:type="spellStart"/>
    <w:r>
      <w:rPr>
        <w:sz w:val="20"/>
      </w:rPr>
      <w:t>GE.23</w:t>
    </w:r>
    <w:proofErr w:type="spellEnd"/>
    <w:r>
      <w:rPr>
        <w:sz w:val="20"/>
      </w:rPr>
      <w:t>-</w:t>
    </w:r>
    <w:proofErr w:type="gramStart"/>
    <w:r>
      <w:rPr>
        <w:sz w:val="20"/>
      </w:rPr>
      <w:t>20571  (</w:t>
    </w:r>
    <w:proofErr w:type="gramEnd"/>
    <w:r>
      <w:rPr>
        <w:sz w:val="20"/>
      </w:rPr>
      <w:t>S)</w:t>
    </w:r>
    <w:r w:rsidR="008B61DC">
      <w:rPr>
        <w:sz w:val="20"/>
      </w:rPr>
      <w:t xml:space="preserve">    311023    011223</w:t>
    </w:r>
    <w:r>
      <w:rPr>
        <w:sz w:val="20"/>
      </w:rPr>
      <w:tab/>
    </w:r>
    <w:r w:rsidRPr="00CF1D37">
      <w:rPr>
        <w:noProof/>
        <w:sz w:val="20"/>
        <w:lang w:val="fr-CH" w:eastAsia="zh-CN"/>
      </w:rPr>
      <w:drawing>
        <wp:inline distT="0" distB="0" distL="0" distR="0" wp14:anchorId="3E5D92B2" wp14:editId="26D18CC2">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2952BFB" wp14:editId="752910D4">
          <wp:extent cx="565150" cy="565150"/>
          <wp:effectExtent l="0" t="0" r="6350" b="6350"/>
          <wp:docPr id="494178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780F6" w14:textId="77777777" w:rsidR="00735D07" w:rsidRPr="001075E9" w:rsidRDefault="00735D07" w:rsidP="001075E9">
      <w:pPr>
        <w:tabs>
          <w:tab w:val="right" w:pos="2155"/>
        </w:tabs>
        <w:spacing w:after="80" w:line="240" w:lineRule="auto"/>
        <w:ind w:left="680"/>
        <w:rPr>
          <w:u w:val="single"/>
        </w:rPr>
      </w:pPr>
      <w:r>
        <w:rPr>
          <w:u w:val="single"/>
        </w:rPr>
        <w:tab/>
      </w:r>
    </w:p>
  </w:footnote>
  <w:footnote w:type="continuationSeparator" w:id="0">
    <w:p w14:paraId="2C5AA842" w14:textId="77777777" w:rsidR="00735D07" w:rsidRDefault="00735D07" w:rsidP="00407B78">
      <w:pPr>
        <w:tabs>
          <w:tab w:val="right" w:pos="2155"/>
        </w:tabs>
        <w:spacing w:after="80"/>
        <w:ind w:left="680"/>
        <w:rPr>
          <w:u w:val="single"/>
        </w:rPr>
      </w:pPr>
      <w:r>
        <w:rPr>
          <w:u w:val="single"/>
        </w:rPr>
        <w:tab/>
      </w:r>
    </w:p>
  </w:footnote>
  <w:footnote w:id="1">
    <w:p w14:paraId="33A4658F" w14:textId="77777777" w:rsidR="00D5651E" w:rsidRPr="007011EE" w:rsidRDefault="00696B12" w:rsidP="00D5651E">
      <w:pPr>
        <w:pStyle w:val="Textonotapie"/>
        <w:rPr>
          <w:sz w:val="20"/>
        </w:rPr>
      </w:pPr>
      <w:r w:rsidRPr="007011EE">
        <w:tab/>
      </w:r>
      <w:r w:rsidRPr="007011EE">
        <w:rPr>
          <w:rStyle w:val="Refdenotaalpie"/>
          <w:sz w:val="20"/>
          <w:vertAlign w:val="baseline"/>
        </w:rPr>
        <w:t>*</w:t>
      </w:r>
      <w:r w:rsidRPr="007011EE">
        <w:rPr>
          <w:rStyle w:val="Refdenotaalpie"/>
          <w:vertAlign w:val="baseline"/>
        </w:rPr>
        <w:tab/>
      </w:r>
      <w:r w:rsidR="00D46035" w:rsidRPr="007011EE">
        <w:rPr>
          <w:rStyle w:val="Refdenotaalpie"/>
          <w:vertAlign w:val="baseline"/>
        </w:rPr>
        <w:t>El presente documento se publica sin haber sido objeto de revisión editorial oficial.</w:t>
      </w:r>
    </w:p>
  </w:footnote>
  <w:footnote w:id="2">
    <w:p w14:paraId="0E6BC920" w14:textId="25ED97C2" w:rsidR="002F215B" w:rsidRPr="007011EE" w:rsidRDefault="002F215B" w:rsidP="002F215B">
      <w:pPr>
        <w:pStyle w:val="Textonotapie"/>
        <w:rPr>
          <w:szCs w:val="18"/>
        </w:rPr>
      </w:pPr>
      <w:r w:rsidRPr="007011EE">
        <w:tab/>
      </w:r>
      <w:r w:rsidRPr="007011EE">
        <w:rPr>
          <w:rStyle w:val="Refdenotaalpie"/>
        </w:rPr>
        <w:footnoteRef/>
      </w:r>
      <w:r w:rsidRPr="007011EE">
        <w:t xml:space="preserve"> </w:t>
      </w:r>
      <w:r w:rsidRPr="007011EE">
        <w:tab/>
      </w:r>
      <w:r w:rsidRPr="007011EE">
        <w:rPr>
          <w:lang w:val="es-ES_tradnl"/>
        </w:rPr>
        <w:t>Ley 838/96 “Que indemniza a víctimas de violaciones de Derechos Humanos durante la dictadura de 1954 a 1989”, y sus modificatorias; Ley 3603/08 y Ley 4381/11.</w:t>
      </w:r>
    </w:p>
  </w:footnote>
  <w:footnote w:id="3">
    <w:p w14:paraId="580F9449" w14:textId="207F7076" w:rsidR="002F215B" w:rsidRPr="007011EE" w:rsidRDefault="002F215B" w:rsidP="002F215B">
      <w:pPr>
        <w:pStyle w:val="Textonotapie"/>
      </w:pPr>
      <w:r w:rsidRPr="007011EE">
        <w:tab/>
      </w:r>
      <w:r w:rsidRPr="007011EE">
        <w:rPr>
          <w:rStyle w:val="Refdenotaalpie"/>
        </w:rPr>
        <w:footnoteRef/>
      </w:r>
      <w:r w:rsidRPr="007011EE">
        <w:t xml:space="preserve"> </w:t>
      </w:r>
      <w:r w:rsidRPr="007011EE">
        <w:tab/>
      </w:r>
      <w:r w:rsidRPr="007011EE">
        <w:rPr>
          <w:lang w:val="es-PY"/>
        </w:rPr>
        <w:t xml:space="preserve">Consultar expediente </w:t>
      </w:r>
      <w:r w:rsidRPr="007011EE">
        <w:rPr>
          <w:shd w:val="clear" w:color="auto" w:fill="FFFFFF"/>
          <w:lang w:val="es-PY"/>
        </w:rPr>
        <w:t xml:space="preserve">D-1953120 en </w:t>
      </w:r>
      <w:hyperlink r:id="rId1" w:history="1">
        <w:r w:rsidRPr="007011EE">
          <w:rPr>
            <w:rStyle w:val="Hipervnculo"/>
            <w:color w:val="auto"/>
            <w:shd w:val="clear" w:color="auto" w:fill="FFFFFF"/>
            <w:lang w:val="es-PY"/>
          </w:rPr>
          <w:t>http://silpy.congreso.gov.py/expediente/117607</w:t>
        </w:r>
      </w:hyperlink>
      <w:r w:rsidR="007011EE">
        <w:rPr>
          <w:rStyle w:val="Hipervnculo"/>
          <w:color w:val="auto"/>
          <w:shd w:val="clear" w:color="auto" w:fill="FFFFFF"/>
          <w:lang w:val="es-PY"/>
        </w:rPr>
        <w:t>.</w:t>
      </w:r>
      <w:r w:rsidRPr="007011EE">
        <w:rPr>
          <w:rFonts w:ascii="Arial" w:hAnsi="Arial" w:cs="Arial"/>
          <w:sz w:val="26"/>
          <w:szCs w:val="26"/>
          <w:shd w:val="clear" w:color="auto" w:fill="FFFFFF"/>
        </w:rPr>
        <w:t xml:space="preserve"> </w:t>
      </w:r>
    </w:p>
  </w:footnote>
  <w:footnote w:id="4">
    <w:p w14:paraId="68B88F2E" w14:textId="540A2021" w:rsidR="002F215B" w:rsidRPr="007011EE" w:rsidRDefault="002F215B" w:rsidP="002F215B">
      <w:pPr>
        <w:pStyle w:val="Textonotapie"/>
        <w:rPr>
          <w:lang w:val="es-PY"/>
        </w:rPr>
      </w:pPr>
      <w:r w:rsidRPr="007011EE">
        <w:rPr>
          <w:lang w:val="es-PY"/>
        </w:rPr>
        <w:tab/>
      </w:r>
      <w:r w:rsidRPr="007011EE">
        <w:rPr>
          <w:rStyle w:val="Refdenotaalpie"/>
        </w:rPr>
        <w:footnoteRef/>
      </w:r>
      <w:r w:rsidRPr="007011EE">
        <w:rPr>
          <w:lang w:val="es-PY"/>
        </w:rPr>
        <w:t xml:space="preserve"> </w:t>
      </w:r>
      <w:r w:rsidRPr="007011EE">
        <w:rPr>
          <w:lang w:val="es-PY"/>
        </w:rPr>
        <w:tab/>
        <w:t>José Agustín Potenza, Rafaella Filipazzi, Miguel Ángel Soler, y Cástulo Vera Báez</w:t>
      </w:r>
      <w:r w:rsidR="007011EE">
        <w:rPr>
          <w:lang w:val="es-PY"/>
        </w:rPr>
        <w:t>.</w:t>
      </w:r>
    </w:p>
  </w:footnote>
  <w:footnote w:id="5">
    <w:p w14:paraId="0B59CFAD" w14:textId="156CD8D0" w:rsidR="002F215B" w:rsidRPr="007011EE" w:rsidRDefault="00F15FE4" w:rsidP="00F15FE4">
      <w:pPr>
        <w:pStyle w:val="Textonotapie"/>
        <w:rPr>
          <w:lang w:val="es-PY"/>
        </w:rPr>
      </w:pPr>
      <w:r w:rsidRPr="007011EE">
        <w:tab/>
      </w:r>
      <w:r w:rsidR="002F215B" w:rsidRPr="007011EE">
        <w:rPr>
          <w:rStyle w:val="Refdenotaalpie"/>
        </w:rPr>
        <w:footnoteRef/>
      </w:r>
      <w:r w:rsidR="002F215B" w:rsidRPr="007011EE">
        <w:t xml:space="preserve"> </w:t>
      </w:r>
      <w:r w:rsidRPr="007011EE">
        <w:tab/>
      </w:r>
      <w:r w:rsidR="002F215B" w:rsidRPr="007011EE">
        <w:rPr>
          <w:noProof/>
        </w:rPr>
        <w:t>Artículo 19 de la Constitución Nacional y artículo 242 del Código Procesal Penal.</w:t>
      </w:r>
    </w:p>
  </w:footnote>
  <w:footnote w:id="6">
    <w:p w14:paraId="0F80CBE9" w14:textId="237F73D9"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2" w:history="1">
        <w:r w:rsidRPr="007011EE">
          <w:rPr>
            <w:rStyle w:val="Hipervnculo"/>
            <w:color w:val="auto"/>
          </w:rPr>
          <w:t>https://www.bacn.gov.py/leyes-paraguayas/8902/ley-n-6350-modifica-el-articulo-245-de-la-ley-n-12861998-codigo-procesal-penal-y-sus-modificatorias-las-leyes-ns-44312011-y-24932004</w:t>
        </w:r>
      </w:hyperlink>
      <w:r w:rsidR="007011EE">
        <w:rPr>
          <w:rStyle w:val="Hipervnculo"/>
          <w:color w:val="auto"/>
        </w:rPr>
        <w:t>.</w:t>
      </w:r>
      <w:r w:rsidR="002F215B" w:rsidRPr="007011EE">
        <w:rPr>
          <w:szCs w:val="18"/>
        </w:rPr>
        <w:t xml:space="preserve"> </w:t>
      </w:r>
    </w:p>
  </w:footnote>
  <w:footnote w:id="7">
    <w:p w14:paraId="5B1B55A0" w14:textId="7D570B4A" w:rsidR="002F215B" w:rsidRPr="007011EE" w:rsidRDefault="00F15FE4" w:rsidP="00F15FE4">
      <w:pPr>
        <w:pStyle w:val="Textonotapie"/>
      </w:pPr>
      <w:r w:rsidRPr="007011EE">
        <w:tab/>
      </w:r>
      <w:r w:rsidR="002F215B" w:rsidRPr="007011EE">
        <w:rPr>
          <w:rStyle w:val="Refdenotaalpie"/>
        </w:rPr>
        <w:footnoteRef/>
      </w:r>
      <w:r w:rsidRPr="007011EE">
        <w:tab/>
      </w:r>
      <w:r w:rsidR="007011EE">
        <w:t>“</w:t>
      </w:r>
      <w:r w:rsidR="002F215B" w:rsidRPr="007011EE">
        <w:rPr>
          <w:shd w:val="clear" w:color="auto" w:fill="FFFFFF"/>
          <w:lang w:val="es-PY"/>
        </w:rPr>
        <w:t>En ningún caso la misma se prolongará por un tiempo mayor al de la pena mínima establecida para igual delito…</w:t>
      </w:r>
      <w:r w:rsidR="007011EE">
        <w:rPr>
          <w:shd w:val="clear" w:color="auto" w:fill="FFFFFF"/>
          <w:lang w:val="es-PY"/>
        </w:rPr>
        <w:t>”.</w:t>
      </w:r>
    </w:p>
  </w:footnote>
  <w:footnote w:id="8">
    <w:p w14:paraId="42B0CCDE" w14:textId="6B8C07D9"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3" w:history="1">
        <w:r w:rsidRPr="007011EE">
          <w:rPr>
            <w:rStyle w:val="Hipervnculo"/>
            <w:color w:val="auto"/>
          </w:rPr>
          <w:t>http://silpy.congreso.gov.py/expediente/108883</w:t>
        </w:r>
      </w:hyperlink>
      <w:r w:rsidR="007011EE">
        <w:rPr>
          <w:rStyle w:val="Hipervnculo"/>
          <w:color w:val="auto"/>
        </w:rPr>
        <w:t>.</w:t>
      </w:r>
      <w:r w:rsidR="002F215B" w:rsidRPr="007011EE">
        <w:rPr>
          <w:szCs w:val="18"/>
        </w:rPr>
        <w:t xml:space="preserve"> </w:t>
      </w:r>
    </w:p>
  </w:footnote>
  <w:footnote w:id="9">
    <w:p w14:paraId="13B03026" w14:textId="7615FCA0"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4" w:history="1">
        <w:r w:rsidRPr="007011EE">
          <w:rPr>
            <w:rStyle w:val="Hipervnculo"/>
            <w:color w:val="auto"/>
          </w:rPr>
          <w:t>https://www.pj.gov.py/images/contenido/acordadas/acordada1511.pdf</w:t>
        </w:r>
      </w:hyperlink>
      <w:r w:rsidR="007011EE">
        <w:rPr>
          <w:rStyle w:val="Hipervnculo"/>
          <w:color w:val="auto"/>
        </w:rPr>
        <w:t>.</w:t>
      </w:r>
      <w:r w:rsidR="002F215B" w:rsidRPr="007011EE">
        <w:t xml:space="preserve"> </w:t>
      </w:r>
    </w:p>
  </w:footnote>
  <w:footnote w:id="10">
    <w:p w14:paraId="6933F0ED" w14:textId="694389A2"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5" w:history="1">
        <w:r w:rsidRPr="007011EE">
          <w:rPr>
            <w:rStyle w:val="Hipervnculo"/>
            <w:color w:val="auto"/>
          </w:rPr>
          <w:t>https://www.bacn.gov.py/leyes-paraguayas/9764/ley-n-5863-establece-la-implementacion-de-los-dispositivos-electronicos-de-control</w:t>
        </w:r>
      </w:hyperlink>
      <w:r w:rsidR="007011EE">
        <w:rPr>
          <w:szCs w:val="18"/>
        </w:rPr>
        <w:t>.</w:t>
      </w:r>
    </w:p>
  </w:footnote>
  <w:footnote w:id="11">
    <w:p w14:paraId="08AEAD1C" w14:textId="23BFC068"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6" w:history="1">
        <w:r w:rsidRPr="007011EE">
          <w:rPr>
            <w:rStyle w:val="Hipervnculo"/>
            <w:color w:val="auto"/>
          </w:rPr>
          <w:t>https://www.bacn.gov.py/leyes-paraguayas/9525/ley-n-6345-modifica-el-articulo-7-numeral-1-y-deroga-el-articulo-11-de-la-ley-n-586317-que-establece-la-implementacion-de-los-dispositivos-electronicos-de-control</w:t>
        </w:r>
      </w:hyperlink>
      <w:r w:rsidR="007011EE">
        <w:rPr>
          <w:rStyle w:val="Hipervnculo"/>
          <w:color w:val="auto"/>
        </w:rPr>
        <w:t>.</w:t>
      </w:r>
      <w:r w:rsidR="002F215B" w:rsidRPr="007011EE">
        <w:rPr>
          <w:szCs w:val="18"/>
        </w:rPr>
        <w:t xml:space="preserve"> </w:t>
      </w:r>
    </w:p>
  </w:footnote>
  <w:footnote w:id="12">
    <w:p w14:paraId="3033CC10" w14:textId="0CFEF26E"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7" w:history="1">
        <w:r w:rsidRPr="007011EE">
          <w:rPr>
            <w:rStyle w:val="Hipervnculo"/>
            <w:color w:val="auto"/>
          </w:rPr>
          <w:t>https://www.mdp.gov.py/contactos/nuestras-oficinas/</w:t>
        </w:r>
      </w:hyperlink>
      <w:r w:rsidR="007011EE">
        <w:rPr>
          <w:rStyle w:val="Hipervnculo"/>
          <w:color w:val="auto"/>
        </w:rPr>
        <w:t>.</w:t>
      </w:r>
    </w:p>
  </w:footnote>
  <w:footnote w:id="13">
    <w:p w14:paraId="4E2840D4" w14:textId="09EC0909"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8" w:history="1">
        <w:r w:rsidR="007011EE" w:rsidRPr="007011EE">
          <w:rPr>
            <w:rStyle w:val="Hipervnculo"/>
            <w:color w:val="auto"/>
          </w:rPr>
          <w:t>https://www.mdp.gov.py/informes-de-gestiones/</w:t>
        </w:r>
      </w:hyperlink>
      <w:r w:rsidR="007011EE" w:rsidRPr="007011EE">
        <w:t>.</w:t>
      </w:r>
      <w:r w:rsidR="002F215B" w:rsidRPr="007011EE">
        <w:t xml:space="preserve"> </w:t>
      </w:r>
    </w:p>
  </w:footnote>
  <w:footnote w:id="14">
    <w:p w14:paraId="794BD5A3" w14:textId="3F234276"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9" w:history="1">
        <w:r w:rsidRPr="007011EE">
          <w:rPr>
            <w:rStyle w:val="Hipervnculo"/>
            <w:color w:val="auto"/>
          </w:rPr>
          <w:t>www.denuncias.gov.py</w:t>
        </w:r>
      </w:hyperlink>
      <w:r w:rsidR="007011EE">
        <w:rPr>
          <w:rStyle w:val="Hipervnculo"/>
          <w:color w:val="auto"/>
        </w:rPr>
        <w:t>.</w:t>
      </w:r>
    </w:p>
  </w:footnote>
  <w:footnote w:id="15">
    <w:p w14:paraId="6D4FB923" w14:textId="46B97871"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10" w:anchor="/" w:history="1">
        <w:r w:rsidRPr="007011EE">
          <w:rPr>
            <w:rStyle w:val="Hipervnculo"/>
            <w:color w:val="auto"/>
          </w:rPr>
          <w:t>https://paneldenuncias.senac.gov.py/#/</w:t>
        </w:r>
      </w:hyperlink>
      <w:r w:rsidR="007011EE">
        <w:rPr>
          <w:rStyle w:val="Hipervnculo"/>
          <w:color w:val="auto"/>
        </w:rPr>
        <w:t>.</w:t>
      </w:r>
    </w:p>
  </w:footnote>
  <w:footnote w:id="16">
    <w:p w14:paraId="267E5559" w14:textId="544E5D24" w:rsidR="002F215B" w:rsidRPr="007011EE" w:rsidRDefault="00F15FE4" w:rsidP="00F15FE4">
      <w:pPr>
        <w:pStyle w:val="Textonotapie"/>
      </w:pPr>
      <w:r w:rsidRPr="007011EE">
        <w:tab/>
      </w:r>
      <w:r w:rsidR="002F215B" w:rsidRPr="007011EE">
        <w:rPr>
          <w:rStyle w:val="Refdenotaalpie"/>
        </w:rPr>
        <w:footnoteRef/>
      </w:r>
      <w:r w:rsidRPr="007011EE">
        <w:tab/>
      </w:r>
      <w:r w:rsidR="002F215B" w:rsidRPr="007011EE">
        <w:t xml:space="preserve"> </w:t>
      </w:r>
      <w:hyperlink r:id="rId11" w:history="1">
        <w:r w:rsidR="002F215B" w:rsidRPr="007011EE">
          <w:rPr>
            <w:rStyle w:val="Hipervnculo"/>
            <w:color w:val="auto"/>
          </w:rPr>
          <w:t>https://bit.ly/panel-transparencia-senacpy</w:t>
        </w:r>
      </w:hyperlink>
      <w:r w:rsidR="007011EE">
        <w:rPr>
          <w:rStyle w:val="Hipervnculo"/>
          <w:color w:val="auto"/>
        </w:rPr>
        <w:t>.</w:t>
      </w:r>
    </w:p>
  </w:footnote>
  <w:footnote w:id="17">
    <w:p w14:paraId="579D04E2" w14:textId="5D5822F7" w:rsidR="002F215B" w:rsidRPr="007011EE" w:rsidRDefault="00F15FE4" w:rsidP="00F15FE4">
      <w:pPr>
        <w:pStyle w:val="Textonotapie"/>
      </w:pPr>
      <w:r w:rsidRPr="007011EE">
        <w:tab/>
      </w:r>
      <w:r w:rsidR="002F215B" w:rsidRPr="007011EE">
        <w:rPr>
          <w:rStyle w:val="Refdenotaalpie"/>
        </w:rPr>
        <w:footnoteRef/>
      </w:r>
      <w:r w:rsidRPr="007011EE">
        <w:tab/>
      </w:r>
      <w:r w:rsidR="002F215B" w:rsidRPr="007011EE">
        <w:t xml:space="preserve"> </w:t>
      </w:r>
      <w:hyperlink r:id="rId12" w:anchor="pdfviewer" w:history="1">
        <w:r w:rsidR="002F215B" w:rsidRPr="007011EE">
          <w:rPr>
            <w:rStyle w:val="Hipervnculo"/>
            <w:color w:val="auto"/>
          </w:rPr>
          <w:t>https://nube.senac.gov.py/s/jRWRXY6nH8iKmMx#pdfviewer</w:t>
        </w:r>
      </w:hyperlink>
      <w:r w:rsidR="007011EE">
        <w:rPr>
          <w:rStyle w:val="Hipervnculo"/>
          <w:color w:val="auto"/>
        </w:rPr>
        <w:t>.</w:t>
      </w:r>
    </w:p>
  </w:footnote>
  <w:footnote w:id="18">
    <w:p w14:paraId="3DD12BDE" w14:textId="1942455C" w:rsidR="002F215B" w:rsidRPr="007011EE" w:rsidRDefault="00F15FE4" w:rsidP="00F15FE4">
      <w:pPr>
        <w:pStyle w:val="Textonotapie"/>
      </w:pPr>
      <w:r w:rsidRPr="007011EE">
        <w:rPr>
          <w:rFonts w:asciiTheme="majorBidi" w:hAnsiTheme="majorBidi" w:cstheme="majorBidi"/>
        </w:rPr>
        <w:tab/>
      </w:r>
      <w:r w:rsidR="002F215B" w:rsidRPr="007011EE">
        <w:rPr>
          <w:rStyle w:val="Refdenotaalpie"/>
          <w:rFonts w:asciiTheme="majorBidi" w:hAnsiTheme="majorBidi" w:cstheme="majorBidi"/>
        </w:rPr>
        <w:footnoteRef/>
      </w:r>
      <w:r w:rsidRPr="007011EE">
        <w:rPr>
          <w:rFonts w:asciiTheme="majorBidi" w:hAnsiTheme="majorBidi" w:cstheme="majorBidi"/>
        </w:rPr>
        <w:tab/>
      </w:r>
      <w:r w:rsidR="002F215B" w:rsidRPr="007011EE">
        <w:rPr>
          <w:rFonts w:asciiTheme="majorBidi" w:hAnsiTheme="majorBidi" w:cstheme="majorBidi"/>
        </w:rPr>
        <w:t xml:space="preserve"> </w:t>
      </w:r>
      <w:hyperlink r:id="rId13" w:history="1">
        <w:r w:rsidR="002F215B" w:rsidRPr="007011EE">
          <w:rPr>
            <w:rStyle w:val="Hipervnculo"/>
            <w:color w:val="auto"/>
          </w:rPr>
          <w:t>https://www.pj.gov.py/images/contenido/ddh/Normativas-y-pronunciamientos-sobre-corrupcion-y-DDHH.pdf</w:t>
        </w:r>
      </w:hyperlink>
      <w:r w:rsidR="007011EE">
        <w:rPr>
          <w:rStyle w:val="Hipervnculo"/>
          <w:color w:val="auto"/>
        </w:rPr>
        <w:t>.</w:t>
      </w:r>
    </w:p>
  </w:footnote>
  <w:footnote w:id="19">
    <w:p w14:paraId="1C8CAE5B" w14:textId="1E6B95EB"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14" w:history="1">
        <w:r w:rsidRPr="007011EE">
          <w:rPr>
            <w:rStyle w:val="Hipervnculo"/>
            <w:color w:val="auto"/>
          </w:rPr>
          <w:t>https://www.pj.gov.py/observatorio</w:t>
        </w:r>
      </w:hyperlink>
      <w:r w:rsidR="007011EE">
        <w:rPr>
          <w:rStyle w:val="Hipervnculo"/>
          <w:color w:val="auto"/>
        </w:rPr>
        <w:t>.</w:t>
      </w:r>
    </w:p>
  </w:footnote>
  <w:footnote w:id="20">
    <w:p w14:paraId="5C099034" w14:textId="20631464"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15" w:anchor="!/buscar_informacion" w:history="1">
        <w:r w:rsidRPr="007011EE">
          <w:rPr>
            <w:rStyle w:val="Hipervnculo"/>
            <w:color w:val="auto"/>
          </w:rPr>
          <w:t>https://informacionpublica.paraguay.gov.py/portal/#!/buscar_informacion#busqueda</w:t>
        </w:r>
      </w:hyperlink>
      <w:r w:rsidR="007011EE">
        <w:rPr>
          <w:rStyle w:val="Hipervnculo"/>
          <w:color w:val="auto"/>
        </w:rPr>
        <w:t>.</w:t>
      </w:r>
    </w:p>
  </w:footnote>
  <w:footnote w:id="21">
    <w:p w14:paraId="75EE0F1A" w14:textId="4134B5F4"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16" w:history="1">
        <w:r w:rsidRPr="007011EE">
          <w:rPr>
            <w:rStyle w:val="Hipervnculo"/>
            <w:color w:val="auto"/>
          </w:rPr>
          <w:t>https://www.pj.gov.py/contenido/1298-acceso-a-la-informacion-publica-y-transparencia-gubernamental/1346</w:t>
        </w:r>
      </w:hyperlink>
      <w:r w:rsidR="007011EE">
        <w:t>.</w:t>
      </w:r>
    </w:p>
  </w:footnote>
  <w:footnote w:id="22">
    <w:p w14:paraId="48C64E15" w14:textId="1E3531ED"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17" w:history="1">
        <w:r w:rsidRPr="007011EE">
          <w:rPr>
            <w:rStyle w:val="Hipervnculo"/>
            <w:color w:val="auto"/>
          </w:rPr>
          <w:t>https://www.pj.gov.py/contenido/1609-concursos-de-ingreso-y-promocion-de-personas/1609</w:t>
        </w:r>
      </w:hyperlink>
      <w:r w:rsidR="007011EE">
        <w:rPr>
          <w:rStyle w:val="Hipervnculo"/>
          <w:color w:val="auto"/>
        </w:rPr>
        <w:t>.</w:t>
      </w:r>
    </w:p>
  </w:footnote>
  <w:footnote w:id="23">
    <w:p w14:paraId="7AAE5C5C" w14:textId="79C9143B" w:rsidR="002F215B" w:rsidRPr="007011EE" w:rsidRDefault="00F15FE4" w:rsidP="00F15FE4">
      <w:pPr>
        <w:pStyle w:val="Textonotapie"/>
      </w:pPr>
      <w:r w:rsidRPr="007011EE">
        <w:tab/>
      </w:r>
      <w:r w:rsidR="002F215B" w:rsidRPr="007011EE">
        <w:rPr>
          <w:rStyle w:val="Refdenotaalpie"/>
        </w:rPr>
        <w:footnoteRef/>
      </w:r>
      <w:r w:rsidRPr="007011EE">
        <w:tab/>
      </w:r>
      <w:hyperlink r:id="rId18" w:history="1">
        <w:r w:rsidR="002F215B" w:rsidRPr="007011EE">
          <w:rPr>
            <w:rStyle w:val="Hipervnculo"/>
            <w:color w:val="auto"/>
          </w:rPr>
          <w:t>https://www.pj.gov.py/etica-documentos/99-resoluciones</w:t>
        </w:r>
      </w:hyperlink>
      <w:r w:rsidR="007011EE">
        <w:rPr>
          <w:rStyle w:val="Hipervnculo"/>
          <w:color w:val="auto"/>
        </w:rPr>
        <w:t>.</w:t>
      </w:r>
    </w:p>
  </w:footnote>
  <w:footnote w:id="24">
    <w:p w14:paraId="0E1A225F" w14:textId="321A120C"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19" w:history="1">
        <w:r w:rsidRPr="007011EE">
          <w:rPr>
            <w:rStyle w:val="Hipervnculo"/>
            <w:color w:val="auto"/>
          </w:rPr>
          <w:t>https://www.bacn.gov.py/leyes-paraguayas/9363/ley-n-6379-crea-la-competencia-en-delitos-economicos-y-crimen-organizado-en-la-jurisdiccion-del-fuero-penal</w:t>
        </w:r>
      </w:hyperlink>
      <w:r w:rsidR="007011EE">
        <w:rPr>
          <w:rStyle w:val="Hipervnculo"/>
          <w:color w:val="auto"/>
        </w:rPr>
        <w:t>.</w:t>
      </w:r>
      <w:r w:rsidR="002F215B" w:rsidRPr="007011EE">
        <w:rPr>
          <w:szCs w:val="18"/>
        </w:rPr>
        <w:t xml:space="preserve"> </w:t>
      </w:r>
    </w:p>
  </w:footnote>
  <w:footnote w:id="25">
    <w:p w14:paraId="1BA54E30" w14:textId="2D331E84"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20" w:history="1">
        <w:r w:rsidRPr="007011EE">
          <w:rPr>
            <w:rStyle w:val="Hipervnculo"/>
            <w:color w:val="auto"/>
          </w:rPr>
          <w:t>https://www.bacn.gov.py/leyes-paraguayas/9225/ley-n-6430-previene-tipifica-y-sanciona-los-hechos-punibles-de-cohecho-transnacional-y-soborno-transnacional</w:t>
        </w:r>
      </w:hyperlink>
      <w:r w:rsidR="007011EE">
        <w:rPr>
          <w:rStyle w:val="Hipervnculo"/>
          <w:color w:val="auto"/>
        </w:rPr>
        <w:t>.</w:t>
      </w:r>
      <w:r w:rsidR="002F215B" w:rsidRPr="007011EE">
        <w:t xml:space="preserve"> </w:t>
      </w:r>
    </w:p>
  </w:footnote>
  <w:footnote w:id="26">
    <w:p w14:paraId="2FB53957" w14:textId="1D2684B9"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21" w:history="1">
        <w:r w:rsidRPr="007011EE">
          <w:rPr>
            <w:rStyle w:val="Hipervnculo"/>
            <w:color w:val="auto"/>
          </w:rPr>
          <w: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007011EE">
        <w:rPr>
          <w:rStyle w:val="Hipervnculo"/>
          <w:color w:val="auto"/>
        </w:rPr>
        <w:t>.</w:t>
      </w:r>
      <w:r w:rsidR="002F215B" w:rsidRPr="007011EE">
        <w:t xml:space="preserve"> </w:t>
      </w:r>
    </w:p>
  </w:footnote>
  <w:footnote w:id="27">
    <w:p w14:paraId="56659765" w14:textId="69BE6DB8" w:rsidR="002F215B" w:rsidRPr="007011EE" w:rsidRDefault="00F15FE4" w:rsidP="00F15FE4">
      <w:pPr>
        <w:pStyle w:val="Textonotapie"/>
      </w:pPr>
      <w:r w:rsidRPr="007011EE">
        <w:tab/>
      </w:r>
      <w:r w:rsidR="002F215B" w:rsidRPr="007011EE">
        <w:rPr>
          <w:rStyle w:val="Refdenotaalpie"/>
        </w:rPr>
        <w:footnoteRef/>
      </w:r>
      <w:r w:rsidR="002F215B" w:rsidRPr="007011EE">
        <w:t xml:space="preserve"> </w:t>
      </w:r>
      <w:r w:rsidRPr="007011EE">
        <w:tab/>
      </w:r>
      <w:hyperlink r:id="rId22" w:history="1">
        <w:r w:rsidRPr="007011EE">
          <w:rPr>
            <w:rStyle w:val="Hipervnculo"/>
            <w:color w:val="auto"/>
          </w:rPr>
          <w:t>https://www.bacn.gov.py/leyes-paraguayas/9553/ley-n-6721-modifica-el-articulo-3-de-la-ley-n-24032004-que-crea-la-comision-nacional-para-el-estudio-de-la-reforma-del-sistema-penal-y-penitenciario-modificada-por-las-leyes-ns-51402013-61892018-y-65052020</w:t>
        </w:r>
      </w:hyperlink>
      <w:r w:rsidR="007011EE">
        <w:rPr>
          <w:rStyle w:val="Hipervnculo"/>
          <w:color w:val="auto"/>
        </w:rPr>
        <w:t>.</w:t>
      </w:r>
      <w:r w:rsidR="002F215B" w:rsidRPr="007011E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62D7" w14:textId="5381A2CF" w:rsidR="001A4396" w:rsidRPr="001A4396" w:rsidRDefault="00605579">
    <w:pPr>
      <w:pStyle w:val="Encabezado"/>
    </w:pPr>
    <w:r>
      <w:t>CCPR/C/</w:t>
    </w:r>
    <w:r w:rsidR="002F215B">
      <w:t>PRY</w:t>
    </w:r>
    <w:r w:rsidR="00D85239">
      <w:t>/FCO/</w:t>
    </w:r>
    <w:r w:rsidR="002F215B">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73AD9" w14:textId="6801E011" w:rsidR="001A4396" w:rsidRPr="00935A0B" w:rsidRDefault="00605579" w:rsidP="00935A0B">
    <w:pPr>
      <w:pStyle w:val="Encabezado"/>
      <w:jc w:val="right"/>
      <w:rPr>
        <w:u w:val="double"/>
      </w:rPr>
    </w:pPr>
    <w:r>
      <w:t>CCPR/C/</w:t>
    </w:r>
    <w:r w:rsidR="002F215B">
      <w:t>PRY</w:t>
    </w:r>
    <w:r w:rsidR="00970AE5">
      <w:t>/</w:t>
    </w:r>
    <w:r w:rsidR="00741B14">
      <w:t>F</w:t>
    </w:r>
    <w:r w:rsidR="00970AE5">
      <w:t>CO/</w:t>
    </w:r>
    <w:r w:rsidR="002F215B">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84410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42B530" w:tentative="1">
      <w:start w:val="1"/>
      <w:numFmt w:val="lowerLetter"/>
      <w:lvlText w:val="%2."/>
      <w:lvlJc w:val="left"/>
      <w:pPr>
        <w:tabs>
          <w:tab w:val="num" w:pos="1440"/>
        </w:tabs>
        <w:ind w:left="1440" w:hanging="360"/>
      </w:pPr>
    </w:lvl>
    <w:lvl w:ilvl="2" w:tplc="901AE07A" w:tentative="1">
      <w:start w:val="1"/>
      <w:numFmt w:val="lowerRoman"/>
      <w:lvlText w:val="%3."/>
      <w:lvlJc w:val="right"/>
      <w:pPr>
        <w:tabs>
          <w:tab w:val="num" w:pos="2160"/>
        </w:tabs>
        <w:ind w:left="2160" w:hanging="180"/>
      </w:pPr>
    </w:lvl>
    <w:lvl w:ilvl="3" w:tplc="698A6A00" w:tentative="1">
      <w:start w:val="1"/>
      <w:numFmt w:val="decimal"/>
      <w:lvlText w:val="%4."/>
      <w:lvlJc w:val="left"/>
      <w:pPr>
        <w:tabs>
          <w:tab w:val="num" w:pos="2880"/>
        </w:tabs>
        <w:ind w:left="2880" w:hanging="360"/>
      </w:pPr>
    </w:lvl>
    <w:lvl w:ilvl="4" w:tplc="05C6C16A" w:tentative="1">
      <w:start w:val="1"/>
      <w:numFmt w:val="lowerLetter"/>
      <w:lvlText w:val="%5."/>
      <w:lvlJc w:val="left"/>
      <w:pPr>
        <w:tabs>
          <w:tab w:val="num" w:pos="3600"/>
        </w:tabs>
        <w:ind w:left="3600" w:hanging="360"/>
      </w:pPr>
    </w:lvl>
    <w:lvl w:ilvl="5" w:tplc="ADF41A5A" w:tentative="1">
      <w:start w:val="1"/>
      <w:numFmt w:val="lowerRoman"/>
      <w:lvlText w:val="%6."/>
      <w:lvlJc w:val="right"/>
      <w:pPr>
        <w:tabs>
          <w:tab w:val="num" w:pos="4320"/>
        </w:tabs>
        <w:ind w:left="4320" w:hanging="180"/>
      </w:pPr>
    </w:lvl>
    <w:lvl w:ilvl="6" w:tplc="51E2A3F6" w:tentative="1">
      <w:start w:val="1"/>
      <w:numFmt w:val="decimal"/>
      <w:lvlText w:val="%7."/>
      <w:lvlJc w:val="left"/>
      <w:pPr>
        <w:tabs>
          <w:tab w:val="num" w:pos="5040"/>
        </w:tabs>
        <w:ind w:left="5040" w:hanging="360"/>
      </w:pPr>
    </w:lvl>
    <w:lvl w:ilvl="7" w:tplc="8C96034C" w:tentative="1">
      <w:start w:val="1"/>
      <w:numFmt w:val="lowerLetter"/>
      <w:lvlText w:val="%8."/>
      <w:lvlJc w:val="left"/>
      <w:pPr>
        <w:tabs>
          <w:tab w:val="num" w:pos="5760"/>
        </w:tabs>
        <w:ind w:left="5760" w:hanging="360"/>
      </w:pPr>
    </w:lvl>
    <w:lvl w:ilvl="8" w:tplc="CB1C9074" w:tentative="1">
      <w:start w:val="1"/>
      <w:numFmt w:val="lowerRoman"/>
      <w:lvlText w:val="%9."/>
      <w:lvlJc w:val="right"/>
      <w:pPr>
        <w:tabs>
          <w:tab w:val="num" w:pos="6480"/>
        </w:tabs>
        <w:ind w:left="6480" w:hanging="180"/>
      </w:pPr>
    </w:lvl>
  </w:abstractNum>
  <w:abstractNum w:abstractNumId="11" w15:restartNumberingAfterBreak="0">
    <w:nsid w:val="0F776AC2"/>
    <w:multiLevelType w:val="hybridMultilevel"/>
    <w:tmpl w:val="6F5A45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0FF31163"/>
    <w:multiLevelType w:val="hybridMultilevel"/>
    <w:tmpl w:val="D520A34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10C86CC4"/>
    <w:multiLevelType w:val="hybridMultilevel"/>
    <w:tmpl w:val="A6684CA6"/>
    <w:lvl w:ilvl="0" w:tplc="3C0A000F">
      <w:start w:val="1"/>
      <w:numFmt w:val="decimal"/>
      <w:lvlText w:val="%1."/>
      <w:lvlJc w:val="left"/>
      <w:pPr>
        <w:ind w:left="2064" w:hanging="360"/>
      </w:pPr>
    </w:lvl>
    <w:lvl w:ilvl="1" w:tplc="3C0A0019">
      <w:start w:val="1"/>
      <w:numFmt w:val="lowerLetter"/>
      <w:lvlText w:val="%2."/>
      <w:lvlJc w:val="left"/>
      <w:pPr>
        <w:ind w:left="3144" w:hanging="360"/>
      </w:pPr>
    </w:lvl>
    <w:lvl w:ilvl="2" w:tplc="3C0A001B" w:tentative="1">
      <w:start w:val="1"/>
      <w:numFmt w:val="lowerRoman"/>
      <w:lvlText w:val="%3."/>
      <w:lvlJc w:val="right"/>
      <w:pPr>
        <w:ind w:left="3864" w:hanging="180"/>
      </w:pPr>
    </w:lvl>
    <w:lvl w:ilvl="3" w:tplc="3C0A000F" w:tentative="1">
      <w:start w:val="1"/>
      <w:numFmt w:val="decimal"/>
      <w:lvlText w:val="%4."/>
      <w:lvlJc w:val="left"/>
      <w:pPr>
        <w:ind w:left="4584" w:hanging="360"/>
      </w:pPr>
    </w:lvl>
    <w:lvl w:ilvl="4" w:tplc="3C0A0019" w:tentative="1">
      <w:start w:val="1"/>
      <w:numFmt w:val="lowerLetter"/>
      <w:lvlText w:val="%5."/>
      <w:lvlJc w:val="left"/>
      <w:pPr>
        <w:ind w:left="5304" w:hanging="360"/>
      </w:pPr>
    </w:lvl>
    <w:lvl w:ilvl="5" w:tplc="3C0A001B" w:tentative="1">
      <w:start w:val="1"/>
      <w:numFmt w:val="lowerRoman"/>
      <w:lvlText w:val="%6."/>
      <w:lvlJc w:val="right"/>
      <w:pPr>
        <w:ind w:left="6024" w:hanging="180"/>
      </w:pPr>
    </w:lvl>
    <w:lvl w:ilvl="6" w:tplc="3C0A000F" w:tentative="1">
      <w:start w:val="1"/>
      <w:numFmt w:val="decimal"/>
      <w:lvlText w:val="%7."/>
      <w:lvlJc w:val="left"/>
      <w:pPr>
        <w:ind w:left="6744" w:hanging="360"/>
      </w:pPr>
    </w:lvl>
    <w:lvl w:ilvl="7" w:tplc="3C0A0019" w:tentative="1">
      <w:start w:val="1"/>
      <w:numFmt w:val="lowerLetter"/>
      <w:lvlText w:val="%8."/>
      <w:lvlJc w:val="left"/>
      <w:pPr>
        <w:ind w:left="7464" w:hanging="360"/>
      </w:pPr>
    </w:lvl>
    <w:lvl w:ilvl="8" w:tplc="3C0A001B" w:tentative="1">
      <w:start w:val="1"/>
      <w:numFmt w:val="lowerRoman"/>
      <w:lvlText w:val="%9."/>
      <w:lvlJc w:val="right"/>
      <w:pPr>
        <w:ind w:left="8184" w:hanging="180"/>
      </w:pPr>
    </w:lvl>
  </w:abstractNum>
  <w:abstractNum w:abstractNumId="14" w15:restartNumberingAfterBreak="0">
    <w:nsid w:val="141F1A63"/>
    <w:multiLevelType w:val="hybridMultilevel"/>
    <w:tmpl w:val="F7D06ACA"/>
    <w:lvl w:ilvl="0" w:tplc="FD8689D0">
      <w:start w:val="2"/>
      <w:numFmt w:val="bullet"/>
      <w:lvlText w:val="•"/>
      <w:lvlJc w:val="left"/>
      <w:pPr>
        <w:ind w:left="1065" w:hanging="705"/>
      </w:pPr>
      <w:rPr>
        <w:rFonts w:ascii="Calibri" w:eastAsia="Calibri" w:hAnsi="Calibri" w:cs="Calibri"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260433A4"/>
    <w:multiLevelType w:val="hybridMultilevel"/>
    <w:tmpl w:val="5F92C560"/>
    <w:lvl w:ilvl="0" w:tplc="17C8BF88">
      <w:start w:val="1"/>
      <w:numFmt w:val="lowerLetter"/>
      <w:lvlText w:val="%1)"/>
      <w:lvlJc w:val="left"/>
      <w:pPr>
        <w:ind w:left="927" w:hanging="360"/>
      </w:pPr>
      <w:rPr>
        <w:rFonts w:hint="default"/>
      </w:rPr>
    </w:lvl>
    <w:lvl w:ilvl="1" w:tplc="100A0019" w:tentative="1">
      <w:start w:val="1"/>
      <w:numFmt w:val="lowerLetter"/>
      <w:lvlText w:val="%2."/>
      <w:lvlJc w:val="left"/>
      <w:pPr>
        <w:ind w:left="1647" w:hanging="360"/>
      </w:pPr>
    </w:lvl>
    <w:lvl w:ilvl="2" w:tplc="100A001B" w:tentative="1">
      <w:start w:val="1"/>
      <w:numFmt w:val="lowerRoman"/>
      <w:lvlText w:val="%3."/>
      <w:lvlJc w:val="right"/>
      <w:pPr>
        <w:ind w:left="2367" w:hanging="180"/>
      </w:pPr>
    </w:lvl>
    <w:lvl w:ilvl="3" w:tplc="100A000F" w:tentative="1">
      <w:start w:val="1"/>
      <w:numFmt w:val="decimal"/>
      <w:lvlText w:val="%4."/>
      <w:lvlJc w:val="left"/>
      <w:pPr>
        <w:ind w:left="3087" w:hanging="360"/>
      </w:pPr>
    </w:lvl>
    <w:lvl w:ilvl="4" w:tplc="100A0019" w:tentative="1">
      <w:start w:val="1"/>
      <w:numFmt w:val="lowerLetter"/>
      <w:lvlText w:val="%5."/>
      <w:lvlJc w:val="left"/>
      <w:pPr>
        <w:ind w:left="3807" w:hanging="360"/>
      </w:pPr>
    </w:lvl>
    <w:lvl w:ilvl="5" w:tplc="100A001B" w:tentative="1">
      <w:start w:val="1"/>
      <w:numFmt w:val="lowerRoman"/>
      <w:lvlText w:val="%6."/>
      <w:lvlJc w:val="right"/>
      <w:pPr>
        <w:ind w:left="4527" w:hanging="180"/>
      </w:pPr>
    </w:lvl>
    <w:lvl w:ilvl="6" w:tplc="100A000F" w:tentative="1">
      <w:start w:val="1"/>
      <w:numFmt w:val="decimal"/>
      <w:lvlText w:val="%7."/>
      <w:lvlJc w:val="left"/>
      <w:pPr>
        <w:ind w:left="5247" w:hanging="360"/>
      </w:pPr>
    </w:lvl>
    <w:lvl w:ilvl="7" w:tplc="100A0019" w:tentative="1">
      <w:start w:val="1"/>
      <w:numFmt w:val="lowerLetter"/>
      <w:lvlText w:val="%8."/>
      <w:lvlJc w:val="left"/>
      <w:pPr>
        <w:ind w:left="5967" w:hanging="360"/>
      </w:pPr>
    </w:lvl>
    <w:lvl w:ilvl="8" w:tplc="100A001B" w:tentative="1">
      <w:start w:val="1"/>
      <w:numFmt w:val="lowerRoman"/>
      <w:lvlText w:val="%9."/>
      <w:lvlJc w:val="right"/>
      <w:pPr>
        <w:ind w:left="6687" w:hanging="180"/>
      </w:pPr>
    </w:lvl>
  </w:abstractNum>
  <w:abstractNum w:abstractNumId="16" w15:restartNumberingAfterBreak="0">
    <w:nsid w:val="36A7743B"/>
    <w:multiLevelType w:val="hybridMultilevel"/>
    <w:tmpl w:val="165289D8"/>
    <w:lvl w:ilvl="0" w:tplc="6ACA6896">
      <w:start w:val="1"/>
      <w:numFmt w:val="bullet"/>
      <w:pStyle w:val="Bullet2G"/>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B06662"/>
    <w:multiLevelType w:val="hybridMultilevel"/>
    <w:tmpl w:val="2738F6FC"/>
    <w:lvl w:ilvl="0" w:tplc="C31218A2">
      <w:start w:val="1"/>
      <w:numFmt w:val="lowerLetter"/>
      <w:lvlText w:val="%1)"/>
      <w:lvlJc w:val="left"/>
      <w:pPr>
        <w:ind w:left="1440" w:hanging="360"/>
      </w:pPr>
      <w:rPr>
        <w:b/>
      </w:r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09F0B598">
      <w:start w:val="1"/>
      <w:numFmt w:val="bullet"/>
      <w:pStyle w:val="Bullet1G"/>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77279925">
    <w:abstractNumId w:val="19"/>
  </w:num>
  <w:num w:numId="2" w16cid:durableId="1798914627">
    <w:abstractNumId w:val="16"/>
  </w:num>
  <w:num w:numId="3" w16cid:durableId="923105923">
    <w:abstractNumId w:val="21"/>
  </w:num>
  <w:num w:numId="4" w16cid:durableId="1864785954">
    <w:abstractNumId w:val="20"/>
  </w:num>
  <w:num w:numId="5" w16cid:durableId="2056197220">
    <w:abstractNumId w:val="18"/>
  </w:num>
  <w:num w:numId="6" w16cid:durableId="925193065">
    <w:abstractNumId w:val="8"/>
  </w:num>
  <w:num w:numId="7" w16cid:durableId="636108512">
    <w:abstractNumId w:val="3"/>
  </w:num>
  <w:num w:numId="8" w16cid:durableId="1954746192">
    <w:abstractNumId w:val="2"/>
  </w:num>
  <w:num w:numId="9" w16cid:durableId="958070921">
    <w:abstractNumId w:val="1"/>
  </w:num>
  <w:num w:numId="10" w16cid:durableId="83653843">
    <w:abstractNumId w:val="0"/>
  </w:num>
  <w:num w:numId="11" w16cid:durableId="162822174">
    <w:abstractNumId w:val="9"/>
  </w:num>
  <w:num w:numId="12" w16cid:durableId="602029425">
    <w:abstractNumId w:val="7"/>
  </w:num>
  <w:num w:numId="13" w16cid:durableId="226113962">
    <w:abstractNumId w:val="6"/>
  </w:num>
  <w:num w:numId="14" w16cid:durableId="156724924">
    <w:abstractNumId w:val="5"/>
  </w:num>
  <w:num w:numId="15" w16cid:durableId="1102844330">
    <w:abstractNumId w:val="4"/>
  </w:num>
  <w:num w:numId="16" w16cid:durableId="1656763207">
    <w:abstractNumId w:val="19"/>
  </w:num>
  <w:num w:numId="17" w16cid:durableId="1164664929">
    <w:abstractNumId w:val="16"/>
  </w:num>
  <w:num w:numId="18" w16cid:durableId="962808129">
    <w:abstractNumId w:val="21"/>
  </w:num>
  <w:num w:numId="19" w16cid:durableId="1792701417">
    <w:abstractNumId w:val="20"/>
  </w:num>
  <w:num w:numId="20" w16cid:durableId="852455713">
    <w:abstractNumId w:val="18"/>
  </w:num>
  <w:num w:numId="21" w16cid:durableId="2037465084">
    <w:abstractNumId w:val="8"/>
  </w:num>
  <w:num w:numId="22" w16cid:durableId="808401049">
    <w:abstractNumId w:val="3"/>
  </w:num>
  <w:num w:numId="23" w16cid:durableId="1966279023">
    <w:abstractNumId w:val="2"/>
  </w:num>
  <w:num w:numId="24" w16cid:durableId="255284484">
    <w:abstractNumId w:val="1"/>
  </w:num>
  <w:num w:numId="25" w16cid:durableId="2023317487">
    <w:abstractNumId w:val="0"/>
  </w:num>
  <w:num w:numId="26" w16cid:durableId="1954557904">
    <w:abstractNumId w:val="9"/>
  </w:num>
  <w:num w:numId="27" w16cid:durableId="903106478">
    <w:abstractNumId w:val="7"/>
  </w:num>
  <w:num w:numId="28" w16cid:durableId="1242107416">
    <w:abstractNumId w:val="6"/>
  </w:num>
  <w:num w:numId="29" w16cid:durableId="1030567223">
    <w:abstractNumId w:val="5"/>
  </w:num>
  <w:num w:numId="30" w16cid:durableId="336345755">
    <w:abstractNumId w:val="4"/>
  </w:num>
  <w:num w:numId="31" w16cid:durableId="10957440">
    <w:abstractNumId w:val="10"/>
  </w:num>
  <w:num w:numId="32" w16cid:durableId="682510221">
    <w:abstractNumId w:val="17"/>
  </w:num>
  <w:num w:numId="33" w16cid:durableId="1619026981">
    <w:abstractNumId w:val="15"/>
  </w:num>
  <w:num w:numId="34" w16cid:durableId="360789980">
    <w:abstractNumId w:val="12"/>
  </w:num>
  <w:num w:numId="35" w16cid:durableId="1723672777">
    <w:abstractNumId w:val="14"/>
  </w:num>
  <w:num w:numId="36" w16cid:durableId="603994733">
    <w:abstractNumId w:val="11"/>
  </w:num>
  <w:num w:numId="37" w16cid:durableId="302002856">
    <w:abstractNumId w:val="19"/>
  </w:num>
  <w:num w:numId="38" w16cid:durableId="1433014345">
    <w:abstractNumId w:val="16"/>
  </w:num>
  <w:num w:numId="39" w16cid:durableId="1977181828">
    <w:abstractNumId w:val="21"/>
  </w:num>
  <w:num w:numId="40" w16cid:durableId="807086244">
    <w:abstractNumId w:val="20"/>
  </w:num>
  <w:num w:numId="41" w16cid:durableId="1743022490">
    <w:abstractNumId w:val="18"/>
  </w:num>
  <w:num w:numId="42" w16cid:durableId="1677271238">
    <w:abstractNumId w:val="8"/>
  </w:num>
  <w:num w:numId="43" w16cid:durableId="210464535">
    <w:abstractNumId w:val="3"/>
  </w:num>
  <w:num w:numId="44" w16cid:durableId="868446243">
    <w:abstractNumId w:val="2"/>
  </w:num>
  <w:num w:numId="45" w16cid:durableId="807744699">
    <w:abstractNumId w:val="1"/>
  </w:num>
  <w:num w:numId="46" w16cid:durableId="1981380780">
    <w:abstractNumId w:val="0"/>
  </w:num>
  <w:num w:numId="47" w16cid:durableId="1093666777">
    <w:abstractNumId w:val="9"/>
  </w:num>
  <w:num w:numId="48" w16cid:durableId="1464426949">
    <w:abstractNumId w:val="7"/>
  </w:num>
  <w:num w:numId="49" w16cid:durableId="1190804096">
    <w:abstractNumId w:val="6"/>
  </w:num>
  <w:num w:numId="50" w16cid:durableId="1802265550">
    <w:abstractNumId w:val="5"/>
  </w:num>
  <w:num w:numId="51" w16cid:durableId="1255015896">
    <w:abstractNumId w:val="4"/>
  </w:num>
  <w:num w:numId="52" w16cid:durableId="974607743">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GT" w:vendorID="64" w:dllVersion="6" w:nlCheck="1" w:checkStyle="0"/>
  <w:activeWritingStyle w:appName="MSWord" w:lang="es-PY" w:vendorID="64" w:dllVersion="0" w:nlCheck="1" w:checkStyle="0"/>
  <w:activeWritingStyle w:appName="MSWord" w:lang="es-GT"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5659F"/>
    <w:rsid w:val="00057E2D"/>
    <w:rsid w:val="000B563A"/>
    <w:rsid w:val="000B57E7"/>
    <w:rsid w:val="000B6373"/>
    <w:rsid w:val="000C5C6A"/>
    <w:rsid w:val="000D1A55"/>
    <w:rsid w:val="000D3664"/>
    <w:rsid w:val="000F09DF"/>
    <w:rsid w:val="000F61B2"/>
    <w:rsid w:val="001075E9"/>
    <w:rsid w:val="00172B77"/>
    <w:rsid w:val="00172BBC"/>
    <w:rsid w:val="00177302"/>
    <w:rsid w:val="00180183"/>
    <w:rsid w:val="0018024D"/>
    <w:rsid w:val="0018649F"/>
    <w:rsid w:val="00196389"/>
    <w:rsid w:val="001A4396"/>
    <w:rsid w:val="001A715F"/>
    <w:rsid w:val="001B3EF6"/>
    <w:rsid w:val="001C67A5"/>
    <w:rsid w:val="001C7A89"/>
    <w:rsid w:val="00205CA3"/>
    <w:rsid w:val="00240649"/>
    <w:rsid w:val="00250EF6"/>
    <w:rsid w:val="002A02C6"/>
    <w:rsid w:val="002A2EFC"/>
    <w:rsid w:val="002A4FE5"/>
    <w:rsid w:val="002C0E18"/>
    <w:rsid w:val="002C3864"/>
    <w:rsid w:val="002D4172"/>
    <w:rsid w:val="002D4B30"/>
    <w:rsid w:val="002D5AAC"/>
    <w:rsid w:val="002F215B"/>
    <w:rsid w:val="002F405F"/>
    <w:rsid w:val="00301299"/>
    <w:rsid w:val="003045C8"/>
    <w:rsid w:val="00307FB6"/>
    <w:rsid w:val="00317339"/>
    <w:rsid w:val="00322004"/>
    <w:rsid w:val="003402C2"/>
    <w:rsid w:val="00376E4E"/>
    <w:rsid w:val="00381C24"/>
    <w:rsid w:val="00390C3B"/>
    <w:rsid w:val="00393B6D"/>
    <w:rsid w:val="003958D0"/>
    <w:rsid w:val="003A1EEB"/>
    <w:rsid w:val="003A3CE4"/>
    <w:rsid w:val="003A5EF4"/>
    <w:rsid w:val="003B00E5"/>
    <w:rsid w:val="003B17F1"/>
    <w:rsid w:val="003D3526"/>
    <w:rsid w:val="003E0332"/>
    <w:rsid w:val="003F2099"/>
    <w:rsid w:val="003F43D1"/>
    <w:rsid w:val="003F6FF0"/>
    <w:rsid w:val="00407B78"/>
    <w:rsid w:val="00424203"/>
    <w:rsid w:val="0042459A"/>
    <w:rsid w:val="004260B3"/>
    <w:rsid w:val="00443C10"/>
    <w:rsid w:val="004452DE"/>
    <w:rsid w:val="00454E07"/>
    <w:rsid w:val="00457A5F"/>
    <w:rsid w:val="00490C21"/>
    <w:rsid w:val="00492FDF"/>
    <w:rsid w:val="004D1828"/>
    <w:rsid w:val="004F3D76"/>
    <w:rsid w:val="0050108D"/>
    <w:rsid w:val="0050730E"/>
    <w:rsid w:val="00513081"/>
    <w:rsid w:val="00517901"/>
    <w:rsid w:val="00521DC1"/>
    <w:rsid w:val="00526683"/>
    <w:rsid w:val="00536E4A"/>
    <w:rsid w:val="00556D62"/>
    <w:rsid w:val="005709E0"/>
    <w:rsid w:val="00572E19"/>
    <w:rsid w:val="005961C8"/>
    <w:rsid w:val="005C1E2D"/>
    <w:rsid w:val="005C4F80"/>
    <w:rsid w:val="005D7914"/>
    <w:rsid w:val="005E4C0C"/>
    <w:rsid w:val="005F0B42"/>
    <w:rsid w:val="00605579"/>
    <w:rsid w:val="00615628"/>
    <w:rsid w:val="00621949"/>
    <w:rsid w:val="00634ECE"/>
    <w:rsid w:val="00681A10"/>
    <w:rsid w:val="00696B12"/>
    <w:rsid w:val="006A68E4"/>
    <w:rsid w:val="006C2031"/>
    <w:rsid w:val="006C4285"/>
    <w:rsid w:val="006D461A"/>
    <w:rsid w:val="006D77FE"/>
    <w:rsid w:val="006F35EE"/>
    <w:rsid w:val="007011EE"/>
    <w:rsid w:val="007021FF"/>
    <w:rsid w:val="00712895"/>
    <w:rsid w:val="007216D1"/>
    <w:rsid w:val="00735D07"/>
    <w:rsid w:val="00741B14"/>
    <w:rsid w:val="00752BFA"/>
    <w:rsid w:val="00754B77"/>
    <w:rsid w:val="00757357"/>
    <w:rsid w:val="00760595"/>
    <w:rsid w:val="007613EA"/>
    <w:rsid w:val="00795792"/>
    <w:rsid w:val="007B5AED"/>
    <w:rsid w:val="007C333F"/>
    <w:rsid w:val="007E072F"/>
    <w:rsid w:val="007E2C6D"/>
    <w:rsid w:val="007E7C52"/>
    <w:rsid w:val="00805D1C"/>
    <w:rsid w:val="00825F8D"/>
    <w:rsid w:val="00834B71"/>
    <w:rsid w:val="00841CBA"/>
    <w:rsid w:val="0086445C"/>
    <w:rsid w:val="00890E9D"/>
    <w:rsid w:val="00894693"/>
    <w:rsid w:val="008A08D7"/>
    <w:rsid w:val="008A3C0A"/>
    <w:rsid w:val="008B61DC"/>
    <w:rsid w:val="008B6909"/>
    <w:rsid w:val="009060AE"/>
    <w:rsid w:val="00906890"/>
    <w:rsid w:val="00911AC5"/>
    <w:rsid w:val="00911BE4"/>
    <w:rsid w:val="00913283"/>
    <w:rsid w:val="00924634"/>
    <w:rsid w:val="00935A0B"/>
    <w:rsid w:val="00951972"/>
    <w:rsid w:val="00953B31"/>
    <w:rsid w:val="009608F3"/>
    <w:rsid w:val="00967E44"/>
    <w:rsid w:val="00970AE5"/>
    <w:rsid w:val="00972CC2"/>
    <w:rsid w:val="009A34A5"/>
    <w:rsid w:val="009D28EB"/>
    <w:rsid w:val="009E62C4"/>
    <w:rsid w:val="00A15ECC"/>
    <w:rsid w:val="00A32382"/>
    <w:rsid w:val="00A34BFC"/>
    <w:rsid w:val="00A44B2D"/>
    <w:rsid w:val="00A471E0"/>
    <w:rsid w:val="00A84021"/>
    <w:rsid w:val="00A86F80"/>
    <w:rsid w:val="00A90C2B"/>
    <w:rsid w:val="00A917B3"/>
    <w:rsid w:val="00A97E74"/>
    <w:rsid w:val="00AB4B51"/>
    <w:rsid w:val="00AE0476"/>
    <w:rsid w:val="00AE5F3B"/>
    <w:rsid w:val="00B058D8"/>
    <w:rsid w:val="00B10CC7"/>
    <w:rsid w:val="00B35EFD"/>
    <w:rsid w:val="00B52706"/>
    <w:rsid w:val="00B539E7"/>
    <w:rsid w:val="00B563EB"/>
    <w:rsid w:val="00B62458"/>
    <w:rsid w:val="00B80A93"/>
    <w:rsid w:val="00BA7361"/>
    <w:rsid w:val="00BD33EE"/>
    <w:rsid w:val="00BF132E"/>
    <w:rsid w:val="00BF2E5C"/>
    <w:rsid w:val="00BF5E1E"/>
    <w:rsid w:val="00BF6BCF"/>
    <w:rsid w:val="00C106D6"/>
    <w:rsid w:val="00C60F0C"/>
    <w:rsid w:val="00C75E55"/>
    <w:rsid w:val="00C805C9"/>
    <w:rsid w:val="00C92939"/>
    <w:rsid w:val="00CA1679"/>
    <w:rsid w:val="00CA1D8A"/>
    <w:rsid w:val="00CB151C"/>
    <w:rsid w:val="00CB242B"/>
    <w:rsid w:val="00CE5A1A"/>
    <w:rsid w:val="00CF1D37"/>
    <w:rsid w:val="00CF55F6"/>
    <w:rsid w:val="00D04407"/>
    <w:rsid w:val="00D108E9"/>
    <w:rsid w:val="00D33D63"/>
    <w:rsid w:val="00D46035"/>
    <w:rsid w:val="00D4778E"/>
    <w:rsid w:val="00D5651E"/>
    <w:rsid w:val="00D82740"/>
    <w:rsid w:val="00D83038"/>
    <w:rsid w:val="00D85239"/>
    <w:rsid w:val="00D90138"/>
    <w:rsid w:val="00DB34FA"/>
    <w:rsid w:val="00DC13FF"/>
    <w:rsid w:val="00E14B0C"/>
    <w:rsid w:val="00E204E4"/>
    <w:rsid w:val="00E31CF9"/>
    <w:rsid w:val="00E344B2"/>
    <w:rsid w:val="00E56EE3"/>
    <w:rsid w:val="00E647DB"/>
    <w:rsid w:val="00E64C5F"/>
    <w:rsid w:val="00E73F76"/>
    <w:rsid w:val="00E86371"/>
    <w:rsid w:val="00E86B0A"/>
    <w:rsid w:val="00EA2C9F"/>
    <w:rsid w:val="00EB2B7E"/>
    <w:rsid w:val="00ED0BDA"/>
    <w:rsid w:val="00ED72E6"/>
    <w:rsid w:val="00EE7654"/>
    <w:rsid w:val="00EF1360"/>
    <w:rsid w:val="00EF3220"/>
    <w:rsid w:val="00F15FE4"/>
    <w:rsid w:val="00F2274E"/>
    <w:rsid w:val="00F2345A"/>
    <w:rsid w:val="00F257CA"/>
    <w:rsid w:val="00F43810"/>
    <w:rsid w:val="00F63772"/>
    <w:rsid w:val="00F76A49"/>
    <w:rsid w:val="00F9377E"/>
    <w:rsid w:val="00F94155"/>
    <w:rsid w:val="00FA028D"/>
    <w:rsid w:val="00FA7E8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9217D9A"/>
  <w15:docId w15:val="{8B3A74F9-4B1B-4F3E-B178-24FB7763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57CA"/>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F257C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F257CA"/>
    <w:pPr>
      <w:keepNext/>
      <w:outlineLvl w:val="1"/>
    </w:pPr>
    <w:rPr>
      <w:rFonts w:cs="Arial"/>
      <w:bCs/>
      <w:iCs/>
      <w:szCs w:val="28"/>
    </w:rPr>
  </w:style>
  <w:style w:type="paragraph" w:styleId="Ttulo3">
    <w:name w:val="heading 3"/>
    <w:basedOn w:val="Normal"/>
    <w:next w:val="Normal"/>
    <w:semiHidden/>
    <w:rsid w:val="00F257CA"/>
    <w:pPr>
      <w:keepNext/>
      <w:spacing w:before="240" w:after="60"/>
      <w:outlineLvl w:val="2"/>
    </w:pPr>
    <w:rPr>
      <w:rFonts w:ascii="Arial" w:hAnsi="Arial" w:cs="Arial"/>
      <w:b/>
      <w:bCs/>
      <w:sz w:val="26"/>
      <w:szCs w:val="26"/>
    </w:rPr>
  </w:style>
  <w:style w:type="paragraph" w:styleId="Ttulo4">
    <w:name w:val="heading 4"/>
    <w:basedOn w:val="Normal"/>
    <w:next w:val="Normal"/>
    <w:semiHidden/>
    <w:rsid w:val="00F257CA"/>
    <w:pPr>
      <w:keepNext/>
      <w:spacing w:before="240" w:after="60"/>
      <w:outlineLvl w:val="3"/>
    </w:pPr>
    <w:rPr>
      <w:b/>
      <w:bCs/>
      <w:sz w:val="28"/>
      <w:szCs w:val="28"/>
    </w:rPr>
  </w:style>
  <w:style w:type="paragraph" w:styleId="Ttulo5">
    <w:name w:val="heading 5"/>
    <w:basedOn w:val="Normal"/>
    <w:next w:val="Normal"/>
    <w:semiHidden/>
    <w:rsid w:val="00F257CA"/>
    <w:pPr>
      <w:spacing w:before="240" w:after="60"/>
      <w:outlineLvl w:val="4"/>
    </w:pPr>
    <w:rPr>
      <w:b/>
      <w:bCs/>
      <w:i/>
      <w:iCs/>
      <w:sz w:val="26"/>
      <w:szCs w:val="26"/>
    </w:rPr>
  </w:style>
  <w:style w:type="paragraph" w:styleId="Ttulo6">
    <w:name w:val="heading 6"/>
    <w:basedOn w:val="Normal"/>
    <w:next w:val="Normal"/>
    <w:semiHidden/>
    <w:rsid w:val="00F257CA"/>
    <w:pPr>
      <w:spacing w:before="240" w:after="60"/>
      <w:outlineLvl w:val="5"/>
    </w:pPr>
    <w:rPr>
      <w:b/>
      <w:bCs/>
      <w:sz w:val="22"/>
      <w:szCs w:val="22"/>
    </w:rPr>
  </w:style>
  <w:style w:type="paragraph" w:styleId="Ttulo7">
    <w:name w:val="heading 7"/>
    <w:basedOn w:val="Normal"/>
    <w:next w:val="Normal"/>
    <w:semiHidden/>
    <w:rsid w:val="00F257CA"/>
    <w:pPr>
      <w:spacing w:before="240" w:after="60"/>
      <w:outlineLvl w:val="6"/>
    </w:pPr>
    <w:rPr>
      <w:sz w:val="24"/>
      <w:szCs w:val="24"/>
    </w:rPr>
  </w:style>
  <w:style w:type="paragraph" w:styleId="Ttulo8">
    <w:name w:val="heading 8"/>
    <w:basedOn w:val="Normal"/>
    <w:next w:val="Normal"/>
    <w:semiHidden/>
    <w:rsid w:val="00F257CA"/>
    <w:pPr>
      <w:spacing w:before="240" w:after="60"/>
      <w:outlineLvl w:val="7"/>
    </w:pPr>
    <w:rPr>
      <w:i/>
      <w:iCs/>
      <w:sz w:val="24"/>
      <w:szCs w:val="24"/>
    </w:rPr>
  </w:style>
  <w:style w:type="paragraph" w:styleId="Ttulo9">
    <w:name w:val="heading 9"/>
    <w:basedOn w:val="Normal"/>
    <w:next w:val="Normal"/>
    <w:semiHidden/>
    <w:rsid w:val="00F257C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Footnotes refss,Appel note de bas de page,Footnote number,referencia nota al pie,BVI fnr,f,Texto nota al pie,16 Point,Superscript 6 Point,Footnote Reference Char3,Footnote Reference Char1 Char,Footnote symbol"/>
    <w:qFormat/>
    <w:rsid w:val="00F257CA"/>
    <w:rPr>
      <w:rFonts w:ascii="Times New Roman" w:hAnsi="Times New Roman"/>
      <w:sz w:val="18"/>
      <w:vertAlign w:val="superscript"/>
    </w:rPr>
  </w:style>
  <w:style w:type="paragraph" w:customStyle="1" w:styleId="HMG">
    <w:name w:val="_ H __M_G"/>
    <w:basedOn w:val="Normal"/>
    <w:next w:val="Normal"/>
    <w:link w:val="HMGChar"/>
    <w:qFormat/>
    <w:rsid w:val="00F257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F257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F257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7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7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7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F257CA"/>
    <w:pPr>
      <w:pBdr>
        <w:bottom w:val="single" w:sz="4" w:space="4" w:color="auto"/>
      </w:pBdr>
      <w:spacing w:line="240" w:lineRule="auto"/>
    </w:pPr>
    <w:rPr>
      <w:b/>
      <w:sz w:val="18"/>
    </w:rPr>
  </w:style>
  <w:style w:type="paragraph" w:customStyle="1" w:styleId="SingleTxtG">
    <w:name w:val="_ Single Txt_G"/>
    <w:basedOn w:val="Normal"/>
    <w:link w:val="SingleTxtGChar"/>
    <w:qFormat/>
    <w:rsid w:val="00F257CA"/>
    <w:pPr>
      <w:tabs>
        <w:tab w:val="left" w:pos="1701"/>
        <w:tab w:val="left" w:pos="2268"/>
        <w:tab w:val="left" w:pos="2835"/>
      </w:tabs>
      <w:spacing w:after="120"/>
      <w:ind w:left="1134" w:right="1134"/>
      <w:jc w:val="both"/>
    </w:pPr>
  </w:style>
  <w:style w:type="paragraph" w:customStyle="1" w:styleId="SMG">
    <w:name w:val="__S_M_G"/>
    <w:basedOn w:val="Normal"/>
    <w:next w:val="Normal"/>
    <w:rsid w:val="00F257C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7CA"/>
    <w:pPr>
      <w:keepNext/>
      <w:keepLines/>
      <w:spacing w:before="240" w:after="240" w:line="580" w:lineRule="exact"/>
      <w:ind w:left="1134" w:right="1134"/>
    </w:pPr>
    <w:rPr>
      <w:b/>
      <w:sz w:val="56"/>
    </w:rPr>
  </w:style>
  <w:style w:type="paragraph" w:customStyle="1" w:styleId="SSG">
    <w:name w:val="__S_S_G"/>
    <w:basedOn w:val="Normal"/>
    <w:next w:val="Normal"/>
    <w:rsid w:val="00F257CA"/>
    <w:pPr>
      <w:keepNext/>
      <w:keepLines/>
      <w:spacing w:before="240" w:after="240" w:line="300" w:lineRule="exact"/>
      <w:ind w:left="1134" w:right="1134"/>
    </w:pPr>
    <w:rPr>
      <w:b/>
      <w:sz w:val="28"/>
    </w:rPr>
  </w:style>
  <w:style w:type="paragraph" w:styleId="Piedepgina">
    <w:name w:val="footer"/>
    <w:aliases w:val="3_G"/>
    <w:basedOn w:val="Normal"/>
    <w:next w:val="Normal"/>
    <w:qFormat/>
    <w:rsid w:val="00F257CA"/>
    <w:rPr>
      <w:sz w:val="16"/>
    </w:rPr>
  </w:style>
  <w:style w:type="paragraph" w:customStyle="1" w:styleId="XLargeG">
    <w:name w:val="__XLarge_G"/>
    <w:basedOn w:val="Normal"/>
    <w:next w:val="Normal"/>
    <w:rsid w:val="00F257C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FA Fu?notentext"/>
    <w:basedOn w:val="Normal"/>
    <w:link w:val="TextonotapieCar"/>
    <w:uiPriority w:val="99"/>
    <w:qFormat/>
    <w:rsid w:val="00F257CA"/>
    <w:pPr>
      <w:tabs>
        <w:tab w:val="right" w:pos="1021"/>
      </w:tabs>
      <w:spacing w:line="220" w:lineRule="exact"/>
      <w:ind w:left="1134" w:right="1134" w:hanging="1134"/>
    </w:pPr>
    <w:rPr>
      <w:sz w:val="18"/>
    </w:rPr>
  </w:style>
  <w:style w:type="table" w:styleId="Tablaconcuadrcula">
    <w:name w:val="Table Grid"/>
    <w:basedOn w:val="Tablanormal"/>
    <w:uiPriority w:val="39"/>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7CA"/>
    <w:pPr>
      <w:numPr>
        <w:numId w:val="3"/>
      </w:numPr>
    </w:pPr>
  </w:style>
  <w:style w:type="numbering" w:styleId="1ai">
    <w:name w:val="Outline List 1"/>
    <w:basedOn w:val="Sinlista"/>
    <w:semiHidden/>
    <w:rsid w:val="00F257CA"/>
    <w:pPr>
      <w:numPr>
        <w:numId w:val="4"/>
      </w:numPr>
    </w:pPr>
  </w:style>
  <w:style w:type="character" w:styleId="AcrnimoHTML">
    <w:name w:val="HTML Acronym"/>
    <w:semiHidden/>
    <w:rsid w:val="00F257CA"/>
  </w:style>
  <w:style w:type="numbering" w:styleId="ArtculoSeccin">
    <w:name w:val="Outline List 3"/>
    <w:basedOn w:val="Sinlista"/>
    <w:semiHidden/>
    <w:rsid w:val="00F257CA"/>
    <w:pPr>
      <w:numPr>
        <w:numId w:val="5"/>
      </w:numPr>
    </w:pPr>
  </w:style>
  <w:style w:type="paragraph" w:styleId="Cierre">
    <w:name w:val="Closing"/>
    <w:basedOn w:val="Normal"/>
    <w:semiHidden/>
    <w:rsid w:val="00F257CA"/>
    <w:pPr>
      <w:ind w:left="4252"/>
    </w:pPr>
  </w:style>
  <w:style w:type="character" w:styleId="CitaHTML">
    <w:name w:val="HTML Cite"/>
    <w:semiHidden/>
    <w:rsid w:val="00F257CA"/>
    <w:rPr>
      <w:i/>
      <w:iCs/>
    </w:rPr>
  </w:style>
  <w:style w:type="character" w:styleId="CdigoHTML">
    <w:name w:val="HTML Code"/>
    <w:semiHidden/>
    <w:rsid w:val="00F257CA"/>
    <w:rPr>
      <w:rFonts w:ascii="Courier New" w:hAnsi="Courier New" w:cs="Courier New"/>
      <w:sz w:val="20"/>
      <w:szCs w:val="20"/>
    </w:rPr>
  </w:style>
  <w:style w:type="paragraph" w:styleId="Continuarlista">
    <w:name w:val="List Continue"/>
    <w:basedOn w:val="Normal"/>
    <w:semiHidden/>
    <w:rsid w:val="00F257CA"/>
    <w:pPr>
      <w:spacing w:after="120"/>
      <w:ind w:left="283"/>
    </w:pPr>
  </w:style>
  <w:style w:type="paragraph" w:styleId="Continuarlista2">
    <w:name w:val="List Continue 2"/>
    <w:basedOn w:val="Normal"/>
    <w:semiHidden/>
    <w:rsid w:val="00F257CA"/>
    <w:pPr>
      <w:spacing w:after="120"/>
      <w:ind w:left="566"/>
    </w:pPr>
  </w:style>
  <w:style w:type="paragraph" w:styleId="Continuarlista3">
    <w:name w:val="List Continue 3"/>
    <w:basedOn w:val="Normal"/>
    <w:semiHidden/>
    <w:rsid w:val="00F257CA"/>
    <w:pPr>
      <w:spacing w:after="120"/>
      <w:ind w:left="849"/>
    </w:pPr>
  </w:style>
  <w:style w:type="paragraph" w:styleId="Continuarlista4">
    <w:name w:val="List Continue 4"/>
    <w:basedOn w:val="Normal"/>
    <w:semiHidden/>
    <w:rsid w:val="00F257CA"/>
    <w:pPr>
      <w:spacing w:after="120"/>
      <w:ind w:left="1132"/>
    </w:pPr>
  </w:style>
  <w:style w:type="paragraph" w:styleId="Continuarlista5">
    <w:name w:val="List Continue 5"/>
    <w:basedOn w:val="Normal"/>
    <w:semiHidden/>
    <w:rsid w:val="00F257CA"/>
    <w:pPr>
      <w:spacing w:after="120"/>
      <w:ind w:left="1415"/>
    </w:pPr>
  </w:style>
  <w:style w:type="character" w:styleId="DefinicinHTML">
    <w:name w:val="HTML Definition"/>
    <w:semiHidden/>
    <w:rsid w:val="00F257CA"/>
    <w:rPr>
      <w:i/>
      <w:iCs/>
    </w:rPr>
  </w:style>
  <w:style w:type="paragraph" w:styleId="DireccinHTML">
    <w:name w:val="HTML Address"/>
    <w:basedOn w:val="Normal"/>
    <w:semiHidden/>
    <w:rsid w:val="00F257CA"/>
    <w:rPr>
      <w:i/>
      <w:iCs/>
    </w:rPr>
  </w:style>
  <w:style w:type="paragraph" w:styleId="Direccinsobre">
    <w:name w:val="envelope address"/>
    <w:basedOn w:val="Normal"/>
    <w:semiHidden/>
    <w:rsid w:val="00F257C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257CA"/>
    <w:rPr>
      <w:rFonts w:ascii="Courier New" w:hAnsi="Courier New" w:cs="Courier New"/>
    </w:rPr>
  </w:style>
  <w:style w:type="paragraph" w:styleId="Encabezadodemensaje">
    <w:name w:val="Message Header"/>
    <w:basedOn w:val="Normal"/>
    <w:semiHidden/>
    <w:rsid w:val="00F257C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7CA"/>
  </w:style>
  <w:style w:type="character" w:styleId="nfasis">
    <w:name w:val="Emphasis"/>
    <w:semiHidden/>
    <w:rsid w:val="00F257CA"/>
    <w:rPr>
      <w:i/>
      <w:iCs/>
    </w:rPr>
  </w:style>
  <w:style w:type="paragraph" w:styleId="Fecha">
    <w:name w:val="Date"/>
    <w:basedOn w:val="Normal"/>
    <w:next w:val="Normal"/>
    <w:semiHidden/>
    <w:rsid w:val="00F257CA"/>
  </w:style>
  <w:style w:type="paragraph" w:styleId="Firma">
    <w:name w:val="Signature"/>
    <w:basedOn w:val="Normal"/>
    <w:semiHidden/>
    <w:rsid w:val="00F257CA"/>
    <w:pPr>
      <w:ind w:left="4252"/>
    </w:pPr>
  </w:style>
  <w:style w:type="paragraph" w:styleId="Firmadecorreoelectrnico">
    <w:name w:val="E-mail Signature"/>
    <w:basedOn w:val="Normal"/>
    <w:semiHidden/>
    <w:rsid w:val="00F257CA"/>
  </w:style>
  <w:style w:type="character" w:styleId="Hipervnculo">
    <w:name w:val="Hyperlink"/>
    <w:rsid w:val="00F257CA"/>
    <w:rPr>
      <w:color w:val="0000FF"/>
      <w:u w:val="none"/>
    </w:rPr>
  </w:style>
  <w:style w:type="character" w:styleId="Hipervnculovisitado">
    <w:name w:val="FollowedHyperlink"/>
    <w:rsid w:val="00F257CA"/>
    <w:rPr>
      <w:color w:val="0000FF"/>
      <w:u w:val="none"/>
    </w:rPr>
  </w:style>
  <w:style w:type="paragraph" w:styleId="HTMLconformatoprevio">
    <w:name w:val="HTML Preformatted"/>
    <w:basedOn w:val="Normal"/>
    <w:semiHidden/>
    <w:rsid w:val="00F257CA"/>
    <w:rPr>
      <w:rFonts w:ascii="Courier New" w:hAnsi="Courier New" w:cs="Courier New"/>
    </w:rPr>
  </w:style>
  <w:style w:type="paragraph" w:styleId="Lista">
    <w:name w:val="List"/>
    <w:basedOn w:val="Normal"/>
    <w:semiHidden/>
    <w:rsid w:val="00F257CA"/>
    <w:pPr>
      <w:ind w:left="283" w:hanging="283"/>
    </w:pPr>
  </w:style>
  <w:style w:type="paragraph" w:styleId="Lista2">
    <w:name w:val="List 2"/>
    <w:basedOn w:val="Normal"/>
    <w:semiHidden/>
    <w:rsid w:val="00F257CA"/>
    <w:pPr>
      <w:ind w:left="566" w:hanging="283"/>
    </w:pPr>
  </w:style>
  <w:style w:type="paragraph" w:styleId="Lista3">
    <w:name w:val="List 3"/>
    <w:basedOn w:val="Normal"/>
    <w:semiHidden/>
    <w:rsid w:val="00F257CA"/>
    <w:pPr>
      <w:ind w:left="849" w:hanging="283"/>
    </w:pPr>
  </w:style>
  <w:style w:type="paragraph" w:styleId="Lista4">
    <w:name w:val="List 4"/>
    <w:basedOn w:val="Normal"/>
    <w:semiHidden/>
    <w:rsid w:val="00F257CA"/>
    <w:pPr>
      <w:ind w:left="1132" w:hanging="283"/>
    </w:pPr>
  </w:style>
  <w:style w:type="paragraph" w:styleId="Lista5">
    <w:name w:val="List 5"/>
    <w:basedOn w:val="Normal"/>
    <w:semiHidden/>
    <w:rsid w:val="00F257CA"/>
    <w:pPr>
      <w:ind w:left="1415" w:hanging="283"/>
    </w:pPr>
  </w:style>
  <w:style w:type="paragraph" w:styleId="Listaconnmeros">
    <w:name w:val="List Number"/>
    <w:basedOn w:val="Normal"/>
    <w:semiHidden/>
    <w:rsid w:val="00F257CA"/>
    <w:pPr>
      <w:numPr>
        <w:numId w:val="42"/>
      </w:numPr>
    </w:pPr>
  </w:style>
  <w:style w:type="paragraph" w:styleId="Listaconnmeros2">
    <w:name w:val="List Number 2"/>
    <w:basedOn w:val="Normal"/>
    <w:semiHidden/>
    <w:rsid w:val="00F257CA"/>
    <w:pPr>
      <w:numPr>
        <w:numId w:val="43"/>
      </w:numPr>
    </w:pPr>
  </w:style>
  <w:style w:type="paragraph" w:styleId="Listaconnmeros3">
    <w:name w:val="List Number 3"/>
    <w:basedOn w:val="Normal"/>
    <w:semiHidden/>
    <w:rsid w:val="00F257CA"/>
    <w:pPr>
      <w:numPr>
        <w:numId w:val="44"/>
      </w:numPr>
    </w:pPr>
  </w:style>
  <w:style w:type="paragraph" w:styleId="Listaconnmeros4">
    <w:name w:val="List Number 4"/>
    <w:basedOn w:val="Normal"/>
    <w:semiHidden/>
    <w:rsid w:val="00F257CA"/>
    <w:pPr>
      <w:numPr>
        <w:numId w:val="45"/>
      </w:numPr>
    </w:pPr>
  </w:style>
  <w:style w:type="paragraph" w:styleId="Listaconnmeros5">
    <w:name w:val="List Number 5"/>
    <w:basedOn w:val="Normal"/>
    <w:semiHidden/>
    <w:rsid w:val="00F257CA"/>
    <w:pPr>
      <w:numPr>
        <w:numId w:val="46"/>
      </w:numPr>
    </w:pPr>
  </w:style>
  <w:style w:type="paragraph" w:styleId="Listaconvietas">
    <w:name w:val="List Bullet"/>
    <w:basedOn w:val="Normal"/>
    <w:semiHidden/>
    <w:rsid w:val="00F257CA"/>
    <w:pPr>
      <w:numPr>
        <w:numId w:val="47"/>
      </w:numPr>
    </w:pPr>
  </w:style>
  <w:style w:type="paragraph" w:styleId="Listaconvietas2">
    <w:name w:val="List Bullet 2"/>
    <w:basedOn w:val="Normal"/>
    <w:semiHidden/>
    <w:rsid w:val="00F257CA"/>
    <w:pPr>
      <w:numPr>
        <w:numId w:val="48"/>
      </w:numPr>
    </w:pPr>
  </w:style>
  <w:style w:type="paragraph" w:styleId="Listaconvietas3">
    <w:name w:val="List Bullet 3"/>
    <w:basedOn w:val="Normal"/>
    <w:semiHidden/>
    <w:rsid w:val="00F257CA"/>
    <w:pPr>
      <w:numPr>
        <w:numId w:val="49"/>
      </w:numPr>
    </w:pPr>
  </w:style>
  <w:style w:type="paragraph" w:styleId="Listaconvietas4">
    <w:name w:val="List Bullet 4"/>
    <w:basedOn w:val="Normal"/>
    <w:semiHidden/>
    <w:rsid w:val="00F257CA"/>
    <w:pPr>
      <w:numPr>
        <w:numId w:val="50"/>
      </w:numPr>
    </w:pPr>
  </w:style>
  <w:style w:type="paragraph" w:styleId="Listaconvietas5">
    <w:name w:val="List Bullet 5"/>
    <w:basedOn w:val="Normal"/>
    <w:semiHidden/>
    <w:rsid w:val="00F257CA"/>
    <w:pPr>
      <w:numPr>
        <w:numId w:val="51"/>
      </w:numPr>
    </w:pPr>
  </w:style>
  <w:style w:type="character" w:styleId="MquinadeescribirHTML">
    <w:name w:val="HTML Typewriter"/>
    <w:semiHidden/>
    <w:rsid w:val="00F257CA"/>
    <w:rPr>
      <w:rFonts w:ascii="Courier New" w:hAnsi="Courier New" w:cs="Courier New"/>
      <w:sz w:val="20"/>
      <w:szCs w:val="20"/>
    </w:rPr>
  </w:style>
  <w:style w:type="paragraph" w:styleId="NormalWeb">
    <w:name w:val="Normal (Web)"/>
    <w:basedOn w:val="Normal"/>
    <w:uiPriority w:val="99"/>
    <w:rsid w:val="00F257CA"/>
    <w:rPr>
      <w:sz w:val="24"/>
      <w:szCs w:val="24"/>
    </w:rPr>
  </w:style>
  <w:style w:type="character" w:styleId="Nmerodelnea">
    <w:name w:val="line number"/>
    <w:semiHidden/>
    <w:rsid w:val="00F257CA"/>
  </w:style>
  <w:style w:type="character" w:styleId="Nmerodepgina">
    <w:name w:val="page number"/>
    <w:aliases w:val="7_G"/>
    <w:qFormat/>
    <w:rsid w:val="00F257CA"/>
    <w:rPr>
      <w:b/>
      <w:sz w:val="18"/>
    </w:rPr>
  </w:style>
  <w:style w:type="character" w:styleId="Refdenotaalfinal">
    <w:name w:val="endnote reference"/>
    <w:aliases w:val="1_G"/>
    <w:qFormat/>
    <w:rsid w:val="00F257CA"/>
    <w:rPr>
      <w:rFonts w:ascii="Times New Roman" w:hAnsi="Times New Roman"/>
      <w:sz w:val="18"/>
      <w:vertAlign w:val="superscript"/>
    </w:rPr>
  </w:style>
  <w:style w:type="paragraph" w:styleId="Remitedesobre">
    <w:name w:val="envelope return"/>
    <w:basedOn w:val="Normal"/>
    <w:semiHidden/>
    <w:rsid w:val="00F257CA"/>
    <w:rPr>
      <w:rFonts w:ascii="Arial" w:hAnsi="Arial" w:cs="Arial"/>
    </w:rPr>
  </w:style>
  <w:style w:type="paragraph" w:styleId="Saludo">
    <w:name w:val="Salutation"/>
    <w:basedOn w:val="Normal"/>
    <w:next w:val="Normal"/>
    <w:semiHidden/>
    <w:rsid w:val="00F257CA"/>
  </w:style>
  <w:style w:type="paragraph" w:styleId="Sangra2detindependiente">
    <w:name w:val="Body Text Indent 2"/>
    <w:basedOn w:val="Normal"/>
    <w:semiHidden/>
    <w:rsid w:val="00F257CA"/>
    <w:pPr>
      <w:spacing w:after="120" w:line="480" w:lineRule="auto"/>
      <w:ind w:left="283"/>
    </w:pPr>
  </w:style>
  <w:style w:type="paragraph" w:styleId="Sangra3detindependiente">
    <w:name w:val="Body Text Indent 3"/>
    <w:basedOn w:val="Normal"/>
    <w:semiHidden/>
    <w:rsid w:val="00F257CA"/>
    <w:pPr>
      <w:spacing w:after="120"/>
      <w:ind w:left="283"/>
    </w:pPr>
    <w:rPr>
      <w:sz w:val="16"/>
      <w:szCs w:val="16"/>
    </w:rPr>
  </w:style>
  <w:style w:type="paragraph" w:styleId="Sangradetextonormal">
    <w:name w:val="Body Text Indent"/>
    <w:basedOn w:val="Normal"/>
    <w:semiHidden/>
    <w:rsid w:val="00F257CA"/>
    <w:pPr>
      <w:spacing w:after="120"/>
      <w:ind w:left="283"/>
    </w:pPr>
  </w:style>
  <w:style w:type="paragraph" w:styleId="Sangranormal">
    <w:name w:val="Normal Indent"/>
    <w:basedOn w:val="Normal"/>
    <w:semiHidden/>
    <w:rsid w:val="00F257CA"/>
    <w:pPr>
      <w:ind w:left="567"/>
    </w:pPr>
  </w:style>
  <w:style w:type="paragraph" w:styleId="Subttulo">
    <w:name w:val="Subtitle"/>
    <w:basedOn w:val="Normal"/>
    <w:semiHidden/>
    <w:rsid w:val="00F257CA"/>
    <w:pPr>
      <w:spacing w:after="60"/>
      <w:jc w:val="center"/>
      <w:outlineLvl w:val="1"/>
    </w:pPr>
    <w:rPr>
      <w:rFonts w:ascii="Arial" w:hAnsi="Arial" w:cs="Arial"/>
      <w:sz w:val="24"/>
      <w:szCs w:val="24"/>
    </w:rPr>
  </w:style>
  <w:style w:type="table" w:styleId="Tablabsica1">
    <w:name w:val="Table Simple 1"/>
    <w:basedOn w:val="Tablanormal"/>
    <w:semiHidden/>
    <w:rsid w:val="00F257CA"/>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7CA"/>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7CA"/>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7CA"/>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7CA"/>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7CA"/>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7CA"/>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7CA"/>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7CA"/>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7CA"/>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7CA"/>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7CA"/>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7CA"/>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7CA"/>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7CA"/>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7CA"/>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7CA"/>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7CA"/>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7CA"/>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7CA"/>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7CA"/>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7CA"/>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7CA"/>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7CA"/>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7CA"/>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7CA"/>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7CA"/>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7CA"/>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7CA"/>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7CA"/>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7CA"/>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257CA"/>
    <w:rPr>
      <w:rFonts w:ascii="Courier New" w:hAnsi="Courier New" w:cs="Courier New"/>
      <w:sz w:val="20"/>
      <w:szCs w:val="20"/>
    </w:rPr>
  </w:style>
  <w:style w:type="paragraph" w:styleId="Textodebloque">
    <w:name w:val="Block Text"/>
    <w:basedOn w:val="Normal"/>
    <w:semiHidden/>
    <w:rsid w:val="00F257CA"/>
    <w:pPr>
      <w:spacing w:after="120"/>
      <w:ind w:left="1440" w:right="1440"/>
    </w:pPr>
  </w:style>
  <w:style w:type="character" w:styleId="Textoennegrita">
    <w:name w:val="Strong"/>
    <w:semiHidden/>
    <w:rsid w:val="00F257CA"/>
    <w:rPr>
      <w:b/>
      <w:bCs/>
    </w:rPr>
  </w:style>
  <w:style w:type="paragraph" w:styleId="Textoindependiente">
    <w:name w:val="Body Text"/>
    <w:basedOn w:val="Normal"/>
    <w:semiHidden/>
    <w:rsid w:val="00F257CA"/>
    <w:pPr>
      <w:spacing w:after="120"/>
    </w:pPr>
  </w:style>
  <w:style w:type="paragraph" w:styleId="Textoindependiente2">
    <w:name w:val="Body Text 2"/>
    <w:basedOn w:val="Normal"/>
    <w:semiHidden/>
    <w:rsid w:val="00F257CA"/>
    <w:pPr>
      <w:spacing w:after="120" w:line="480" w:lineRule="auto"/>
    </w:pPr>
  </w:style>
  <w:style w:type="paragraph" w:styleId="Textoindependiente3">
    <w:name w:val="Body Text 3"/>
    <w:basedOn w:val="Normal"/>
    <w:semiHidden/>
    <w:rsid w:val="00F257CA"/>
    <w:pPr>
      <w:spacing w:after="120"/>
    </w:pPr>
    <w:rPr>
      <w:sz w:val="16"/>
      <w:szCs w:val="16"/>
    </w:rPr>
  </w:style>
  <w:style w:type="paragraph" w:styleId="Textoindependienteprimerasangra">
    <w:name w:val="Body Text First Indent"/>
    <w:basedOn w:val="Textoindependiente"/>
    <w:semiHidden/>
    <w:rsid w:val="00F257CA"/>
    <w:pPr>
      <w:ind w:firstLine="210"/>
    </w:pPr>
  </w:style>
  <w:style w:type="paragraph" w:styleId="Textoindependienteprimerasangra2">
    <w:name w:val="Body Text First Indent 2"/>
    <w:basedOn w:val="Sangradetextonormal"/>
    <w:semiHidden/>
    <w:rsid w:val="00F257CA"/>
    <w:pPr>
      <w:ind w:firstLine="210"/>
    </w:pPr>
  </w:style>
  <w:style w:type="paragraph" w:styleId="Textonotaalfinal">
    <w:name w:val="endnote text"/>
    <w:aliases w:val="2_G"/>
    <w:basedOn w:val="Textonotapie"/>
    <w:qFormat/>
    <w:rsid w:val="00F257CA"/>
  </w:style>
  <w:style w:type="paragraph" w:styleId="Textosinformato">
    <w:name w:val="Plain Text"/>
    <w:basedOn w:val="Normal"/>
    <w:semiHidden/>
    <w:rsid w:val="00F257CA"/>
    <w:rPr>
      <w:rFonts w:ascii="Courier New" w:hAnsi="Courier New" w:cs="Courier New"/>
    </w:rPr>
  </w:style>
  <w:style w:type="paragraph" w:styleId="Ttulo">
    <w:name w:val="Title"/>
    <w:basedOn w:val="Normal"/>
    <w:semiHidden/>
    <w:rsid w:val="00F257CA"/>
    <w:pPr>
      <w:spacing w:before="240" w:after="60"/>
      <w:jc w:val="center"/>
      <w:outlineLvl w:val="0"/>
    </w:pPr>
    <w:rPr>
      <w:rFonts w:ascii="Arial" w:hAnsi="Arial" w:cs="Arial"/>
      <w:b/>
      <w:bCs/>
      <w:kern w:val="28"/>
      <w:sz w:val="32"/>
      <w:szCs w:val="32"/>
    </w:rPr>
  </w:style>
  <w:style w:type="character" w:styleId="VariableHTML">
    <w:name w:val="HTML Variable"/>
    <w:semiHidden/>
    <w:rsid w:val="00F257CA"/>
    <w:rPr>
      <w:i/>
      <w:iCs/>
    </w:rPr>
  </w:style>
  <w:style w:type="paragraph" w:customStyle="1" w:styleId="Bullet1G">
    <w:name w:val="_Bullet 1_G"/>
    <w:basedOn w:val="Normal"/>
    <w:qFormat/>
    <w:rsid w:val="00F257CA"/>
    <w:pPr>
      <w:numPr>
        <w:numId w:val="37"/>
      </w:numPr>
      <w:spacing w:after="120"/>
      <w:ind w:right="1134"/>
      <w:jc w:val="both"/>
    </w:pPr>
    <w:rPr>
      <w:lang w:eastAsia="en-US"/>
    </w:rPr>
  </w:style>
  <w:style w:type="paragraph" w:customStyle="1" w:styleId="Bullet2G">
    <w:name w:val="_Bullet 2_G"/>
    <w:basedOn w:val="Normal"/>
    <w:qFormat/>
    <w:rsid w:val="00F257CA"/>
    <w:pPr>
      <w:numPr>
        <w:numId w:val="38"/>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F257CA"/>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257CA"/>
    <w:rPr>
      <w:rFonts w:eastAsia="SimSun"/>
      <w:b/>
      <w:bCs/>
      <w:i/>
      <w:iCs/>
      <w:color w:val="4F81BD"/>
      <w:lang w:val="es-ES" w:eastAsia="es-ES"/>
    </w:rPr>
  </w:style>
  <w:style w:type="character" w:styleId="nfasisintenso">
    <w:name w:val="Intense Emphasis"/>
    <w:uiPriority w:val="21"/>
    <w:semiHidden/>
    <w:rsid w:val="00F257CA"/>
    <w:rPr>
      <w:b/>
      <w:bCs/>
      <w:i/>
      <w:iCs/>
      <w:color w:val="4F81BD"/>
    </w:rPr>
  </w:style>
  <w:style w:type="character" w:customStyle="1" w:styleId="Ttulo1Car">
    <w:name w:val="Título 1 Car"/>
    <w:aliases w:val="Cuadro_G Car"/>
    <w:link w:val="Ttulo1"/>
    <w:rsid w:val="00F257CA"/>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rFonts w:eastAsia="SimSun"/>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link w:val="Textonotapie"/>
    <w:uiPriority w:val="99"/>
    <w:rsid w:val="00B35EFD"/>
    <w:rPr>
      <w:rFonts w:eastAsia="SimSun"/>
      <w:sz w:val="18"/>
      <w:lang w:val="es-ES" w:eastAsia="es-ES"/>
    </w:rPr>
  </w:style>
  <w:style w:type="paragraph" w:styleId="Sinespaciado">
    <w:name w:val="No Spacing"/>
    <w:link w:val="SinespaciadoCar"/>
    <w:uiPriority w:val="1"/>
    <w:qFormat/>
    <w:rsid w:val="00D85239"/>
    <w:rPr>
      <w:rFonts w:ascii="Calibri" w:eastAsia="Calibri" w:hAnsi="Calibri"/>
      <w:sz w:val="22"/>
      <w:szCs w:val="22"/>
      <w:lang w:val="es-GT" w:eastAsia="en-US"/>
    </w:rPr>
  </w:style>
  <w:style w:type="paragraph" w:styleId="Prrafodelista">
    <w:name w:val="List Paragraph"/>
    <w:basedOn w:val="Normal"/>
    <w:link w:val="PrrafodelistaCar"/>
    <w:uiPriority w:val="1"/>
    <w:qFormat/>
    <w:rsid w:val="00D85239"/>
    <w:pPr>
      <w:spacing w:line="240" w:lineRule="auto"/>
      <w:ind w:left="720"/>
      <w:contextualSpacing/>
    </w:pPr>
    <w:rPr>
      <w:rFonts w:ascii="Calibri" w:eastAsia="Calibri" w:hAnsi="Calibri" w:cs="Arial"/>
      <w:sz w:val="24"/>
      <w:szCs w:val="24"/>
      <w:lang w:val="es-GT" w:eastAsia="en-US"/>
    </w:rPr>
  </w:style>
  <w:style w:type="character" w:customStyle="1" w:styleId="SinespaciadoCar">
    <w:name w:val="Sin espaciado Car"/>
    <w:link w:val="Sinespaciado"/>
    <w:uiPriority w:val="1"/>
    <w:rsid w:val="00D85239"/>
    <w:rPr>
      <w:rFonts w:ascii="Calibri" w:eastAsia="Calibri" w:hAnsi="Calibri"/>
      <w:sz w:val="22"/>
      <w:szCs w:val="22"/>
      <w:lang w:val="es-GT" w:eastAsia="en-US"/>
    </w:rPr>
  </w:style>
  <w:style w:type="character" w:customStyle="1" w:styleId="PrrafodelistaCar">
    <w:name w:val="Párrafo de lista Car"/>
    <w:link w:val="Prrafodelista"/>
    <w:uiPriority w:val="34"/>
    <w:qFormat/>
    <w:rsid w:val="00605579"/>
    <w:rPr>
      <w:rFonts w:ascii="Calibri" w:eastAsia="Calibri" w:hAnsi="Calibri" w:cs="Arial"/>
      <w:sz w:val="24"/>
      <w:szCs w:val="24"/>
      <w:lang w:val="es-GT" w:eastAsia="en-US"/>
    </w:rPr>
  </w:style>
  <w:style w:type="table" w:styleId="Tablanormal1">
    <w:name w:val="Plain Table 1"/>
    <w:basedOn w:val="Tablanormal"/>
    <w:uiPriority w:val="41"/>
    <w:rsid w:val="00605579"/>
    <w:rPr>
      <w:rFonts w:asciiTheme="minorHAnsi" w:eastAsiaTheme="minorHAnsi" w:hAnsiTheme="minorHAnsi" w:cstheme="minorBid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2F215B"/>
    <w:pPr>
      <w:autoSpaceDE w:val="0"/>
      <w:autoSpaceDN w:val="0"/>
      <w:adjustRightInd w:val="0"/>
    </w:pPr>
    <w:rPr>
      <w:rFonts w:eastAsiaTheme="minorHAnsi"/>
      <w:color w:val="000000"/>
      <w:sz w:val="24"/>
      <w:szCs w:val="24"/>
      <w:lang w:val="en-US" w:eastAsia="en-US"/>
    </w:rPr>
  </w:style>
  <w:style w:type="character" w:customStyle="1" w:styleId="Ninguno">
    <w:name w:val="Ninguno"/>
    <w:rsid w:val="002F215B"/>
  </w:style>
  <w:style w:type="character" w:styleId="Mencinsinresolver">
    <w:name w:val="Unresolved Mention"/>
    <w:basedOn w:val="Fuentedeprrafopredeter"/>
    <w:uiPriority w:val="99"/>
    <w:semiHidden/>
    <w:unhideWhenUsed/>
    <w:rsid w:val="00F15FE4"/>
    <w:rPr>
      <w:color w:val="605E5C"/>
      <w:shd w:val="clear" w:color="auto" w:fill="E1DFDD"/>
    </w:rPr>
  </w:style>
  <w:style w:type="paragraph" w:styleId="Revisin">
    <w:name w:val="Revision"/>
    <w:hidden/>
    <w:uiPriority w:val="99"/>
    <w:semiHidden/>
    <w:rsid w:val="003A5EF4"/>
    <w:rPr>
      <w:rFonts w:eastAsia="SimSu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dp.gov.py/informes-de-gestiones/" TargetMode="External"/><Relationship Id="rId13" Type="http://schemas.openxmlformats.org/officeDocument/2006/relationships/hyperlink" Target="https://www.pj.gov.py/images/contenido/ddh/Normativas-y-pronunciamientos-sobre-corrupcion-y-DDHH.pdf" TargetMode="External"/><Relationship Id="rId18" Type="http://schemas.openxmlformats.org/officeDocument/2006/relationships/hyperlink" Target="https://www.pj.gov.py/etica-documentos/99-resoluciones" TargetMode="External"/><Relationship Id="rId3" Type="http://schemas.openxmlformats.org/officeDocument/2006/relationships/hyperlink" Target="http://silpy.congreso.gov.py/expediente/108883" TargetMode="External"/><Relationship Id="rId21" Type="http://schemas.openxmlformats.org/officeDocument/2006/relationships/hyperlink" Targe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7" Type="http://schemas.openxmlformats.org/officeDocument/2006/relationships/hyperlink" Target="https://www.mdp.gov.py/contactos/nuestras-oficinas/" TargetMode="External"/><Relationship Id="rId12" Type="http://schemas.openxmlformats.org/officeDocument/2006/relationships/hyperlink" Target="https://nube.senac.gov.py/s/jRWRXY6nH8iKmMx" TargetMode="External"/><Relationship Id="rId17" Type="http://schemas.openxmlformats.org/officeDocument/2006/relationships/hyperlink" Target="https://www.pj.gov.py/contenido/1609-concursos-de-ingreso-y-promocion-de-personas/1609" TargetMode="External"/><Relationship Id="rId2" Type="http://schemas.openxmlformats.org/officeDocument/2006/relationships/hyperlink" Target="https://www.bacn.gov.py/leyes-paraguayas/8902/ley-n-6350-modifica-el-articulo-245-de-la-ley-n-12861998-codigo-procesal-penal-y-sus-modificatorias-las-leyes-ns-44312011-y-24932004" TargetMode="External"/><Relationship Id="rId16" Type="http://schemas.openxmlformats.org/officeDocument/2006/relationships/hyperlink" Target="https://www.pj.gov.py/contenido/1298-acceso-a-la-informacion-publica-y-transparencia-gubernamental/1346" TargetMode="External"/><Relationship Id="rId20" Type="http://schemas.openxmlformats.org/officeDocument/2006/relationships/hyperlink" Target="https://www.bacn.gov.py/leyes-paraguayas/9225/ley-n-6430-previene-tipifica-y-sanciona-los-hechos-punibles-de-cohecho-transnacional-y-soborno-transnacional" TargetMode="External"/><Relationship Id="rId1" Type="http://schemas.openxmlformats.org/officeDocument/2006/relationships/hyperlink" Target="http://silpy.congreso.gov.py/expediente/117607" TargetMode="External"/><Relationship Id="rId6" Type="http://schemas.openxmlformats.org/officeDocument/2006/relationships/hyperlink" Target="https://www.bacn.gov.py/leyes-paraguayas/9525/ley-n-6345-modifica-el-articulo-7-numeral-1-y-deroga-el-articulo-11-de-la-ley-n-586317-que-establece-la-implementacion-de-los-dispositivos-electronicos-de-control" TargetMode="External"/><Relationship Id="rId11" Type="http://schemas.openxmlformats.org/officeDocument/2006/relationships/hyperlink" Target="https://bit.ly/panel-transparencia-senacpy" TargetMode="External"/><Relationship Id="rId5" Type="http://schemas.openxmlformats.org/officeDocument/2006/relationships/hyperlink" Target="https://www.bacn.gov.py/leyes-paraguayas/9764/ley-n-5863-establece-la-implementacion-de-los-dispositivos-electronicos-de-control" TargetMode="External"/><Relationship Id="rId15" Type="http://schemas.openxmlformats.org/officeDocument/2006/relationships/hyperlink" Target="https://informacionpublica.paraguay.gov.py/portal/" TargetMode="External"/><Relationship Id="rId10" Type="http://schemas.openxmlformats.org/officeDocument/2006/relationships/hyperlink" Target="https://paneldenuncias.senac.gov.py/" TargetMode="External"/><Relationship Id="rId19" Type="http://schemas.openxmlformats.org/officeDocument/2006/relationships/hyperlink" Target="https://www.bacn.gov.py/leyes-paraguayas/9363/ley-n-6379-crea-la-competencia-en-delitos-economicos-y-crimen-organizado-en-la-jurisdiccion-del-fuero-penal" TargetMode="External"/><Relationship Id="rId4" Type="http://schemas.openxmlformats.org/officeDocument/2006/relationships/hyperlink" Target="https://www.pj.gov.py/images/contenido/acordadas/acordada1511.pdf" TargetMode="External"/><Relationship Id="rId9" Type="http://schemas.openxmlformats.org/officeDocument/2006/relationships/hyperlink" Target="http://www.denuncias.gov.py" TargetMode="External"/><Relationship Id="rId14" Type="http://schemas.openxmlformats.org/officeDocument/2006/relationships/hyperlink" Target="https://www.pj.gov.py/observatorio" TargetMode="External"/><Relationship Id="rId22" Type="http://schemas.openxmlformats.org/officeDocument/2006/relationships/hyperlink" Target="https://www.bacn.gov.py/leyes-paraguayas/9553/ley-n-6721-modifica-el-articulo-3-de-la-ley-n-24032004-que-crea-la-comision-nacional-para-el-estudio-de-la-reforma-del-sistema-penal-y-penitenciario-modificada-por-las-leyes-ns-51402013-61892018-y-6505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9E2E0-B4B0-405A-9827-72FC9257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3496</Words>
  <Characters>19432</Characters>
  <Application>Microsoft Office Word</Application>
  <DocSecurity>0</DocSecurity>
  <Lines>336</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CCPR/C/GTM/FCO/4</vt:lpstr>
      <vt:lpstr>CCPR/C/GTM/CO/4/Add.1</vt:lpstr>
      <vt:lpstr>CAT/C/XXX/Y</vt:lpstr>
    </vt:vector>
  </TitlesOfParts>
  <Company>DCM</Company>
  <LinksUpToDate>false</LinksUpToDate>
  <CharactersWithSpaces>22930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CCPR/C/PRY/FCO/4</dc:title>
  <dc:subject/>
  <dc:creator>Gloria de la Rosa</dc:creator>
  <cp:keywords/>
  <dc:description/>
  <cp:lastModifiedBy>Romina Merino Mac-Kay</cp:lastModifiedBy>
  <cp:revision>2</cp:revision>
  <cp:lastPrinted>2020-05-01T05:34:00Z</cp:lastPrinted>
  <dcterms:created xsi:type="dcterms:W3CDTF">2023-12-01T13:54:00Z</dcterms:created>
  <dcterms:modified xsi:type="dcterms:W3CDTF">2023-12-01T13:54:00Z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17 de abril de 2020</vt:lpwstr>
  </property>
  <property fmtid="{D5CDD505-2E9C-101B-9397-08002B2CF9AE}" pid="11" name="Date-Generated">
    <vt:filetime>2020-04-17T12:00:20Z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C/GTM/CO/4/Add.1</vt:lpwstr>
  </property>
  <property fmtid="{D5CDD505-2E9C-101B-9397-08002B2CF9AE}" pid="29" name="symh">
    <vt:lpwstr>CCPR/C/GTM/CO/4/Add.1</vt:lpwstr>
  </property>
  <property fmtid="{D5CDD505-2E9C-101B-9397-08002B2CF9AE}" pid="30" name="tlang">
    <vt:lpwstr/>
  </property>
  <property fmtid="{D5CDD505-2E9C-101B-9397-08002B2CF9AE}" pid="31" name="virs">
    <vt:lpwstr>Español e inglés únicamente</vt:lpwstr>
  </property>
</Properties>
</file>