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817AD57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576DAAF" w14:textId="77777777" w:rsidR="002D5AAC" w:rsidRDefault="002D5AAC" w:rsidP="00D2439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BB04ABC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52FDC00" w14:textId="5FAA228E" w:rsidR="002D5AAC" w:rsidRDefault="00D24398" w:rsidP="00D24398">
            <w:pPr>
              <w:jc w:val="right"/>
            </w:pPr>
            <w:r w:rsidRPr="00D24398">
              <w:rPr>
                <w:sz w:val="40"/>
              </w:rPr>
              <w:t>CAT</w:t>
            </w:r>
            <w:r>
              <w:t>/C/AUT/CO/7</w:t>
            </w:r>
          </w:p>
        </w:tc>
      </w:tr>
      <w:tr w:rsidR="002D5AAC" w:rsidRPr="00D24398" w14:paraId="5348FA4E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F61A510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2B3F7E1" wp14:editId="2D3961B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0065B6F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557D00C" w14:textId="77777777" w:rsidR="002D5AAC" w:rsidRPr="00D24398" w:rsidRDefault="00D24398" w:rsidP="00F90E40">
            <w:pPr>
              <w:spacing w:before="240"/>
              <w:rPr>
                <w:lang w:val="en-US"/>
              </w:rPr>
            </w:pPr>
            <w:r w:rsidRPr="00D24398">
              <w:rPr>
                <w:lang w:val="en-US"/>
              </w:rPr>
              <w:t>Distr.: General</w:t>
            </w:r>
          </w:p>
          <w:p w14:paraId="3F4DD92C" w14:textId="77777777" w:rsidR="00D24398" w:rsidRPr="00D24398" w:rsidRDefault="00D24398" w:rsidP="00D24398">
            <w:pPr>
              <w:spacing w:line="240" w:lineRule="exact"/>
              <w:rPr>
                <w:lang w:val="en-US"/>
              </w:rPr>
            </w:pPr>
            <w:r w:rsidRPr="00D24398">
              <w:rPr>
                <w:lang w:val="en-US"/>
              </w:rPr>
              <w:t>12 June 2024</w:t>
            </w:r>
          </w:p>
          <w:p w14:paraId="642B7EBC" w14:textId="77777777" w:rsidR="00D24398" w:rsidRPr="00D24398" w:rsidRDefault="00D24398" w:rsidP="00D24398">
            <w:pPr>
              <w:spacing w:line="240" w:lineRule="exact"/>
              <w:rPr>
                <w:lang w:val="en-US"/>
              </w:rPr>
            </w:pPr>
            <w:r w:rsidRPr="00D24398">
              <w:rPr>
                <w:lang w:val="en-US"/>
              </w:rPr>
              <w:t>Russian</w:t>
            </w:r>
          </w:p>
          <w:p w14:paraId="6EEE9EA4" w14:textId="548D6670" w:rsidR="00D24398" w:rsidRPr="00D24398" w:rsidRDefault="00D24398" w:rsidP="00D24398">
            <w:pPr>
              <w:spacing w:line="240" w:lineRule="exact"/>
              <w:rPr>
                <w:lang w:val="en-US"/>
              </w:rPr>
            </w:pPr>
            <w:r w:rsidRPr="00D24398">
              <w:rPr>
                <w:lang w:val="en-US"/>
              </w:rPr>
              <w:t>Original: English</w:t>
            </w:r>
          </w:p>
        </w:tc>
      </w:tr>
    </w:tbl>
    <w:p w14:paraId="185E1ECA" w14:textId="77777777" w:rsidR="006E6D94" w:rsidRPr="004F2802" w:rsidRDefault="006E6D94" w:rsidP="006E6D94">
      <w:pPr>
        <w:spacing w:before="120"/>
        <w:rPr>
          <w:b/>
          <w:sz w:val="24"/>
          <w:szCs w:val="24"/>
        </w:rPr>
      </w:pPr>
      <w:r w:rsidRPr="004F2802">
        <w:rPr>
          <w:b/>
          <w:bCs/>
          <w:sz w:val="24"/>
          <w:szCs w:val="24"/>
        </w:rPr>
        <w:t>Комитет против пыток</w:t>
      </w:r>
    </w:p>
    <w:p w14:paraId="6DCFF8A2" w14:textId="77777777" w:rsidR="006E6D94" w:rsidRPr="004F2802" w:rsidRDefault="006E6D94" w:rsidP="006E6D94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седьмому периодическому докладу Австрии</w:t>
      </w:r>
      <w:r w:rsidRPr="009C27B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5E82431B" w14:textId="54914E92" w:rsidR="006E6D94" w:rsidRPr="004F2802" w:rsidRDefault="006E6D94" w:rsidP="006E6D94">
      <w:pPr>
        <w:pStyle w:val="SingleTxtG"/>
      </w:pPr>
      <w:r>
        <w:t>1.</w:t>
      </w:r>
      <w:r>
        <w:tab/>
        <w:t>Комитет рассмотрел седьмой периодический доклад Австрии</w:t>
      </w:r>
      <w:r w:rsidRPr="0087594D">
        <w:rPr>
          <w:rStyle w:val="aa"/>
        </w:rPr>
        <w:footnoteReference w:id="2"/>
      </w:r>
      <w:r>
        <w:t xml:space="preserve"> на своих</w:t>
      </w:r>
      <w:r w:rsidR="009C27B9">
        <w:br/>
      </w:r>
      <w:r>
        <w:t>2074-м и 2077-м заседаниях</w:t>
      </w:r>
      <w:r w:rsidRPr="003257B7">
        <w:rPr>
          <w:sz w:val="18"/>
          <w:vertAlign w:val="superscript"/>
        </w:rPr>
        <w:footnoteReference w:id="3"/>
      </w:r>
      <w:r>
        <w:t>, состоявшихся 16 и 17 апреля 2024 года, и принял настоящие заключительные замечания на своем 2096-м заседании, состоявшемся 1 мая 2024 года.</w:t>
      </w:r>
    </w:p>
    <w:p w14:paraId="46553E25" w14:textId="77777777" w:rsidR="006E6D94" w:rsidRPr="004F2802" w:rsidRDefault="006E6D94" w:rsidP="006E6D94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4F3DFB64" w14:textId="77777777" w:rsidR="006E6D94" w:rsidRPr="004F2802" w:rsidRDefault="006E6D94" w:rsidP="006E6D94">
      <w:pPr>
        <w:pStyle w:val="SingleTxtG"/>
      </w:pPr>
      <w:r>
        <w:t>2.</w:t>
      </w:r>
      <w:r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периодического доклада в соответствии с ней, поскольку это способствует совершенствованию сотрудничества между государством-участником и Комитетом и задает более четкую направленность рассмотрению доклада и диалогу с делегацией.</w:t>
      </w:r>
    </w:p>
    <w:p w14:paraId="17E1FF07" w14:textId="77777777" w:rsidR="006E6D94" w:rsidRPr="004F2802" w:rsidRDefault="006E6D94" w:rsidP="006E6D94">
      <w:pPr>
        <w:pStyle w:val="SingleTxtG"/>
      </w:pPr>
      <w:r>
        <w:t>3.</w:t>
      </w:r>
      <w:r>
        <w:tab/>
        <w:t>Комитет выражает признательность за предоставленную ему возможность провести конструктивный диалог с делегацией государства-участника и приветствует ответы на вопросы, затронутые в ходе рассмотрения доклада, в том числе вызывающие обеспокоенность.</w:t>
      </w:r>
    </w:p>
    <w:p w14:paraId="54015EE6" w14:textId="77777777" w:rsidR="006E6D94" w:rsidRPr="004F2802" w:rsidRDefault="006E6D94" w:rsidP="006E6D94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53A26F9A" w14:textId="7D539690" w:rsidR="006E6D94" w:rsidRPr="004F2802" w:rsidRDefault="006E6D94" w:rsidP="006E6D94">
      <w:pPr>
        <w:pStyle w:val="SingleTxtG"/>
      </w:pPr>
      <w:r>
        <w:t>4.</w:t>
      </w:r>
      <w:r>
        <w:tab/>
        <w:t>Комитет одобряет ратификацию государством-участником Протокола от 2014</w:t>
      </w:r>
      <w:r w:rsidR="009C27B9">
        <w:rPr>
          <w:lang w:val="en-US"/>
        </w:rPr>
        <w:t> </w:t>
      </w:r>
      <w:r>
        <w:t>года к Конвенции 1930 года о принудительном труде (№ 29) Международной организации труда, состоявшуюся 12 сентября 2019 года.</w:t>
      </w:r>
      <w:bookmarkStart w:id="0" w:name="_Hlk120625680"/>
    </w:p>
    <w:p w14:paraId="19A03CD1" w14:textId="77777777" w:rsidR="006E6D94" w:rsidRPr="004F2802" w:rsidRDefault="006E6D94" w:rsidP="006E6D94">
      <w:pPr>
        <w:pStyle w:val="SingleTxtG"/>
      </w:pPr>
      <w:r>
        <w:t>5.</w:t>
      </w:r>
      <w:r>
        <w:tab/>
        <w:t>Комитет одобряет также инициативы государства-участника по пересмотру и введению в действие законодательства в областях, имеющих отношение к Конвенции, включая принятие следующих документов:</w:t>
      </w:r>
    </w:p>
    <w:p w14:paraId="3349D78C" w14:textId="0AC40422" w:rsidR="006E6D94" w:rsidRPr="004F2802" w:rsidRDefault="009C27B9" w:rsidP="006E6D94">
      <w:pPr>
        <w:pStyle w:val="SingleTxtG"/>
      </w:pPr>
      <w:r>
        <w:tab/>
      </w:r>
      <w:r w:rsidR="006E6D94">
        <w:t>a)</w:t>
      </w:r>
      <w:r w:rsidR="006E6D94">
        <w:tab/>
        <w:t>Закона о приведении уголовного законодательства в соответствие с законодательством Европейского союза в 2020 году, расширяющего спектр юридических услуг, предоставляемых по требованию, для неимущих лиц, содержащихся под стражей в полиции;</w:t>
      </w:r>
    </w:p>
    <w:p w14:paraId="32DEE37C" w14:textId="1CDF3C88" w:rsidR="006E6D94" w:rsidRPr="004F2802" w:rsidRDefault="009C27B9" w:rsidP="006E6D94">
      <w:pPr>
        <w:pStyle w:val="SingleTxtG"/>
      </w:pPr>
      <w:r>
        <w:tab/>
      </w:r>
      <w:r w:rsidR="006E6D94">
        <w:t>b)</w:t>
      </w:r>
      <w:r w:rsidR="006E6D94">
        <w:tab/>
        <w:t>Закона о защите от насилия в 2019 года;</w:t>
      </w:r>
    </w:p>
    <w:p w14:paraId="2BC9ECC8" w14:textId="2620B28B" w:rsidR="006E6D94" w:rsidRPr="004F2802" w:rsidRDefault="009C27B9" w:rsidP="006E6D94">
      <w:pPr>
        <w:pStyle w:val="SingleTxtG"/>
      </w:pPr>
      <w:r>
        <w:tab/>
      </w:r>
      <w:r w:rsidR="006E6D94">
        <w:t>c)</w:t>
      </w:r>
      <w:r w:rsidR="006E6D94">
        <w:tab/>
        <w:t xml:space="preserve">Положения о базовой профессиональной подготовке в 2017 году, </w:t>
      </w:r>
      <w:r>
        <w:t>направленного</w:t>
      </w:r>
      <w:r w:rsidR="006E6D94">
        <w:t xml:space="preserve"> на обеспечение профессиональной подготовки сотрудников </w:t>
      </w:r>
      <w:r w:rsidR="006E6D94">
        <w:lastRenderedPageBreak/>
        <w:t>правоохранительных органов всех уровней на основе принципов защиты прав человека;</w:t>
      </w:r>
    </w:p>
    <w:p w14:paraId="7C8D7B3C" w14:textId="6FFEFE9B" w:rsidR="006E6D94" w:rsidRPr="004F2802" w:rsidRDefault="00AE5508" w:rsidP="006E6D94">
      <w:pPr>
        <w:pStyle w:val="SingleTxtG"/>
      </w:pPr>
      <w:r>
        <w:tab/>
      </w:r>
      <w:r w:rsidR="006E6D94">
        <w:t>d)</w:t>
      </w:r>
      <w:r w:rsidR="006E6D94">
        <w:tab/>
        <w:t>поправки к Уголовно-процессуальному кодексу в 2016 году, нацеленной на укрепление прав особо уязвимых жертв в уголовном процессе.</w:t>
      </w:r>
    </w:p>
    <w:p w14:paraId="5ABDB10B" w14:textId="77777777" w:rsidR="006E6D94" w:rsidRPr="004F2802" w:rsidRDefault="006E6D94" w:rsidP="006E6D94">
      <w:pPr>
        <w:pStyle w:val="SingleTxtG"/>
      </w:pPr>
      <w:r>
        <w:t>6.</w:t>
      </w:r>
      <w:r>
        <w:tab/>
        <w:t>Кроме того, Комитет одобряет инициативы государства-участника по внесению изменений в свою политику и процедуры в областях, имеющих отношение к Конвенции и обеспечивающих более эффективную защиту прав человека, в частности:</w:t>
      </w:r>
    </w:p>
    <w:p w14:paraId="3A3DE3C4" w14:textId="247A8250" w:rsidR="006E6D94" w:rsidRPr="004F2802" w:rsidRDefault="00AE5508" w:rsidP="006E6D94">
      <w:pPr>
        <w:pStyle w:val="SingleTxtG"/>
      </w:pPr>
      <w:r>
        <w:tab/>
      </w:r>
      <w:r w:rsidR="006E6D94">
        <w:t>a)</w:t>
      </w:r>
      <w:r w:rsidR="006E6D94">
        <w:tab/>
        <w:t>принятие в 2022 году Национального плана действий по проблемам инвалидности (2022–2030 годы);</w:t>
      </w:r>
      <w:bookmarkEnd w:id="0"/>
    </w:p>
    <w:p w14:paraId="735797D6" w14:textId="0AE5F03D" w:rsidR="006E6D94" w:rsidRPr="004F2802" w:rsidRDefault="00AE5508" w:rsidP="006E6D94">
      <w:pPr>
        <w:pStyle w:val="SingleTxtG"/>
      </w:pPr>
      <w:r>
        <w:tab/>
      </w:r>
      <w:r w:rsidR="006E6D94">
        <w:t>b)</w:t>
      </w:r>
      <w:r w:rsidR="006E6D94">
        <w:tab/>
        <w:t>принятие в 2021 году Национального плана действий по борьбе с торговлей людьми (2021–2023 годы);</w:t>
      </w:r>
    </w:p>
    <w:p w14:paraId="0268F172" w14:textId="323DF7FA" w:rsidR="006E6D94" w:rsidRPr="004F2802" w:rsidRDefault="00AE5508" w:rsidP="006E6D94">
      <w:pPr>
        <w:pStyle w:val="SingleTxtG"/>
      </w:pPr>
      <w:r>
        <w:tab/>
      </w:r>
      <w:r w:rsidR="006E6D94">
        <w:t>c)</w:t>
      </w:r>
      <w:r w:rsidR="006E6D94">
        <w:tab/>
        <w:t>создание в 2017 году Национальной сети профилактики экстремизма и дерадикализации и принятие в 2020 году Австрийской стратегии профилактики экстремизма и дерадикализации;</w:t>
      </w:r>
    </w:p>
    <w:p w14:paraId="0F0349E8" w14:textId="0E5F04EB" w:rsidR="006E6D94" w:rsidRPr="004F2802" w:rsidRDefault="00AE5508" w:rsidP="006E6D94">
      <w:pPr>
        <w:pStyle w:val="SingleTxtG"/>
      </w:pPr>
      <w:r>
        <w:tab/>
      </w:r>
      <w:r w:rsidR="006E6D94">
        <w:t>d)</w:t>
      </w:r>
      <w:r w:rsidR="006E6D94">
        <w:tab/>
        <w:t>создание в 2016 году Национального механизма перенаправления по выявлению потенциальных жертв торговли детьми и работе с ними.</w:t>
      </w:r>
    </w:p>
    <w:p w14:paraId="0C36F233" w14:textId="05663F69" w:rsidR="006E6D94" w:rsidRPr="004F2802" w:rsidRDefault="006E6D94" w:rsidP="006E6D94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AE5508">
        <w:rPr>
          <w:bCs/>
          <w:lang w:val="en-US"/>
        </w:rPr>
        <w:t> </w:t>
      </w:r>
      <w:r>
        <w:rPr>
          <w:bCs/>
        </w:rPr>
        <w:t>рекомендации</w:t>
      </w:r>
    </w:p>
    <w:p w14:paraId="32F63963" w14:textId="450C54C5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Вопросы последующей деятельности, оставшиеся нерассмотренными со</w:t>
      </w:r>
      <w:r w:rsidR="006B2EB0">
        <w:rPr>
          <w:bCs/>
        </w:rPr>
        <w:t> </w:t>
      </w:r>
      <w:r>
        <w:rPr>
          <w:bCs/>
        </w:rPr>
        <w:t>времени предыдущего цикла представления докладов</w:t>
      </w:r>
    </w:p>
    <w:p w14:paraId="2B0460E9" w14:textId="40723CC6" w:rsidR="006E6D94" w:rsidRPr="004F2802" w:rsidRDefault="006E6D94" w:rsidP="006E6D94">
      <w:pPr>
        <w:pStyle w:val="SingleTxtG"/>
      </w:pPr>
      <w:r>
        <w:t>7.</w:t>
      </w:r>
      <w:r>
        <w:tab/>
        <w:t>В своих предыдущих заключительных замечаниях Комитет просил государство-участник предоставить информацию о выполнении рекомендаций Комитета, касающихся присутствия адвоката на допросах в полиции, создания независимых механизмов для расследования утверждений о пытках и жестоком обращении со стороны сотрудников правоохранительных органов, содержания под стражей в ожидании депортации, использования электрошокового оружия в пенитенциарных учреждениях, а также оперативного, тщательного и беспристрастного расследования всех утверждений об актах пыток или жестокого обращения</w:t>
      </w:r>
      <w:r w:rsidRPr="0087594D">
        <w:rPr>
          <w:rStyle w:val="aa"/>
        </w:rPr>
        <w:footnoteReference w:id="4"/>
      </w:r>
      <w:r>
        <w:t>. В свете информации, поступившей от государства-участника в рамках последующих мер в связи с этими заключительными замечаниями 9 декабря 2016</w:t>
      </w:r>
      <w:r w:rsidR="00AE5508">
        <w:rPr>
          <w:lang w:val="en-US"/>
        </w:rPr>
        <w:t> </w:t>
      </w:r>
      <w:r>
        <w:t>года</w:t>
      </w:r>
      <w:r w:rsidRPr="0087594D">
        <w:rPr>
          <w:rStyle w:val="aa"/>
        </w:rPr>
        <w:footnoteReference w:id="5"/>
      </w:r>
      <w:r>
        <w:t>, информации, содержащейся в седьмом периодическом докладе государства-участника, и дополнительных сведений, предоставленных делегацией в ходе диалога, Комитет приходит к выводу, что рекомендация, изложенная</w:t>
      </w:r>
      <w:r w:rsidR="006B2EB0">
        <w:br/>
      </w:r>
      <w:r>
        <w:t>в пункте 9 а), была выполнена, рекомендация, содержащаяся в пункте 37, была отчасти выполнена и что рекомендации, содержащиеся в пунктах 9 b), 23 и 31, еще не выполнены. Эти вопросы рассматриваются в пунктах 15, 31, 35 и 41 настоящих заключительных замечаний.</w:t>
      </w:r>
    </w:p>
    <w:p w14:paraId="62068B3B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Правовой статус Конвенции</w:t>
      </w:r>
    </w:p>
    <w:p w14:paraId="3018464E" w14:textId="77777777" w:rsidR="006E6D94" w:rsidRPr="004F2802" w:rsidRDefault="006E6D94" w:rsidP="006E6D94">
      <w:pPr>
        <w:pStyle w:val="SingleTxtG"/>
      </w:pPr>
      <w:r>
        <w:t>8.</w:t>
      </w:r>
      <w:r>
        <w:tab/>
        <w:t xml:space="preserve">Принимая к сведению федеральную структуру государства-участника и усилия, предпринятые для укрепления координации осуществления Конвенции, в частности на уровне земель и муниципалитетов, Комитет выражает обеспокоенность в связи с тем, что в областях, находящихся в исключительном ведении земель, Конвенция применяется непоследовательно. Комитет отмечает, что Федеральное правительство несет основную ответственность за обеспечение осуществления Конвенции и руководства правительствами земель в этой связи. Принимая к сведению представленную делегацией в ходе диалога информацию о том, что Конвенция о защите прав человека и основных свобод (Европейская конвенция о правах человека), Хартия основных прав Европейского союза, некоторые положения Международной </w:t>
      </w:r>
      <w:r>
        <w:lastRenderedPageBreak/>
        <w:t>конвенции о ликвидации всех форм расовой дискриминации и основные положения Конвенции о правах ребенка осуществляются в качестве непосредственно применимых норм конституционного права в государстве-участнике и что все другие договоры по правам человека осуществляются посредством законодательства, Комитет выражает обеспокоенность в связи с тем, что Конвенция еще не полностью включена во внутреннюю правовую систему. Комитет сожалеет об отсутствии информации о том, каким образом разрешаются потенциальные конфликты между внутренним законодательством и Конвенцией (ст. 2).</w:t>
      </w:r>
    </w:p>
    <w:p w14:paraId="2E4DD915" w14:textId="77777777" w:rsidR="006E6D94" w:rsidRPr="004F2802" w:rsidRDefault="006E6D94" w:rsidP="006E6D94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С учетом первостепенной ответственности Федерального правительства за осуществление Конвенции государству-участнику следует укрепить свои институциональные механизмы координации между федеральным государством и землями для обеспечения эффективного и последовательного осуществления Конвенции в рамках всех юрисдикций.</w:t>
      </w:r>
      <w:r>
        <w:t xml:space="preserve"> </w:t>
      </w:r>
      <w:r>
        <w:rPr>
          <w:b/>
          <w:bCs/>
        </w:rPr>
        <w:t>Государству-участнику следует активизировать свои усилия по включению положений Конвенции в свое внутреннее законодательство, с тем чтобы обеспечить полное осуществление всех предусмотренных в ней прав в рамках внутреннего законодательства.</w:t>
      </w:r>
      <w:r>
        <w:t xml:space="preserve"> </w:t>
      </w:r>
      <w:r>
        <w:rPr>
          <w:b/>
          <w:bCs/>
        </w:rPr>
        <w:t>Кроме того, государству-участнику следует обеспечить, чтобы его внутреннее законодательство толковалось и применялось совместимым с его обязательствами по Конвенции образом.</w:t>
      </w:r>
    </w:p>
    <w:p w14:paraId="7B8DBDB0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Определение пытки и ее квалификация в качестве преступления</w:t>
      </w:r>
    </w:p>
    <w:p w14:paraId="07B2F896" w14:textId="4F60C9B4" w:rsidR="006E6D94" w:rsidRPr="004F2802" w:rsidRDefault="006E6D94" w:rsidP="006E6D94">
      <w:pPr>
        <w:pStyle w:val="SingleTxtG"/>
      </w:pPr>
      <w:r>
        <w:t>10.</w:t>
      </w:r>
      <w:r>
        <w:tab/>
        <w:t>Считая, что определение преступления пытки, содержащееся в статье 312а Уголовного кодекса, в целом соответствует положениям статьи 1 Конвенции, и принимая к сведению представленные государством-участником разъяснения относительно адекватности наказаний, предусмотренных за преступление пытки, по сравнению с наказаниями за другие преступления, предусмотренные Уголовным кодексом, Комитет по-прежнему обеспокоен тем, что статья 312а 1) Уголовного кодекса предусматривает наказание в виде от 1 до 10 лет лишения свободы за основное преступление пытки, и считает, что минимальный срок лишения свободы в 1 год не является надлежащим наказанием с учетом всей тяжести этого преступления (ст</w:t>
      </w:r>
      <w:r w:rsidR="001B0D59">
        <w:t>.</w:t>
      </w:r>
      <w:r w:rsidR="00F94B61">
        <w:t> </w:t>
      </w:r>
      <w:r>
        <w:t>1, 2 и 4).</w:t>
      </w:r>
    </w:p>
    <w:p w14:paraId="77F7387A" w14:textId="77777777" w:rsidR="006E6D94" w:rsidRPr="004F2802" w:rsidRDefault="006E6D94" w:rsidP="006E6D94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настоятельно призывает государство-участник рассмотреть возможность внесения поправок в статью 312а 1) Уголовного кодекса для обеспечения того, чтобы все акты пыток карались надлежащими наказаниями, учитывающими их тяжкий характер, как это предусмотрено в пункте 2 статьи 4 Конвенции.</w:t>
      </w:r>
    </w:p>
    <w:p w14:paraId="623EA40B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Срок давности</w:t>
      </w:r>
    </w:p>
    <w:p w14:paraId="1828206D" w14:textId="77777777" w:rsidR="006E6D94" w:rsidRPr="004F2802" w:rsidRDefault="006E6D94" w:rsidP="006E6D94">
      <w:pPr>
        <w:pStyle w:val="SingleTxtG"/>
      </w:pPr>
      <w:r>
        <w:t>12.</w:t>
      </w:r>
      <w:r>
        <w:tab/>
        <w:t>Комитет обеспокоен отсутствием в Уголовном кодексе положений, которые предусматривали бы, что на преступление пытки не распространяется срок давности.</w:t>
      </w:r>
    </w:p>
    <w:p w14:paraId="5670B4B0" w14:textId="77777777" w:rsidR="006E6D94" w:rsidRPr="004F2802" w:rsidRDefault="006E6D94" w:rsidP="006E6D94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Государству-участнику следует обеспечить, чтобы на преступление пытки не распространялся какой-либо срок давности, с тем чтобы исключить риск безнаказанности при расследовании актов пыток, а также при уголовном преследовании и привлечении к ответственности виновных.</w:t>
      </w:r>
    </w:p>
    <w:p w14:paraId="3CD09B87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</w:p>
    <w:p w14:paraId="29EB70D9" w14:textId="77777777" w:rsidR="006E6D94" w:rsidRPr="004F2802" w:rsidRDefault="006E6D94" w:rsidP="006E6D94">
      <w:pPr>
        <w:pStyle w:val="SingleTxtG"/>
      </w:pPr>
      <w:r>
        <w:t>14.</w:t>
      </w:r>
      <w:r>
        <w:tab/>
        <w:t>Принимая во внимание процессуальные гарантии, предусмотренные внутренним законодательством, и пересмотренную внутреннюю инструкцию Федерального министерства внутренних дел по исполнительным и оперативным вопросам, уголовному расследованию и юридическим услугам по требованию, которая налагает на полицию обязательство отложить допрос, с тем чтобы дать возможность адвокату подозреваемого прибыть на место допроса, Комитет выражает обеспокоенность в связи с сообщениями о том, что на практике присутствие бесплатного адвоката на допросе в полиции по-прежнему доступно не всем задержанным взрослым лицам, которые не могут позволить себе самостоятельно оплатить услуги адвоката (ст. 2).</w:t>
      </w:r>
    </w:p>
    <w:p w14:paraId="4854F066" w14:textId="77777777" w:rsidR="006E6D94" w:rsidRPr="004F2802" w:rsidRDefault="006E6D94" w:rsidP="006E6D94">
      <w:pPr>
        <w:pStyle w:val="SingleTxtG"/>
        <w:rPr>
          <w:b/>
          <w:bCs/>
        </w:rPr>
      </w:pPr>
      <w:r>
        <w:lastRenderedPageBreak/>
        <w:t>15.</w:t>
      </w:r>
      <w:r>
        <w:tab/>
      </w:r>
      <w:r>
        <w:rPr>
          <w:b/>
          <w:bCs/>
        </w:rPr>
        <w:t>Государству-участнику следует обеспечить предоставление всех основных правовых гарантий на практике всем задержанным лицам с самого начала лишения свободы, в частности право на помощь адвоката, в том числе перед допросами и во время допросов, и, когда это применимо, на доступ к бесплатной юридической помощи.</w:t>
      </w:r>
      <w:r>
        <w:t xml:space="preserve"> </w:t>
      </w:r>
      <w:r>
        <w:rPr>
          <w:b/>
          <w:bCs/>
        </w:rPr>
        <w:t>Государству-участнику следует и впредь обеспечивать надлежащую и регулярную профессиональную подготовку сотрудников, участвующих в мероприятиях по задержанию, по вопросам правовых гарантий, контролировать их соблюдение, а также наказывать должностных лиц за любые случаи их несоблюдения.</w:t>
      </w:r>
      <w:bookmarkStart w:id="2" w:name="_Hlk141262563"/>
      <w:bookmarkEnd w:id="2"/>
    </w:p>
    <w:p w14:paraId="7D976267" w14:textId="77777777" w:rsidR="006E6D94" w:rsidRPr="004F2802" w:rsidRDefault="006E6D94" w:rsidP="006E6D94">
      <w:pPr>
        <w:pStyle w:val="H23G"/>
        <w:rPr>
          <w:rFonts w:eastAsia="Calibri"/>
        </w:rPr>
      </w:pPr>
      <w:r>
        <w:tab/>
      </w:r>
      <w:r>
        <w:tab/>
      </w:r>
      <w:r>
        <w:rPr>
          <w:bCs/>
        </w:rPr>
        <w:t>Совет Омбудсмена Австрии</w:t>
      </w:r>
    </w:p>
    <w:p w14:paraId="33A6F218" w14:textId="77777777" w:rsidR="006E6D94" w:rsidRPr="004F2802" w:rsidRDefault="006E6D94" w:rsidP="006E6D94">
      <w:pPr>
        <w:pStyle w:val="SingleTxtG"/>
        <w:rPr>
          <w:rFonts w:eastAsia="Calibri"/>
        </w:rPr>
      </w:pPr>
      <w:r>
        <w:t>16.</w:t>
      </w:r>
      <w:r>
        <w:tab/>
        <w:t>С удовлетворением отмечая, что в 2022 году Подкомитет по аккредитации Глобального альянса национальных правозащитных учреждений присвоил Совету омбудсмена Австрии статус «А», Комитет принимает к сведению сообщения о том, что отбор и назначение членов Совета тремя основными политическими партиями в парламенте не являются достаточно всеохватывающими и прозрачными и не позволяют проводить официальные консультации с общественностью в условиях реального участия гражданского общества (ст. 2 1)).</w:t>
      </w:r>
    </w:p>
    <w:p w14:paraId="26A2531E" w14:textId="77777777" w:rsidR="006E6D94" w:rsidRPr="004F2802" w:rsidRDefault="006E6D94" w:rsidP="006E6D94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 изучить возможность пересмотра процедуры отбора и назначения членов Совета Омбудсмена Австрии для обеспечения полной прозрачности и политической независимости этого Совета.</w:t>
      </w:r>
    </w:p>
    <w:p w14:paraId="3C5B7BEB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Мониторинг мест содержания под стражей</w:t>
      </w:r>
    </w:p>
    <w:p w14:paraId="1CADADEE" w14:textId="3365ED03" w:rsidR="006E6D94" w:rsidRPr="004F2802" w:rsidRDefault="006E6D94" w:rsidP="006E6D94">
      <w:pPr>
        <w:pStyle w:val="SingleTxtG"/>
      </w:pPr>
      <w:r>
        <w:t>18.</w:t>
      </w:r>
      <w:r>
        <w:tab/>
        <w:t xml:space="preserve">Одобряя работу, проводимую Советом Омбудсмена Австрии, равно как и независимыми экспертными комиссиями, в качестве национального превентивного механизма в соответствии с Факультативным протоколом к Конвенции, Комитет испытывает обеспокоенность в связи с сообщениями об отсутствии </w:t>
      </w:r>
      <w:r w:rsidR="00F70482">
        <w:t>с</w:t>
      </w:r>
      <w:r>
        <w:t>истематических мер, которые принимались бы государством-участником в целях обеспечения эффективного выполнения рекомендаций Совета (ст. 2, 11 и 16).</w:t>
      </w:r>
    </w:p>
    <w:p w14:paraId="4DF648D8" w14:textId="77777777" w:rsidR="006E6D94" w:rsidRPr="004F2802" w:rsidRDefault="006E6D94" w:rsidP="006E6D94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Государству-участнику следует принять все меры для обеспечения эффективной реализации последующих мер и выполнения рекомендаций национального превентивного механизма, вынесенных Советом Омбудсмена Австрии в рамках его надзорной деятельности, в соответствии с Руководящими принципами, касающимися национальных превентивных механизмов, принятыми Подкомитетом по предупреждению пыток и других жестоких, бесчеловечных или унижающих достоинство видов обращения и наказания</w:t>
      </w:r>
      <w:r w:rsidRPr="0087594D">
        <w:rPr>
          <w:rStyle w:val="aa"/>
        </w:rPr>
        <w:footnoteReference w:id="6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Государству-участнику следует поощрять расширение сотрудничества между национальным превентивным механизмом и организациями гражданского общества, в том числе через Консультативный совет по правам человека.</w:t>
      </w:r>
    </w:p>
    <w:p w14:paraId="7C5567F2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Убежище и невыдворение</w:t>
      </w:r>
    </w:p>
    <w:p w14:paraId="7381BB2D" w14:textId="77777777" w:rsidR="006E6D94" w:rsidRPr="004F2802" w:rsidRDefault="006E6D94" w:rsidP="006E6D94">
      <w:pPr>
        <w:pStyle w:val="SingleTxtG"/>
      </w:pPr>
      <w:r>
        <w:t>20.</w:t>
      </w:r>
      <w:r>
        <w:tab/>
        <w:t>С удовлетворением отмечая усилия государства-участника по реагированию на значительный наплыв просителей убежища и мигрантов с неурегулированным статусом, прибывающих на его территорию, Комитет выражает обеспокоенность в связи с сообщениями о том, что в рассматриваемый период государство-участник в некоторых случаях действовало в нарушение принципа невыдворения. В частности, Комитет обеспокоен:</w:t>
      </w:r>
    </w:p>
    <w:p w14:paraId="52F6AEBF" w14:textId="4F26F06E" w:rsidR="006E6D94" w:rsidRPr="004F2802" w:rsidRDefault="001B0D59" w:rsidP="006E6D94">
      <w:pPr>
        <w:pStyle w:val="SingleTxtG"/>
      </w:pPr>
      <w:r>
        <w:tab/>
      </w:r>
      <w:r w:rsidR="006E6D94">
        <w:t>a)</w:t>
      </w:r>
      <w:r w:rsidR="006E6D94">
        <w:tab/>
        <w:t>отсутствием официального национального механизма для выявления таких уязвимых просителей убежища, как жертвы пыток, торговли людьми и гендерного насилия, по прибытии их в центры приема, при регистрации любых доказательств в поддержку их заявлений и предоставлении им услуг по поддержке;</w:t>
      </w:r>
    </w:p>
    <w:p w14:paraId="5C9AC9E6" w14:textId="71EA60A7" w:rsidR="006E6D94" w:rsidRPr="004F2802" w:rsidRDefault="00F70482" w:rsidP="006E6D94">
      <w:pPr>
        <w:pStyle w:val="SingleTxtG"/>
      </w:pPr>
      <w:r>
        <w:lastRenderedPageBreak/>
        <w:tab/>
      </w:r>
      <w:r w:rsidR="006E6D94">
        <w:t>b)</w:t>
      </w:r>
      <w:r w:rsidR="006E6D94">
        <w:tab/>
        <w:t>нехваткой персонала в Федеральном ведомстве по вопросам иммиграции и предоставления убежища, что препятствует оперативному рассмотрению растущего числа ходатайств о предоставлении убежища;</w:t>
      </w:r>
    </w:p>
    <w:p w14:paraId="394067B4" w14:textId="78B8B1F4" w:rsidR="006E6D94" w:rsidRPr="004F2802" w:rsidRDefault="00F70482" w:rsidP="006E6D94">
      <w:pPr>
        <w:pStyle w:val="SingleTxtG"/>
      </w:pPr>
      <w:r>
        <w:tab/>
      </w:r>
      <w:r w:rsidR="006E6D94">
        <w:t>c)</w:t>
      </w:r>
      <w:r w:rsidR="006E6D94">
        <w:tab/>
        <w:t>тем, что, согласно решению Конституционного суда</w:t>
      </w:r>
      <w:r>
        <w:br/>
      </w:r>
      <w:r w:rsidR="006E6D94">
        <w:t>Австрии № G 328/2022 от 14 декабря 2023 года, юридическая помощь и представительство, обеспечиваемые просителям убежища Федеральным агентством по приему и службам поддержки просителей убежища, не являются в достаточной степени независимыми</w:t>
      </w:r>
      <w:r w:rsidR="006E6D94" w:rsidRPr="0087594D">
        <w:rPr>
          <w:rStyle w:val="aa"/>
        </w:rPr>
        <w:footnoteReference w:id="7"/>
      </w:r>
      <w:r w:rsidR="006E6D94">
        <w:t>;</w:t>
      </w:r>
    </w:p>
    <w:p w14:paraId="76D7347C" w14:textId="608FC783" w:rsidR="006E6D94" w:rsidRPr="004F2802" w:rsidRDefault="00F70482" w:rsidP="006E6D94">
      <w:pPr>
        <w:pStyle w:val="SingleTxtG"/>
      </w:pPr>
      <w:r>
        <w:tab/>
      </w:r>
      <w:r w:rsidR="006E6D94">
        <w:t>d)</w:t>
      </w:r>
      <w:r w:rsidR="006E6D94">
        <w:tab/>
        <w:t>отсутствием доступа к адвокату при осуществлении процедур в первой инстанции;</w:t>
      </w:r>
      <w:bookmarkStart w:id="3" w:name="_Hlk165631427"/>
      <w:bookmarkEnd w:id="3"/>
    </w:p>
    <w:p w14:paraId="39057FEB" w14:textId="06E5DFC2" w:rsidR="006E6D94" w:rsidRPr="004F2802" w:rsidRDefault="00F70482" w:rsidP="006E6D94">
      <w:pPr>
        <w:pStyle w:val="SingleTxtG"/>
      </w:pPr>
      <w:r>
        <w:tab/>
      </w:r>
      <w:r w:rsidR="006E6D94">
        <w:t>e)</w:t>
      </w:r>
      <w:r w:rsidR="006E6D94">
        <w:tab/>
        <w:t>тем, что законные опекуны назначаются только после того, как не сопровождаемый взрослыми или разлученный с семьей ребенок, ищущий убежища, в возрасте от 14 до 18 лет направлен в центр временного размещения, находящийся в ведении одной из земель, и что перевод в этот приемный центр может занять некоторое время из-за процедуры оценки возраста;</w:t>
      </w:r>
    </w:p>
    <w:p w14:paraId="2309326A" w14:textId="3BC5CFEC" w:rsidR="006E6D94" w:rsidRPr="004F2802" w:rsidRDefault="00F70482" w:rsidP="006E6D94">
      <w:pPr>
        <w:pStyle w:val="SingleTxtG"/>
      </w:pPr>
      <w:r>
        <w:tab/>
      </w:r>
      <w:r w:rsidR="006E6D94">
        <w:t>f)</w:t>
      </w:r>
      <w:r w:rsidR="006E6D94">
        <w:tab/>
        <w:t>сообщениями о плохих условиях жизни в некоторых транзитных центрах временного размещения просителей убежища, включая их переполненность и ограниченный доступ к медицинской помощи и надлежащим санитарным условиям;</w:t>
      </w:r>
    </w:p>
    <w:p w14:paraId="32DFD065" w14:textId="2EC65E49" w:rsidR="006E6D94" w:rsidRPr="004F2802" w:rsidRDefault="00F70482" w:rsidP="006E6D94">
      <w:pPr>
        <w:pStyle w:val="SingleTxtG"/>
      </w:pPr>
      <w:r>
        <w:tab/>
      </w:r>
      <w:r w:rsidR="006E6D94">
        <w:t>g)</w:t>
      </w:r>
      <w:r w:rsidR="006E6D94">
        <w:tab/>
        <w:t>тем, что, согласно Закону об убежище (от 2005 года), федеральное правительство имеет право принять чрезвычайный указ в случае наплыва просителей убежища и что в результате этого для поддержания общественного порядка могут быть введены такие особые процедуры, как ускоренная процедура рассмотрения ходатайств о предоставлении убежища на границах, и что это может помешать лицам, ищущим международной защиты, получить доступ к справедливой и эффективной процедуре предоставления убежища;</w:t>
      </w:r>
    </w:p>
    <w:p w14:paraId="4F4A7BE5" w14:textId="41683451" w:rsidR="006E6D94" w:rsidRPr="004F2802" w:rsidRDefault="00F70482" w:rsidP="006E6D94">
      <w:pPr>
        <w:pStyle w:val="SingleTxtG"/>
      </w:pPr>
      <w:r>
        <w:tab/>
      </w:r>
      <w:r w:rsidR="006E6D94">
        <w:t>h)</w:t>
      </w:r>
      <w:r w:rsidR="006E6D94">
        <w:tab/>
        <w:t xml:space="preserve">тем, что Федеральное ведомство по вопросам иммиграции и предоставления убежища может отклонить </w:t>
      </w:r>
      <w:r w:rsidR="00C807F2">
        <w:t>приостанавливающее</w:t>
      </w:r>
      <w:r w:rsidR="006E6D94">
        <w:t xml:space="preserve"> действие апелляции, поданной лицами из стран, которые считаются безопасными, и что Федеральный административный суд располагает всего одной неделей для рассмотрения такого отказа в приостановлении действия (ст. 3)</w:t>
      </w:r>
      <w:r w:rsidR="006E6D94" w:rsidRPr="0087594D">
        <w:rPr>
          <w:rStyle w:val="aa"/>
        </w:rPr>
        <w:footnoteReference w:id="8"/>
      </w:r>
      <w:r w:rsidR="006E6D94">
        <w:t>.</w:t>
      </w:r>
    </w:p>
    <w:p w14:paraId="777FEBC9" w14:textId="77777777" w:rsidR="006E6D94" w:rsidRPr="004F2802" w:rsidRDefault="006E6D94" w:rsidP="006E6D94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Государству-участнику следует:</w:t>
      </w:r>
    </w:p>
    <w:p w14:paraId="018577EF" w14:textId="062072A1" w:rsidR="006E6D94" w:rsidRPr="00F7048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F70482">
        <w:rPr>
          <w:b/>
          <w:bCs/>
        </w:rPr>
        <w:t>a)</w:t>
      </w:r>
      <w:r w:rsidR="006E6D94" w:rsidRPr="00F70482">
        <w:rPr>
          <w:b/>
          <w:bCs/>
        </w:rPr>
        <w:tab/>
        <w:t>обеспечить недопущение высылки, принудительного возвращения или экстрадиции любого лица в другое государство, если имеются серьезные основания полагать, что данному лицу будет угрожать опасность подвергнуться пыткам;</w:t>
      </w:r>
    </w:p>
    <w:p w14:paraId="7856AD50" w14:textId="55ABD247" w:rsidR="006E6D94" w:rsidRPr="00F7048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F70482">
        <w:rPr>
          <w:b/>
          <w:bCs/>
        </w:rPr>
        <w:t>b)</w:t>
      </w:r>
      <w:r w:rsidR="006E6D94" w:rsidRPr="00F70482">
        <w:rPr>
          <w:b/>
          <w:bCs/>
        </w:rPr>
        <w:tab/>
        <w:t>обеспечить доступ лиц, ищущих убежище, а также других лиц, нуждающихся в международной защите, которые прибывают или пытаются прибыть в государство-участник, независимо от их правового статуса и способа прибытия, к эффективным процедурам рассмотрения их дел на предмет возможности предоставления им статуса беженца и недопущения их принудительного возвращения;</w:t>
      </w:r>
    </w:p>
    <w:p w14:paraId="3043DDAF" w14:textId="3BAED93E" w:rsidR="006E6D94" w:rsidRPr="00F7048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F70482">
        <w:rPr>
          <w:b/>
          <w:bCs/>
        </w:rPr>
        <w:t>c)</w:t>
      </w:r>
      <w:r w:rsidR="006E6D94" w:rsidRPr="00F70482">
        <w:rPr>
          <w:b/>
          <w:bCs/>
        </w:rPr>
        <w:tab/>
        <w:t>создать и применять официальный национальный механизм скорейшего выявления всех жертв пыток, торговли людьми и гендерного насилия среди просителей убежища и других лиц, нуждающихся в международной защите, и предоставлять им приоритетный доступ к процедуре определения статуса беженца и к лечению с учетом их состояния здоровья, требующего срочной медицинской помощи;</w:t>
      </w:r>
    </w:p>
    <w:p w14:paraId="369C5F1D" w14:textId="4827296C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6E6D94" w:rsidRPr="00C807F2">
        <w:rPr>
          <w:b/>
          <w:bCs/>
        </w:rPr>
        <w:t>d)</w:t>
      </w:r>
      <w:r w:rsidR="006E6D94" w:rsidRPr="00C807F2">
        <w:rPr>
          <w:b/>
          <w:bCs/>
        </w:rPr>
        <w:tab/>
        <w:t>усилить потенциал Федерального ведомства по вопросам иммиграции и предоставления убежища в плане рассмотрения ходатайств о предоставлении убежища от просителей убежища в стране;</w:t>
      </w:r>
    </w:p>
    <w:p w14:paraId="27F99B87" w14:textId="216CE9A8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e)</w:t>
      </w:r>
      <w:r w:rsidR="006E6D94" w:rsidRPr="00C807F2">
        <w:rPr>
          <w:b/>
          <w:bCs/>
        </w:rPr>
        <w:tab/>
        <w:t>изучить возможность пересмотра Закона об учреждении Федерального агентства по приему и службам поддержки и Процессуального акта по Федеральному ведомству по вопросам иммиграции и предоставления убежища, с тем чтобы гарантировать полную независимость юридической помощи и представительства, предоставляемых Федеральным агентством по приему и службам поддержки просителей убежища, в соответствии с решением Конституционного суда Австрии № G 328/2022 от 14 декабря 2023 года;</w:t>
      </w:r>
      <w:bookmarkStart w:id="4" w:name="_Hlk165631111"/>
      <w:bookmarkEnd w:id="4"/>
    </w:p>
    <w:p w14:paraId="2DD0422A" w14:textId="6A4C95D7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f)</w:t>
      </w:r>
      <w:r w:rsidR="006E6D94" w:rsidRPr="00C807F2">
        <w:rPr>
          <w:b/>
          <w:bCs/>
        </w:rPr>
        <w:tab/>
        <w:t>обеспечивать доступ к квалифицированной и независимой юридической помощи и услугам адвоката для просителей убежища на протяжении всей процедуры предоставления убежища;</w:t>
      </w:r>
    </w:p>
    <w:p w14:paraId="298720F9" w14:textId="171D41B5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g)</w:t>
      </w:r>
      <w:r w:rsidR="006E6D94" w:rsidRPr="00C807F2">
        <w:rPr>
          <w:b/>
          <w:bCs/>
        </w:rPr>
        <w:tab/>
        <w:t>обеспечить, чтобы всем не сопровождаемым взрослыми или разлученным с семьей детям, ищущим убежища, систематически и без неоправданных задержек назначался опекун, прошедший профессиональную подготовку по вопросам консультирования детей, причем с самого начала и на протяжении всего их пребывания в государстве-участнике;</w:t>
      </w:r>
    </w:p>
    <w:p w14:paraId="4008B085" w14:textId="586E861C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h)</w:t>
      </w:r>
      <w:r w:rsidR="006E6D94" w:rsidRPr="00C807F2">
        <w:rPr>
          <w:b/>
          <w:bCs/>
        </w:rPr>
        <w:tab/>
        <w:t>принять необходимые меры для обеспечения надлежащих условий приема в транзитных центрах временного размещения для лиц, ищущих убежище, а также использования возможности для передачи не сопровождаемых взрослыми или разлученных с семьей детей, ищущих убежища, в приемные семьи;</w:t>
      </w:r>
    </w:p>
    <w:p w14:paraId="2868C3C5" w14:textId="5FAFFFF5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i)</w:t>
      </w:r>
      <w:r w:rsidR="006E6D94" w:rsidRPr="00C807F2">
        <w:rPr>
          <w:b/>
          <w:bCs/>
        </w:rPr>
        <w:tab/>
        <w:t>рассмотреть возможность отмены положения Закона об убежище</w:t>
      </w:r>
      <w:r>
        <w:rPr>
          <w:b/>
          <w:bCs/>
        </w:rPr>
        <w:br/>
      </w:r>
      <w:r w:rsidR="006E6D94" w:rsidRPr="00C807F2">
        <w:rPr>
          <w:b/>
          <w:bCs/>
        </w:rPr>
        <w:t>(от 2005 года), которое позволяет вводить чрезвычайный указ и может ограничивать доступ к справедливой и эффективной процедуре предоставления убежища;</w:t>
      </w:r>
    </w:p>
    <w:p w14:paraId="562B3428" w14:textId="401E1B42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j)</w:t>
      </w:r>
      <w:r w:rsidR="006E6D94" w:rsidRPr="00C807F2">
        <w:rPr>
          <w:b/>
          <w:bCs/>
        </w:rPr>
        <w:tab/>
        <w:t>обеспечивать приостанавливающее действие обжалований решений о высылке, возвращении, передаче или экстрадиции</w:t>
      </w:r>
      <w:r>
        <w:rPr>
          <w:b/>
          <w:bCs/>
        </w:rPr>
        <w:t>.</w:t>
      </w:r>
    </w:p>
    <w:p w14:paraId="527CC955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Дипломатические гарантии</w:t>
      </w:r>
    </w:p>
    <w:p w14:paraId="1844A3D0" w14:textId="77777777" w:rsidR="006E6D94" w:rsidRPr="004F2802" w:rsidRDefault="006E6D94" w:rsidP="006E6D94">
      <w:pPr>
        <w:pStyle w:val="SingleTxtG"/>
      </w:pPr>
      <w:r>
        <w:t>22.</w:t>
      </w:r>
      <w:r>
        <w:tab/>
        <w:t>Комитет выражает обеспокоенность в связи с тем, что государство-участник якобы опирается на дипломатические гарантии для оправдания возвращения или экстрадиции просителей убежища в страны, где, как имеются серьезные основания полагать, им угрожает опасность подвергнуться пыткам или другим жестоким, бесчеловечным или унижающим достоинство видам обращения и наказания. Комитет напоминает, что, как указано в пункте 20 замечания общего порядка № 4 (2017) Комитета о применении статьи 3 в контексте статьи 22, дипломатические гарантии не должны использоваться в качестве «лазейки» для подрыва принципа недопустимости принудительного возвращения, закрепленного в статье 3 Конвенции (ст. 3).</w:t>
      </w:r>
    </w:p>
    <w:p w14:paraId="1C4D258D" w14:textId="77777777" w:rsidR="006E6D94" w:rsidRPr="004F2802" w:rsidRDefault="006E6D94" w:rsidP="006E6D94">
      <w:pPr>
        <w:pStyle w:val="SingleTxtG"/>
        <w:rPr>
          <w:b/>
        </w:rPr>
      </w:pPr>
      <w:r>
        <w:t>23.</w:t>
      </w:r>
      <w:r>
        <w:tab/>
      </w:r>
      <w:r>
        <w:rPr>
          <w:b/>
          <w:bCs/>
        </w:rPr>
        <w:t>Государству-участнику следует воздерживаться от обращения за дипломатическими гарантиями и их принятия от государств</w:t>
      </w:r>
      <w:r w:rsidRPr="00C63E0B">
        <w:rPr>
          <w:b/>
          <w:bCs/>
        </w:rPr>
        <w:t xml:space="preserve"> </w:t>
      </w:r>
      <w:r>
        <w:rPr>
          <w:b/>
          <w:bCs/>
        </w:rPr>
        <w:t>в контексте выдачи и депортации, если есть существенные основания полагать, что по возвращении в них тому или иному лицу будет угрожать опасность применения пыток или жестокого обращения.</w:t>
      </w:r>
      <w:r>
        <w:t xml:space="preserve"> </w:t>
      </w:r>
      <w:r>
        <w:rPr>
          <w:b/>
          <w:bCs/>
        </w:rPr>
        <w:t>Ему следует тщательно оценивать ситуацию в каждом конкретном случае, включая общее положение дел с применением пыток в стране возвращения или экстрадиции.</w:t>
      </w:r>
      <w:r>
        <w:t xml:space="preserve"> </w:t>
      </w:r>
      <w:r>
        <w:rPr>
          <w:b/>
          <w:bCs/>
        </w:rPr>
        <w:t>Государству-участнику следует обеспечить, чтобы любая депортация или выдача, осуществляемая на основе дипломатических гарантий, сопровождалась непрерывным и обширным мониторингом положения соответствующего лица в принимающей стране.</w:t>
      </w:r>
    </w:p>
    <w:p w14:paraId="56A65488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4605DC18" w14:textId="77777777" w:rsidR="006E6D94" w:rsidRPr="004F2802" w:rsidRDefault="006E6D94" w:rsidP="006E6D94">
      <w:pPr>
        <w:pStyle w:val="SingleTxtG"/>
      </w:pPr>
      <w:r>
        <w:t>24.</w:t>
      </w:r>
      <w:r>
        <w:tab/>
        <w:t xml:space="preserve">Выражая удовлетворение в связи с усилиями государства-участника по предотвращению переполненности тюрем, в том числе на основе строительства новых исправительных учреждений и использования альтернативных мер, не связанных с </w:t>
      </w:r>
      <w:r>
        <w:lastRenderedPageBreak/>
        <w:t>лишением свободы, а также по улучшению психиатрического обслуживания заключенных, Комитет по-прежнему испытывает обеспокоенность из-за того, что во многих местах содержания под стражей неизменно ощущается нехватка персонала, а это обусловливает ситуации, когда лица, содержащиеся под стражей, в частности находящиеся в предварительном заключении, остаются запертыми в камерах на протяжении продолжительных периодов времени и располагают весьма ограниченным доступом к досуговым и образовательным мероприятиям, которые способствовали бы их реабилитации. Он обеспокоен сообщениями о неадекватных медицинских услугах, в частности по охране психического здоровья, предоставляемых заключенным с умственными и/или психосоциальными расстройствами и обусловленных недостатками в укомплектовании штата медицинских работников и обеспечении их надлежащей профессиональной подготовки и халатным отношением к лицам, содержащимся под стражей. Он также обеспокоен практикой привлечения сотрудников пенитенциарных учреждений к оказанию медицинской помощи, что может вести к разглашению врачебной тайны и негативно сказаться на образе сотрудников пенитенциарных медицинских служб, которые призваны сохранять профессиональную независимость. Кроме того, Комитет обеспокоен продолжающимся и в некоторых случаях длительным применением одиночного заключения в случае как взрослых, так и несовершеннолетних лиц, содержащихся под стражей (ст. 2, 11 и 16).</w:t>
      </w:r>
      <w:bookmarkStart w:id="5" w:name="_Hlk141352471"/>
      <w:bookmarkEnd w:id="5"/>
    </w:p>
    <w:p w14:paraId="69D953C4" w14:textId="77777777" w:rsidR="006E6D94" w:rsidRPr="004F2802" w:rsidRDefault="006E6D94" w:rsidP="006E6D94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Государству-участнику следует:</w:t>
      </w:r>
    </w:p>
    <w:p w14:paraId="516F783E" w14:textId="7DC504B5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a)</w:t>
      </w:r>
      <w:r w:rsidR="006E6D94" w:rsidRPr="00C807F2">
        <w:rPr>
          <w:b/>
          <w:bCs/>
        </w:rPr>
        <w:tab/>
        <w:t>и впредь прилагать усилия по улучшению условий содержания под стражей во всех местах лишения свободы и по предотвращению переполненности пенитенциарных учреждений и других мест содержания под стражей, в том числе путем более широкого применения мер, не связанных с лишением свободы. В</w:t>
      </w:r>
      <w:r>
        <w:rPr>
          <w:b/>
          <w:bCs/>
        </w:rPr>
        <w:t> </w:t>
      </w:r>
      <w:r w:rsidR="006E6D94" w:rsidRPr="00C807F2">
        <w:rPr>
          <w:b/>
          <w:bCs/>
        </w:rPr>
        <w:t>этой связи Комитет обращает внимание государства-участника на Минимальные стандартные правила Организации Объединенных Наций в отношении обращения с заключенными (Правила Нельсона Манделы), Минимальные стандартные правила Организации Объединенных Наций в отношении мер, не связанных с тюремным заключением (Токийские правила),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правила);</w:t>
      </w:r>
      <w:bookmarkStart w:id="6" w:name="_Hlk141352827"/>
    </w:p>
    <w:p w14:paraId="3C64CDE5" w14:textId="0A528892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b)</w:t>
      </w:r>
      <w:r w:rsidR="006E6D94" w:rsidRPr="00C807F2">
        <w:rPr>
          <w:b/>
          <w:bCs/>
        </w:rPr>
        <w:tab/>
        <w:t>увеличить численность обученного и квалифицированного персонала пенитенциарных учреждений, включая медицинских работников;</w:t>
      </w:r>
    </w:p>
    <w:p w14:paraId="023BAF33" w14:textId="1B4E0369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c)</w:t>
      </w:r>
      <w:r w:rsidR="006E6D94" w:rsidRPr="00C807F2">
        <w:rPr>
          <w:b/>
          <w:bCs/>
        </w:rPr>
        <w:tab/>
        <w:t>повысить качество предоставляемых медицинских услуг, включая психиатрическое обслуживание, учитывающих гендерные, возрастные и культурные особенности, всем лицам, лишенным свободы, особенно заключенным с умственными и/или психосоциальными расстройствами;</w:t>
      </w:r>
    </w:p>
    <w:p w14:paraId="46BCE54F" w14:textId="1AE599BB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d)</w:t>
      </w:r>
      <w:r w:rsidR="006E6D94" w:rsidRPr="00C807F2">
        <w:rPr>
          <w:b/>
          <w:bCs/>
        </w:rPr>
        <w:tab/>
        <w:t>гарантировать неприкосновенность частной жизни и конфиденциальность медицинской информации о заключенных, в частности посредством обеспечения того, чтобы обязанности по оказанию медицинской помощи выполняли квалифицированные медицинские работники и чтобы сотрудники пенитенциарных органов не присутствовали при медицинских осмотрах заключенных, если этого не попросит врач;</w:t>
      </w:r>
    </w:p>
    <w:p w14:paraId="57B5E0DD" w14:textId="75475274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e)</w:t>
      </w:r>
      <w:r w:rsidR="006E6D94" w:rsidRPr="00C807F2">
        <w:rPr>
          <w:b/>
          <w:bCs/>
        </w:rPr>
        <w:tab/>
        <w:t>принять практические меры по устранению недостатка значимых досуговых и образовательных мероприятий, способствующих реабилитации лиц, заключенных под стражу, в частности находящихся в предварительном заключении;</w:t>
      </w:r>
    </w:p>
    <w:p w14:paraId="778074F8" w14:textId="4C331CD5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f)</w:t>
      </w:r>
      <w:r w:rsidR="006E6D94" w:rsidRPr="00C807F2">
        <w:rPr>
          <w:b/>
          <w:bCs/>
        </w:rPr>
        <w:tab/>
        <w:t xml:space="preserve">обеспечивать применение одиночного заключения лишь в исключительных случаях, причем в качестве крайней меры и на как можно более короткий срок (и в любом случае не более чем на 15 дней подряд для взрослых), при условии осуществления независимого контроля и только с санкции компетентного органа, в соответствии с пунктом 1 правила 45 Правил Нельсона Манделы. Государству-участнику следует обеспечить надлежащую регистрацию и документирование случаев применения одиночного заключения. Комитет </w:t>
      </w:r>
      <w:r w:rsidR="006E6D94" w:rsidRPr="00C807F2">
        <w:rPr>
          <w:b/>
          <w:bCs/>
        </w:rPr>
        <w:lastRenderedPageBreak/>
        <w:t>обращает внимание государства-участника на пункт 2 правила 45 Правил Нельсона Манделы, согласно которому одиночное заключение не должно применяться в отношении заключенных с умственными и/или психосоциальными либо физическими расстройствами, если при применении таких мер их состояние будет ухудшаться. Кроме того, пункт 3 правила 43 Правил Нельсона Манделы предусматривает, что дисциплинарные взыскания или ограничительные меры не должны включать запрет на контакты с семьей и что ограничения на контакты с семьей могут устанавливаться лишь на непродолжительный срок и только в том случае, если это требуется для поддержания безопасности и порядка, и ни при каких обстоятельствах не должны использоваться в качестве дисциплинарного взыскания.</w:t>
      </w:r>
      <w:bookmarkEnd w:id="6"/>
    </w:p>
    <w:p w14:paraId="16144382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Случаи смерти в местах лишения свободы</w:t>
      </w:r>
    </w:p>
    <w:p w14:paraId="226E9DFB" w14:textId="1477B69A" w:rsidR="006E6D94" w:rsidRPr="004F2802" w:rsidRDefault="006E6D94" w:rsidP="006E6D94">
      <w:pPr>
        <w:pStyle w:val="SingleTxtG"/>
      </w:pPr>
      <w:r>
        <w:t>26.</w:t>
      </w:r>
      <w:r>
        <w:tab/>
        <w:t>Принимая к сведению представленную государством-участником информацию о программах по оказанию медицинской помощи заключенным с расстройствами, вызванными употреблением наркотиков или других психоактивных веществ, или по предотвращению самоубийств, Комитет выражает обеспокоенность в связи с увеличением за последнее время числа самоубийств и других случаев внезапной смерти в австрийских тюрьмах, причем, как сообщается, из-за отсутствия надлежащей медицинской помощи и лечения, в частности лиц с психическими расстройствами (ст.</w:t>
      </w:r>
      <w:r w:rsidR="00C807F2">
        <w:t> </w:t>
      </w:r>
      <w:r>
        <w:t>2, 11 и 16).</w:t>
      </w:r>
    </w:p>
    <w:p w14:paraId="08AF722A" w14:textId="77777777" w:rsidR="006E6D94" w:rsidRPr="004F2802" w:rsidRDefault="006E6D94" w:rsidP="006E6D94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следует:</w:t>
      </w:r>
    </w:p>
    <w:p w14:paraId="4DBB6FC7" w14:textId="4FA4FF58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a)</w:t>
      </w:r>
      <w:r w:rsidR="006E6D94" w:rsidRPr="00C807F2">
        <w:rPr>
          <w:b/>
          <w:bCs/>
        </w:rPr>
        <w:tab/>
        <w:t>обеспечивать оперативное, эффективное и беспристрастное расследование всех случаев смерти в местах лишения свободы независимым органом, включая проведение независимой судебно-медицинской экспертизы, в соответствии с Миннесотским протоколом по расследованию предположительно незаконного лишения жизни, и при необходимости применять соответствующие санкции и предоставлять справедливую и адекватную компенсацию членам семьи умерших;</w:t>
      </w:r>
    </w:p>
    <w:p w14:paraId="2ABBF9D0" w14:textId="07E4C52A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b)</w:t>
      </w:r>
      <w:r w:rsidR="006E6D94" w:rsidRPr="00C807F2">
        <w:rPr>
          <w:b/>
          <w:bCs/>
        </w:rPr>
        <w:tab/>
        <w:t>обеспечить выделение пенитенциарным учреждениям людских и материальных ресурсов, необходимых для предоставления заключенным надлежащего медицинского обслуживания, включая психиатрическую помощь, в соответствии с правилами 24–35 Правил Нельсона Манделы, провести анализ и оценку существующих программ по профилактике, выявлению и лечению хронических, дегенеративных и инфекционных заболеваний в тюрьмах и повторно оценить эффективность стратегий предотвращения самоубийств и членовредительства;</w:t>
      </w:r>
    </w:p>
    <w:p w14:paraId="086B7636" w14:textId="6E6C88D6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c)</w:t>
      </w:r>
      <w:r w:rsidR="006E6D94" w:rsidRPr="00C807F2">
        <w:rPr>
          <w:b/>
          <w:bCs/>
        </w:rPr>
        <w:tab/>
        <w:t>обеспечить сбор подробной информации о случаях смерти во всех местах содержания под стражей и их причинах, а также о результатах расследования этих смертей.</w:t>
      </w:r>
    </w:p>
    <w:p w14:paraId="1DA29A56" w14:textId="77777777" w:rsidR="006E6D94" w:rsidRPr="004F2802" w:rsidRDefault="006E6D94" w:rsidP="006E6D94">
      <w:pPr>
        <w:pStyle w:val="H23G"/>
      </w:pPr>
      <w:r>
        <w:tab/>
      </w:r>
      <w:r>
        <w:tab/>
      </w:r>
      <w:r>
        <w:tab/>
      </w:r>
      <w:r>
        <w:rPr>
          <w:bCs/>
        </w:rPr>
        <w:t>Правосудие в отношении несовершеннолетних</w:t>
      </w:r>
    </w:p>
    <w:p w14:paraId="020788DF" w14:textId="77777777" w:rsidR="006E6D94" w:rsidRPr="004F2802" w:rsidRDefault="006E6D94" w:rsidP="006E6D94">
      <w:pPr>
        <w:pStyle w:val="SingleTxtG"/>
      </w:pPr>
      <w:r>
        <w:t>28.</w:t>
      </w:r>
      <w:r>
        <w:tab/>
        <w:t>Отмечая различные меры, принятые государством-участником для улучшения положения детей, находящихся в конфликте с законом, Комитет по-прежнему обеспокоен сообщениями, свидетельствующими о недостатках в системе правосудия государства-участника в отношении несовершеннолетних. В частности, он обеспокоен сообщениями о том, что детей, содержащихся под стражей, иногда подвергают потенциально опасным способам усмирения и содержат в одиночных камерах. Комитет также обеспокоен тем, что на практике в недостаточной степени применяются альтернативные виды предварительного заключения несовершеннолетних (ст. 2, 11 и 16).</w:t>
      </w:r>
    </w:p>
    <w:p w14:paraId="761A8C41" w14:textId="10C44697" w:rsidR="006E6D94" w:rsidRPr="004F2802" w:rsidRDefault="006E6D94" w:rsidP="006E6D94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 xml:space="preserve">Государству-участнику следует привести свою систему правосудия в отношении несовершеннолетних в полное соответствие с Правилами Организации Объединенных Наций, касающимися защиты несовершеннолетних, лишенных свободы, и Минимальными стандартными правилами Организации Объединенных Наций, касающимися отправления </w:t>
      </w:r>
      <w:r>
        <w:rPr>
          <w:b/>
          <w:bCs/>
        </w:rPr>
        <w:lastRenderedPageBreak/>
        <w:t>правосудия в отношении несовершеннолетних (Пекинскими правилами).</w:t>
      </w:r>
      <w:r>
        <w:t xml:space="preserve"> </w:t>
      </w:r>
      <w:r>
        <w:rPr>
          <w:b/>
          <w:bCs/>
        </w:rPr>
        <w:t>В</w:t>
      </w:r>
      <w:r w:rsidR="0067081A">
        <w:rPr>
          <w:b/>
          <w:bCs/>
        </w:rPr>
        <w:t> </w:t>
      </w:r>
      <w:r>
        <w:rPr>
          <w:b/>
          <w:bCs/>
        </w:rPr>
        <w:t>частности, ему следует:</w:t>
      </w:r>
    </w:p>
    <w:p w14:paraId="73839120" w14:textId="54CA7CDE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a)</w:t>
      </w:r>
      <w:r w:rsidR="006E6D94" w:rsidRPr="00C807F2">
        <w:rPr>
          <w:b/>
          <w:bCs/>
        </w:rPr>
        <w:tab/>
        <w:t>и впредь активно поощрять применение в отношении детей, обвиняемых в совершении уголовных преступлений, таких внесудебных мер, как замена уголовной ответственности альтернативными видами наказания и посредничество и, по возможности, назначение таких наказаний, не связанных с лишением свободы, как испытательный срок или общественные работы;</w:t>
      </w:r>
    </w:p>
    <w:p w14:paraId="19635E9B" w14:textId="772525B0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b)</w:t>
      </w:r>
      <w:r w:rsidR="006E6D94" w:rsidRPr="00C807F2">
        <w:rPr>
          <w:b/>
          <w:bCs/>
        </w:rPr>
        <w:tab/>
        <w:t>добиться того, чтобы условия содержания детей под стражей соответствовали международным стандартам, в частности посредством обеспечения того, чтобы сила, включая физические средства усмирения, применялась только в случаях крайней необходимости и соразмерно обстоятельствам, немедленно прекратить практику одиночного заключения, а также оперативно расследовать все случаи злоупотреблений и жестокого обращения и адекватно наказывать виновных;</w:t>
      </w:r>
    </w:p>
    <w:p w14:paraId="14311C08" w14:textId="41116ACE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c)</w:t>
      </w:r>
      <w:r w:rsidR="006E6D94" w:rsidRPr="00C807F2">
        <w:rPr>
          <w:b/>
          <w:bCs/>
        </w:rPr>
        <w:tab/>
        <w:t>обеспечить, чтобы предварительное заключение под стражу применялось только в качестве крайней меры, когда оно признано строго необходимым и соразмерным с учетом обстоятельств дела, и на как можно более короткий срок и чтобы такое содержание под стражей подвергалось регулярной оценке на предмет обоснованности с целью отмены этой меры</w:t>
      </w:r>
      <w:r>
        <w:rPr>
          <w:b/>
          <w:bCs/>
        </w:rPr>
        <w:t>.</w:t>
      </w:r>
    </w:p>
    <w:p w14:paraId="3B0D0977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Содержание под стражей в ожидании депортации</w:t>
      </w:r>
    </w:p>
    <w:p w14:paraId="7E30FAA9" w14:textId="77777777" w:rsidR="006E6D94" w:rsidRPr="004F2802" w:rsidRDefault="006E6D94" w:rsidP="006E6D94">
      <w:pPr>
        <w:pStyle w:val="SingleTxtG"/>
      </w:pPr>
      <w:r>
        <w:t>30.</w:t>
      </w:r>
      <w:r>
        <w:tab/>
        <w:t>Одобряя применение режима открытых дверей в контексте содержания под стражей в ожидании депортации, Комитет в то же время обеспокоен сообщениями о неудовлетворительных материальных условиях содержания под стражей в некоторых учреждениях и об отсутствии доступа к адекватным медицинским услугам, включая защиту психического здоровья, по причине хронической нехватки персонала. Комитет также обеспокоен сообщениями о том, что лица с психическими расстройствами помещаются на длительные сроки в так называемые камеры безопасности, где они, как сообщается, лишены полноценного человеческого общения и располагают весьма ограниченными возможностями для прогулок на свежем воздухе (ст. 2, 11 и 16).</w:t>
      </w:r>
      <w:bookmarkStart w:id="7" w:name="_Hlk141260866"/>
      <w:bookmarkEnd w:id="7"/>
    </w:p>
    <w:p w14:paraId="380D1CD5" w14:textId="77777777" w:rsidR="006E6D94" w:rsidRPr="004F2802" w:rsidRDefault="006E6D94" w:rsidP="006E6D94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 принять необходимые меры, с тем чтобы:</w:t>
      </w:r>
    </w:p>
    <w:p w14:paraId="6A17DF88" w14:textId="543B45EA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a)</w:t>
      </w:r>
      <w:r w:rsidR="006E6D94" w:rsidRPr="00C807F2">
        <w:rPr>
          <w:b/>
          <w:bCs/>
        </w:rPr>
        <w:tab/>
        <w:t>обеспечить, чтобы заключение под стражу в ожидании депортации применялось только в качестве крайней меры, когда оно признано строго необходимым и соразмерным с учетом обстоятельств дела, и на как можно более короткий срок, а также активизировать усилия по расширению применения мер, не связанных с лишением свободы;</w:t>
      </w:r>
    </w:p>
    <w:p w14:paraId="30E7618A" w14:textId="00F5FD20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b)</w:t>
      </w:r>
      <w:r w:rsidR="006E6D94" w:rsidRPr="00C807F2">
        <w:rPr>
          <w:b/>
          <w:bCs/>
        </w:rPr>
        <w:tab/>
        <w:t>улучшить условия жизни в центрах содержания под стражей в ожидании депортации в случае необходимости и соразмерности, в том числе путем предоставления гарантированного доступа к надлежащим социальным, образовательным услугам и услугам по охране психического и физического здоровья;</w:t>
      </w:r>
    </w:p>
    <w:p w14:paraId="3795ABA6" w14:textId="77FC634D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c)</w:t>
      </w:r>
      <w:r w:rsidR="006E6D94" w:rsidRPr="00C807F2">
        <w:rPr>
          <w:b/>
          <w:bCs/>
        </w:rPr>
        <w:tab/>
        <w:t>обеспечить, чтобы содержание в так называемых камерах безопасности использовалось только в исключительных случаях, причем в качестве крайней меры и на как можно более короткий срок, а также немедленно прекратить практику содержания в камерах безопасности лиц с психическими расстройствами, если принятие таких мер приводит к ухудшению их состояния.</w:t>
      </w:r>
    </w:p>
    <w:p w14:paraId="03E6C1D8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Судебно-психиатрические учреждения</w:t>
      </w:r>
    </w:p>
    <w:p w14:paraId="46A73A55" w14:textId="33F99AEA" w:rsidR="006E6D94" w:rsidRPr="004F2802" w:rsidRDefault="006E6D94" w:rsidP="006E6D94">
      <w:pPr>
        <w:pStyle w:val="SingleTxtG"/>
      </w:pPr>
      <w:r>
        <w:t>32.</w:t>
      </w:r>
      <w:r>
        <w:tab/>
        <w:t xml:space="preserve">Отмечая меры, принятые государством-участником для улучшения положения инвалидов, содержащихся в судебно-психиатрических учреждениях, включая запрет на использование коек интенсивной психиатрической терапии (коек с ограничительной сеткой) и других коек, подобных клетке, Комитет выражает </w:t>
      </w:r>
      <w:r w:rsidR="00C807F2">
        <w:t>обеспокоенность</w:t>
      </w:r>
      <w:r>
        <w:t xml:space="preserve"> в связи с законодательством, допускающим принудительное содержание под стражей и принудительное лечение из-за расстройства здоровья, включая Закон № 155/1990 от 1 марта 1990 года о принудительном помещении </w:t>
      </w:r>
      <w:r>
        <w:lastRenderedPageBreak/>
        <w:t>психически больных лиц в больницы. Комитет также выражает обеспокое</w:t>
      </w:r>
      <w:r w:rsidR="00A1228F">
        <w:t>н</w:t>
      </w:r>
      <w:r>
        <w:t>ность в связи с допускаемым законом и продолжающимся, а в некоторых случаях и длительным, использованием одиночного заключения, изоляции, физических и химических средств усмирения и других ограничительных мер в отношении лиц с инвалидностью, в частности лиц с умственными и/или психосоциальными расстройствами, включая детей с инвалидностью, в местах лишения свободы (ст. 2, 11 и 16)</w:t>
      </w:r>
      <w:r w:rsidR="00A1228F" w:rsidRPr="0087594D">
        <w:rPr>
          <w:rStyle w:val="aa"/>
        </w:rPr>
        <w:footnoteReference w:id="9"/>
      </w:r>
      <w:r>
        <w:t>.</w:t>
      </w:r>
      <w:bookmarkStart w:id="8" w:name="_Hlk164600565"/>
      <w:bookmarkStart w:id="9" w:name="_Hlk141089764"/>
      <w:bookmarkEnd w:id="8"/>
      <w:bookmarkEnd w:id="9"/>
    </w:p>
    <w:p w14:paraId="1875B7EE" w14:textId="77777777" w:rsidR="006E6D94" w:rsidRPr="004F2802" w:rsidRDefault="006E6D94" w:rsidP="006E6D94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следует:</w:t>
      </w:r>
    </w:p>
    <w:p w14:paraId="771DF242" w14:textId="59AEAB81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a)</w:t>
      </w:r>
      <w:r w:rsidR="006E6D94" w:rsidRPr="00C807F2">
        <w:rPr>
          <w:b/>
          <w:bCs/>
        </w:rPr>
        <w:tab/>
        <w:t>изучить возможность пересмотра любого законодательного положения, включая Закон № 155/1990, которое допускает лишение свободы</w:t>
      </w:r>
      <w:r>
        <w:rPr>
          <w:b/>
          <w:bCs/>
        </w:rPr>
        <w:br/>
      </w:r>
      <w:r w:rsidR="006E6D94" w:rsidRPr="00C807F2">
        <w:rPr>
          <w:b/>
          <w:bCs/>
        </w:rPr>
        <w:t>из-за расстройства здоровья и принудительное медицинское вмешательство в отношении лиц с инвалидностью, в частности с умственными и/или психосоциальными расстройствами;</w:t>
      </w:r>
      <w:bookmarkStart w:id="10" w:name="_Hlk164765809"/>
      <w:bookmarkEnd w:id="10"/>
    </w:p>
    <w:p w14:paraId="52E3D525" w14:textId="1CF66276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b)</w:t>
      </w:r>
      <w:r w:rsidR="006E6D94" w:rsidRPr="00C807F2">
        <w:rPr>
          <w:b/>
          <w:bCs/>
        </w:rPr>
        <w:tab/>
        <w:t>запретить применение одиночного заключения для лиц с психосоциальными и/или умственными расстройствами, включая детей, если принятие таких мер приведет к ухудшению их состояния, и обеспечить использование средств усмирения и силы в соответствии с законом, под соответствующим надзором, в течение как можно более короткого срока и только в случае крайней необходимости и с соблюдением принципа соразмерности;</w:t>
      </w:r>
      <w:bookmarkStart w:id="11" w:name="_Hlk165629850"/>
      <w:bookmarkStart w:id="12" w:name="_Hlk141267733"/>
      <w:bookmarkStart w:id="13" w:name="_Hlk165575230"/>
      <w:bookmarkEnd w:id="11"/>
      <w:bookmarkEnd w:id="12"/>
      <w:bookmarkEnd w:id="13"/>
    </w:p>
    <w:p w14:paraId="0974E05C" w14:textId="332C003E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c)</w:t>
      </w:r>
      <w:r w:rsidR="006E6D94" w:rsidRPr="00C807F2">
        <w:rPr>
          <w:b/>
          <w:bCs/>
        </w:rPr>
        <w:tab/>
        <w:t>проводить оперативные, беспристрастные и тщательные расследования всех заявлений о жестоком обращении в медицинских учреждениях, как государственных, так и частных, привлекать к уголовной ответственности лиц, подозреваемых в жестоком обращении, и, в случае признания их виновными, обеспечивать назначение им наказания в соответствии с тяжестью совершенных ими деяний, а также предоставлять жертвам эффективные средства правовой защиты и возмещение ущерба;</w:t>
      </w:r>
    </w:p>
    <w:p w14:paraId="63CFDCD2" w14:textId="3A1206EB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d)</w:t>
      </w:r>
      <w:r w:rsidR="006E6D94" w:rsidRPr="00C807F2">
        <w:rPr>
          <w:b/>
          <w:bCs/>
        </w:rPr>
        <w:tab/>
        <w:t>обеспечить регулярную профессиональную подготовку всего медицинского и немедицинского персонала, включая сотрудников службы безопасности, по стандартам и методам ухода за лицами с инвалидностью, в частности с умственными и/или психосоциальными расстройствами;</w:t>
      </w:r>
    </w:p>
    <w:p w14:paraId="3857555B" w14:textId="60A02848" w:rsidR="006E6D94" w:rsidRPr="00C807F2" w:rsidRDefault="00C807F2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C807F2">
        <w:rPr>
          <w:b/>
          <w:bCs/>
        </w:rPr>
        <w:t>e)</w:t>
      </w:r>
      <w:r w:rsidR="006E6D94" w:rsidRPr="00C807F2">
        <w:rPr>
          <w:b/>
          <w:bCs/>
        </w:rPr>
        <w:tab/>
        <w:t>обеспечить надлежащий контроль за судебно-психиатрическими учреждениями и наличие эффективных гарантий для предотвращения любого жестокого обращения с людьми, находящимися в таких учреждениях.</w:t>
      </w:r>
    </w:p>
    <w:p w14:paraId="09726193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Расследование утверждений о жестоком обращении, а также уголовном преследовании и наказании виновных в их совершении</w:t>
      </w:r>
    </w:p>
    <w:p w14:paraId="0415EBE5" w14:textId="77777777" w:rsidR="006E6D94" w:rsidRPr="004F2802" w:rsidRDefault="006E6D94" w:rsidP="006E6D94">
      <w:pPr>
        <w:pStyle w:val="SingleTxtG"/>
      </w:pPr>
      <w:r>
        <w:t>34.</w:t>
      </w:r>
      <w:r>
        <w:tab/>
        <w:t xml:space="preserve">Принимая к сведению внутреннюю инструкцию Федерального министерства юстиции по рассмотрению заявлений о жестоком обращении со стороны сотрудников правоохранительных органов и пенитенциарных учреждений, Комитет выражает обеспокоенность в связи с тем, что, несмотря на относительно значительное число заявлений о жестоком обращении публичных должностных лиц с заключенными, число возбужденных уголовных дел и вынесенных приговоров по таким заявлениям остается низким. В этом смысле он выражает сожаление, что государство-участник не предоставило исчерпывающей информации о числе случаев, по которым были проведены расследования и возбуждены уголовные дела или приняты дисциплинарные меры в отношении публичных должностных лиц, а также о наказаниях и дисциплинарных мерах, примененных к лицам, которые были осуждены за акты жестокого обращения в течение рассматриваемого периода. Отмечая создание нового Бюро по вопросам расследования и рассмотрения утверждений о жестоком обращении со стороны полиции, Комитет выражает обеспокоенность в связи с тем, что, несмотря на действующие правовые гарантии и создание независимого консультативного совета, ответственного за контроль над его деятельностью, Бюро официально находится в ведении Федерального министерства внутренних дел. Кроме </w:t>
      </w:r>
      <w:r>
        <w:lastRenderedPageBreak/>
        <w:t>того, Комитет выражает сожаление в связи с отсутствием информации о том, немедленно ли отстраняются от исполнения своих обязанностей публичные должностные лица, в отношении которых проводится уголовное или дисциплинарное расследование по предполагаемому факту совершения преступления, связанного с пытками или жестоким обращением, и остаются ли они в таком качестве на протяжении всего соответствующего расследования (ст. 2, 12, 13 и 16).</w:t>
      </w:r>
    </w:p>
    <w:p w14:paraId="5807591A" w14:textId="77777777" w:rsidR="006E6D94" w:rsidRPr="004F2802" w:rsidRDefault="006E6D94" w:rsidP="006E6D94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Государству-участнику следует:</w:t>
      </w:r>
    </w:p>
    <w:p w14:paraId="2CF21B08" w14:textId="01D825FE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8F4F7C">
        <w:rPr>
          <w:b/>
          <w:bCs/>
        </w:rPr>
        <w:t>a)</w:t>
      </w:r>
      <w:r w:rsidR="006E6D94" w:rsidRPr="008F4F7C">
        <w:rPr>
          <w:b/>
          <w:bCs/>
        </w:rPr>
        <w:tab/>
        <w:t>обеспечить, чтобы все жалобы на пытки и жестокое обращение быстро и беспристрастно расследовались независимым органом и чтобы между следователями этого органа и лицами, подозреваемыми в совершении этих деяний, не существовало институциональных или иерархических отношений;</w:t>
      </w:r>
    </w:p>
    <w:p w14:paraId="5F03BA8D" w14:textId="5C3630DA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8F4F7C">
        <w:rPr>
          <w:b/>
          <w:bCs/>
        </w:rPr>
        <w:t>b)</w:t>
      </w:r>
      <w:r w:rsidR="006E6D94" w:rsidRPr="008F4F7C">
        <w:rPr>
          <w:b/>
          <w:bCs/>
        </w:rPr>
        <w:tab/>
        <w:t>обеспечить проведение властями расследований по собственной инициативе при наличии достаточных оснований полагать, что был совершен акт пытки или жестокого обращения;</w:t>
      </w:r>
    </w:p>
    <w:p w14:paraId="2D18995A" w14:textId="25FD0227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8F4F7C">
        <w:rPr>
          <w:b/>
          <w:bCs/>
        </w:rPr>
        <w:t>c)</w:t>
      </w:r>
      <w:r w:rsidR="006E6D94" w:rsidRPr="008F4F7C">
        <w:rPr>
          <w:b/>
          <w:bCs/>
        </w:rPr>
        <w:tab/>
        <w:t>следить за тем, чтобы в случаях применения пыток или жестокого обращения подозреваемые незамедлительно отстранялись от выполнения своих служебных обязанностей на весь период расследования, в частности если существует риск, что в противном случае они могут повторить предполагаемый акт, отомстить предполагаемой жертве или воспрепятствовать расследованию;</w:t>
      </w:r>
    </w:p>
    <w:p w14:paraId="23BFDB47" w14:textId="76484C4F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8F4F7C">
        <w:rPr>
          <w:b/>
          <w:bCs/>
        </w:rPr>
        <w:t>d)</w:t>
      </w:r>
      <w:r w:rsidR="006E6D94" w:rsidRPr="008F4F7C">
        <w:rPr>
          <w:b/>
          <w:bCs/>
        </w:rPr>
        <w:tab/>
        <w:t>обеспечивать, чтобы подозреваемые в совершении актов пыток и жестокого обращения, а также вышестоящие должностные лица, ответственные за отдачу приказов или терпимое отношение к этим актам, должным образом предавались суду и, в случае признания их вины, несли наказание, соразмерное тяжести совершенных ими деяний, и чтобы жертвам предоставлялись эффективные средства правовой защиты;</w:t>
      </w:r>
    </w:p>
    <w:p w14:paraId="124BF482" w14:textId="4EA4711A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8F4F7C">
        <w:rPr>
          <w:b/>
          <w:bCs/>
        </w:rPr>
        <w:t>e)</w:t>
      </w:r>
      <w:r w:rsidR="006E6D94" w:rsidRPr="008F4F7C">
        <w:rPr>
          <w:b/>
          <w:bCs/>
        </w:rPr>
        <w:tab/>
        <w:t>обеспечивать сбор и публикацию статистических данных о числе проведенных расследований и судебных преследований, вынесенных обвинительных приговоров и назначенных наказаний в случае применения пыток или жестокого обращения.</w:t>
      </w:r>
    </w:p>
    <w:p w14:paraId="06EFDE2C" w14:textId="77777777" w:rsidR="006E6D94" w:rsidRPr="004F2802" w:rsidRDefault="006E6D94" w:rsidP="006E6D94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Универсальная юрисдикция</w:t>
      </w:r>
    </w:p>
    <w:p w14:paraId="3B2AE147" w14:textId="77777777" w:rsidR="006E6D94" w:rsidRPr="004F2802" w:rsidRDefault="006E6D94" w:rsidP="006E6D94">
      <w:pPr>
        <w:pStyle w:val="SingleTxtG"/>
        <w:rPr>
          <w:bCs/>
        </w:rPr>
      </w:pPr>
      <w:r>
        <w:t>36.</w:t>
      </w:r>
      <w:r>
        <w:tab/>
        <w:t>Отмечая, что Уголовный кодекс Австрии позволяет государству-участнику устанавливать универсальную юрисдикцию в отношении преступления пытки, Комитет выражает сожаление в связи с отсутствием информации о том, в какой степени государство-участник осуществляет на практике свою универсальную юрисдикцию в отношении находящихся на его территории лиц, совершивших пытки, в соответствии со статьей 5 Конвенции (ст. 5).</w:t>
      </w:r>
    </w:p>
    <w:p w14:paraId="77112978" w14:textId="77777777" w:rsidR="006E6D94" w:rsidRPr="004F2802" w:rsidRDefault="006E6D94" w:rsidP="006E6D94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Государству-участнику следует принять все необходимые меры для эффективного осуществления универсальной юрисдикции в отношении находящихся на его территории лиц, которые, как предполагается, несут ответственность за акты пыток, при наличии таких лиц, если оно не выдает их другой стране в соответствии со статьей 8 Конвенции.</w:t>
      </w:r>
      <w:r>
        <w:t xml:space="preserve"> </w:t>
      </w:r>
      <w:r>
        <w:rPr>
          <w:b/>
          <w:bCs/>
        </w:rPr>
        <w:t>Государству-участнику следует представить Комитету информацию о случаях, в которых делались ссылки на Конвенцию в судебных решениях, касающихся экстрадиции и универсальной юрисдикции, в соответствии со статьей 5 Конвенции.</w:t>
      </w:r>
    </w:p>
    <w:p w14:paraId="6870E823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Договор между Австрией и Лихтенштейном от 1982 года</w:t>
      </w:r>
    </w:p>
    <w:p w14:paraId="4E86772F" w14:textId="327A03BB" w:rsidR="006E6D94" w:rsidRPr="004F2802" w:rsidRDefault="006E6D94" w:rsidP="006E6D94">
      <w:pPr>
        <w:pStyle w:val="SingleTxtG"/>
      </w:pPr>
      <w:r>
        <w:t>38.</w:t>
      </w:r>
      <w:r>
        <w:tab/>
        <w:t>Комитет принимает к сведению двусторонний договор между Австрией и Лихтенштейном от 1982 года о размещении заключенных, в соответствии с которым граждане Лихтенштейна отбывают наказание в Австрии. Отмечая применение к таким заключенным австрийского законодательств</w:t>
      </w:r>
      <w:r w:rsidR="003D3902">
        <w:t>а</w:t>
      </w:r>
      <w:r>
        <w:t xml:space="preserve">, Комитет выражает обеспокоенность в связи с тем, что этот договор не содержит сколь-либо четких гарантий предупреждения пыток и других форм жестокого обращения. Кроме того, Комитет обеспокоен отсутствием информации о каких-либо действующих процедурах или механизмах, призванных обеспечивать соблюдение прав граждан Лихтенштейна, </w:t>
      </w:r>
      <w:r>
        <w:lastRenderedPageBreak/>
        <w:t>содержащихся под стражей в Австрии, в контексте осуществления договора (ст. 2, 5, 12, 13 и 14).</w:t>
      </w:r>
      <w:bookmarkStart w:id="14" w:name="_Hlk164575193"/>
      <w:bookmarkEnd w:id="14"/>
    </w:p>
    <w:p w14:paraId="17971234" w14:textId="77777777" w:rsidR="006E6D94" w:rsidRPr="004F2802" w:rsidRDefault="006E6D94" w:rsidP="006E6D94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Государству-участнику следует пересмотреть договоренности на основании двустороннего договора от 1982 года о размещении заключенных, с тем чтобы убедиться в том, что они включают необходимые гарантии предотвращения пыток и других видов жестокого обращения, и ввести эффективные процедуры и механизмы для обеспечения гарантий соблюдения прав граждан Лихтенштейна, содержащихся под стражей в Австрии, в соответствии с Конвенцией.</w:t>
      </w:r>
      <w:r>
        <w:t xml:space="preserve"> </w:t>
      </w:r>
      <w:r>
        <w:rPr>
          <w:b/>
          <w:bCs/>
        </w:rPr>
        <w:t>Государству-участнику следует обеспечить осуществление права граждан Лихтенштейна, содержащихся под стражей в Австрии, на обращение в независимый орган с жалобами на пытки и жестокое обращение со стороны сотрудников пенитенциарного учреждения, на оперативное, беспристрастное и тщательное расследование этих жалоб и на надлежащее возмещение причиненного ущерба, если их жалобы на пытки или жестокое обращение являются обоснованными.</w:t>
      </w:r>
    </w:p>
    <w:p w14:paraId="19A21D59" w14:textId="77777777" w:rsidR="006E6D94" w:rsidRPr="004F2802" w:rsidRDefault="006E6D94" w:rsidP="006E6D9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Электрошоковое оружие</w:t>
      </w:r>
    </w:p>
    <w:p w14:paraId="7B4CAB9B" w14:textId="648941BD" w:rsidR="006E6D94" w:rsidRPr="004F2802" w:rsidRDefault="006E6D94" w:rsidP="006E6D94">
      <w:pPr>
        <w:pStyle w:val="SingleTxtG"/>
      </w:pPr>
      <w:r>
        <w:t>40.</w:t>
      </w:r>
      <w:r>
        <w:tab/>
        <w:t>Высоко оценивая представленную государством-участником информацию о строгих правилах, регулирующих использование электрошокового оружия (электрошокеров), и о соответствующей профессиональной подготовке сотрудников правоохранительных органов, Комитет по-прежнему обеспокоен продолжающимся, хотя и в редких случаях, применением этого оружия в местах лишения свободы. Он</w:t>
      </w:r>
      <w:r w:rsidR="008F4F7C">
        <w:t> </w:t>
      </w:r>
      <w:r>
        <w:t>выражает сожаление в связи с отсутствием информации об инцидентах, связанных с возможным злоупотреблением такими устройствами сотрудниками правоохранительных органов, и о результатах расследования этих случаев. Комитет считает, что электрошоковое оружие (электрошокеры) не должно входить в комплект стандартного снаряжения персонала пенитенциарных учреждений или любых других мест лишения свободы (ст. 2, 12, 13 и 16).</w:t>
      </w:r>
    </w:p>
    <w:p w14:paraId="47605610" w14:textId="77777777" w:rsidR="006E6D94" w:rsidRPr="004F2802" w:rsidRDefault="006E6D94" w:rsidP="006E6D94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Государству-участнику следует принять все необходимые меры для эффективного обеспечения того, чтобы применение электрошокового оружия (электрошокеров) строго соответствовало принципам необходимости, субсидиарности, пропорциональности, заблаговременного предупреждения (когда это возможно) и предосторожности и чтобы оно использовалось исключительно в крайних и ограниченных ситуациях, когда существует реальная и непосредственная угроза жизни или риск серьезных травм, в качестве замены смертоносного оружия и только обученным персоналом правоохранительных органов.</w:t>
      </w:r>
      <w:r>
        <w:t xml:space="preserve"> </w:t>
      </w:r>
      <w:r>
        <w:rPr>
          <w:b/>
          <w:bCs/>
        </w:rPr>
        <w:t>Ему следует обеспечить оперативное, беспристрастное и тщательное расследование всех заявлений о чрезмерном или неуместном применении такого оружия.</w:t>
      </w:r>
    </w:p>
    <w:p w14:paraId="55D28E49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Интерсексы</w:t>
      </w:r>
    </w:p>
    <w:p w14:paraId="09A964A2" w14:textId="77777777" w:rsidR="006E6D94" w:rsidRPr="004F2802" w:rsidRDefault="006E6D94" w:rsidP="006E6D94">
      <w:pPr>
        <w:pStyle w:val="SingleTxtG"/>
        <w:rPr>
          <w:rStyle w:val="aa"/>
        </w:rPr>
      </w:pPr>
      <w:r>
        <w:t>42.</w:t>
      </w:r>
      <w:r>
        <w:tab/>
        <w:t>Выражая удовлетворение в связи с заверениями делегации о том, что интерсекс-дети подвергаются хирургическому вмешательству только в тех случаях, когда это необходимо в соответствии с медицинскими и психологическими заключениями, Комитет выражает обеспокоенность в связи с сообщениями о случаях проведения необоснованных и необратимых операций и других видов медицинского лечения с пожизненными последствиями, включая сильную боль и страдания, которым подвергаются интерсекс-дети до достижения ими возраста, в котором они способны дать свое свободное, предварительное и осознанное согласие (ст. 2 и 16)</w:t>
      </w:r>
      <w:r w:rsidRPr="0087594D">
        <w:rPr>
          <w:rStyle w:val="aa"/>
        </w:rPr>
        <w:footnoteReference w:id="10"/>
      </w:r>
      <w:r>
        <w:t>.</w:t>
      </w:r>
    </w:p>
    <w:p w14:paraId="428653B9" w14:textId="77777777" w:rsidR="006E6D94" w:rsidRPr="004F2802" w:rsidRDefault="006E6D94" w:rsidP="006E6D94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Государству-участнику следует:</w:t>
      </w:r>
    </w:p>
    <w:p w14:paraId="3646B4E0" w14:textId="302FCBC9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8F4F7C">
        <w:rPr>
          <w:b/>
          <w:bCs/>
        </w:rPr>
        <w:t>a)</w:t>
      </w:r>
      <w:r w:rsidR="006E6D94" w:rsidRPr="008F4F7C">
        <w:rPr>
          <w:b/>
          <w:bCs/>
        </w:rPr>
        <w:tab/>
        <w:t xml:space="preserve">рассмотреть вопрос о принятии законодательных положений, прямо запрещающих проведение несрочного и необязательного медицинского или хирургического лечения интерсекс-детей до достижения ими достаточного </w:t>
      </w:r>
      <w:r w:rsidR="006E6D94" w:rsidRPr="008F4F7C">
        <w:rPr>
          <w:b/>
          <w:bCs/>
        </w:rPr>
        <w:lastRenderedPageBreak/>
        <w:t>возраста или зрелости для принятия собственных решений и предоставления их свободного, предварительного и осознанного согласия;</w:t>
      </w:r>
    </w:p>
    <w:p w14:paraId="5195D8F4" w14:textId="34A99E9C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8F4F7C">
        <w:rPr>
          <w:b/>
          <w:bCs/>
        </w:rPr>
        <w:t>b)</w:t>
      </w:r>
      <w:r w:rsidR="006E6D94" w:rsidRPr="008F4F7C">
        <w:rPr>
          <w:b/>
          <w:bCs/>
        </w:rPr>
        <w:tab/>
        <w:t>обеспечить независимый надзор за принятием решений, с тем чтобы медицинское лечение детей с интерсексуальными признаками, которые не могут дать свое согласие, носило необходимый, срочный и наименее инвазивный характер;</w:t>
      </w:r>
    </w:p>
    <w:p w14:paraId="7CB0F1D6" w14:textId="6A36902D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8F4F7C">
        <w:rPr>
          <w:b/>
          <w:bCs/>
        </w:rPr>
        <w:t>c)</w:t>
      </w:r>
      <w:r w:rsidR="006E6D94" w:rsidRPr="008F4F7C">
        <w:rPr>
          <w:b/>
          <w:bCs/>
        </w:rPr>
        <w:tab/>
        <w:t>обеспечить возмещение ущерба, включая выплату надлежащей компенсации и возможность пройти реабилитацию, жертвам лечения, не являющегося неотложным и жизненно необходимым, а также гарантировать получение всеми интерсекс-детьми и подростками и их семьями профессиональных консультационных услуг, психологической и социальной поддержки.</w:t>
      </w:r>
    </w:p>
    <w:p w14:paraId="2B3A9FD8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Меры по борьбе с терроризмом</w:t>
      </w:r>
    </w:p>
    <w:p w14:paraId="0312FA1D" w14:textId="7F5EAD87" w:rsidR="006E6D94" w:rsidRPr="004F2802" w:rsidRDefault="006E6D94" w:rsidP="006E6D94">
      <w:pPr>
        <w:pStyle w:val="SingleTxtG"/>
      </w:pPr>
      <w:r>
        <w:t>44.</w:t>
      </w:r>
      <w:r>
        <w:tab/>
        <w:t xml:space="preserve">Признавая необходимость принятия государством-участником мер по реагированию на опасность терроризма, в том числе путем реализации Австрийской стратегии профилактики экстремизма и дерадикализации, Комитет выражает обеспокоенность тем, что законодательство государства-участника по борьбе с терроризмом, в частности поправки, внесенные в Закон о борьбе с терроризмом, в силу которых введено понятие </w:t>
      </w:r>
      <w:r w:rsidR="008F4F7C">
        <w:t>«</w:t>
      </w:r>
      <w:r>
        <w:t>религиозно мотивированного экстремистского объединения</w:t>
      </w:r>
      <w:r w:rsidR="008F4F7C">
        <w:t>»</w:t>
      </w:r>
      <w:r>
        <w:t xml:space="preserve"> в качестве основания для криминализации и которые обусловливают внедрение новой системы электронного наблюдения за лицами, освобожденными условно-досрочно, по-прежнему предусматривает потенциально чрезмерные ограничения прав лиц, подозреваемых или обвиняемых в причастности к террористическим актам, включая право на справедливое судебное разбирательство и право на свободу и личную неприкосновенность, а также на надлежащую процедуру и справедливое судебное разбирательство</w:t>
      </w:r>
      <w:r w:rsidRPr="0087594D">
        <w:rPr>
          <w:rStyle w:val="aa"/>
        </w:rPr>
        <w:footnoteReference w:id="11"/>
      </w:r>
      <w:r>
        <w:t>. Комитет сожалеет об отсутствии информации о лицах, осужденных в соответствии с законодательством о борьбе с терроризмом, о правовых гарантиях и средствах правовой защиты, имеющихся у лиц, подвергшихся контртеррористическим мерам, в законодательстве и на практике, а также о том, были ли получены жалобы на несоблюдение международных стандартов в этой области, и, если они имели место, о результатах рассмотрения этих жалоб</w:t>
      </w:r>
      <w:r w:rsidR="008F4F7C">
        <w:br/>
      </w:r>
      <w:r>
        <w:t>(ст.</w:t>
      </w:r>
      <w:r w:rsidR="008F4F7C">
        <w:t> </w:t>
      </w:r>
      <w:r>
        <w:t>2, 11, 12 и 16).</w:t>
      </w:r>
    </w:p>
    <w:p w14:paraId="0A11D972" w14:textId="77777777" w:rsidR="006E6D94" w:rsidRPr="004F2802" w:rsidRDefault="006E6D94" w:rsidP="006E6D94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Государству-участнику следует принять все необходимые меры, с тем чтобы обеспечить полное соответствие законодательства, политики и практики в области борьбы с терроризмом и обеспечения национальной безопасности положениям Конвенции, а также наличие надлежащих и эффективных правовых гарантий против пыток и жестокого обращения, а также произвольного содержания под стражей.</w:t>
      </w:r>
      <w:r>
        <w:t xml:space="preserve"> </w:t>
      </w:r>
      <w:r>
        <w:rPr>
          <w:b/>
          <w:bCs/>
        </w:rPr>
        <w:t>Кроме того, государству-участнику следует проводить оперативные, беспристрастные и эффективные расследования по всем заявлениям о нарушениях прав человека, включая акты пыток и жестокого обращения, совершенные в ходе контртеррористических операций, привлекать к уголовной ответственности и наказывать виновных, а также обеспечивать жертвам доступ к эффективным средствам правовой защиты и полное возмещение ущерба.</w:t>
      </w:r>
    </w:p>
    <w:p w14:paraId="69CF92A7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Гендерное насилие</w:t>
      </w:r>
    </w:p>
    <w:p w14:paraId="5B39EFE4" w14:textId="77777777" w:rsidR="006E6D94" w:rsidRPr="004F2802" w:rsidRDefault="006E6D94" w:rsidP="006E6D94">
      <w:pPr>
        <w:pStyle w:val="SingleTxtG"/>
      </w:pPr>
      <w:r>
        <w:t>46.</w:t>
      </w:r>
      <w:r>
        <w:tab/>
        <w:t>Отмечая различные меры, принятые государством-участником для борьбы с гендерным насилием, включая Закон о защите от насилия, учреждение Межведомственной рабочей группы по защите женщин от насилия и введение руководящих принципов в отношении уголовного преследования за акты домашнего насилия, Комитет выражает обеспокоенность в связи с сообщениями, касающимися:</w:t>
      </w:r>
    </w:p>
    <w:p w14:paraId="58B4E993" w14:textId="33E1498F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6E6D94" w:rsidRPr="008F4F7C">
        <w:rPr>
          <w:b/>
          <w:bCs/>
        </w:rPr>
        <w:t>a)</w:t>
      </w:r>
      <w:r w:rsidR="006E6D94" w:rsidRPr="008F4F7C">
        <w:rPr>
          <w:b/>
          <w:bCs/>
        </w:rPr>
        <w:tab/>
        <w:t>сохраняющегося высокого уровня насилия в отношении женщин и девочек, включая фемицид;</w:t>
      </w:r>
    </w:p>
    <w:p w14:paraId="2F718DE3" w14:textId="64CFC1FF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8F4F7C">
        <w:rPr>
          <w:b/>
          <w:bCs/>
        </w:rPr>
        <w:t>b)</w:t>
      </w:r>
      <w:r w:rsidR="006E6D94" w:rsidRPr="008F4F7C">
        <w:rPr>
          <w:b/>
          <w:bCs/>
        </w:rPr>
        <w:tab/>
        <w:t>занижения числа сообщений о случаях насилия в отношении женщин и низкого процента судебных преследований и обвинительных приговоров, что приводит к безнаказанности виновных (ст. 2 и 16).</w:t>
      </w:r>
    </w:p>
    <w:p w14:paraId="325CFD01" w14:textId="77777777" w:rsidR="006E6D94" w:rsidRPr="004F2802" w:rsidRDefault="006E6D94" w:rsidP="006E6D94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В свете рекомендаций, вынесенных Комитетом по ликвидации дискриминации в отношении женщин</w:t>
      </w:r>
      <w:r w:rsidRPr="0087594D">
        <w:rPr>
          <w:rStyle w:val="aa"/>
        </w:rPr>
        <w:footnoteReference w:id="12"/>
      </w:r>
      <w:r>
        <w:rPr>
          <w:b/>
          <w:bCs/>
        </w:rPr>
        <w:t>, государству-участнику следует:</w:t>
      </w:r>
    </w:p>
    <w:p w14:paraId="3462EA67" w14:textId="115245AE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8F4F7C">
        <w:rPr>
          <w:b/>
          <w:bCs/>
        </w:rPr>
        <w:t>a)</w:t>
      </w:r>
      <w:r w:rsidR="006E6D94" w:rsidRPr="008F4F7C">
        <w:rPr>
          <w:b/>
          <w:bCs/>
        </w:rPr>
        <w:tab/>
        <w:t>обеспечить тщательное расследование всех случаев гендерного насилия в отношении женщин, в особенности тех случаев, которые связаны с действиями или бездействием государственных органов или других субъектов, влекущими за собой международную ответственность государства-участника в соответствии с Конвенцией, уголовное преследование предполагаемых виновных и, в случае признания их вины, применение к ним надлежащих мер наказания, а также возмещение ущерба жертвам, включая предоставление надлежащей компенсации;</w:t>
      </w:r>
      <w:bookmarkStart w:id="15" w:name="_Hlk141255993"/>
      <w:bookmarkEnd w:id="15"/>
    </w:p>
    <w:p w14:paraId="51C73F7E" w14:textId="1C47E939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8F4F7C">
        <w:rPr>
          <w:b/>
          <w:bCs/>
        </w:rPr>
        <w:t>b)</w:t>
      </w:r>
      <w:r w:rsidR="006E6D94" w:rsidRPr="008F4F7C">
        <w:rPr>
          <w:b/>
          <w:bCs/>
        </w:rPr>
        <w:tab/>
        <w:t>принять необходимые меры для поощрения и облегчения подачи жалоб жертвами и эффективного устранения барьеров, которые могут помешать женщинам сообщать о совершенных в их отношении актах насилия;</w:t>
      </w:r>
    </w:p>
    <w:p w14:paraId="63DBA8F3" w14:textId="0DCAEE5A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8F4F7C">
        <w:rPr>
          <w:b/>
          <w:bCs/>
        </w:rPr>
        <w:t>c)</w:t>
      </w:r>
      <w:r w:rsidR="006E6D94" w:rsidRPr="008F4F7C">
        <w:rPr>
          <w:b/>
          <w:bCs/>
        </w:rPr>
        <w:tab/>
        <w:t>рассмотреть возможность дальнейшего укрепления финансовой поддержки и сотрудничества с неправительственными организациями, предоставляющими убежище и реабилитацию женщинам, ставшим жертвами гендерного насилия.</w:t>
      </w:r>
    </w:p>
    <w:p w14:paraId="7CED6CDB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Профессиональная подготовка</w:t>
      </w:r>
    </w:p>
    <w:p w14:paraId="3B76140E" w14:textId="77777777" w:rsidR="006E6D94" w:rsidRPr="004F2802" w:rsidRDefault="006E6D94" w:rsidP="006E6D94">
      <w:pPr>
        <w:pStyle w:val="SingleTxtG"/>
      </w:pPr>
      <w:r>
        <w:t>48.</w:t>
      </w:r>
      <w:r>
        <w:tab/>
        <w:t>Комитет принимает к сведению усилия государства-участника по разработке и внедрению образовательных и учебных модулей по правам человека, в том числе по Конвенции и по абсолютному запрету пыток, для сотрудников правоохранительных органов, персонала пенитенциарных учреждений, судей, прокуроров и сотрудников иммиграционных служб. Вместе с тем он выражает сожаление по поводу отсутствия обучения по содержанию пересмотренного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(Стамбульского протокола). Комитет также сожалеет об ограниченности информации относительно проведения регулярной и конкретной профессиональной подготовки сотрудников спецслужб, судебных медиков и соответствующего медицинского персонала, а также о механизмах оценки эффективности программ такой подготовки (ст. 10).</w:t>
      </w:r>
    </w:p>
    <w:p w14:paraId="3BEC38B9" w14:textId="77777777" w:rsidR="006E6D94" w:rsidRPr="004F2802" w:rsidRDefault="006E6D94" w:rsidP="006E6D94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Государству-участнику следует:</w:t>
      </w:r>
    </w:p>
    <w:p w14:paraId="7048F0AA" w14:textId="3D26A07A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8F4F7C">
        <w:rPr>
          <w:b/>
          <w:bCs/>
        </w:rPr>
        <w:t>a)</w:t>
      </w:r>
      <w:r w:rsidR="006E6D94" w:rsidRPr="008F4F7C">
        <w:rPr>
          <w:b/>
          <w:bCs/>
        </w:rPr>
        <w:tab/>
        <w:t>и впредь разрабатывать обязательные программы первоначального обучения и обучения без отрыва от работы, с тем чтобы все публичные должностные лица, в том числе сотрудники правоохранительных органов, работники пенитенциарных учреждений, сотрудники иммиграционных служб и медицинский персонал, работающий в пенитенциарных и психиатрических учреждениях, были хорошо знакомы с положениями Конвенции, в частности в отношении абсолютного запрета пыток, и в полной мере осознавали, что нарушения недопустимы и будут расследоваться, а виновные будут привлекаться к уголовной ответственности и в случае осуждения понесут соответствующее наказание;</w:t>
      </w:r>
    </w:p>
    <w:p w14:paraId="39459355" w14:textId="0DE7417D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8F4F7C">
        <w:rPr>
          <w:b/>
          <w:bCs/>
        </w:rPr>
        <w:t>b)</w:t>
      </w:r>
      <w:r w:rsidR="006E6D94" w:rsidRPr="008F4F7C">
        <w:rPr>
          <w:b/>
          <w:bCs/>
        </w:rPr>
        <w:tab/>
        <w:t xml:space="preserve">обеспечить прохождение всеми соответствующими сотрудниками, в частности судьями, прокурорами и медицинским персоналом, включая экспертов-криминалистов, конкретной подготовки по выявлению случаев пыток и жестокого обращения и передавать соответствующие дела </w:t>
      </w:r>
      <w:r w:rsidR="006E6D94" w:rsidRPr="008F4F7C">
        <w:rPr>
          <w:b/>
          <w:bCs/>
        </w:rPr>
        <w:lastRenderedPageBreak/>
        <w:t>компетентным следственным органам в соответствии с пересмотренным Стамбульским протоколом;</w:t>
      </w:r>
    </w:p>
    <w:p w14:paraId="3D31FB2C" w14:textId="5B98DC05" w:rsidR="006E6D94" w:rsidRPr="008F4F7C" w:rsidRDefault="008F4F7C" w:rsidP="006E6D94">
      <w:pPr>
        <w:pStyle w:val="SingleTxtG"/>
        <w:rPr>
          <w:b/>
          <w:bCs/>
        </w:rPr>
      </w:pPr>
      <w:r>
        <w:rPr>
          <w:b/>
          <w:bCs/>
        </w:rPr>
        <w:tab/>
      </w:r>
      <w:r w:rsidR="006E6D94" w:rsidRPr="008F4F7C">
        <w:rPr>
          <w:b/>
          <w:bCs/>
        </w:rPr>
        <w:t>c)</w:t>
      </w:r>
      <w:r w:rsidR="006E6D94" w:rsidRPr="008F4F7C">
        <w:rPr>
          <w:b/>
          <w:bCs/>
        </w:rPr>
        <w:tab/>
        <w:t>разработать и применять методику оценки эффективности программ обучения и профессиональной подготовки с точки зрения уменьшения числа случаев пыток и жестокого обращения, а также обеспечения выявления, документирования и расследования таких актов и привлечения виновных к уголовной ответственности.</w:t>
      </w:r>
    </w:p>
    <w:p w14:paraId="417D91EA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Процедура последующих действий</w:t>
      </w:r>
    </w:p>
    <w:p w14:paraId="09538A10" w14:textId="61B55C3B" w:rsidR="006E6D94" w:rsidRPr="004F2802" w:rsidRDefault="006E6D94" w:rsidP="006E6D94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просит государство-участник представить к 10 мая 2025 года информацию о последующих действиях по выполнению рекомендаций Комитета, касающихся мониторинга мест содержания под стражей, условий содержания под стражей и договора между Австрией и Лихтенштейном от 1982 года (см. пп. 19, 25</w:t>
      </w:r>
      <w:r w:rsidR="008F4F7C">
        <w:rPr>
          <w:b/>
          <w:bCs/>
        </w:rPr>
        <w:t> </w:t>
      </w:r>
      <w:r>
        <w:rPr>
          <w:b/>
          <w:bCs/>
        </w:rPr>
        <w:t>a) и 39 выше).</w:t>
      </w:r>
      <w:r>
        <w:t xml:space="preserve"> </w:t>
      </w:r>
      <w:r>
        <w:rPr>
          <w:b/>
          <w:bCs/>
        </w:rPr>
        <w:t>В этой связи государству-участнику предлагается сообщить Комитету о своих планах по выполнению в течение предстоящего отчетного периода оставшихся рекомендаций, содержащихся в настоящих заключительных замечаниях.</w:t>
      </w:r>
    </w:p>
    <w:p w14:paraId="64E4494C" w14:textId="77777777" w:rsidR="006E6D94" w:rsidRPr="004F2802" w:rsidRDefault="006E6D94" w:rsidP="006E6D94">
      <w:pPr>
        <w:pStyle w:val="H23G"/>
      </w:pPr>
      <w:r>
        <w:tab/>
      </w:r>
      <w:r>
        <w:tab/>
      </w:r>
      <w:r>
        <w:rPr>
          <w:bCs/>
        </w:rPr>
        <w:t>Прочие вопросы</w:t>
      </w:r>
    </w:p>
    <w:p w14:paraId="24DCDF5F" w14:textId="77777777" w:rsidR="006E6D94" w:rsidRPr="004F2802" w:rsidRDefault="006E6D94" w:rsidP="006E6D94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 и проинформировать Комитет о своей деятельности по распространению информации.</w:t>
      </w:r>
    </w:p>
    <w:p w14:paraId="48721587" w14:textId="77777777" w:rsidR="006E6D94" w:rsidRPr="004F2802" w:rsidRDefault="006E6D94" w:rsidP="006E6D94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просит государство-участник представить свой следующий (восьмой по счету) периодический доклад к 10 мая 2028 года.</w:t>
      </w:r>
      <w:r>
        <w:t xml:space="preserve"> </w:t>
      </w:r>
      <w:r>
        <w:rPr>
          <w:b/>
          <w:bCs/>
        </w:rPr>
        <w:t>С этой целью и с учетом того, что государство-участник согласилось представлять Комитету доклады по упрощенной процедуре, Комитет в надлежащее время препроводит государству-участнику перечень вопросов, предваряющий представление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будут представлять его восьмой периодический доклад, подготовленный согласно статье 19 Конвенции.</w:t>
      </w:r>
    </w:p>
    <w:p w14:paraId="38A1E070" w14:textId="6AA374AA" w:rsidR="00381C24" w:rsidRPr="00E96DB9" w:rsidRDefault="006E6D94" w:rsidP="00E96DB9">
      <w:pPr>
        <w:spacing w:before="240"/>
        <w:jc w:val="center"/>
        <w:rPr>
          <w:u w:val="single"/>
        </w:rPr>
      </w:pPr>
      <w:r w:rsidRPr="004F2802">
        <w:rPr>
          <w:u w:val="single"/>
        </w:rPr>
        <w:tab/>
      </w:r>
      <w:r w:rsidRPr="004F2802">
        <w:rPr>
          <w:u w:val="single"/>
        </w:rPr>
        <w:tab/>
      </w:r>
      <w:r w:rsidRPr="004F2802">
        <w:rPr>
          <w:u w:val="single"/>
        </w:rPr>
        <w:tab/>
      </w:r>
    </w:p>
    <w:sectPr w:rsidR="00381C24" w:rsidRPr="00E96DB9" w:rsidSect="00D2439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23DA3" w14:textId="77777777" w:rsidR="005A4982" w:rsidRPr="00A312BC" w:rsidRDefault="005A4982" w:rsidP="00A312BC"/>
  </w:endnote>
  <w:endnote w:type="continuationSeparator" w:id="0">
    <w:p w14:paraId="6B899DDC" w14:textId="77777777" w:rsidR="005A4982" w:rsidRPr="00A312BC" w:rsidRDefault="005A498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5CA97" w14:textId="2B51DAA9" w:rsidR="00D24398" w:rsidRPr="00D24398" w:rsidRDefault="00D24398">
    <w:pPr>
      <w:pStyle w:val="a8"/>
    </w:pPr>
    <w:r w:rsidRPr="00D24398">
      <w:rPr>
        <w:b/>
        <w:sz w:val="18"/>
      </w:rPr>
      <w:fldChar w:fldCharType="begin"/>
    </w:r>
    <w:r w:rsidRPr="00D24398">
      <w:rPr>
        <w:b/>
        <w:sz w:val="18"/>
      </w:rPr>
      <w:instrText xml:space="preserve"> PAGE  \* MERGEFORMAT </w:instrText>
    </w:r>
    <w:r w:rsidRPr="00D24398">
      <w:rPr>
        <w:b/>
        <w:sz w:val="18"/>
      </w:rPr>
      <w:fldChar w:fldCharType="separate"/>
    </w:r>
    <w:r w:rsidRPr="00D24398">
      <w:rPr>
        <w:b/>
        <w:noProof/>
        <w:sz w:val="18"/>
      </w:rPr>
      <w:t>2</w:t>
    </w:r>
    <w:r w:rsidRPr="00D24398">
      <w:rPr>
        <w:b/>
        <w:sz w:val="18"/>
      </w:rPr>
      <w:fldChar w:fldCharType="end"/>
    </w:r>
    <w:r>
      <w:rPr>
        <w:b/>
        <w:sz w:val="18"/>
      </w:rPr>
      <w:tab/>
    </w:r>
    <w:r>
      <w:t>GE.24-08504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D5BF7" w14:textId="173DD1CD" w:rsidR="00D24398" w:rsidRPr="00D24398" w:rsidRDefault="00D24398" w:rsidP="00D24398">
    <w:pPr>
      <w:pStyle w:val="a8"/>
      <w:tabs>
        <w:tab w:val="clear" w:pos="9639"/>
        <w:tab w:val="right" w:pos="9638"/>
      </w:tabs>
      <w:rPr>
        <w:b/>
        <w:sz w:val="18"/>
      </w:rPr>
    </w:pPr>
    <w:r>
      <w:t>GE.24-08504</w:t>
    </w:r>
    <w:r>
      <w:tab/>
    </w:r>
    <w:r w:rsidRPr="00D24398">
      <w:rPr>
        <w:b/>
        <w:sz w:val="18"/>
      </w:rPr>
      <w:fldChar w:fldCharType="begin"/>
    </w:r>
    <w:r w:rsidRPr="00D24398">
      <w:rPr>
        <w:b/>
        <w:sz w:val="18"/>
      </w:rPr>
      <w:instrText xml:space="preserve"> PAGE  \* MERGEFORMAT </w:instrText>
    </w:r>
    <w:r w:rsidRPr="00D24398">
      <w:rPr>
        <w:b/>
        <w:sz w:val="18"/>
      </w:rPr>
      <w:fldChar w:fldCharType="separate"/>
    </w:r>
    <w:r w:rsidRPr="00D24398">
      <w:rPr>
        <w:b/>
        <w:noProof/>
        <w:sz w:val="18"/>
      </w:rPr>
      <w:t>3</w:t>
    </w:r>
    <w:r w:rsidRPr="00D2439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196D2" w14:textId="50B073E1" w:rsidR="00042B72" w:rsidRPr="009C27B9" w:rsidRDefault="00D24398" w:rsidP="00D2439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87C1497" wp14:editId="27305EE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24-08504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F921531" wp14:editId="12D1C93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7B9">
      <w:rPr>
        <w:lang w:val="en-US"/>
      </w:rPr>
      <w:t xml:space="preserve">  190624  240624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636F9" w14:textId="77777777" w:rsidR="005A4982" w:rsidRPr="001075E9" w:rsidRDefault="005A498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C2BB3AC" w14:textId="77777777" w:rsidR="005A4982" w:rsidRDefault="005A498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840CE1E" w14:textId="77777777" w:rsidR="006E6D94" w:rsidRPr="004F2802" w:rsidRDefault="006E6D94" w:rsidP="006E6D94">
      <w:pPr>
        <w:pStyle w:val="ad"/>
      </w:pPr>
      <w:r>
        <w:tab/>
      </w:r>
      <w:r w:rsidRPr="009C27B9">
        <w:rPr>
          <w:sz w:val="20"/>
        </w:rPr>
        <w:t>*</w:t>
      </w:r>
      <w:r>
        <w:tab/>
        <w:t>Принято Комитетом на его семьдесят девятой сессии (15 апреля — 10 мая 2024 года).</w:t>
      </w:r>
    </w:p>
  </w:footnote>
  <w:footnote w:id="2">
    <w:p w14:paraId="59301004" w14:textId="4F84FEC4" w:rsidR="006E6D94" w:rsidRPr="004F2802" w:rsidRDefault="006E6D94" w:rsidP="006E6D94">
      <w:pPr>
        <w:pStyle w:val="ad"/>
      </w:pPr>
      <w:r w:rsidRPr="00596927">
        <w:tab/>
      </w:r>
      <w:r w:rsidRPr="007E65B1">
        <w:rPr>
          <w:rStyle w:val="aa"/>
        </w:rPr>
        <w:footnoteRef/>
      </w:r>
      <w:r>
        <w:tab/>
      </w:r>
      <w:hyperlink r:id="rId1" w:history="1">
        <w:r w:rsidR="000B607C" w:rsidRPr="00364CB9">
          <w:rPr>
            <w:color w:val="0000FF"/>
          </w:rPr>
          <w:t>CAT/C/AUT/7</w:t>
        </w:r>
      </w:hyperlink>
      <w:r>
        <w:t>.</w:t>
      </w:r>
    </w:p>
  </w:footnote>
  <w:footnote w:id="3">
    <w:p w14:paraId="23E34F5C" w14:textId="4A6A6DB1" w:rsidR="006E6D94" w:rsidRPr="00AE5508" w:rsidRDefault="006E6D94" w:rsidP="006E6D94">
      <w:pPr>
        <w:pStyle w:val="ad"/>
        <w:rPr>
          <w:lang w:val="en-US"/>
        </w:rPr>
      </w:pPr>
      <w:r w:rsidRPr="00596927">
        <w:tab/>
      </w:r>
      <w:r w:rsidRPr="007E65B1">
        <w:rPr>
          <w:rStyle w:val="aa"/>
        </w:rPr>
        <w:footnoteRef/>
      </w:r>
      <w:r>
        <w:tab/>
        <w:t xml:space="preserve">См. </w:t>
      </w:r>
      <w:hyperlink r:id="rId2" w:history="1">
        <w:r w:rsidRPr="00AE5508">
          <w:rPr>
            <w:rStyle w:val="af1"/>
            <w:lang w:val="en-US"/>
          </w:rPr>
          <w:t>CAT/C/SR.2074</w:t>
        </w:r>
      </w:hyperlink>
      <w:r w:rsidRPr="00AE5508">
        <w:rPr>
          <w:lang w:val="en-US"/>
        </w:rPr>
        <w:t xml:space="preserve"> </w:t>
      </w:r>
      <w:r>
        <w:t>и</w:t>
      </w:r>
      <w:r w:rsidRPr="00AE5508">
        <w:rPr>
          <w:lang w:val="en-US"/>
        </w:rPr>
        <w:t xml:space="preserve"> </w:t>
      </w:r>
      <w:hyperlink r:id="rId3" w:history="1">
        <w:r w:rsidRPr="00AE5508">
          <w:rPr>
            <w:rStyle w:val="af1"/>
            <w:lang w:val="en-US"/>
          </w:rPr>
          <w:t>CAT/C/SR.2077</w:t>
        </w:r>
      </w:hyperlink>
      <w:r w:rsidRPr="00AE5508">
        <w:rPr>
          <w:lang w:val="en-US"/>
        </w:rPr>
        <w:t>.</w:t>
      </w:r>
    </w:p>
  </w:footnote>
  <w:footnote w:id="4">
    <w:p w14:paraId="62683118" w14:textId="7409D99F" w:rsidR="006E6D94" w:rsidRPr="00AE5508" w:rsidRDefault="006E6D94" w:rsidP="006E6D94">
      <w:pPr>
        <w:pStyle w:val="ad"/>
        <w:rPr>
          <w:lang w:val="en-US"/>
        </w:rPr>
      </w:pPr>
      <w:r w:rsidRPr="00AE5508">
        <w:rPr>
          <w:lang w:val="en-US"/>
        </w:rPr>
        <w:tab/>
      </w:r>
      <w:r w:rsidRPr="007E65B1">
        <w:rPr>
          <w:rStyle w:val="aa"/>
        </w:rPr>
        <w:footnoteRef/>
      </w:r>
      <w:r w:rsidRPr="00AE5508">
        <w:rPr>
          <w:lang w:val="en-US"/>
        </w:rPr>
        <w:tab/>
      </w:r>
      <w:hyperlink r:id="rId4" w:history="1">
        <w:r w:rsidRPr="00AE5508">
          <w:rPr>
            <w:rStyle w:val="af1"/>
            <w:lang w:val="en-US"/>
          </w:rPr>
          <w:t>CAT/C/AUT/CO/6</w:t>
        </w:r>
      </w:hyperlink>
      <w:r w:rsidRPr="00AE5508">
        <w:rPr>
          <w:lang w:val="en-US"/>
        </w:rPr>
        <w:t xml:space="preserve">, </w:t>
      </w:r>
      <w:r>
        <w:t>п</w:t>
      </w:r>
      <w:r w:rsidR="00C815F3">
        <w:t>п</w:t>
      </w:r>
      <w:r w:rsidR="00C815F3" w:rsidRPr="00C815F3">
        <w:rPr>
          <w:lang w:val="en-US"/>
        </w:rPr>
        <w:t>.</w:t>
      </w:r>
      <w:r w:rsidRPr="00AE5508">
        <w:rPr>
          <w:lang w:val="en-US"/>
        </w:rPr>
        <w:t xml:space="preserve"> 9 a) </w:t>
      </w:r>
      <w:r>
        <w:t>и</w:t>
      </w:r>
      <w:r w:rsidRPr="00AE5508">
        <w:rPr>
          <w:lang w:val="en-US"/>
        </w:rPr>
        <w:t xml:space="preserve"> b), 23, 31 </w:t>
      </w:r>
      <w:r>
        <w:t>и</w:t>
      </w:r>
      <w:r w:rsidRPr="00AE5508">
        <w:rPr>
          <w:lang w:val="en-US"/>
        </w:rPr>
        <w:t xml:space="preserve"> 37.</w:t>
      </w:r>
      <w:bookmarkStart w:id="1" w:name="_Hlk140967644"/>
      <w:bookmarkEnd w:id="1"/>
    </w:p>
  </w:footnote>
  <w:footnote w:id="5">
    <w:p w14:paraId="52305A28" w14:textId="7E3888BB" w:rsidR="006E6D94" w:rsidRPr="006E6D94" w:rsidRDefault="006E6D94" w:rsidP="006E6D94">
      <w:pPr>
        <w:pStyle w:val="ad"/>
        <w:rPr>
          <w:lang w:val="en-US"/>
        </w:rPr>
      </w:pPr>
      <w:r w:rsidRPr="00AE5508">
        <w:rPr>
          <w:lang w:val="en-US"/>
        </w:rPr>
        <w:tab/>
      </w:r>
      <w:r w:rsidRPr="007E65B1">
        <w:rPr>
          <w:rStyle w:val="aa"/>
        </w:rPr>
        <w:footnoteRef/>
      </w:r>
      <w:r w:rsidRPr="004F2802">
        <w:rPr>
          <w:lang w:val="en-US"/>
        </w:rPr>
        <w:tab/>
      </w:r>
      <w:hyperlink r:id="rId5" w:history="1">
        <w:r w:rsidR="00F94B61" w:rsidRPr="00F94B61">
          <w:rPr>
            <w:color w:val="0000FF"/>
            <w:lang w:val="en-US"/>
          </w:rPr>
          <w:t>CAT/C/AUT/CO/6/Add.1</w:t>
        </w:r>
      </w:hyperlink>
      <w:r w:rsidRPr="004F2802">
        <w:rPr>
          <w:lang w:val="en-US"/>
        </w:rPr>
        <w:t>.</w:t>
      </w:r>
    </w:p>
  </w:footnote>
  <w:footnote w:id="6">
    <w:p w14:paraId="23FF94B6" w14:textId="7A1E27D0" w:rsidR="006E6D94" w:rsidRPr="004F2802" w:rsidRDefault="006E6D94" w:rsidP="006E6D94">
      <w:pPr>
        <w:pStyle w:val="ad"/>
      </w:pPr>
      <w:r w:rsidRPr="004F2802">
        <w:rPr>
          <w:lang w:val="en-US"/>
        </w:rPr>
        <w:tab/>
      </w:r>
      <w:r w:rsidRPr="007E65B1">
        <w:rPr>
          <w:rStyle w:val="aa"/>
        </w:rPr>
        <w:footnoteRef/>
      </w:r>
      <w:r>
        <w:tab/>
      </w:r>
      <w:hyperlink r:id="rId6" w:history="1">
        <w:r w:rsidRPr="00F70482">
          <w:rPr>
            <w:rStyle w:val="af1"/>
          </w:rPr>
          <w:t>CAT/OP/12/5</w:t>
        </w:r>
      </w:hyperlink>
      <w:r>
        <w:t>, пп. 13 и 38.</w:t>
      </w:r>
    </w:p>
  </w:footnote>
  <w:footnote w:id="7">
    <w:p w14:paraId="1EF8DE57" w14:textId="2784710D" w:rsidR="006E6D94" w:rsidRPr="004F2802" w:rsidRDefault="006E6D94" w:rsidP="006E6D94">
      <w:pPr>
        <w:pStyle w:val="ad"/>
      </w:pPr>
      <w:r w:rsidRPr="00596927">
        <w:tab/>
      </w:r>
      <w:r w:rsidRPr="007E65B1">
        <w:rPr>
          <w:rStyle w:val="aa"/>
        </w:rPr>
        <w:footnoteRef/>
      </w:r>
      <w:r>
        <w:tab/>
        <w:t xml:space="preserve">См. </w:t>
      </w:r>
      <w:hyperlink r:id="rId7" w:history="1">
        <w:r w:rsidR="00C807F2" w:rsidRPr="00F23620">
          <w:rPr>
            <w:rStyle w:val="af1"/>
          </w:rPr>
          <w:t>https://caselaw.euaa.europa.eu/pages/viewcaselaw.aspx?CaseLawID=3917&amp;returnurl=/pages/searchresults.aspx</w:t>
        </w:r>
      </w:hyperlink>
      <w:r>
        <w:t>.</w:t>
      </w:r>
    </w:p>
  </w:footnote>
  <w:footnote w:id="8">
    <w:p w14:paraId="4C766960" w14:textId="0007D947" w:rsidR="006E6D94" w:rsidRPr="006E6D94" w:rsidRDefault="006E6D94" w:rsidP="006E6D94">
      <w:pPr>
        <w:pStyle w:val="ad"/>
        <w:rPr>
          <w:lang w:val="en-US"/>
        </w:rPr>
      </w:pPr>
      <w:r w:rsidRPr="00596927">
        <w:tab/>
      </w:r>
      <w:r w:rsidRPr="007E65B1">
        <w:rPr>
          <w:rStyle w:val="aa"/>
        </w:rPr>
        <w:footnoteRef/>
      </w:r>
      <w:r w:rsidRPr="004F2802">
        <w:rPr>
          <w:lang w:val="en-US"/>
        </w:rPr>
        <w:tab/>
      </w:r>
      <w:hyperlink r:id="rId8" w:history="1">
        <w:r w:rsidRPr="00C807F2">
          <w:rPr>
            <w:rStyle w:val="af1"/>
            <w:lang w:val="en-US"/>
          </w:rPr>
          <w:t>CED/C/AUT/CO/1</w:t>
        </w:r>
      </w:hyperlink>
      <w:r w:rsidRPr="004F2802">
        <w:rPr>
          <w:lang w:val="en-US"/>
        </w:rPr>
        <w:t xml:space="preserve">, </w:t>
      </w:r>
      <w:r>
        <w:t>пп</w:t>
      </w:r>
      <w:r w:rsidRPr="004F2802">
        <w:rPr>
          <w:lang w:val="en-US"/>
        </w:rPr>
        <w:t xml:space="preserve">. </w:t>
      </w:r>
      <w:proofErr w:type="gramStart"/>
      <w:r w:rsidRPr="004F2802">
        <w:rPr>
          <w:lang w:val="en-US"/>
        </w:rPr>
        <w:t>20</w:t>
      </w:r>
      <w:proofErr w:type="gramEnd"/>
      <w:r w:rsidRPr="004F2802">
        <w:rPr>
          <w:lang w:val="en-US"/>
        </w:rPr>
        <w:t xml:space="preserve"> </w:t>
      </w:r>
      <w:r>
        <w:t>и</w:t>
      </w:r>
      <w:r w:rsidRPr="004F2802">
        <w:rPr>
          <w:lang w:val="en-US"/>
        </w:rPr>
        <w:t xml:space="preserve"> 21; </w:t>
      </w:r>
      <w:r>
        <w:t>и</w:t>
      </w:r>
      <w:r w:rsidRPr="004F2802">
        <w:rPr>
          <w:lang w:val="en-US"/>
        </w:rPr>
        <w:t xml:space="preserve"> </w:t>
      </w:r>
      <w:hyperlink r:id="rId9" w:history="1">
        <w:r w:rsidRPr="00C807F2">
          <w:rPr>
            <w:rStyle w:val="af1"/>
            <w:lang w:val="en-US"/>
          </w:rPr>
          <w:t>CRC/C/AUT/CO/5-6</w:t>
        </w:r>
      </w:hyperlink>
      <w:r w:rsidRPr="004F2802">
        <w:rPr>
          <w:lang w:val="en-US"/>
        </w:rPr>
        <w:t xml:space="preserve">, </w:t>
      </w:r>
      <w:r>
        <w:t>пп</w:t>
      </w:r>
      <w:r w:rsidRPr="004F2802">
        <w:rPr>
          <w:lang w:val="en-US"/>
        </w:rPr>
        <w:t xml:space="preserve">. 39 </w:t>
      </w:r>
      <w:r>
        <w:t>и</w:t>
      </w:r>
      <w:r w:rsidRPr="004F2802">
        <w:rPr>
          <w:lang w:val="en-US"/>
        </w:rPr>
        <w:t xml:space="preserve"> 40.</w:t>
      </w:r>
    </w:p>
  </w:footnote>
  <w:footnote w:id="9">
    <w:p w14:paraId="67B7BE73" w14:textId="77777777" w:rsidR="00A1228F" w:rsidRPr="004F2802" w:rsidRDefault="00A1228F" w:rsidP="00A1228F">
      <w:pPr>
        <w:pStyle w:val="ad"/>
        <w:rPr>
          <w:lang w:val="fr-CH"/>
        </w:rPr>
      </w:pPr>
      <w:r w:rsidRPr="004F2802">
        <w:rPr>
          <w:lang w:val="en-US"/>
        </w:rPr>
        <w:tab/>
      </w:r>
      <w:r w:rsidRPr="007E65B1">
        <w:rPr>
          <w:rStyle w:val="aa"/>
        </w:rPr>
        <w:footnoteRef/>
      </w:r>
      <w:r w:rsidRPr="004F2802">
        <w:rPr>
          <w:lang w:val="fr-CH"/>
        </w:rPr>
        <w:tab/>
      </w:r>
      <w:hyperlink r:id="rId10" w:history="1">
        <w:r w:rsidRPr="00C807F2">
          <w:rPr>
            <w:rStyle w:val="af1"/>
            <w:lang w:val="fr-CH"/>
          </w:rPr>
          <w:t>CRPD/C/AUT/QPR/2-3</w:t>
        </w:r>
      </w:hyperlink>
      <w:r w:rsidRPr="004F2802">
        <w:rPr>
          <w:lang w:val="fr-CH"/>
        </w:rPr>
        <w:t xml:space="preserve"> </w:t>
      </w:r>
      <w:r>
        <w:t>и</w:t>
      </w:r>
      <w:r w:rsidRPr="004F2802">
        <w:rPr>
          <w:lang w:val="fr-CH"/>
        </w:rPr>
        <w:t xml:space="preserve"> </w:t>
      </w:r>
      <w:hyperlink r:id="rId11" w:history="1">
        <w:r w:rsidRPr="00C807F2">
          <w:rPr>
            <w:rStyle w:val="af1"/>
            <w:lang w:val="fr-CH"/>
          </w:rPr>
          <w:t>CRPD/C/AUT/QPR/2-3/Corr.1</w:t>
        </w:r>
      </w:hyperlink>
      <w:r w:rsidRPr="004F2802">
        <w:rPr>
          <w:lang w:val="fr-CH"/>
        </w:rPr>
        <w:t xml:space="preserve">., </w:t>
      </w:r>
      <w:r>
        <w:t>пп</w:t>
      </w:r>
      <w:r w:rsidRPr="004F2802">
        <w:rPr>
          <w:lang w:val="fr-CH"/>
        </w:rPr>
        <w:t>. 35</w:t>
      </w:r>
      <w:r w:rsidRPr="008F4F7C">
        <w:rPr>
          <w:lang w:val="fr-CH"/>
        </w:rPr>
        <w:t>–</w:t>
      </w:r>
      <w:r w:rsidRPr="004F2802">
        <w:rPr>
          <w:lang w:val="fr-CH"/>
        </w:rPr>
        <w:t>38.</w:t>
      </w:r>
    </w:p>
  </w:footnote>
  <w:footnote w:id="10">
    <w:p w14:paraId="4AB4982D" w14:textId="2FA6E1C3" w:rsidR="006E6D94" w:rsidRPr="006E6D94" w:rsidRDefault="006E6D94" w:rsidP="006E6D94">
      <w:pPr>
        <w:pStyle w:val="ad"/>
        <w:rPr>
          <w:lang w:val="en-US"/>
        </w:rPr>
      </w:pPr>
      <w:r w:rsidRPr="004F2802">
        <w:rPr>
          <w:lang w:val="fr-CH"/>
        </w:rPr>
        <w:tab/>
      </w:r>
      <w:r w:rsidRPr="007E65B1">
        <w:rPr>
          <w:rStyle w:val="aa"/>
        </w:rPr>
        <w:footnoteRef/>
      </w:r>
      <w:r w:rsidRPr="004F2802">
        <w:rPr>
          <w:lang w:val="en-US"/>
        </w:rPr>
        <w:tab/>
      </w:r>
      <w:r w:rsidRPr="008F4F7C">
        <w:rPr>
          <w:spacing w:val="-2"/>
        </w:rPr>
        <w:t>См</w:t>
      </w:r>
      <w:r w:rsidRPr="008F4F7C">
        <w:rPr>
          <w:spacing w:val="-2"/>
          <w:lang w:val="en-US"/>
        </w:rPr>
        <w:t xml:space="preserve">. </w:t>
      </w:r>
      <w:r w:rsidRPr="008F4F7C">
        <w:rPr>
          <w:spacing w:val="-2"/>
        </w:rPr>
        <w:t>также</w:t>
      </w:r>
      <w:r w:rsidRPr="008F4F7C">
        <w:rPr>
          <w:spacing w:val="-2"/>
          <w:lang w:val="en-US"/>
        </w:rPr>
        <w:t xml:space="preserve"> </w:t>
      </w:r>
      <w:hyperlink r:id="rId12" w:history="1">
        <w:r w:rsidRPr="008F4F7C">
          <w:rPr>
            <w:rStyle w:val="af1"/>
            <w:spacing w:val="-2"/>
            <w:lang w:val="en-US"/>
          </w:rPr>
          <w:t>CRPD/C/AUT/CO/2-3</w:t>
        </w:r>
      </w:hyperlink>
      <w:r w:rsidRPr="008F4F7C">
        <w:rPr>
          <w:spacing w:val="-2"/>
          <w:lang w:val="en-US"/>
        </w:rPr>
        <w:t xml:space="preserve"> </w:t>
      </w:r>
      <w:r w:rsidRPr="008F4F7C">
        <w:rPr>
          <w:spacing w:val="-2"/>
        </w:rPr>
        <w:t>и</w:t>
      </w:r>
      <w:r w:rsidRPr="008F4F7C">
        <w:rPr>
          <w:spacing w:val="-2"/>
          <w:lang w:val="en-US"/>
        </w:rPr>
        <w:t xml:space="preserve"> </w:t>
      </w:r>
      <w:hyperlink r:id="rId13" w:history="1">
        <w:r w:rsidRPr="008F4F7C">
          <w:rPr>
            <w:rStyle w:val="af1"/>
            <w:spacing w:val="-2"/>
            <w:lang w:val="en-US"/>
          </w:rPr>
          <w:t>CRPD/C/AUT/CO/2-3/Corr.1</w:t>
        </w:r>
      </w:hyperlink>
      <w:r w:rsidRPr="008F4F7C">
        <w:rPr>
          <w:spacing w:val="-2"/>
          <w:lang w:val="en-US"/>
        </w:rPr>
        <w:t xml:space="preserve">, </w:t>
      </w:r>
      <w:r w:rsidRPr="008F4F7C">
        <w:rPr>
          <w:spacing w:val="-2"/>
        </w:rPr>
        <w:t>пп</w:t>
      </w:r>
      <w:r w:rsidRPr="008F4F7C">
        <w:rPr>
          <w:spacing w:val="-2"/>
          <w:lang w:val="en-US"/>
        </w:rPr>
        <w:t xml:space="preserve">. 39 </w:t>
      </w:r>
      <w:r w:rsidRPr="008F4F7C">
        <w:rPr>
          <w:spacing w:val="-2"/>
        </w:rPr>
        <w:t>и</w:t>
      </w:r>
      <w:r w:rsidRPr="008F4F7C">
        <w:rPr>
          <w:spacing w:val="-2"/>
          <w:lang w:val="en-US"/>
        </w:rPr>
        <w:t xml:space="preserve"> 40; </w:t>
      </w:r>
      <w:hyperlink r:id="rId14" w:history="1">
        <w:r w:rsidRPr="008F4F7C">
          <w:rPr>
            <w:rStyle w:val="af1"/>
            <w:spacing w:val="-2"/>
            <w:lang w:val="en-US"/>
          </w:rPr>
          <w:t>CRC/C/AUT/CO/5-6</w:t>
        </w:r>
      </w:hyperlink>
      <w:r w:rsidRPr="004F2802">
        <w:rPr>
          <w:lang w:val="en-US"/>
        </w:rPr>
        <w:t xml:space="preserve">, </w:t>
      </w:r>
      <w:r>
        <w:t>п</w:t>
      </w:r>
      <w:r w:rsidRPr="004F2802">
        <w:rPr>
          <w:lang w:val="en-US"/>
        </w:rPr>
        <w:t xml:space="preserve">. 27 a) </w:t>
      </w:r>
      <w:r>
        <w:t>и</w:t>
      </w:r>
      <w:r w:rsidRPr="004F2802">
        <w:rPr>
          <w:lang w:val="en-US"/>
        </w:rPr>
        <w:t xml:space="preserve"> b); </w:t>
      </w:r>
      <w:r>
        <w:t>и</w:t>
      </w:r>
      <w:r w:rsidRPr="004F2802">
        <w:rPr>
          <w:lang w:val="en-US"/>
        </w:rPr>
        <w:t xml:space="preserve"> </w:t>
      </w:r>
      <w:hyperlink r:id="rId15" w:history="1">
        <w:r w:rsidRPr="008F4F7C">
          <w:rPr>
            <w:rStyle w:val="af1"/>
            <w:lang w:val="en-US"/>
          </w:rPr>
          <w:t>CEDAW/C/AUT/CO/9</w:t>
        </w:r>
      </w:hyperlink>
      <w:r w:rsidRPr="004F2802">
        <w:rPr>
          <w:lang w:val="en-US"/>
        </w:rPr>
        <w:t xml:space="preserve"> </w:t>
      </w:r>
      <w:r>
        <w:t>и</w:t>
      </w:r>
      <w:r w:rsidRPr="004F2802">
        <w:rPr>
          <w:lang w:val="en-US"/>
        </w:rPr>
        <w:t xml:space="preserve"> </w:t>
      </w:r>
      <w:hyperlink r:id="rId16" w:history="1">
        <w:r w:rsidRPr="008F4F7C">
          <w:rPr>
            <w:rStyle w:val="af1"/>
            <w:lang w:val="en-US"/>
          </w:rPr>
          <w:t>CEDAW/C/AUT/CO/9/Corr.1</w:t>
        </w:r>
      </w:hyperlink>
      <w:r w:rsidRPr="004F2802">
        <w:rPr>
          <w:lang w:val="en-US"/>
        </w:rPr>
        <w:t xml:space="preserve">, </w:t>
      </w:r>
      <w:r>
        <w:t>пп</w:t>
      </w:r>
      <w:r w:rsidRPr="004F2802">
        <w:rPr>
          <w:lang w:val="en-US"/>
        </w:rPr>
        <w:t xml:space="preserve">. 34 h) </w:t>
      </w:r>
      <w:r>
        <w:t>и</w:t>
      </w:r>
      <w:r w:rsidRPr="004F2802">
        <w:rPr>
          <w:lang w:val="en-US"/>
        </w:rPr>
        <w:t xml:space="preserve"> 35 h).  </w:t>
      </w:r>
    </w:p>
  </w:footnote>
  <w:footnote w:id="11">
    <w:p w14:paraId="0D3EE41F" w14:textId="5E1B78BB" w:rsidR="006E6D94" w:rsidRPr="004F2802" w:rsidRDefault="006E6D94" w:rsidP="006E6D94">
      <w:pPr>
        <w:pStyle w:val="ad"/>
      </w:pPr>
      <w:r w:rsidRPr="004F2802">
        <w:rPr>
          <w:lang w:val="en-US"/>
        </w:rPr>
        <w:tab/>
      </w:r>
      <w:r w:rsidRPr="007E65B1">
        <w:rPr>
          <w:rStyle w:val="aa"/>
        </w:rPr>
        <w:footnoteRef/>
      </w:r>
      <w:r>
        <w:tab/>
        <w:t xml:space="preserve">См. сообщение AUT 2/2021, </w:t>
      </w:r>
      <w:r w:rsidR="003D3902">
        <w:rPr>
          <w:lang w:val="en-US"/>
        </w:rPr>
        <w:t>URL</w:t>
      </w:r>
      <w:r>
        <w:t xml:space="preserve">: </w:t>
      </w:r>
      <w:hyperlink r:id="rId17" w:history="1">
        <w:r w:rsidR="008F4F7C" w:rsidRPr="00F23620">
          <w:rPr>
            <w:rStyle w:val="af1"/>
          </w:rPr>
          <w:t>https://spcommreports.ohchr.org/TMResultsBase/DownLoadPublicCommunicationFile?gId=26590</w:t>
        </w:r>
      </w:hyperlink>
      <w:r>
        <w:t>.</w:t>
      </w:r>
    </w:p>
  </w:footnote>
  <w:footnote w:id="12">
    <w:p w14:paraId="40C230B5" w14:textId="1C5DF551" w:rsidR="006E6D94" w:rsidRPr="006E6D94" w:rsidRDefault="006E6D94" w:rsidP="006E6D94">
      <w:pPr>
        <w:pStyle w:val="ad"/>
        <w:rPr>
          <w:lang w:val="en-US"/>
        </w:rPr>
      </w:pPr>
      <w:r w:rsidRPr="00596927">
        <w:tab/>
      </w:r>
      <w:r w:rsidRPr="007E65B1">
        <w:rPr>
          <w:rStyle w:val="aa"/>
        </w:rPr>
        <w:footnoteRef/>
      </w:r>
      <w:r w:rsidRPr="004F2802">
        <w:rPr>
          <w:lang w:val="en-US"/>
        </w:rPr>
        <w:tab/>
      </w:r>
      <w:hyperlink r:id="rId18" w:history="1">
        <w:r w:rsidRPr="008F4F7C">
          <w:rPr>
            <w:rStyle w:val="af1"/>
            <w:lang w:val="en-US"/>
          </w:rPr>
          <w:t>CEDAW/C/AUT/CO/9</w:t>
        </w:r>
      </w:hyperlink>
      <w:r w:rsidRPr="004F2802">
        <w:rPr>
          <w:lang w:val="en-US"/>
        </w:rPr>
        <w:t xml:space="preserve"> </w:t>
      </w:r>
      <w:r>
        <w:t>и</w:t>
      </w:r>
      <w:r w:rsidRPr="004F2802">
        <w:rPr>
          <w:lang w:val="en-US"/>
        </w:rPr>
        <w:t xml:space="preserve"> </w:t>
      </w:r>
      <w:hyperlink r:id="rId19" w:history="1">
        <w:r w:rsidRPr="008F4F7C">
          <w:rPr>
            <w:rStyle w:val="af1"/>
            <w:lang w:val="en-US"/>
          </w:rPr>
          <w:t>CEDAW/C/AUT/CO/9/Corr.1</w:t>
        </w:r>
      </w:hyperlink>
      <w:r w:rsidRPr="004F2802">
        <w:rPr>
          <w:lang w:val="en-US"/>
        </w:rPr>
        <w:t xml:space="preserve">, </w:t>
      </w:r>
      <w:r>
        <w:t>п</w:t>
      </w:r>
      <w:r w:rsidRPr="004F2802">
        <w:rPr>
          <w:lang w:val="en-US"/>
        </w:rPr>
        <w:t>. 23.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53271" w14:textId="075E801F" w:rsidR="00D24398" w:rsidRPr="00D24398" w:rsidRDefault="00D24398">
    <w:pPr>
      <w:pStyle w:val="a5"/>
    </w:pPr>
    <w:fldSimple w:instr=" TITLE  \* MERGEFORMAT ">
      <w:r w:rsidR="00126A91">
        <w:t>CAT/C/AUT/CO/7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3E19D" w14:textId="0FA62E71" w:rsidR="00D24398" w:rsidRPr="00D24398" w:rsidRDefault="00D24398" w:rsidP="00D24398">
    <w:pPr>
      <w:pStyle w:val="a5"/>
      <w:jc w:val="right"/>
    </w:pPr>
    <w:fldSimple w:instr=" TITLE  \* MERGEFORMAT ">
      <w:r w:rsidR="00126A91">
        <w:t>CAT/C/AUT/CO/7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982"/>
    <w:rsid w:val="00030741"/>
    <w:rsid w:val="00033EE1"/>
    <w:rsid w:val="00041407"/>
    <w:rsid w:val="00042B72"/>
    <w:rsid w:val="000558BD"/>
    <w:rsid w:val="000725B5"/>
    <w:rsid w:val="000814CD"/>
    <w:rsid w:val="000B57E7"/>
    <w:rsid w:val="000B607C"/>
    <w:rsid w:val="000B6373"/>
    <w:rsid w:val="000F09DF"/>
    <w:rsid w:val="000F61B2"/>
    <w:rsid w:val="001075E9"/>
    <w:rsid w:val="00126A91"/>
    <w:rsid w:val="00180183"/>
    <w:rsid w:val="0018024D"/>
    <w:rsid w:val="0018649F"/>
    <w:rsid w:val="00196389"/>
    <w:rsid w:val="001B0D5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3D3902"/>
    <w:rsid w:val="003E5456"/>
    <w:rsid w:val="00403C9E"/>
    <w:rsid w:val="00407B78"/>
    <w:rsid w:val="00424203"/>
    <w:rsid w:val="00452493"/>
    <w:rsid w:val="00454E07"/>
    <w:rsid w:val="00472C5C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663C"/>
    <w:rsid w:val="005961C8"/>
    <w:rsid w:val="005A4982"/>
    <w:rsid w:val="005D7914"/>
    <w:rsid w:val="005E2B41"/>
    <w:rsid w:val="005F0B42"/>
    <w:rsid w:val="0067081A"/>
    <w:rsid w:val="00681A10"/>
    <w:rsid w:val="006A1ED8"/>
    <w:rsid w:val="006B2EB0"/>
    <w:rsid w:val="006C2031"/>
    <w:rsid w:val="006D461A"/>
    <w:rsid w:val="006E6D94"/>
    <w:rsid w:val="006F35EE"/>
    <w:rsid w:val="007021FF"/>
    <w:rsid w:val="00712895"/>
    <w:rsid w:val="0073087F"/>
    <w:rsid w:val="00757357"/>
    <w:rsid w:val="00825F8D"/>
    <w:rsid w:val="00834B71"/>
    <w:rsid w:val="00834CC0"/>
    <w:rsid w:val="0086445C"/>
    <w:rsid w:val="00894693"/>
    <w:rsid w:val="008A08D7"/>
    <w:rsid w:val="008B6909"/>
    <w:rsid w:val="008F4F7C"/>
    <w:rsid w:val="00906890"/>
    <w:rsid w:val="00911BE4"/>
    <w:rsid w:val="00951972"/>
    <w:rsid w:val="00953B7A"/>
    <w:rsid w:val="009569AF"/>
    <w:rsid w:val="009608F3"/>
    <w:rsid w:val="009A24AC"/>
    <w:rsid w:val="009C27B9"/>
    <w:rsid w:val="00A1228F"/>
    <w:rsid w:val="00A312BC"/>
    <w:rsid w:val="00A478EF"/>
    <w:rsid w:val="00A66C5E"/>
    <w:rsid w:val="00A74D9D"/>
    <w:rsid w:val="00A84021"/>
    <w:rsid w:val="00A84D35"/>
    <w:rsid w:val="00A917B3"/>
    <w:rsid w:val="00AB4B51"/>
    <w:rsid w:val="00AE5508"/>
    <w:rsid w:val="00B10CC7"/>
    <w:rsid w:val="00B20CB2"/>
    <w:rsid w:val="00B539E7"/>
    <w:rsid w:val="00B62458"/>
    <w:rsid w:val="00BC18B2"/>
    <w:rsid w:val="00BD33EE"/>
    <w:rsid w:val="00C106D6"/>
    <w:rsid w:val="00C23549"/>
    <w:rsid w:val="00C60F0C"/>
    <w:rsid w:val="00C805C9"/>
    <w:rsid w:val="00C807F2"/>
    <w:rsid w:val="00C815F3"/>
    <w:rsid w:val="00C838C6"/>
    <w:rsid w:val="00C92939"/>
    <w:rsid w:val="00C96C1F"/>
    <w:rsid w:val="00CA1679"/>
    <w:rsid w:val="00CB151C"/>
    <w:rsid w:val="00CE5A1A"/>
    <w:rsid w:val="00CF55F6"/>
    <w:rsid w:val="00D24398"/>
    <w:rsid w:val="00D33D63"/>
    <w:rsid w:val="00D6392D"/>
    <w:rsid w:val="00D7263B"/>
    <w:rsid w:val="00D90028"/>
    <w:rsid w:val="00D90138"/>
    <w:rsid w:val="00DF71B9"/>
    <w:rsid w:val="00E21169"/>
    <w:rsid w:val="00E528D1"/>
    <w:rsid w:val="00E73F76"/>
    <w:rsid w:val="00E96DB9"/>
    <w:rsid w:val="00EA2C9F"/>
    <w:rsid w:val="00ED0BDA"/>
    <w:rsid w:val="00EF1360"/>
    <w:rsid w:val="00EF3220"/>
    <w:rsid w:val="00F21B00"/>
    <w:rsid w:val="00F70482"/>
    <w:rsid w:val="00F82DE6"/>
    <w:rsid w:val="00F90E40"/>
    <w:rsid w:val="00F94155"/>
    <w:rsid w:val="00F94B61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28F8D7"/>
  <w15:docId w15:val="{0F5CCC75-8551-4A27-BBF7-4E97215C1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/>
      <w:u w:val="none"/>
    </w:rPr>
  </w:style>
  <w:style w:type="character" w:styleId="af2">
    <w:name w:val="FollowedHyperlink"/>
    <w:basedOn w:val="a0"/>
    <w:rsid w:val="00570A37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locked/>
    <w:rsid w:val="006E6D94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9C27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ED/C/AUT/CO/1" TargetMode="External"/><Relationship Id="rId13" Type="http://schemas.openxmlformats.org/officeDocument/2006/relationships/hyperlink" Target="http://undocs.org/ru/CRPD/C/AUT/CO/2-3/Corr.1" TargetMode="External"/><Relationship Id="rId18" Type="http://schemas.openxmlformats.org/officeDocument/2006/relationships/hyperlink" Target="http://undocs.org/ru/CEDAW/C/AUT/CO/9" TargetMode="External"/><Relationship Id="rId3" Type="http://schemas.openxmlformats.org/officeDocument/2006/relationships/hyperlink" Target="http://undocs.org/ru/CAT/C/SR.2077" TargetMode="External"/><Relationship Id="rId7" Type="http://schemas.openxmlformats.org/officeDocument/2006/relationships/hyperlink" Target="https://caselaw.euaa.europa.eu/pages/viewcaselaw.aspx?CaseLawID=3917&amp;returnurl=/pages/searchresults.aspx" TargetMode="External"/><Relationship Id="rId12" Type="http://schemas.openxmlformats.org/officeDocument/2006/relationships/hyperlink" Target="http://undocs.org/ru/CRPD/C/AUT/CO/2-3" TargetMode="External"/><Relationship Id="rId17" Type="http://schemas.openxmlformats.org/officeDocument/2006/relationships/hyperlink" Target="https://spcommreports.ohchr.org/TMResultsBase/DownLoadPublicCommunicationFile?gId=26590" TargetMode="External"/><Relationship Id="rId2" Type="http://schemas.openxmlformats.org/officeDocument/2006/relationships/hyperlink" Target="http://undocs.org/ru/CAT/C/SR.2074" TargetMode="External"/><Relationship Id="rId16" Type="http://schemas.openxmlformats.org/officeDocument/2006/relationships/hyperlink" Target="http://undocs.org/ru/CEDAW/C/AUT/CO/9/Corr.1" TargetMode="External"/><Relationship Id="rId1" Type="http://schemas.openxmlformats.org/officeDocument/2006/relationships/hyperlink" Target="https://tbinternet.ohchr.org/_layouts/15/treatybodyexternal/Download.aspx?symbolno=CAT%2FC%2FAUT%2F7&amp;Lang=en" TargetMode="External"/><Relationship Id="rId6" Type="http://schemas.openxmlformats.org/officeDocument/2006/relationships/hyperlink" Target="http://undocs.org/ru/CAT/OP/12/5" TargetMode="External"/><Relationship Id="rId11" Type="http://schemas.openxmlformats.org/officeDocument/2006/relationships/hyperlink" Target="http://undocs.org/ru/CRPD/C/AUT/QPR/2-3/Corr.1" TargetMode="External"/><Relationship Id="rId5" Type="http://schemas.openxmlformats.org/officeDocument/2006/relationships/hyperlink" Target="https://tbinternet.ohchr.org/_layouts/15/treatybodyexternal/Download.aspx?symbolno=CAT%2FC%2FAUT%2FCO%2F6%2FAdd.1&amp;Lang=en" TargetMode="External"/><Relationship Id="rId15" Type="http://schemas.openxmlformats.org/officeDocument/2006/relationships/hyperlink" Target="http://undocs.org/ru/CEDAW/C/AUT/CO/9" TargetMode="External"/><Relationship Id="rId10" Type="http://schemas.openxmlformats.org/officeDocument/2006/relationships/hyperlink" Target="http://undocs.org/ru/CRPD/C/AUT/QPR/2-3" TargetMode="External"/><Relationship Id="rId19" Type="http://schemas.openxmlformats.org/officeDocument/2006/relationships/hyperlink" Target="http://undocs.org/ru/CEDAW/C/AUT/CO/9/Corr.1" TargetMode="External"/><Relationship Id="rId4" Type="http://schemas.openxmlformats.org/officeDocument/2006/relationships/hyperlink" Target="http://undocs.org/ru/CAT/C/AUT/CO/6" TargetMode="External"/><Relationship Id="rId9" Type="http://schemas.openxmlformats.org/officeDocument/2006/relationships/hyperlink" Target="http://undocs.org/ru/CRC/C/AUT/CO/5-6" TargetMode="External"/><Relationship Id="rId14" Type="http://schemas.openxmlformats.org/officeDocument/2006/relationships/hyperlink" Target="http://undocs.org/ru/CRC/C/AUT/CO/5-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15</Pages>
  <Words>5069</Words>
  <Characters>42684</Characters>
  <Application>Microsoft Office Word</Application>
  <DocSecurity>0</DocSecurity>
  <Lines>3557</Lines>
  <Paragraphs>1364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46389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CAT/C/AUT/CO/7</dc:title>
  <dc:subject/>
  <dc:creator>Uliana ANTIPOVA</dc:creator>
  <cp:keywords/>
  <cp:lastModifiedBy>Uliana Antipova</cp:lastModifiedBy>
  <cp:revision>3</cp:revision>
  <cp:lastPrinted>2024-06-24T14:57:00Z</cp:lastPrinted>
  <dcterms:created xsi:type="dcterms:W3CDTF">2024-06-24T14:57:00Z</dcterms:created>
  <dcterms:modified xsi:type="dcterms:W3CDTF">2024-06-24T14:57:00Z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