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r>
              <w:rPr>
                <w:rFonts w:hint="eastAsia"/>
                <w:sz w:val="40"/>
                <w:szCs w:val="40"/>
              </w:rPr>
              <w:t>CCPR</w:t>
            </w:r>
            <w:r w:rsidRPr="002D3D9F">
              <w:rPr>
                <w:sz w:val="20"/>
              </w:rPr>
              <w:t>/</w:t>
            </w:r>
            <w:r w:rsidR="00162514">
              <w:rPr>
                <w:rFonts w:hint="eastAsia"/>
                <w:sz w:val="20"/>
              </w:rPr>
              <w:t>C/SRB/CO/2</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143480" w:rsidP="00162514">
            <w:pPr>
              <w:spacing w:before="240" w:line="240" w:lineRule="atLeast"/>
              <w:rPr>
                <w:rFonts w:hint="eastAsia"/>
                <w:sz w:val="20"/>
              </w:rPr>
            </w:pPr>
            <w:r>
              <w:rPr>
                <w:sz w:val="20"/>
              </w:rPr>
              <w:t xml:space="preserve">Distr.: </w:t>
            </w:r>
            <w:r w:rsidR="00162514">
              <w:rPr>
                <w:rFonts w:hint="eastAsia"/>
                <w:sz w:val="20"/>
              </w:rPr>
              <w:t>General</w:t>
            </w:r>
          </w:p>
          <w:p w:rsidR="00C40431" w:rsidRPr="002D3D9F" w:rsidRDefault="00162514">
            <w:pPr>
              <w:spacing w:line="240" w:lineRule="atLeast"/>
              <w:rPr>
                <w:rFonts w:hint="eastAsia"/>
                <w:sz w:val="20"/>
              </w:rPr>
            </w:pPr>
            <w:r>
              <w:rPr>
                <w:rFonts w:hint="eastAsia"/>
                <w:sz w:val="20"/>
              </w:rPr>
              <w:t>20 May</w:t>
            </w:r>
            <w:r w:rsidR="005F24E4">
              <w:rPr>
                <w:sz w:val="20"/>
              </w:rPr>
              <w:t xml:space="preserve"> 20</w:t>
            </w:r>
            <w:r w:rsidR="001B41B9">
              <w:rPr>
                <w:rFonts w:hint="eastAsia"/>
                <w:sz w:val="20"/>
              </w:rPr>
              <w:t>11</w:t>
            </w:r>
          </w:p>
          <w:p w:rsidR="00C40431" w:rsidRPr="002D3D9F" w:rsidRDefault="00C40431">
            <w:pPr>
              <w:spacing w:line="240" w:lineRule="atLeast"/>
              <w:rPr>
                <w:sz w:val="20"/>
              </w:rPr>
            </w:pPr>
            <w:r w:rsidRPr="002D3D9F">
              <w:rPr>
                <w:sz w:val="20"/>
              </w:rPr>
              <w:t xml:space="preserve">Chinese </w:t>
            </w:r>
          </w:p>
          <w:p w:rsidR="00C40431" w:rsidRPr="002D3D9F" w:rsidRDefault="00143480">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rsidP="00162514">
      <w:pPr>
        <w:rPr>
          <w:rFonts w:ascii="Time New Roman" w:eastAsia="SimHei" w:hAnsi="Time New Roman" w:hint="eastAsia"/>
        </w:rPr>
      </w:pPr>
      <w:r w:rsidRPr="00553C07">
        <w:rPr>
          <w:rFonts w:ascii="Time New Roman" w:eastAsia="SimHei" w:hAnsi="Time New Roman" w:hint="eastAsia"/>
        </w:rPr>
        <w:t>第</w:t>
      </w:r>
      <w:r w:rsidR="00162514" w:rsidRPr="00162514">
        <w:rPr>
          <w:rFonts w:ascii="Time New Roman" w:eastAsia="SimHei" w:hAnsi="Time New Roman" w:hint="eastAsia"/>
        </w:rPr>
        <w:t>一〇一</w:t>
      </w:r>
      <w:r w:rsidRPr="00553C07">
        <w:rPr>
          <w:rFonts w:ascii="Time New Roman" w:eastAsia="SimHei" w:hAnsi="Time New Roman" w:hint="eastAsia"/>
        </w:rPr>
        <w:t>届会议</w:t>
      </w:r>
    </w:p>
    <w:p w:rsidR="00553C07" w:rsidRDefault="00162514" w:rsidP="00162514">
      <w:pPr>
        <w:rPr>
          <w:rFonts w:hint="eastAsia"/>
          <w:snapToGrid/>
        </w:rPr>
      </w:pPr>
      <w:r w:rsidRPr="00162514">
        <w:rPr>
          <w:rFonts w:hint="eastAsia"/>
          <w:snapToGrid/>
        </w:rPr>
        <w:t>2011</w:t>
      </w:r>
      <w:r w:rsidRPr="00162514">
        <w:rPr>
          <w:rFonts w:hint="eastAsia"/>
          <w:snapToGrid/>
        </w:rPr>
        <w:t>年</w:t>
      </w:r>
      <w:r w:rsidRPr="00162514">
        <w:rPr>
          <w:rFonts w:hint="eastAsia"/>
          <w:snapToGrid/>
        </w:rPr>
        <w:t>3</w:t>
      </w:r>
      <w:r w:rsidRPr="00162514">
        <w:rPr>
          <w:rFonts w:hint="eastAsia"/>
          <w:snapToGrid/>
        </w:rPr>
        <w:t>月</w:t>
      </w:r>
      <w:r w:rsidRPr="00162514">
        <w:rPr>
          <w:rFonts w:hint="eastAsia"/>
          <w:snapToGrid/>
        </w:rPr>
        <w:t>14</w:t>
      </w:r>
      <w:r w:rsidRPr="00162514">
        <w:rPr>
          <w:rFonts w:hint="eastAsia"/>
          <w:snapToGrid/>
        </w:rPr>
        <w:t>日至</w:t>
      </w:r>
      <w:r w:rsidRPr="00162514">
        <w:rPr>
          <w:rFonts w:hint="eastAsia"/>
          <w:snapToGrid/>
        </w:rPr>
        <w:t>4</w:t>
      </w:r>
      <w:r w:rsidRPr="00162514">
        <w:rPr>
          <w:rFonts w:hint="eastAsia"/>
          <w:snapToGrid/>
        </w:rPr>
        <w:t>月</w:t>
      </w:r>
      <w:r w:rsidRPr="00162514">
        <w:rPr>
          <w:rFonts w:hint="eastAsia"/>
          <w:snapToGrid/>
        </w:rPr>
        <w:t>1</w:t>
      </w:r>
      <w:r w:rsidRPr="00162514">
        <w:rPr>
          <w:rFonts w:hint="eastAsia"/>
          <w:snapToGrid/>
        </w:rPr>
        <w:t>日，纽约</w:t>
      </w:r>
    </w:p>
    <w:p w:rsidR="00162514" w:rsidRDefault="00162514">
      <w:pPr>
        <w:rPr>
          <w:rFonts w:hint="eastAsia"/>
          <w:snapToGrid/>
        </w:rPr>
      </w:pPr>
    </w:p>
    <w:p w:rsidR="00162514" w:rsidRPr="00162514" w:rsidRDefault="00162514" w:rsidP="00162514">
      <w:pPr>
        <w:pStyle w:val="HChGC"/>
        <w:rPr>
          <w:rFonts w:hint="eastAsia"/>
          <w:snapToGrid/>
        </w:rPr>
      </w:pPr>
      <w:r w:rsidRPr="00162514">
        <w:rPr>
          <w:rFonts w:hint="eastAsia"/>
          <w:snapToGrid/>
        </w:rPr>
        <w:tab/>
      </w:r>
      <w:r w:rsidRPr="00162514">
        <w:rPr>
          <w:rFonts w:hint="eastAsia"/>
          <w:snapToGrid/>
        </w:rPr>
        <w:tab/>
      </w:r>
      <w:r w:rsidRPr="00162514">
        <w:rPr>
          <w:rFonts w:hint="eastAsia"/>
          <w:snapToGrid/>
        </w:rPr>
        <w:t>审议缔约国根据《公约》第四十条提交的报告</w:t>
      </w:r>
    </w:p>
    <w:p w:rsidR="00162514" w:rsidRPr="00162514" w:rsidRDefault="00162514" w:rsidP="00162514">
      <w:pPr>
        <w:pStyle w:val="H1GC"/>
        <w:rPr>
          <w:rFonts w:hint="eastAsia"/>
          <w:snapToGrid/>
        </w:rPr>
      </w:pPr>
      <w:r w:rsidRPr="00162514">
        <w:rPr>
          <w:rFonts w:hint="eastAsia"/>
          <w:snapToGrid/>
        </w:rPr>
        <w:tab/>
      </w:r>
      <w:r w:rsidRPr="00162514">
        <w:rPr>
          <w:rFonts w:hint="eastAsia"/>
          <w:snapToGrid/>
        </w:rPr>
        <w:tab/>
      </w:r>
      <w:r w:rsidRPr="00162514">
        <w:rPr>
          <w:rFonts w:hint="eastAsia"/>
          <w:snapToGrid/>
        </w:rPr>
        <w:t>人权事务委员会的结论性意见</w:t>
      </w:r>
    </w:p>
    <w:p w:rsidR="00162514" w:rsidRPr="00162514" w:rsidRDefault="00162514" w:rsidP="00162514">
      <w:pPr>
        <w:pStyle w:val="H1GC"/>
        <w:rPr>
          <w:rFonts w:hint="eastAsia"/>
          <w:snapToGrid/>
        </w:rPr>
      </w:pPr>
      <w:r w:rsidRPr="00162514">
        <w:rPr>
          <w:rFonts w:hint="eastAsia"/>
          <w:snapToGrid/>
        </w:rPr>
        <w:tab/>
      </w:r>
      <w:r w:rsidRPr="00162514">
        <w:rPr>
          <w:rFonts w:hint="eastAsia"/>
          <w:snapToGrid/>
        </w:rPr>
        <w:tab/>
      </w:r>
      <w:r w:rsidRPr="00162514">
        <w:rPr>
          <w:rFonts w:hint="eastAsia"/>
          <w:snapToGrid/>
        </w:rPr>
        <w:t>塞尔维亚</w:t>
      </w:r>
    </w:p>
    <w:p w:rsidR="00162514" w:rsidRPr="00162514" w:rsidRDefault="00162514" w:rsidP="00162514">
      <w:pPr>
        <w:pStyle w:val="SingleTxtGC"/>
        <w:rPr>
          <w:rFonts w:hint="eastAsia"/>
          <w:snapToGrid/>
        </w:rPr>
      </w:pPr>
      <w:r w:rsidRPr="00162514">
        <w:rPr>
          <w:rFonts w:hint="eastAsia"/>
          <w:snapToGrid/>
        </w:rPr>
        <w:t xml:space="preserve">1.  </w:t>
      </w:r>
      <w:r w:rsidRPr="00162514">
        <w:rPr>
          <w:rFonts w:hint="eastAsia"/>
          <w:snapToGrid/>
        </w:rPr>
        <w:t>在</w:t>
      </w:r>
      <w:r w:rsidRPr="00162514">
        <w:rPr>
          <w:rFonts w:hint="eastAsia"/>
          <w:snapToGrid/>
        </w:rPr>
        <w:t>2011</w:t>
      </w:r>
      <w:r w:rsidRPr="00162514">
        <w:rPr>
          <w:rFonts w:hint="eastAsia"/>
          <w:snapToGrid/>
        </w:rPr>
        <w:t>年</w:t>
      </w:r>
      <w:r w:rsidRPr="00162514">
        <w:rPr>
          <w:rFonts w:hint="eastAsia"/>
          <w:snapToGrid/>
        </w:rPr>
        <w:t>3</w:t>
      </w:r>
      <w:r w:rsidRPr="00162514">
        <w:rPr>
          <w:rFonts w:hint="eastAsia"/>
          <w:snapToGrid/>
        </w:rPr>
        <w:t>月</w:t>
      </w:r>
      <w:r w:rsidRPr="00162514">
        <w:rPr>
          <w:rFonts w:hint="eastAsia"/>
          <w:snapToGrid/>
        </w:rPr>
        <w:t>17</w:t>
      </w:r>
      <w:r w:rsidRPr="00162514">
        <w:rPr>
          <w:rFonts w:hint="eastAsia"/>
          <w:snapToGrid/>
        </w:rPr>
        <w:t>日和</w:t>
      </w:r>
      <w:r w:rsidRPr="00162514">
        <w:rPr>
          <w:rFonts w:hint="eastAsia"/>
          <w:snapToGrid/>
        </w:rPr>
        <w:t>18</w:t>
      </w:r>
      <w:r w:rsidRPr="00162514">
        <w:rPr>
          <w:rFonts w:hint="eastAsia"/>
          <w:snapToGrid/>
        </w:rPr>
        <w:t>日举行的第</w:t>
      </w:r>
      <w:r w:rsidRPr="00162514">
        <w:rPr>
          <w:rFonts w:hint="eastAsia"/>
          <w:snapToGrid/>
        </w:rPr>
        <w:t>2780</w:t>
      </w:r>
      <w:r w:rsidRPr="00162514">
        <w:rPr>
          <w:rFonts w:hint="eastAsia"/>
          <w:snapToGrid/>
        </w:rPr>
        <w:t>次和第</w:t>
      </w:r>
      <w:r w:rsidRPr="00162514">
        <w:rPr>
          <w:rFonts w:hint="eastAsia"/>
          <w:snapToGrid/>
        </w:rPr>
        <w:t>2781</w:t>
      </w:r>
      <w:r w:rsidRPr="00162514">
        <w:rPr>
          <w:rFonts w:hint="eastAsia"/>
          <w:snapToGrid/>
        </w:rPr>
        <w:t>次会议</w:t>
      </w:r>
      <w:r w:rsidRPr="00162514">
        <w:rPr>
          <w:rFonts w:hint="eastAsia"/>
          <w:snapToGrid/>
        </w:rPr>
        <w:t>(CCPR/C/</w:t>
      </w:r>
      <w:r w:rsidR="004830C9">
        <w:rPr>
          <w:rFonts w:hint="eastAsia"/>
          <w:snapToGrid/>
        </w:rPr>
        <w:t xml:space="preserve"> </w:t>
      </w:r>
      <w:r w:rsidRPr="00162514">
        <w:rPr>
          <w:rFonts w:hint="eastAsia"/>
          <w:snapToGrid/>
        </w:rPr>
        <w:t>SR.2780</w:t>
      </w:r>
      <w:r w:rsidRPr="00162514">
        <w:rPr>
          <w:rFonts w:hint="eastAsia"/>
          <w:snapToGrid/>
        </w:rPr>
        <w:t>和</w:t>
      </w:r>
      <w:r w:rsidRPr="00162514">
        <w:rPr>
          <w:rFonts w:hint="eastAsia"/>
          <w:snapToGrid/>
        </w:rPr>
        <w:t>2781)</w:t>
      </w:r>
      <w:r w:rsidRPr="00162514">
        <w:rPr>
          <w:rFonts w:hint="eastAsia"/>
          <w:snapToGrid/>
        </w:rPr>
        <w:t>上委员会审议了由塞尔维亚共和国提交的第二次定期报告</w:t>
      </w:r>
      <w:r w:rsidRPr="00162514">
        <w:rPr>
          <w:rFonts w:hint="eastAsia"/>
          <w:snapToGrid/>
        </w:rPr>
        <w:t>(CCPR/C/SRB/2)</w:t>
      </w:r>
      <w:r w:rsidRPr="00162514">
        <w:rPr>
          <w:rFonts w:hint="eastAsia"/>
          <w:snapToGrid/>
        </w:rPr>
        <w:t>。在</w:t>
      </w:r>
      <w:r w:rsidRPr="00162514">
        <w:rPr>
          <w:rFonts w:hint="eastAsia"/>
          <w:snapToGrid/>
        </w:rPr>
        <w:t>2011</w:t>
      </w:r>
      <w:r w:rsidRPr="00162514">
        <w:rPr>
          <w:rFonts w:hint="eastAsia"/>
          <w:snapToGrid/>
        </w:rPr>
        <w:t>年</w:t>
      </w:r>
      <w:r w:rsidRPr="00162514">
        <w:rPr>
          <w:rFonts w:hint="eastAsia"/>
          <w:snapToGrid/>
        </w:rPr>
        <w:t>3</w:t>
      </w:r>
      <w:r w:rsidRPr="00162514">
        <w:rPr>
          <w:rFonts w:hint="eastAsia"/>
          <w:snapToGrid/>
        </w:rPr>
        <w:t>月</w:t>
      </w:r>
      <w:r w:rsidRPr="00162514">
        <w:rPr>
          <w:rFonts w:hint="eastAsia"/>
          <w:snapToGrid/>
        </w:rPr>
        <w:t>29</w:t>
      </w:r>
      <w:r w:rsidRPr="00162514">
        <w:rPr>
          <w:rFonts w:hint="eastAsia"/>
          <w:snapToGrid/>
        </w:rPr>
        <w:t>日举行的</w:t>
      </w:r>
      <w:r w:rsidRPr="00162514">
        <w:rPr>
          <w:rFonts w:hint="eastAsia"/>
          <w:snapToGrid/>
        </w:rPr>
        <w:t>2796</w:t>
      </w:r>
      <w:r w:rsidRPr="00162514">
        <w:rPr>
          <w:rFonts w:hint="eastAsia"/>
          <w:snapToGrid/>
        </w:rPr>
        <w:t>次会议</w:t>
      </w:r>
      <w:r w:rsidRPr="00162514">
        <w:rPr>
          <w:rFonts w:hint="eastAsia"/>
          <w:snapToGrid/>
        </w:rPr>
        <w:t>(CCPR/C/</w:t>
      </w:r>
      <w:r>
        <w:rPr>
          <w:rFonts w:hint="eastAsia"/>
          <w:snapToGrid/>
        </w:rPr>
        <w:t xml:space="preserve"> </w:t>
      </w:r>
      <w:r w:rsidRPr="00162514">
        <w:rPr>
          <w:rFonts w:hint="eastAsia"/>
          <w:snapToGrid/>
        </w:rPr>
        <w:t>SR.2796)</w:t>
      </w:r>
      <w:r w:rsidRPr="00162514">
        <w:rPr>
          <w:rFonts w:hint="eastAsia"/>
          <w:snapToGrid/>
        </w:rPr>
        <w:t>上，委员会通过了下列结论性意见。</w:t>
      </w:r>
    </w:p>
    <w:p w:rsidR="00162514" w:rsidRPr="00162514" w:rsidRDefault="00162514" w:rsidP="00162514">
      <w:pPr>
        <w:pStyle w:val="H1GC"/>
        <w:rPr>
          <w:rFonts w:hint="eastAsia"/>
          <w:snapToGrid/>
        </w:rPr>
      </w:pPr>
      <w:r w:rsidRPr="00162514">
        <w:rPr>
          <w:rFonts w:hint="eastAsia"/>
          <w:snapToGrid/>
        </w:rPr>
        <w:tab/>
        <w:t>A.</w:t>
      </w:r>
      <w:r w:rsidRPr="00162514">
        <w:rPr>
          <w:rFonts w:hint="eastAsia"/>
          <w:snapToGrid/>
        </w:rPr>
        <w:tab/>
      </w:r>
      <w:r w:rsidRPr="00162514">
        <w:rPr>
          <w:rFonts w:hint="eastAsia"/>
          <w:snapToGrid/>
        </w:rPr>
        <w:t>导言</w:t>
      </w:r>
    </w:p>
    <w:p w:rsidR="00162514" w:rsidRPr="00162514" w:rsidRDefault="00162514" w:rsidP="00162514">
      <w:pPr>
        <w:pStyle w:val="SingleTxtGC"/>
        <w:rPr>
          <w:rFonts w:hint="eastAsia"/>
          <w:snapToGrid/>
        </w:rPr>
      </w:pPr>
      <w:r w:rsidRPr="00162514">
        <w:rPr>
          <w:rFonts w:hint="eastAsia"/>
          <w:snapToGrid/>
        </w:rPr>
        <w:t xml:space="preserve">2.  </w:t>
      </w:r>
      <w:r w:rsidRPr="00162514">
        <w:rPr>
          <w:rFonts w:hint="eastAsia"/>
          <w:snapToGrid/>
        </w:rPr>
        <w:t>委员会欢迎塞尔维亚共和国提交第二次定期报告，并且赞赏与缔约国代表团举行的具有建设性的对话，以及所提供的口头和书面答复。委员会还赞赏根据问题清单所提交的书面答复</w:t>
      </w:r>
      <w:r w:rsidRPr="00162514">
        <w:rPr>
          <w:rFonts w:hint="eastAsia"/>
          <w:snapToGrid/>
        </w:rPr>
        <w:t>(CCPR/SRB/Q</w:t>
      </w:r>
      <w:r>
        <w:rPr>
          <w:rFonts w:hint="eastAsia"/>
          <w:snapToGrid/>
        </w:rPr>
        <w:t>/</w:t>
      </w:r>
      <w:r w:rsidRPr="00162514">
        <w:rPr>
          <w:rFonts w:hint="eastAsia"/>
          <w:snapToGrid/>
        </w:rPr>
        <w:t>2/Add.1)</w:t>
      </w:r>
      <w:r w:rsidRPr="00162514">
        <w:rPr>
          <w:rFonts w:hint="eastAsia"/>
          <w:snapToGrid/>
        </w:rPr>
        <w:t>。</w:t>
      </w:r>
    </w:p>
    <w:p w:rsidR="00162514" w:rsidRPr="00162514" w:rsidRDefault="00162514" w:rsidP="00162514">
      <w:pPr>
        <w:pStyle w:val="SingleTxtGC"/>
        <w:rPr>
          <w:rFonts w:hint="eastAsia"/>
          <w:snapToGrid/>
        </w:rPr>
      </w:pPr>
      <w:r w:rsidRPr="00162514">
        <w:rPr>
          <w:rFonts w:hint="eastAsia"/>
          <w:snapToGrid/>
        </w:rPr>
        <w:t xml:space="preserve">3.  </w:t>
      </w:r>
      <w:r w:rsidRPr="00162514">
        <w:rPr>
          <w:rFonts w:hint="eastAsia"/>
          <w:snapToGrid/>
        </w:rPr>
        <w:t>委员会忆及前次对科索沃人权局势的审议</w:t>
      </w:r>
      <w:r w:rsidRPr="00162514">
        <w:rPr>
          <w:rFonts w:hint="eastAsia"/>
          <w:snapToGrid/>
        </w:rPr>
        <w:t>(</w:t>
      </w:r>
      <w:r w:rsidRPr="00162514">
        <w:rPr>
          <w:rFonts w:hint="eastAsia"/>
          <w:snapToGrid/>
        </w:rPr>
        <w:t>见</w:t>
      </w:r>
      <w:r w:rsidRPr="00162514">
        <w:rPr>
          <w:rFonts w:hint="eastAsia"/>
          <w:snapToGrid/>
        </w:rPr>
        <w:t>2006</w:t>
      </w:r>
      <w:r w:rsidRPr="00162514">
        <w:rPr>
          <w:rFonts w:hint="eastAsia"/>
          <w:snapToGrid/>
        </w:rPr>
        <w:t>年</w:t>
      </w:r>
      <w:r w:rsidRPr="00162514">
        <w:rPr>
          <w:rFonts w:hint="eastAsia"/>
          <w:snapToGrid/>
        </w:rPr>
        <w:t>7</w:t>
      </w:r>
      <w:r w:rsidRPr="00162514">
        <w:rPr>
          <w:rFonts w:hint="eastAsia"/>
          <w:snapToGrid/>
        </w:rPr>
        <w:t>月</w:t>
      </w:r>
      <w:r w:rsidRPr="00162514">
        <w:rPr>
          <w:rFonts w:hint="eastAsia"/>
          <w:snapToGrid/>
        </w:rPr>
        <w:t>27</w:t>
      </w:r>
      <w:r w:rsidRPr="00162514">
        <w:rPr>
          <w:rFonts w:hint="eastAsia"/>
          <w:snapToGrid/>
        </w:rPr>
        <w:t>日通过的</w:t>
      </w:r>
      <w:r w:rsidRPr="00162514">
        <w:rPr>
          <w:rFonts w:hint="eastAsia"/>
          <w:snapToGrid/>
        </w:rPr>
        <w:t>CCPR/C/UNK/CO/1)</w:t>
      </w:r>
      <w:r w:rsidRPr="00162514">
        <w:rPr>
          <w:rFonts w:hint="eastAsia"/>
          <w:snapToGrid/>
        </w:rPr>
        <w:t>。委员会注意到，由于缔约国继续接受其不对科索沃实施实效控制，并且根据安全理事会决议</w:t>
      </w:r>
      <w:r w:rsidRPr="00162514">
        <w:rPr>
          <w:rFonts w:hint="eastAsia"/>
          <w:snapToGrid/>
        </w:rPr>
        <w:t>1244(1999</w:t>
      </w:r>
      <w:r w:rsidRPr="00162514">
        <w:rPr>
          <w:rFonts w:hint="eastAsia"/>
          <w:snapToGrid/>
        </w:rPr>
        <w:t>年</w:t>
      </w:r>
      <w:r w:rsidRPr="00162514">
        <w:rPr>
          <w:rFonts w:hint="eastAsia"/>
          <w:snapToGrid/>
        </w:rPr>
        <w:t>)</w:t>
      </w:r>
      <w:r w:rsidRPr="00162514">
        <w:rPr>
          <w:rFonts w:hint="eastAsia"/>
          <w:snapToGrid/>
        </w:rPr>
        <w:t>，民事权力机构继续由联合国科索沃临时行政当局特派团</w:t>
      </w:r>
      <w:r w:rsidRPr="00162514">
        <w:rPr>
          <w:rFonts w:hint="eastAsia"/>
          <w:snapToGrid/>
        </w:rPr>
        <w:t>(</w:t>
      </w:r>
      <w:r w:rsidRPr="00162514">
        <w:rPr>
          <w:rFonts w:hint="eastAsia"/>
          <w:snapToGrid/>
        </w:rPr>
        <w:t>科索沃特派团</w:t>
      </w:r>
      <w:r w:rsidRPr="00162514">
        <w:rPr>
          <w:rFonts w:hint="eastAsia"/>
          <w:snapToGrid/>
        </w:rPr>
        <w:t>)</w:t>
      </w:r>
      <w:r w:rsidRPr="00162514">
        <w:rPr>
          <w:rFonts w:hint="eastAsia"/>
          <w:snapToGrid/>
        </w:rPr>
        <w:t>行使。委员会认为《公约》继续在科索沃适用，因而鼓励科索沃特派团在与科索沃机构的合作下，并在不影响科索沃的最终法律地位的情况下，向委员会提供一份自</w:t>
      </w:r>
      <w:r w:rsidRPr="00162514">
        <w:rPr>
          <w:rFonts w:hint="eastAsia"/>
          <w:snapToGrid/>
        </w:rPr>
        <w:t>2006</w:t>
      </w:r>
      <w:r w:rsidRPr="00162514">
        <w:rPr>
          <w:rFonts w:hint="eastAsia"/>
          <w:snapToGrid/>
        </w:rPr>
        <w:t>年</w:t>
      </w:r>
      <w:r w:rsidRPr="00162514">
        <w:rPr>
          <w:rFonts w:hint="eastAsia"/>
          <w:snapToGrid/>
        </w:rPr>
        <w:t>7</w:t>
      </w:r>
      <w:r w:rsidRPr="00162514">
        <w:rPr>
          <w:rFonts w:hint="eastAsia"/>
          <w:snapToGrid/>
        </w:rPr>
        <w:t>月以来科索沃人权局势报告。</w:t>
      </w:r>
    </w:p>
    <w:p w:rsidR="00162514" w:rsidRPr="00162514" w:rsidRDefault="00162514" w:rsidP="00162514">
      <w:pPr>
        <w:pStyle w:val="H1GC"/>
        <w:rPr>
          <w:rFonts w:hint="eastAsia"/>
          <w:snapToGrid/>
        </w:rPr>
      </w:pPr>
      <w:r w:rsidRPr="00162514">
        <w:rPr>
          <w:rFonts w:hint="eastAsia"/>
          <w:snapToGrid/>
        </w:rPr>
        <w:tab/>
        <w:t>B.</w:t>
      </w:r>
      <w:r w:rsidRPr="00162514">
        <w:rPr>
          <w:rFonts w:hint="eastAsia"/>
          <w:snapToGrid/>
        </w:rPr>
        <w:tab/>
      </w:r>
      <w:r w:rsidRPr="00162514">
        <w:rPr>
          <w:rFonts w:hint="eastAsia"/>
          <w:snapToGrid/>
        </w:rPr>
        <w:t>积极方面</w:t>
      </w:r>
    </w:p>
    <w:p w:rsidR="00162514" w:rsidRPr="00162514" w:rsidRDefault="00162514" w:rsidP="00162514">
      <w:pPr>
        <w:pStyle w:val="SingleTxtGC"/>
        <w:rPr>
          <w:rFonts w:hint="eastAsia"/>
          <w:snapToGrid/>
        </w:rPr>
      </w:pPr>
      <w:r w:rsidRPr="00162514">
        <w:rPr>
          <w:rFonts w:hint="eastAsia"/>
          <w:snapToGrid/>
        </w:rPr>
        <w:t xml:space="preserve">4.  </w:t>
      </w:r>
      <w:r w:rsidRPr="00162514">
        <w:rPr>
          <w:rFonts w:hint="eastAsia"/>
          <w:snapToGrid/>
        </w:rPr>
        <w:t>委员会欢迎缔约国特别作为欧洲欧盟候选人从事各种改革而在下列方面所取得的积极进展：</w:t>
      </w:r>
    </w:p>
    <w:p w:rsidR="00162514" w:rsidRPr="00162514" w:rsidRDefault="00162514" w:rsidP="00162514">
      <w:pPr>
        <w:pStyle w:val="SingleTxtGC"/>
        <w:numPr>
          <w:ilvl w:val="0"/>
          <w:numId w:val="39"/>
        </w:numPr>
        <w:tabs>
          <w:tab w:val="clear" w:pos="2426"/>
          <w:tab w:val="left" w:pos="2427"/>
        </w:tabs>
        <w:rPr>
          <w:rFonts w:hint="eastAsia"/>
          <w:snapToGrid/>
        </w:rPr>
      </w:pPr>
      <w:r w:rsidRPr="00162514">
        <w:rPr>
          <w:rFonts w:hint="eastAsia"/>
          <w:snapToGrid/>
        </w:rPr>
        <w:t>于</w:t>
      </w:r>
      <w:r w:rsidRPr="00162514">
        <w:rPr>
          <w:rFonts w:hint="eastAsia"/>
          <w:snapToGrid/>
        </w:rPr>
        <w:t>2006</w:t>
      </w:r>
      <w:r w:rsidRPr="00162514">
        <w:rPr>
          <w:rFonts w:hint="eastAsia"/>
          <w:snapToGrid/>
        </w:rPr>
        <w:t>年通过了新《宪法》，该宪法允许宪法法庭审查侵犯人的个人申诉</w:t>
      </w:r>
      <w:r w:rsidRPr="00162514">
        <w:rPr>
          <w:rFonts w:hint="eastAsia"/>
          <w:snapToGrid/>
        </w:rPr>
        <w:t>(</w:t>
      </w:r>
      <w:r w:rsidRPr="00162514">
        <w:rPr>
          <w:rFonts w:hint="eastAsia"/>
          <w:snapToGrid/>
        </w:rPr>
        <w:t>《宪法》第</w:t>
      </w:r>
      <w:r w:rsidRPr="00162514">
        <w:rPr>
          <w:rFonts w:hint="eastAsia"/>
          <w:snapToGrid/>
        </w:rPr>
        <w:t>170</w:t>
      </w:r>
      <w:r w:rsidRPr="00162514">
        <w:rPr>
          <w:rFonts w:hint="eastAsia"/>
          <w:snapToGrid/>
        </w:rPr>
        <w:t>条</w:t>
      </w:r>
      <w:r w:rsidRPr="00162514">
        <w:rPr>
          <w:rFonts w:hint="eastAsia"/>
          <w:snapToGrid/>
        </w:rPr>
        <w:t>)</w:t>
      </w:r>
      <w:r w:rsidRPr="00162514">
        <w:rPr>
          <w:rFonts w:hint="eastAsia"/>
          <w:snapToGrid/>
        </w:rPr>
        <w:t>；</w:t>
      </w:r>
    </w:p>
    <w:p w:rsidR="00162514" w:rsidRPr="00162514" w:rsidRDefault="00162514" w:rsidP="00162514">
      <w:pPr>
        <w:pStyle w:val="SingleTxtGC"/>
        <w:numPr>
          <w:ilvl w:val="0"/>
          <w:numId w:val="39"/>
        </w:numPr>
        <w:tabs>
          <w:tab w:val="clear" w:pos="2426"/>
          <w:tab w:val="left" w:pos="2427"/>
        </w:tabs>
        <w:rPr>
          <w:rFonts w:hint="eastAsia"/>
          <w:snapToGrid/>
        </w:rPr>
      </w:pPr>
      <w:r w:rsidRPr="00162514">
        <w:rPr>
          <w:rFonts w:hint="eastAsia"/>
          <w:snapToGrid/>
        </w:rPr>
        <w:t>于</w:t>
      </w:r>
      <w:r w:rsidRPr="00162514">
        <w:rPr>
          <w:rFonts w:hint="eastAsia"/>
          <w:snapToGrid/>
        </w:rPr>
        <w:t>2009</w:t>
      </w:r>
      <w:r w:rsidRPr="00162514">
        <w:rPr>
          <w:rFonts w:hint="eastAsia"/>
          <w:snapToGrid/>
        </w:rPr>
        <w:t>年</w:t>
      </w:r>
      <w:r w:rsidRPr="00162514">
        <w:rPr>
          <w:rFonts w:hint="eastAsia"/>
          <w:snapToGrid/>
        </w:rPr>
        <w:t>3</w:t>
      </w:r>
      <w:r w:rsidRPr="00162514">
        <w:rPr>
          <w:rFonts w:hint="eastAsia"/>
          <w:snapToGrid/>
        </w:rPr>
        <w:t>月通过了《禁止歧视法》，并于</w:t>
      </w:r>
      <w:r w:rsidRPr="00162514">
        <w:rPr>
          <w:rFonts w:hint="eastAsia"/>
          <w:snapToGrid/>
        </w:rPr>
        <w:t>2010</w:t>
      </w:r>
      <w:r w:rsidRPr="00162514">
        <w:rPr>
          <w:rFonts w:hint="eastAsia"/>
          <w:snapToGrid/>
        </w:rPr>
        <w:t>年</w:t>
      </w:r>
      <w:r w:rsidRPr="00162514">
        <w:rPr>
          <w:rFonts w:hint="eastAsia"/>
          <w:snapToGrid/>
        </w:rPr>
        <w:t>5</w:t>
      </w:r>
      <w:r w:rsidRPr="00162514">
        <w:rPr>
          <w:rFonts w:hint="eastAsia"/>
          <w:snapToGrid/>
        </w:rPr>
        <w:t>月由国民大会委任了保护平等专员，授权其审查有关歧视的申诉，并且对此提出建议；</w:t>
      </w:r>
    </w:p>
    <w:p w:rsidR="00162514" w:rsidRPr="00162514" w:rsidRDefault="00162514" w:rsidP="00162514">
      <w:pPr>
        <w:pStyle w:val="SingleTxtGC"/>
        <w:numPr>
          <w:ilvl w:val="0"/>
          <w:numId w:val="39"/>
        </w:numPr>
        <w:tabs>
          <w:tab w:val="clear" w:pos="2426"/>
          <w:tab w:val="left" w:pos="2427"/>
        </w:tabs>
        <w:rPr>
          <w:rFonts w:hint="eastAsia"/>
          <w:snapToGrid/>
        </w:rPr>
      </w:pPr>
      <w:r w:rsidRPr="00162514">
        <w:rPr>
          <w:rFonts w:hint="eastAsia"/>
          <w:snapToGrid/>
        </w:rPr>
        <w:t>通过了《监察员法》，并于</w:t>
      </w:r>
      <w:r w:rsidRPr="00162514">
        <w:rPr>
          <w:rFonts w:hint="eastAsia"/>
          <w:snapToGrid/>
        </w:rPr>
        <w:t>2007</w:t>
      </w:r>
      <w:r w:rsidRPr="00162514">
        <w:rPr>
          <w:rFonts w:hint="eastAsia"/>
          <w:snapToGrid/>
        </w:rPr>
        <w:t>年</w:t>
      </w:r>
      <w:r w:rsidRPr="00162514">
        <w:rPr>
          <w:rFonts w:hint="eastAsia"/>
          <w:snapToGrid/>
        </w:rPr>
        <w:t>7</w:t>
      </w:r>
      <w:r w:rsidRPr="00162514">
        <w:rPr>
          <w:rFonts w:hint="eastAsia"/>
          <w:snapToGrid/>
        </w:rPr>
        <w:t>月由国民大会委任了一名根据《巴黎原则》在人权领域内拥有广泛权力的监察员</w:t>
      </w:r>
      <w:r w:rsidRPr="00162514">
        <w:rPr>
          <w:rFonts w:hint="eastAsia"/>
          <w:snapToGrid/>
        </w:rPr>
        <w:t>(</w:t>
      </w:r>
      <w:r w:rsidRPr="00162514">
        <w:rPr>
          <w:rFonts w:hint="eastAsia"/>
          <w:snapToGrid/>
        </w:rPr>
        <w:t>国民大会第</w:t>
      </w:r>
      <w:r w:rsidRPr="00162514">
        <w:rPr>
          <w:rFonts w:hint="eastAsia"/>
          <w:snapToGrid/>
        </w:rPr>
        <w:t>48/135</w:t>
      </w:r>
      <w:r w:rsidRPr="00162514">
        <w:rPr>
          <w:rFonts w:hint="eastAsia"/>
          <w:snapToGrid/>
        </w:rPr>
        <w:t>号决议</w:t>
      </w:r>
      <w:r w:rsidRPr="00162514">
        <w:rPr>
          <w:rFonts w:hint="eastAsia"/>
          <w:snapToGrid/>
        </w:rPr>
        <w:t>)</w:t>
      </w:r>
      <w:r w:rsidRPr="00162514">
        <w:rPr>
          <w:rFonts w:hint="eastAsia"/>
          <w:snapToGrid/>
        </w:rPr>
        <w:t>；</w:t>
      </w:r>
    </w:p>
    <w:p w:rsidR="00162514" w:rsidRPr="00162514" w:rsidRDefault="00162514" w:rsidP="00162514">
      <w:pPr>
        <w:pStyle w:val="SingleTxtGC"/>
        <w:numPr>
          <w:ilvl w:val="0"/>
          <w:numId w:val="39"/>
        </w:numPr>
        <w:tabs>
          <w:tab w:val="clear" w:pos="2426"/>
          <w:tab w:val="left" w:pos="2427"/>
        </w:tabs>
        <w:rPr>
          <w:rFonts w:hint="eastAsia"/>
          <w:snapToGrid/>
        </w:rPr>
      </w:pPr>
      <w:r w:rsidRPr="00162514">
        <w:rPr>
          <w:rFonts w:hint="eastAsia"/>
          <w:snapToGrid/>
        </w:rPr>
        <w:t>于</w:t>
      </w:r>
      <w:r w:rsidRPr="00162514">
        <w:rPr>
          <w:rFonts w:hint="eastAsia"/>
          <w:snapToGrid/>
        </w:rPr>
        <w:t>2006</w:t>
      </w:r>
      <w:r w:rsidRPr="00162514">
        <w:rPr>
          <w:rFonts w:hint="eastAsia"/>
          <w:snapToGrid/>
        </w:rPr>
        <w:t>年批准了《禁止酷刑和其他残忍、不人道或有辱人格的待遇或处罚公约任择议定书》；</w:t>
      </w:r>
    </w:p>
    <w:p w:rsidR="00162514" w:rsidRPr="00162514" w:rsidRDefault="00162514" w:rsidP="00162514">
      <w:pPr>
        <w:pStyle w:val="SingleTxtGC"/>
        <w:numPr>
          <w:ilvl w:val="0"/>
          <w:numId w:val="39"/>
        </w:numPr>
        <w:tabs>
          <w:tab w:val="clear" w:pos="2426"/>
          <w:tab w:val="left" w:pos="2427"/>
        </w:tabs>
        <w:rPr>
          <w:rFonts w:hint="eastAsia"/>
          <w:snapToGrid/>
        </w:rPr>
      </w:pPr>
      <w:r w:rsidRPr="00162514">
        <w:rPr>
          <w:rFonts w:hint="eastAsia"/>
          <w:snapToGrid/>
        </w:rPr>
        <w:t>于</w:t>
      </w:r>
      <w:r w:rsidRPr="00162514">
        <w:rPr>
          <w:rFonts w:hint="eastAsia"/>
          <w:snapToGrid/>
        </w:rPr>
        <w:t>2009</w:t>
      </w:r>
      <w:r w:rsidRPr="00162514">
        <w:rPr>
          <w:rFonts w:hint="eastAsia"/>
          <w:snapToGrid/>
        </w:rPr>
        <w:t>年批准了《残疾人权利公约》及其《任择议定书》。</w:t>
      </w:r>
    </w:p>
    <w:p w:rsidR="00162514" w:rsidRPr="00162514" w:rsidRDefault="00162514" w:rsidP="00162514">
      <w:pPr>
        <w:pStyle w:val="H1GC"/>
        <w:rPr>
          <w:rFonts w:hint="eastAsia"/>
          <w:snapToGrid/>
        </w:rPr>
      </w:pPr>
      <w:r w:rsidRPr="00162514">
        <w:rPr>
          <w:rFonts w:hint="eastAsia"/>
          <w:snapToGrid/>
        </w:rPr>
        <w:tab/>
        <w:t>C.</w:t>
      </w:r>
      <w:r w:rsidRPr="00162514">
        <w:rPr>
          <w:rFonts w:hint="eastAsia"/>
          <w:snapToGrid/>
        </w:rPr>
        <w:tab/>
      </w:r>
      <w:r w:rsidRPr="00162514">
        <w:rPr>
          <w:rFonts w:hint="eastAsia"/>
          <w:snapToGrid/>
        </w:rPr>
        <w:t>主要关注的问题和建议</w:t>
      </w:r>
    </w:p>
    <w:p w:rsidR="00162514" w:rsidRPr="00162514" w:rsidRDefault="00162514" w:rsidP="00162514">
      <w:pPr>
        <w:pStyle w:val="SingleTxtGC"/>
        <w:rPr>
          <w:rFonts w:hint="eastAsia"/>
          <w:snapToGrid/>
        </w:rPr>
      </w:pPr>
      <w:r w:rsidRPr="00162514">
        <w:rPr>
          <w:rFonts w:hint="eastAsia"/>
          <w:snapToGrid/>
        </w:rPr>
        <w:t xml:space="preserve">5.  </w:t>
      </w:r>
      <w:r w:rsidRPr="00162514">
        <w:rPr>
          <w:rFonts w:hint="eastAsia"/>
          <w:snapToGrid/>
        </w:rPr>
        <w:t>委员会注意到资料表明，国际人权条约的条款，包括《公约》之下的条款是缔约国法律的一部分，可以直接在法庭引用。但委员会注意到，只有有限的例子表明《公约》的条款在具体的案件中引用。尽管欢迎代表团的陈述，《公约》的条款将作为司法学院课程的一部分，委员会仍然关注，在司法机构和广大法律界内对《公约》的条款认识不足，在国内法律系统内实际运用《公约》的认识不够</w:t>
      </w:r>
      <w:r w:rsidRPr="00162514">
        <w:rPr>
          <w:rFonts w:hint="eastAsia"/>
          <w:snapToGrid/>
        </w:rPr>
        <w:t>(</w:t>
      </w:r>
      <w:r w:rsidRPr="00162514">
        <w:rPr>
          <w:rFonts w:hint="eastAsia"/>
          <w:snapToGrid/>
        </w:rPr>
        <w:t>第二条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缔约国应确保其主管部门，包括法官、检察官、律师都是训练有素充分了解《公约》的各项条款以及这些条款在缔约国的适用性。缔约国还应采取有效措施在缔约国内广泛宣传《公约》。</w:t>
      </w:r>
    </w:p>
    <w:p w:rsidR="00162514" w:rsidRPr="00162514" w:rsidRDefault="00162514" w:rsidP="00162514">
      <w:pPr>
        <w:pStyle w:val="SingleTxtGC"/>
        <w:rPr>
          <w:rFonts w:hint="eastAsia"/>
          <w:snapToGrid/>
        </w:rPr>
      </w:pPr>
      <w:r w:rsidRPr="00162514">
        <w:rPr>
          <w:rFonts w:hint="eastAsia"/>
          <w:snapToGrid/>
        </w:rPr>
        <w:t xml:space="preserve">6.  </w:t>
      </w:r>
      <w:r w:rsidRPr="00162514">
        <w:rPr>
          <w:rFonts w:hint="eastAsia"/>
          <w:snapToGrid/>
        </w:rPr>
        <w:t>代表团承认，缔约国当局没有一个协调的办法，也没有具体的机制来审查和实施委员会根据《公约任择议定书》</w:t>
      </w:r>
      <w:r w:rsidR="00143480">
        <w:rPr>
          <w:rFonts w:hint="eastAsia"/>
          <w:snapToGrid/>
        </w:rPr>
        <w:t>(</w:t>
      </w:r>
      <w:r w:rsidRPr="00162514">
        <w:rPr>
          <w:rFonts w:hint="eastAsia"/>
          <w:snapToGrid/>
        </w:rPr>
        <w:t>第二条</w:t>
      </w:r>
      <w:r w:rsidR="00143480">
        <w:rPr>
          <w:rFonts w:hint="eastAsia"/>
          <w:snapToGrid/>
        </w:rPr>
        <w:t>)</w:t>
      </w:r>
      <w:r w:rsidRPr="00162514">
        <w:rPr>
          <w:rFonts w:hint="eastAsia"/>
          <w:snapToGrid/>
        </w:rPr>
        <w:t>个人申诉机制裁决的案例的侵权结论。</w:t>
      </w:r>
    </w:p>
    <w:p w:rsidR="00162514" w:rsidRPr="00FD5EEF" w:rsidRDefault="00162514" w:rsidP="00162514">
      <w:pPr>
        <w:pStyle w:val="SingleTxtGC"/>
        <w:rPr>
          <w:rFonts w:eastAsia="SimHei" w:hint="eastAsia"/>
          <w:snapToGrid/>
        </w:rPr>
      </w:pPr>
      <w:r w:rsidRPr="00FD5EEF">
        <w:rPr>
          <w:rFonts w:eastAsia="SimHei" w:hint="eastAsia"/>
          <w:snapToGrid/>
        </w:rPr>
        <w:t>缔约国应该设立一个机制研究委员会对个人来文所作的结论，并提议缔约国为实施委员会根据《任择议定书》提出的意见需采取的各种措施，并为侵犯受害者权利向受害者提供有效的补救。</w:t>
      </w:r>
    </w:p>
    <w:p w:rsidR="00162514" w:rsidRPr="00162514" w:rsidRDefault="00162514" w:rsidP="00162514">
      <w:pPr>
        <w:pStyle w:val="SingleTxtGC"/>
        <w:rPr>
          <w:rFonts w:hint="eastAsia"/>
          <w:snapToGrid/>
        </w:rPr>
      </w:pPr>
      <w:r w:rsidRPr="00162514">
        <w:rPr>
          <w:rFonts w:hint="eastAsia"/>
          <w:snapToGrid/>
        </w:rPr>
        <w:t xml:space="preserve">7.  </w:t>
      </w:r>
      <w:r w:rsidRPr="00162514">
        <w:rPr>
          <w:rFonts w:hint="eastAsia"/>
          <w:snapToGrid/>
        </w:rPr>
        <w:t>委员会欢迎于</w:t>
      </w:r>
      <w:r w:rsidRPr="00162514">
        <w:rPr>
          <w:rFonts w:hint="eastAsia"/>
          <w:snapToGrid/>
        </w:rPr>
        <w:t>2007</w:t>
      </w:r>
      <w:r w:rsidRPr="00162514">
        <w:rPr>
          <w:rFonts w:hint="eastAsia"/>
          <w:snapToGrid/>
        </w:rPr>
        <w:t>年设立了国家人权机构</w:t>
      </w:r>
      <w:r w:rsidRPr="00162514">
        <w:rPr>
          <w:rFonts w:hint="eastAsia"/>
          <w:snapToGrid/>
        </w:rPr>
        <w:t>(</w:t>
      </w:r>
      <w:r w:rsidRPr="00162514">
        <w:rPr>
          <w:rFonts w:hint="eastAsia"/>
          <w:snapToGrid/>
        </w:rPr>
        <w:t>监察员</w:t>
      </w:r>
      <w:r w:rsidRPr="00162514">
        <w:rPr>
          <w:rFonts w:hint="eastAsia"/>
          <w:snapToGrid/>
        </w:rPr>
        <w:t>)</w:t>
      </w:r>
      <w:r w:rsidRPr="00162514">
        <w:rPr>
          <w:rFonts w:hint="eastAsia"/>
          <w:snapToGrid/>
        </w:rPr>
        <w:t>并欢迎其至今所开展的工作，但委员会关切地注意到由代表团所提供的信息：监察员由官方授权作为执行《禁止酷刑任择议定书》的一个国家防范性机制，委员会关注，如果不拨予充分资源，可能会影响该机制的有效运作</w:t>
      </w:r>
      <w:r w:rsidRPr="00162514">
        <w:rPr>
          <w:rFonts w:hint="eastAsia"/>
          <w:snapToGrid/>
        </w:rPr>
        <w:t>(</w:t>
      </w:r>
      <w:r w:rsidRPr="00162514">
        <w:rPr>
          <w:rFonts w:hint="eastAsia"/>
          <w:snapToGrid/>
        </w:rPr>
        <w:t>第二条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鉴于监察员办公室担任国家防范机制的新作用，缔约国应考虑向监察员办公室提供必要的额外资金和人力资源，以确保其履行其目前的各项活动并使其能够有效地执行新职责。</w:t>
      </w:r>
    </w:p>
    <w:p w:rsidR="00162514" w:rsidRPr="00162514" w:rsidRDefault="00162514" w:rsidP="00162514">
      <w:pPr>
        <w:pStyle w:val="SingleTxtGC"/>
        <w:rPr>
          <w:rFonts w:hint="eastAsia"/>
          <w:snapToGrid/>
        </w:rPr>
      </w:pPr>
      <w:r w:rsidRPr="00162514">
        <w:rPr>
          <w:rFonts w:hint="eastAsia"/>
          <w:snapToGrid/>
        </w:rPr>
        <w:t xml:space="preserve">8.  </w:t>
      </w:r>
      <w:r w:rsidRPr="00162514">
        <w:rPr>
          <w:rFonts w:hint="eastAsia"/>
          <w:snapToGrid/>
        </w:rPr>
        <w:t>委员会欢迎缔约国在汇报阶段为解决生活各个领域内歧视妇女的状况而采取的种种努力，例如于</w:t>
      </w:r>
      <w:r w:rsidRPr="00162514">
        <w:rPr>
          <w:rFonts w:hint="eastAsia"/>
          <w:snapToGrid/>
        </w:rPr>
        <w:t>2009</w:t>
      </w:r>
      <w:r w:rsidRPr="00162514">
        <w:rPr>
          <w:rFonts w:hint="eastAsia"/>
          <w:snapToGrid/>
        </w:rPr>
        <w:t>年通过了《性别平等法》及采取其他举措，但委员会关注实际所获得的成果有限。委员会关注，男女之间始终存在着差异，侵犯了同工同酬的原则，妇女占据高职位和决策地位的人数较少，并注意到，事实上在妇女社会地位方面，包括罗姆妇女方面，始终存在着陈旧观念</w:t>
      </w:r>
      <w:r w:rsidRPr="00162514">
        <w:rPr>
          <w:rFonts w:hint="eastAsia"/>
          <w:snapToGrid/>
        </w:rPr>
        <w:t>(</w:t>
      </w:r>
      <w:r w:rsidRPr="00162514">
        <w:rPr>
          <w:rFonts w:hint="eastAsia"/>
          <w:snapToGrid/>
        </w:rPr>
        <w:t>第二条、第三条和第二十六条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继续努力在国家和地方行政部门的高层次决策职位中提高妇女的代表性。缔约国应确保对男女一视同仁，包括对类似职位的薪金方面确保男女一视同仁。总之，缔约国应采取必要的具体步骤根除普遍存在的对妇女社会地位的陈旧观念，特别对罗姆妇女的陈旧观念。</w:t>
      </w:r>
    </w:p>
    <w:p w:rsidR="00162514" w:rsidRPr="00162514" w:rsidRDefault="00162514" w:rsidP="00162514">
      <w:pPr>
        <w:pStyle w:val="SingleTxtGC"/>
        <w:rPr>
          <w:rFonts w:hint="eastAsia"/>
          <w:snapToGrid/>
        </w:rPr>
      </w:pPr>
      <w:r w:rsidRPr="00162514">
        <w:rPr>
          <w:rFonts w:hint="eastAsia"/>
          <w:snapToGrid/>
        </w:rPr>
        <w:t xml:space="preserve">9.  </w:t>
      </w:r>
      <w:r w:rsidRPr="00162514">
        <w:rPr>
          <w:rFonts w:hint="eastAsia"/>
          <w:snapToGrid/>
        </w:rPr>
        <w:t>参照委员会先前的结论性意见</w:t>
      </w:r>
      <w:r w:rsidRPr="00162514">
        <w:rPr>
          <w:rFonts w:hint="eastAsia"/>
          <w:snapToGrid/>
        </w:rPr>
        <w:t>(</w:t>
      </w:r>
      <w:r w:rsidRPr="00162514">
        <w:rPr>
          <w:rFonts w:hint="eastAsia"/>
          <w:snapToGrid/>
        </w:rPr>
        <w:t>第</w:t>
      </w:r>
      <w:r w:rsidRPr="00162514">
        <w:rPr>
          <w:rFonts w:hint="eastAsia"/>
          <w:snapToGrid/>
        </w:rPr>
        <w:t>17</w:t>
      </w:r>
      <w:r w:rsidRPr="00162514">
        <w:rPr>
          <w:rFonts w:hint="eastAsia"/>
          <w:snapToGrid/>
        </w:rPr>
        <w:t>段</w:t>
      </w:r>
      <w:r w:rsidRPr="00162514">
        <w:rPr>
          <w:rFonts w:hint="eastAsia"/>
          <w:snapToGrid/>
        </w:rPr>
        <w:t>)</w:t>
      </w:r>
      <w:r w:rsidRPr="00162514">
        <w:rPr>
          <w:rFonts w:hint="eastAsia"/>
          <w:snapToGrid/>
        </w:rPr>
        <w:t>，委员会仍然关注家庭暴力现象普遍存在，且提交法庭的家庭暴力案极少。委员会还关注，尽管取得了一些进展，包括设立了受害者的热线，于</w:t>
      </w:r>
      <w:r w:rsidRPr="00162514">
        <w:rPr>
          <w:rFonts w:hint="eastAsia"/>
          <w:snapToGrid/>
        </w:rPr>
        <w:t>2009</w:t>
      </w:r>
      <w:r w:rsidRPr="00162514">
        <w:rPr>
          <w:rFonts w:hint="eastAsia"/>
          <w:snapToGrid/>
        </w:rPr>
        <w:t>年通过了提高妇女地位和增进性别平等的国家战略，但非政府组织仍然是援助受家庭暴力受害者的主要提供者，包括在运行避难所方面，非政府组织仍然是主要提供者</w:t>
      </w:r>
      <w:r w:rsidRPr="00162514">
        <w:rPr>
          <w:rFonts w:hint="eastAsia"/>
          <w:snapToGrid/>
        </w:rPr>
        <w:t>(</w:t>
      </w:r>
      <w:r w:rsidRPr="00162514">
        <w:rPr>
          <w:rFonts w:hint="eastAsia"/>
          <w:snapToGrid/>
        </w:rPr>
        <w:t>第二条、第三条和第二十六条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继续努力打击家庭暴力，设立具有充分医疗、心理和法律援助的受害者支持中心，并提供暴力受害者的庇护所和儿童庇护所。为了提高公众意识，应通过媒体对此问题进行宣传。缔约国应确保家庭暴力案件得到充分调查，肇事者一旦罪名成立应量刑制裁和惩治。还应该确保受害者得到充分赔偿。为此目的，缔约国应确保警方、地方当局、医务和社会工作者充分受到有关这一问题的培训，提高对这个问题觉悟。</w:t>
      </w:r>
    </w:p>
    <w:p w:rsidR="00162514" w:rsidRPr="00162514" w:rsidRDefault="00162514" w:rsidP="00162514">
      <w:pPr>
        <w:pStyle w:val="SingleTxtGC"/>
        <w:rPr>
          <w:rFonts w:hint="eastAsia"/>
          <w:snapToGrid/>
        </w:rPr>
      </w:pPr>
      <w:r w:rsidRPr="00162514">
        <w:rPr>
          <w:rFonts w:hint="eastAsia"/>
          <w:snapToGrid/>
        </w:rPr>
        <w:t xml:space="preserve">10.  </w:t>
      </w:r>
      <w:r w:rsidRPr="00162514">
        <w:rPr>
          <w:rFonts w:hint="eastAsia"/>
          <w:snapToGrid/>
        </w:rPr>
        <w:t>参照委员会先前的结论性意见</w:t>
      </w:r>
      <w:r w:rsidRPr="00162514">
        <w:rPr>
          <w:rFonts w:hint="eastAsia"/>
          <w:snapToGrid/>
        </w:rPr>
        <w:t>(</w:t>
      </w:r>
      <w:r w:rsidRPr="00162514">
        <w:rPr>
          <w:rFonts w:hint="eastAsia"/>
          <w:snapToGrid/>
        </w:rPr>
        <w:t>第</w:t>
      </w:r>
      <w:r w:rsidRPr="00162514">
        <w:rPr>
          <w:rFonts w:hint="eastAsia"/>
          <w:snapToGrid/>
        </w:rPr>
        <w:t>9</w:t>
      </w:r>
      <w:r w:rsidRPr="00162514">
        <w:rPr>
          <w:rFonts w:hint="eastAsia"/>
          <w:snapToGrid/>
        </w:rPr>
        <w:t>段</w:t>
      </w:r>
      <w:r w:rsidRPr="00162514">
        <w:rPr>
          <w:rFonts w:hint="eastAsia"/>
          <w:snapToGrid/>
        </w:rPr>
        <w:t>)</w:t>
      </w:r>
      <w:r w:rsidRPr="00162514">
        <w:rPr>
          <w:rFonts w:hint="eastAsia"/>
          <w:snapToGrid/>
        </w:rPr>
        <w:t>，委员会仍然关注，对</w:t>
      </w:r>
      <w:r w:rsidRPr="00162514">
        <w:rPr>
          <w:rFonts w:hint="eastAsia"/>
          <w:snapToGrid/>
        </w:rPr>
        <w:t>2000</w:t>
      </w:r>
      <w:r w:rsidRPr="00162514">
        <w:rPr>
          <w:rFonts w:hint="eastAsia"/>
          <w:snapToGrid/>
        </w:rPr>
        <w:t>年前后所犯的严重侵犯人权的暴力行为仍然存在有罪不罚的现象。尽管委员会注意到，缔约国当局对这些罪行进行了调查，但委员会感到遗憾的是调查导致的起诉很少，并且判刑相对较轻，与所犯罪行的严重性不相符合。委员会还关注，个人欲从国家方面得到人权侵犯行为，尤其是战争罪侵犯行为的赔偿困难重重，委员会还对现有的五年法定实效期限表示关注</w:t>
      </w:r>
      <w:r w:rsidRPr="00162514">
        <w:rPr>
          <w:rFonts w:hint="eastAsia"/>
          <w:snapToGrid/>
        </w:rPr>
        <w:t>(</w:t>
      </w:r>
      <w:r w:rsidRPr="00162514">
        <w:rPr>
          <w:rFonts w:hint="eastAsia"/>
          <w:snapToGrid/>
        </w:rPr>
        <w:t>第二条、第六条和第七条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委员会回顾其先前的建议：缔约国有义务充分调查在</w:t>
      </w:r>
      <w:r w:rsidRPr="00FD5EEF">
        <w:rPr>
          <w:rFonts w:eastAsia="SimHei" w:hint="eastAsia"/>
          <w:snapToGrid/>
        </w:rPr>
        <w:t>1990</w:t>
      </w:r>
      <w:r w:rsidRPr="00FD5EEF">
        <w:rPr>
          <w:rFonts w:eastAsia="SimHei" w:hint="eastAsia"/>
          <w:snapToGrid/>
        </w:rPr>
        <w:t>年期间所有指控侵犯人权的案件，特别是侵犯《公约》第六和第七条的案件，并将对此类侵犯行为负有责任者提交公堂以避免有罪不罚。缔约国还确保所有此类侵犯行为受害者及其家属得到充分赔偿。</w:t>
      </w:r>
    </w:p>
    <w:p w:rsidR="00162514" w:rsidRPr="00162514" w:rsidRDefault="00162514" w:rsidP="00162514">
      <w:pPr>
        <w:pStyle w:val="SingleTxtGC"/>
        <w:rPr>
          <w:rFonts w:hint="eastAsia"/>
          <w:snapToGrid/>
        </w:rPr>
      </w:pPr>
      <w:r w:rsidRPr="00162514">
        <w:rPr>
          <w:rFonts w:hint="eastAsia"/>
          <w:snapToGrid/>
        </w:rPr>
        <w:t xml:space="preserve">11.  </w:t>
      </w:r>
      <w:r w:rsidRPr="00162514">
        <w:rPr>
          <w:rFonts w:hint="eastAsia"/>
          <w:snapToGrid/>
        </w:rPr>
        <w:t>委员会关注酷刑和虐待仅受到最多判处</w:t>
      </w:r>
      <w:r w:rsidRPr="00162514">
        <w:rPr>
          <w:rFonts w:hint="eastAsia"/>
          <w:snapToGrid/>
        </w:rPr>
        <w:t>8</w:t>
      </w:r>
      <w:r w:rsidRPr="00162514">
        <w:rPr>
          <w:rFonts w:hint="eastAsia"/>
          <w:snapToGrid/>
        </w:rPr>
        <w:t>年监禁的惩罚，并关注法定实效期限为</w:t>
      </w:r>
      <w:r w:rsidRPr="00162514">
        <w:rPr>
          <w:rFonts w:hint="eastAsia"/>
          <w:snapToGrid/>
        </w:rPr>
        <w:t>10</w:t>
      </w:r>
      <w:r w:rsidRPr="00162514">
        <w:rPr>
          <w:rFonts w:hint="eastAsia"/>
          <w:snapToGrid/>
        </w:rPr>
        <w:t>年</w:t>
      </w:r>
      <w:r w:rsidRPr="00162514">
        <w:rPr>
          <w:rFonts w:hint="eastAsia"/>
          <w:snapToGrid/>
        </w:rPr>
        <w:t>(</w:t>
      </w:r>
      <w:r w:rsidRPr="00162514">
        <w:rPr>
          <w:rFonts w:hint="eastAsia"/>
          <w:snapToGrid/>
        </w:rPr>
        <w:t>第七条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缔约国应考虑到此类罪行的严重性，修订有关酷刑和相关罪行最长监禁期限的立法和做法，并且延长法定限定期限。</w:t>
      </w:r>
    </w:p>
    <w:p w:rsidR="00162514" w:rsidRPr="00162514" w:rsidRDefault="00162514" w:rsidP="00162514">
      <w:pPr>
        <w:pStyle w:val="SingleTxtGC"/>
        <w:rPr>
          <w:rFonts w:hint="eastAsia"/>
          <w:snapToGrid/>
        </w:rPr>
      </w:pPr>
      <w:r w:rsidRPr="00162514">
        <w:rPr>
          <w:rFonts w:hint="eastAsia"/>
          <w:snapToGrid/>
        </w:rPr>
        <w:t xml:space="preserve">12.  </w:t>
      </w:r>
      <w:r w:rsidRPr="00162514">
        <w:rPr>
          <w:rFonts w:hint="eastAsia"/>
          <w:snapToGrid/>
        </w:rPr>
        <w:t>参照以前的结论性意见</w:t>
      </w:r>
      <w:r w:rsidRPr="00162514">
        <w:rPr>
          <w:rFonts w:hint="eastAsia"/>
          <w:snapToGrid/>
        </w:rPr>
        <w:t>(</w:t>
      </w:r>
      <w:r w:rsidRPr="00162514">
        <w:rPr>
          <w:rFonts w:hint="eastAsia"/>
          <w:snapToGrid/>
        </w:rPr>
        <w:t>第</w:t>
      </w:r>
      <w:r w:rsidRPr="00162514">
        <w:rPr>
          <w:rFonts w:hint="eastAsia"/>
          <w:snapToGrid/>
        </w:rPr>
        <w:t>10</w:t>
      </w:r>
      <w:r w:rsidRPr="00162514">
        <w:rPr>
          <w:rFonts w:hint="eastAsia"/>
          <w:snapToGrid/>
        </w:rPr>
        <w:t>段</w:t>
      </w:r>
      <w:r w:rsidRPr="00162514">
        <w:rPr>
          <w:rFonts w:hint="eastAsia"/>
          <w:snapToGrid/>
        </w:rPr>
        <w:t>)</w:t>
      </w:r>
      <w:r w:rsidRPr="00162514">
        <w:rPr>
          <w:rFonts w:hint="eastAsia"/>
          <w:snapToGrid/>
        </w:rPr>
        <w:t>，委员会仍然关注在</w:t>
      </w:r>
      <w:r w:rsidRPr="00162514">
        <w:rPr>
          <w:rFonts w:hint="eastAsia"/>
          <w:snapToGrid/>
        </w:rPr>
        <w:t>Batajnica</w:t>
      </w:r>
      <w:r w:rsidRPr="00162514">
        <w:rPr>
          <w:rFonts w:hint="eastAsia"/>
          <w:snapToGrid/>
        </w:rPr>
        <w:t>内和附近万人坑内发现的</w:t>
      </w:r>
      <w:r w:rsidRPr="00162514">
        <w:rPr>
          <w:rFonts w:hint="eastAsia"/>
          <w:snapToGrid/>
        </w:rPr>
        <w:t>800</w:t>
      </w:r>
      <w:r w:rsidRPr="00162514">
        <w:rPr>
          <w:rFonts w:hint="eastAsia"/>
          <w:snapToGrid/>
        </w:rPr>
        <w:t>多具尸体的杀害案件的肇事者的调查、起诉和惩治没有取得重大进展，对受害者家属的赔偿也没有取得重大进展</w:t>
      </w:r>
      <w:r w:rsidRPr="00162514">
        <w:rPr>
          <w:rFonts w:hint="eastAsia"/>
          <w:snapToGrid/>
        </w:rPr>
        <w:t>(</w:t>
      </w:r>
      <w:r w:rsidRPr="00162514">
        <w:rPr>
          <w:rFonts w:hint="eastAsia"/>
          <w:snapToGrid/>
        </w:rPr>
        <w:t>第二条和第六条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缔约国应采取紧急行动确定在</w:t>
      </w:r>
      <w:r w:rsidRPr="00FD5EEF">
        <w:rPr>
          <w:rFonts w:eastAsia="SimHei" w:hint="eastAsia"/>
          <w:snapToGrid/>
        </w:rPr>
        <w:t>Batajnica</w:t>
      </w:r>
      <w:r w:rsidRPr="00FD5EEF">
        <w:rPr>
          <w:rFonts w:eastAsia="SimHei" w:hint="eastAsia"/>
          <w:snapToGrid/>
        </w:rPr>
        <w:t>地区导致数百人被埋葬的确切情况，并根据刑法确保起诉所有对此负责者，对其进行量刑制裁。缔约国还应确保向受害者的亲属提供充分赔偿。</w:t>
      </w:r>
    </w:p>
    <w:p w:rsidR="00162514" w:rsidRPr="00162514" w:rsidRDefault="00162514" w:rsidP="00162514">
      <w:pPr>
        <w:pStyle w:val="SingleTxtGC"/>
        <w:rPr>
          <w:rFonts w:hint="eastAsia"/>
          <w:snapToGrid/>
        </w:rPr>
      </w:pPr>
      <w:r w:rsidRPr="00162514">
        <w:rPr>
          <w:rFonts w:hint="eastAsia"/>
          <w:snapToGrid/>
        </w:rPr>
        <w:t xml:space="preserve">13.  </w:t>
      </w:r>
      <w:r w:rsidRPr="00162514">
        <w:rPr>
          <w:rFonts w:hint="eastAsia"/>
          <w:snapToGrid/>
        </w:rPr>
        <w:t>委员会注意到缔约国当局目前与前南斯拉夫问题国际刑事法庭进行的合作，但委员会仍然关注，报告称，被指控的战争罪犯仍然在缔约国的领土之内，既没有被逮捕也没有绳之以法</w:t>
      </w:r>
      <w:r w:rsidRPr="00162514">
        <w:rPr>
          <w:rFonts w:hint="eastAsia"/>
          <w:snapToGrid/>
        </w:rPr>
        <w:t>(</w:t>
      </w:r>
      <w:r w:rsidRPr="00162514">
        <w:rPr>
          <w:rFonts w:hint="eastAsia"/>
          <w:snapToGrid/>
        </w:rPr>
        <w:t>第六条和第七条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缔约国应确保继续与前南斯拉夫问题国际刑事法庭进行充分和有效的合作，并确保包括</w:t>
      </w:r>
      <w:r w:rsidRPr="00FD5EEF">
        <w:rPr>
          <w:rFonts w:eastAsia="SimHei" w:hint="eastAsia"/>
          <w:snapToGrid/>
        </w:rPr>
        <w:t>Ratko Mladic</w:t>
      </w:r>
      <w:r w:rsidRPr="00FD5EEF">
        <w:rPr>
          <w:rFonts w:eastAsia="SimHei" w:hint="eastAsia"/>
          <w:snapToGrid/>
        </w:rPr>
        <w:t>在内的所有在其管辖之下涉嫌犯有战争罪和侵犯国际人道主义罪的其他人交付给前南斯拉夫问题国际刑事法庭。</w:t>
      </w:r>
    </w:p>
    <w:p w:rsidR="00162514" w:rsidRPr="00162514" w:rsidRDefault="00162514" w:rsidP="00162514">
      <w:pPr>
        <w:pStyle w:val="SingleTxtGC"/>
        <w:rPr>
          <w:rFonts w:hint="eastAsia"/>
          <w:snapToGrid/>
        </w:rPr>
      </w:pPr>
      <w:r w:rsidRPr="00162514">
        <w:rPr>
          <w:rFonts w:hint="eastAsia"/>
          <w:snapToGrid/>
        </w:rPr>
        <w:t xml:space="preserve">14.  </w:t>
      </w:r>
      <w:r w:rsidRPr="00162514">
        <w:rPr>
          <w:rFonts w:hint="eastAsia"/>
          <w:snapToGrid/>
        </w:rPr>
        <w:t>参照先前结论性意见</w:t>
      </w:r>
      <w:r w:rsidRPr="00162514">
        <w:rPr>
          <w:rFonts w:hint="eastAsia"/>
          <w:snapToGrid/>
        </w:rPr>
        <w:t>(</w:t>
      </w:r>
      <w:r w:rsidRPr="00162514">
        <w:rPr>
          <w:rFonts w:hint="eastAsia"/>
          <w:snapToGrid/>
        </w:rPr>
        <w:t>第</w:t>
      </w:r>
      <w:r w:rsidRPr="00162514">
        <w:rPr>
          <w:rFonts w:hint="eastAsia"/>
          <w:snapToGrid/>
        </w:rPr>
        <w:t>15</w:t>
      </w:r>
      <w:r w:rsidRPr="00162514">
        <w:rPr>
          <w:rFonts w:hint="eastAsia"/>
          <w:snapToGrid/>
        </w:rPr>
        <w:t>段</w:t>
      </w:r>
      <w:r w:rsidRPr="00162514">
        <w:rPr>
          <w:rFonts w:hint="eastAsia"/>
          <w:snapToGrid/>
        </w:rPr>
        <w:t>)</w:t>
      </w:r>
      <w:r w:rsidRPr="00162514">
        <w:rPr>
          <w:rFonts w:hint="eastAsia"/>
          <w:snapToGrid/>
        </w:rPr>
        <w:t>，委员会关注在缔约国内没有任何独立、有效和有系统监督警方拘留场所的组织。委员会还关注，警方拘留场所内的拘留条件简陋，并关注被指控和被嫌疑者被关押在一起，未成年人与成年人被关押在一起</w:t>
      </w:r>
      <w:r w:rsidRPr="00162514">
        <w:rPr>
          <w:rFonts w:hint="eastAsia"/>
          <w:snapToGrid/>
        </w:rPr>
        <w:t>(</w:t>
      </w:r>
      <w:r w:rsidRPr="00162514">
        <w:rPr>
          <w:rFonts w:hint="eastAsia"/>
          <w:snapToGrid/>
        </w:rPr>
        <w:t>第七条和第十条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特别有鉴于缔约国已批准《禁止酷刑和其他残忍、不人道或有辱人格的待遇或处罚公约任择议定书》，肩负义务确保具有适当的监督警察拘留的制度。缔约国还应确保所有警方拘留设施应符合其在《公约》之下的义务。</w:t>
      </w:r>
    </w:p>
    <w:p w:rsidR="00162514" w:rsidRPr="00162514" w:rsidRDefault="00162514" w:rsidP="00162514">
      <w:pPr>
        <w:pStyle w:val="SingleTxtGC"/>
        <w:rPr>
          <w:rFonts w:hint="eastAsia"/>
          <w:snapToGrid/>
        </w:rPr>
      </w:pPr>
      <w:r w:rsidRPr="00162514">
        <w:rPr>
          <w:rFonts w:hint="eastAsia"/>
          <w:snapToGrid/>
        </w:rPr>
        <w:t xml:space="preserve">15.  </w:t>
      </w:r>
      <w:r w:rsidRPr="00162514">
        <w:rPr>
          <w:rFonts w:hint="eastAsia"/>
          <w:snapToGrid/>
        </w:rPr>
        <w:t>尽管注意到缔约国表明要建立新的监狱设施和更新其他监狱设施，委员会仍关注监狱持续人满为患的状况</w:t>
      </w:r>
      <w:r w:rsidRPr="00162514">
        <w:rPr>
          <w:rFonts w:hint="eastAsia"/>
          <w:snapToGrid/>
        </w:rPr>
        <w:t>(</w:t>
      </w:r>
      <w:r w:rsidRPr="00162514">
        <w:rPr>
          <w:rFonts w:hint="eastAsia"/>
          <w:snapToGrid/>
        </w:rPr>
        <w:t>第七条和第十条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根据《公约》规定的各项义务及《囚犯待遇最低限度标准规则》采取进一步步骤改善囚犯的待遇和监狱条件。在这方面，委员会邀请缔约国考虑不仅建造新的监狱设施，并且还应更广泛地采用其他非监禁徒刑。</w:t>
      </w:r>
    </w:p>
    <w:p w:rsidR="00162514" w:rsidRPr="00162514" w:rsidRDefault="00162514" w:rsidP="00162514">
      <w:pPr>
        <w:pStyle w:val="SingleTxtGC"/>
        <w:rPr>
          <w:rFonts w:hint="eastAsia"/>
          <w:snapToGrid/>
        </w:rPr>
      </w:pPr>
      <w:r w:rsidRPr="00162514">
        <w:rPr>
          <w:rFonts w:hint="eastAsia"/>
          <w:snapToGrid/>
        </w:rPr>
        <w:t xml:space="preserve">16.  </w:t>
      </w:r>
      <w:r w:rsidRPr="00162514">
        <w:rPr>
          <w:rFonts w:hint="eastAsia"/>
          <w:snapToGrid/>
        </w:rPr>
        <w:t>委员会注意到打击人口贩运方面所取得的进展，与此同时，委员会关注有信息表明半数以上人口贩运和性剥削受害者是未成年人。委员会还关注，人口贩运审讯中的外国国民见证人的局势不稳定，并且关注他们仅给于审讯阶段的临时居住许可</w:t>
      </w:r>
      <w:r w:rsidRPr="00162514">
        <w:rPr>
          <w:rFonts w:hint="eastAsia"/>
          <w:snapToGrid/>
        </w:rPr>
        <w:t>(</w:t>
      </w:r>
      <w:r w:rsidRPr="00162514">
        <w:rPr>
          <w:rFonts w:hint="eastAsia"/>
          <w:snapToGrid/>
        </w:rPr>
        <w:t>第八条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该缔约国应继续努力，包括在区域一级和在与邻国的合作之下，提高认识，打击人口贩运。缔约国应确保对贩运人口负有责任者遭到起诉并得到量刑处罚，人口贩运的受害者能够得到康复。缔约国应采取有的放矢的打击人口贩运的具体措施和行动计划，大力推行特别针对为性剥削贩运未成人的公共政策，在采取所有这些行动时，必须首先考虑儿童的最佳利益。应该向人口贩运的儿童受害者提供适当的援助和保护，要充分考虑其特殊的脆弱性、权利和需求。缔约国还应确保在此类审讯结束时，要逐个审查在人口贩运审讯中担任官方见证人的外国国民的情况，评估其一旦回到原籍国是否会有风险。</w:t>
      </w:r>
    </w:p>
    <w:p w:rsidR="00162514" w:rsidRPr="00162514" w:rsidRDefault="00162514" w:rsidP="00162514">
      <w:pPr>
        <w:pStyle w:val="SingleTxtGC"/>
        <w:rPr>
          <w:rFonts w:hint="eastAsia"/>
          <w:snapToGrid/>
        </w:rPr>
      </w:pPr>
      <w:r w:rsidRPr="00162514">
        <w:rPr>
          <w:rFonts w:hint="eastAsia"/>
          <w:snapToGrid/>
        </w:rPr>
        <w:t xml:space="preserve">17.  </w:t>
      </w:r>
      <w:r w:rsidRPr="00162514">
        <w:rPr>
          <w:rFonts w:hint="eastAsia"/>
          <w:snapToGrid/>
        </w:rPr>
        <w:t>委员会注意到缔约国为加强司法制度和确保司法制度独立性所进行的种种努力，例如颁发了新的《法官法》，但委员会仍关注在执法中法庭的整体运作不力，导致的程序中不合理的延误及其他缺陷。此外，就</w:t>
      </w:r>
      <w:r w:rsidRPr="00162514">
        <w:rPr>
          <w:rFonts w:hint="eastAsia"/>
          <w:snapToGrid/>
        </w:rPr>
        <w:t>2009</w:t>
      </w:r>
      <w:r w:rsidRPr="00162514">
        <w:rPr>
          <w:rFonts w:hint="eastAsia"/>
          <w:snapToGrid/>
        </w:rPr>
        <w:t>年重选过程中被罢免的法官的案例，委员会关注重选的进程目的在于加强司法和削减法官人数，但进程缺乏透明度，没有明确的重选标准，对被罢免的案件没有进行适当的审查</w:t>
      </w:r>
      <w:r w:rsidRPr="00162514">
        <w:rPr>
          <w:rFonts w:hint="eastAsia"/>
          <w:snapToGrid/>
        </w:rPr>
        <w:t>(</w:t>
      </w:r>
      <w:r w:rsidRPr="00162514">
        <w:rPr>
          <w:rFonts w:hint="eastAsia"/>
          <w:snapToGrid/>
        </w:rPr>
        <w:t>第十四条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缔约国应确保严格遵守司法独立性。缔约国还应确保在</w:t>
      </w:r>
      <w:r w:rsidRPr="00FD5EEF">
        <w:rPr>
          <w:rFonts w:eastAsia="SimHei" w:hint="eastAsia"/>
          <w:snapToGrid/>
        </w:rPr>
        <w:t>2009</w:t>
      </w:r>
      <w:r w:rsidRPr="00FD5EEF">
        <w:rPr>
          <w:rFonts w:eastAsia="SimHei" w:hint="eastAsia"/>
          <w:snapToGrid/>
        </w:rPr>
        <w:t>年过程中没有再次当选的法官能够充分地对整个过程进行法律审查。为了使其法院和司法的运作更加有效，缔约国还应考虑进行全面的法律和其他改革。</w:t>
      </w:r>
    </w:p>
    <w:p w:rsidR="00162514" w:rsidRPr="00162514" w:rsidRDefault="00162514" w:rsidP="00162514">
      <w:pPr>
        <w:pStyle w:val="SingleTxtGC"/>
        <w:rPr>
          <w:rFonts w:hint="eastAsia"/>
          <w:snapToGrid/>
        </w:rPr>
      </w:pPr>
      <w:r w:rsidRPr="00162514">
        <w:rPr>
          <w:rFonts w:hint="eastAsia"/>
          <w:snapToGrid/>
        </w:rPr>
        <w:t xml:space="preserve">18.  </w:t>
      </w:r>
      <w:r w:rsidRPr="00162514">
        <w:rPr>
          <w:rFonts w:hint="eastAsia"/>
          <w:snapToGrid/>
        </w:rPr>
        <w:t>委员会注意到缔约国所提供的资料表明，《刑法程序法》准予为某些刑事案件提供免费的法律援助，委员会关注在缔约国内没有全面准予法律援助的制度，法律或习惯都没有为民事案件提供免费的法律援助</w:t>
      </w:r>
      <w:r w:rsidRPr="00162514">
        <w:rPr>
          <w:rFonts w:hint="eastAsia"/>
          <w:snapToGrid/>
        </w:rPr>
        <w:t>(</w:t>
      </w:r>
      <w:r w:rsidRPr="00162514">
        <w:rPr>
          <w:rFonts w:hint="eastAsia"/>
          <w:snapToGrid/>
        </w:rPr>
        <w:t>第九条和第十四条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缔约国应审查其免费法律援助的计划，在司法利益需要这么做的情况下，为所有案件提供免费的法律援助。</w:t>
      </w:r>
    </w:p>
    <w:p w:rsidR="00162514" w:rsidRPr="00162514" w:rsidRDefault="00162514" w:rsidP="00162514">
      <w:pPr>
        <w:pStyle w:val="SingleTxtGC"/>
        <w:rPr>
          <w:rFonts w:hint="eastAsia"/>
          <w:snapToGrid/>
        </w:rPr>
      </w:pPr>
      <w:r w:rsidRPr="00162514">
        <w:rPr>
          <w:rFonts w:hint="eastAsia"/>
          <w:snapToGrid/>
        </w:rPr>
        <w:t xml:space="preserve">19.  </w:t>
      </w:r>
      <w:r w:rsidRPr="00162514">
        <w:rPr>
          <w:rFonts w:hint="eastAsia"/>
          <w:snapToGrid/>
        </w:rPr>
        <w:t>尽管缔约国至目前为止为解决因以往冲突所导致的无身份证件个人的问题，包括流离失所者的问题而采取的行动，但缔约国管辖之下的大多数人，主要是罗姆人，仍然没有任何身份证件，其出生从未向当局注册。委员会认为，这一局势阻碍了缔约国最为脆弱群体的成员，主要是罗姆人，享有广泛的人权，包括《公约》所规定的人权，阻碍他们受益于社会服务、社会福利和适当住房等，并限制了其就业机会</w:t>
      </w:r>
      <w:r w:rsidRPr="00162514">
        <w:rPr>
          <w:rFonts w:hint="eastAsia"/>
          <w:snapToGrid/>
        </w:rPr>
        <w:t>(</w:t>
      </w:r>
      <w:r w:rsidRPr="00162514">
        <w:rPr>
          <w:rFonts w:hint="eastAsia"/>
          <w:snapToGrid/>
        </w:rPr>
        <w:t>第十二条、第二十四条和第二十六条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继续努力为在其管辖之下的所有人提供身份证件，特别是那些从未登记或者从未被颁发过此类证件的人。缔约国还应加强努力确保在其管辖之下的所有以往冲突受害者，包括罗姆人，能有效地获得适当的住房、社会福利和各种服务。</w:t>
      </w:r>
    </w:p>
    <w:p w:rsidR="00162514" w:rsidRPr="00162514" w:rsidRDefault="00162514" w:rsidP="00162514">
      <w:pPr>
        <w:pStyle w:val="SingleTxtGC"/>
        <w:rPr>
          <w:rFonts w:hint="eastAsia"/>
          <w:snapToGrid/>
        </w:rPr>
      </w:pPr>
      <w:r w:rsidRPr="00162514">
        <w:rPr>
          <w:rFonts w:hint="eastAsia"/>
          <w:snapToGrid/>
        </w:rPr>
        <w:t xml:space="preserve">20.  </w:t>
      </w:r>
      <w:r w:rsidRPr="00162514">
        <w:rPr>
          <w:rFonts w:hint="eastAsia"/>
          <w:snapToGrid/>
        </w:rPr>
        <w:t>尽管缔约国的《宪法》第</w:t>
      </w:r>
      <w:r w:rsidRPr="00162514">
        <w:rPr>
          <w:rFonts w:hint="eastAsia"/>
          <w:snapToGrid/>
        </w:rPr>
        <w:t>44</w:t>
      </w:r>
      <w:r w:rsidRPr="00162514">
        <w:rPr>
          <w:rFonts w:hint="eastAsia"/>
          <w:snapToGrid/>
        </w:rPr>
        <w:t>条声明所有教堂和宗教社区都是平等的，但委员会关注在《教堂和宗教社区法》中有关“传统”和其他宗教之间区别，特别在一教堂或宗教社区的官方注册和获得法人资格时所遇到的区别</w:t>
      </w:r>
      <w:r w:rsidRPr="00162514">
        <w:rPr>
          <w:rFonts w:hint="eastAsia"/>
          <w:snapToGrid/>
        </w:rPr>
        <w:t>(</w:t>
      </w:r>
      <w:r w:rsidRPr="00162514">
        <w:rPr>
          <w:rFonts w:hint="eastAsia"/>
          <w:snapToGrid/>
        </w:rPr>
        <w:t>第十八条和第二十六条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缔约国应审查其立法和做法以确保其《宪法》第</w:t>
      </w:r>
      <w:r w:rsidRPr="00FD5EEF">
        <w:rPr>
          <w:rFonts w:eastAsia="SimHei" w:hint="eastAsia"/>
          <w:snapToGrid/>
        </w:rPr>
        <w:t>44</w:t>
      </w:r>
      <w:r w:rsidRPr="00FD5EEF">
        <w:rPr>
          <w:rFonts w:eastAsia="SimHei" w:hint="eastAsia"/>
          <w:snapToGrid/>
        </w:rPr>
        <w:t>条所宣布的一视同仁的原则得到充分的尊重并与《公约》第十八条和第二十六条的要求相符。</w:t>
      </w:r>
    </w:p>
    <w:p w:rsidR="00162514" w:rsidRPr="00162514" w:rsidRDefault="00162514" w:rsidP="00162514">
      <w:pPr>
        <w:pStyle w:val="SingleTxtGC"/>
        <w:rPr>
          <w:rFonts w:hint="eastAsia"/>
          <w:snapToGrid/>
        </w:rPr>
      </w:pPr>
      <w:r w:rsidRPr="00162514">
        <w:rPr>
          <w:rFonts w:hint="eastAsia"/>
          <w:snapToGrid/>
        </w:rPr>
        <w:t xml:space="preserve">21.  </w:t>
      </w:r>
      <w:r w:rsidRPr="00162514">
        <w:rPr>
          <w:rFonts w:hint="eastAsia"/>
          <w:snapToGrid/>
        </w:rPr>
        <w:t>就委员会先前的结论性意见</w:t>
      </w:r>
      <w:r w:rsidRPr="00162514">
        <w:rPr>
          <w:rFonts w:hint="eastAsia"/>
          <w:snapToGrid/>
        </w:rPr>
        <w:t>(</w:t>
      </w:r>
      <w:r w:rsidRPr="00162514">
        <w:rPr>
          <w:rFonts w:hint="eastAsia"/>
          <w:snapToGrid/>
        </w:rPr>
        <w:t>第</w:t>
      </w:r>
      <w:r w:rsidRPr="00162514">
        <w:rPr>
          <w:rFonts w:hint="eastAsia"/>
          <w:snapToGrid/>
        </w:rPr>
        <w:t>22</w:t>
      </w:r>
      <w:r w:rsidRPr="00162514">
        <w:rPr>
          <w:rFonts w:hint="eastAsia"/>
          <w:snapToGrid/>
        </w:rPr>
        <w:t>段</w:t>
      </w:r>
      <w:r w:rsidRPr="00162514">
        <w:rPr>
          <w:rFonts w:hint="eastAsia"/>
          <w:snapToGrid/>
        </w:rPr>
        <w:t>)</w:t>
      </w:r>
      <w:r w:rsidRPr="00162514">
        <w:rPr>
          <w:rFonts w:hint="eastAsia"/>
          <w:snapToGrid/>
        </w:rPr>
        <w:t>，委员会仍然关注记者、人权捍卫者、媒体工作者继续遭到攻击、威胁和杀害。委员会特别注意到政府和公务人员正在对记者和人权捍卫者广泛采用诽谤投诉，而诽谤根据其国家法律仍然是一项罪行，委员会也对此表示关注</w:t>
      </w:r>
      <w:r w:rsidRPr="00162514">
        <w:rPr>
          <w:rFonts w:hint="eastAsia"/>
          <w:snapToGrid/>
        </w:rPr>
        <w:t>(</w:t>
      </w:r>
      <w:r w:rsidRPr="00162514">
        <w:rPr>
          <w:rFonts w:hint="eastAsia"/>
          <w:snapToGrid/>
        </w:rPr>
        <w:t>第六条、第七条和第十九条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委员会促请缔约国采取必要的措施确保对见解和言论自由所施加的限制与《公约》条款相符。缔约国应采取有力措施确保对记者、独立的民众社会行为者、包括非政府组织和媒体代表的保护。缔约国应确保对媒体或民众社会工作者犯下罪行者加以确认、起诉、一旦罪名成立应量刑处罚。缔约国还应考虑将诽谤非刑事化。</w:t>
      </w:r>
    </w:p>
    <w:p w:rsidR="00162514" w:rsidRPr="00162514" w:rsidRDefault="00162514" w:rsidP="00162514">
      <w:pPr>
        <w:pStyle w:val="SingleTxtGC"/>
        <w:rPr>
          <w:rFonts w:hint="eastAsia"/>
          <w:snapToGrid/>
        </w:rPr>
      </w:pPr>
      <w:r w:rsidRPr="00162514">
        <w:rPr>
          <w:rFonts w:hint="eastAsia"/>
          <w:snapToGrid/>
        </w:rPr>
        <w:t xml:space="preserve">22.  </w:t>
      </w:r>
      <w:r w:rsidRPr="00162514">
        <w:rPr>
          <w:rFonts w:hint="eastAsia"/>
          <w:snapToGrid/>
        </w:rPr>
        <w:t>委员会注意到缔约国为改进罗姆人的状况所作的努力，通过了改善罗姆人状况的战略</w:t>
      </w:r>
      <w:r w:rsidRPr="00162514">
        <w:rPr>
          <w:rFonts w:hint="eastAsia"/>
          <w:snapToGrid/>
        </w:rPr>
        <w:t>(2009</w:t>
      </w:r>
      <w:r w:rsidRPr="00162514">
        <w:rPr>
          <w:rFonts w:hint="eastAsia"/>
          <w:snapToGrid/>
        </w:rPr>
        <w:t>年</w:t>
      </w:r>
      <w:r w:rsidRPr="00162514">
        <w:rPr>
          <w:rFonts w:hint="eastAsia"/>
          <w:snapToGrid/>
        </w:rPr>
        <w:t>)</w:t>
      </w:r>
      <w:r w:rsidRPr="00162514">
        <w:rPr>
          <w:rFonts w:hint="eastAsia"/>
          <w:snapToGrid/>
        </w:rPr>
        <w:t>及其配套行动计划，还设立了改进罗姆人状况的政府理事会并且实施了罗姆人融入社会十年</w:t>
      </w:r>
      <w:r w:rsidRPr="00162514">
        <w:rPr>
          <w:rFonts w:hint="eastAsia"/>
          <w:snapToGrid/>
        </w:rPr>
        <w:t>(2005-2015</w:t>
      </w:r>
      <w:r w:rsidRPr="00162514">
        <w:rPr>
          <w:rFonts w:hint="eastAsia"/>
          <w:snapToGrid/>
        </w:rPr>
        <w:t>年</w:t>
      </w:r>
      <w:r w:rsidRPr="00162514">
        <w:rPr>
          <w:rFonts w:hint="eastAsia"/>
          <w:snapToGrid/>
        </w:rPr>
        <w:t>)</w:t>
      </w:r>
      <w:r w:rsidRPr="00162514">
        <w:rPr>
          <w:rFonts w:hint="eastAsia"/>
          <w:snapToGrid/>
        </w:rPr>
        <w:t>，但委员会仍然关注在各种生活领域内，例如教育、住房、适当保健照料和政治参与方面，普遍存在对罗姆人的歧视与排斥</w:t>
      </w:r>
      <w:r w:rsidRPr="00162514">
        <w:rPr>
          <w:rFonts w:hint="eastAsia"/>
          <w:snapToGrid/>
        </w:rPr>
        <w:t>(</w:t>
      </w:r>
      <w:r w:rsidRPr="00162514">
        <w:rPr>
          <w:rFonts w:hint="eastAsia"/>
          <w:snapToGrid/>
        </w:rPr>
        <w:t>第二条、二十六条和第二十七条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加强努力，为促进容忍和尊重多样化，更多地开展提高认识的运动等，根除对罗姆人的陈旧观念和普遍存在的蔑视。缔约国应采取各种措施，若有必要，通过采取适当的暂行具体措施，促进罗姆人在各个层次获得各种各样的机遇与服务。</w:t>
      </w:r>
    </w:p>
    <w:p w:rsidR="00162514" w:rsidRPr="00162514" w:rsidRDefault="00162514" w:rsidP="00162514">
      <w:pPr>
        <w:pStyle w:val="SingleTxtGC"/>
        <w:rPr>
          <w:rFonts w:hint="eastAsia"/>
          <w:snapToGrid/>
        </w:rPr>
      </w:pPr>
      <w:r w:rsidRPr="00162514">
        <w:rPr>
          <w:rFonts w:hint="eastAsia"/>
          <w:snapToGrid/>
        </w:rPr>
        <w:t xml:space="preserve">23.  </w:t>
      </w:r>
      <w:r w:rsidRPr="00162514">
        <w:rPr>
          <w:rFonts w:hint="eastAsia"/>
          <w:snapToGrid/>
        </w:rPr>
        <w:t>尽管承认缔约国为确保更好地保护少数民族代表采取了各种努力，如通过了《关于少数民族理事会法》</w:t>
      </w:r>
      <w:r w:rsidRPr="00162514">
        <w:rPr>
          <w:rFonts w:hint="eastAsia"/>
          <w:snapToGrid/>
        </w:rPr>
        <w:t>(2009</w:t>
      </w:r>
      <w:r w:rsidRPr="00162514">
        <w:rPr>
          <w:rFonts w:hint="eastAsia"/>
          <w:snapToGrid/>
        </w:rPr>
        <w:t>年</w:t>
      </w:r>
      <w:r w:rsidRPr="00162514">
        <w:rPr>
          <w:rFonts w:hint="eastAsia"/>
          <w:snapToGrid/>
        </w:rPr>
        <w:t>)</w:t>
      </w:r>
      <w:r w:rsidRPr="00162514">
        <w:rPr>
          <w:rFonts w:hint="eastAsia"/>
          <w:snapToGrid/>
        </w:rPr>
        <w:t>，但委员会仍然关注在国家机构或地方主管当局内，少数民族的代表性较低。委员会还关注没有在国家一级收集的分类统计，而这类分类统计能够更好地评估所有少数民族的实际状况</w:t>
      </w:r>
      <w:r w:rsidRPr="00162514">
        <w:rPr>
          <w:rFonts w:hint="eastAsia"/>
          <w:snapToGrid/>
        </w:rPr>
        <w:t>(</w:t>
      </w:r>
      <w:r w:rsidRPr="00162514">
        <w:rPr>
          <w:rFonts w:hint="eastAsia"/>
          <w:snapToGrid/>
        </w:rPr>
        <w:t>第二十五条、第二十六条和第二十七条</w:t>
      </w:r>
      <w:r w:rsidRPr="00162514">
        <w:rPr>
          <w:rFonts w:hint="eastAsia"/>
          <w:snapToGrid/>
        </w:rPr>
        <w:t>)</w:t>
      </w:r>
      <w:r w:rsidRPr="00162514">
        <w:rPr>
          <w:rFonts w:hint="eastAsia"/>
          <w:snapToGrid/>
        </w:rPr>
        <w:t>。</w:t>
      </w:r>
    </w:p>
    <w:p w:rsidR="00162514" w:rsidRPr="00FD5EEF" w:rsidRDefault="00162514" w:rsidP="00162514">
      <w:pPr>
        <w:pStyle w:val="SingleTxtGC"/>
        <w:rPr>
          <w:rFonts w:eastAsia="SimHei" w:hint="eastAsia"/>
          <w:snapToGrid/>
        </w:rPr>
      </w:pPr>
      <w:r w:rsidRPr="00FD5EEF">
        <w:rPr>
          <w:rFonts w:eastAsia="SimHei" w:hint="eastAsia"/>
          <w:snapToGrid/>
        </w:rPr>
        <w:t>缔约国应继续努力以确保充分保护和同等对待在其管辖之下的少数民族成员。缔约国应采取措施，如有必要，通过采取适当的暂行具体措施，确保加强在国家和地方机构中少数民族成员的代表性。缔约国还应收集按族裔群体分类的反映少数民族在中央和地方机构内占据职位的统计数据。缔约国应在其下次定期报告中向委员会提供此类资料。</w:t>
      </w:r>
    </w:p>
    <w:p w:rsidR="00162514" w:rsidRPr="00162514" w:rsidRDefault="00162514" w:rsidP="00162514">
      <w:pPr>
        <w:pStyle w:val="SingleTxtGC"/>
        <w:rPr>
          <w:rFonts w:hint="eastAsia"/>
          <w:snapToGrid/>
        </w:rPr>
      </w:pPr>
      <w:r w:rsidRPr="00162514">
        <w:rPr>
          <w:rFonts w:hint="eastAsia"/>
          <w:snapToGrid/>
        </w:rPr>
        <w:t xml:space="preserve">24.  </w:t>
      </w:r>
      <w:r w:rsidRPr="00162514">
        <w:rPr>
          <w:rFonts w:hint="eastAsia"/>
          <w:snapToGrid/>
        </w:rPr>
        <w:t>缔约国应广泛宣传《公约》及其两项《任择议定书》，以及第二次定期报告的全文，对委员会拟定的问题清单的书面答复，以及本结论性意见，以便在司法、立法和行政当局、民众社会以及在该国运作的非政府组织及广大民众中间提高认识。委员会还请缔约国在制定其第三次定期报告时广泛征求民众社会和非政府组织的意见。缔约国应确保本结论性意见翻译成缔约国少数民族语言</w:t>
      </w:r>
      <w:r w:rsidRPr="00162514">
        <w:rPr>
          <w:rFonts w:hint="eastAsia"/>
          <w:snapToGrid/>
        </w:rPr>
        <w:t>(</w:t>
      </w:r>
      <w:r w:rsidRPr="00162514">
        <w:rPr>
          <w:rFonts w:hint="eastAsia"/>
          <w:snapToGrid/>
        </w:rPr>
        <w:t>第二条</w:t>
      </w:r>
      <w:r w:rsidRPr="00162514">
        <w:rPr>
          <w:rFonts w:hint="eastAsia"/>
          <w:snapToGrid/>
        </w:rPr>
        <w:t>)</w:t>
      </w:r>
      <w:r w:rsidRPr="00162514">
        <w:rPr>
          <w:rFonts w:hint="eastAsia"/>
          <w:snapToGrid/>
        </w:rPr>
        <w:t>。</w:t>
      </w:r>
    </w:p>
    <w:p w:rsidR="00162514" w:rsidRPr="00162514" w:rsidRDefault="00162514" w:rsidP="00162514">
      <w:pPr>
        <w:pStyle w:val="SingleTxtGC"/>
        <w:rPr>
          <w:rFonts w:hint="eastAsia"/>
          <w:snapToGrid/>
        </w:rPr>
      </w:pPr>
      <w:r w:rsidRPr="00162514">
        <w:rPr>
          <w:rFonts w:hint="eastAsia"/>
          <w:snapToGrid/>
        </w:rPr>
        <w:t xml:space="preserve">25.  </w:t>
      </w:r>
      <w:r w:rsidRPr="00162514">
        <w:rPr>
          <w:rFonts w:hint="eastAsia"/>
          <w:snapToGrid/>
        </w:rPr>
        <w:t>根据委员会议事规则第</w:t>
      </w:r>
      <w:r w:rsidRPr="00162514">
        <w:rPr>
          <w:rFonts w:hint="eastAsia"/>
          <w:snapToGrid/>
        </w:rPr>
        <w:t>71</w:t>
      </w:r>
      <w:r w:rsidRPr="00162514">
        <w:rPr>
          <w:rFonts w:hint="eastAsia"/>
          <w:snapToGrid/>
        </w:rPr>
        <w:t>条第</w:t>
      </w:r>
      <w:r w:rsidRPr="00162514">
        <w:rPr>
          <w:rFonts w:hint="eastAsia"/>
          <w:snapToGrid/>
        </w:rPr>
        <w:t>5</w:t>
      </w:r>
      <w:r w:rsidRPr="00162514">
        <w:rPr>
          <w:rFonts w:hint="eastAsia"/>
          <w:snapToGrid/>
        </w:rPr>
        <w:t>款，委员会应在一年时间内提供相关资料，阐明该国执行委员会在</w:t>
      </w:r>
      <w:r w:rsidRPr="00162514">
        <w:rPr>
          <w:rFonts w:hint="eastAsia"/>
          <w:snapToGrid/>
        </w:rPr>
        <w:t>12</w:t>
      </w:r>
      <w:r w:rsidRPr="00162514">
        <w:rPr>
          <w:rFonts w:hint="eastAsia"/>
          <w:snapToGrid/>
        </w:rPr>
        <w:t>、</w:t>
      </w:r>
      <w:r w:rsidRPr="00162514">
        <w:rPr>
          <w:rFonts w:hint="eastAsia"/>
          <w:snapToGrid/>
        </w:rPr>
        <w:t>17</w:t>
      </w:r>
      <w:r w:rsidRPr="00162514">
        <w:rPr>
          <w:rFonts w:hint="eastAsia"/>
          <w:snapToGrid/>
        </w:rPr>
        <w:t>和</w:t>
      </w:r>
      <w:r w:rsidRPr="00162514">
        <w:rPr>
          <w:rFonts w:hint="eastAsia"/>
          <w:snapToGrid/>
        </w:rPr>
        <w:t>22</w:t>
      </w:r>
      <w:r w:rsidRPr="00162514">
        <w:rPr>
          <w:rFonts w:hint="eastAsia"/>
          <w:snapToGrid/>
        </w:rPr>
        <w:t>段内所提出的各项建议的情况。</w:t>
      </w:r>
    </w:p>
    <w:p w:rsidR="00162514" w:rsidRPr="00162514" w:rsidRDefault="00162514" w:rsidP="00162514">
      <w:pPr>
        <w:pStyle w:val="SingleTxtGC"/>
        <w:rPr>
          <w:rFonts w:hint="eastAsia"/>
          <w:snapToGrid/>
        </w:rPr>
      </w:pPr>
      <w:r w:rsidRPr="00162514">
        <w:rPr>
          <w:rFonts w:hint="eastAsia"/>
          <w:snapToGrid/>
        </w:rPr>
        <w:t xml:space="preserve">26.  </w:t>
      </w:r>
      <w:r w:rsidRPr="00162514">
        <w:rPr>
          <w:rFonts w:hint="eastAsia"/>
          <w:snapToGrid/>
        </w:rPr>
        <w:t>委员会请缔约国在其</w:t>
      </w:r>
      <w:r w:rsidRPr="00162514">
        <w:rPr>
          <w:rFonts w:hint="eastAsia"/>
          <w:snapToGrid/>
        </w:rPr>
        <w:t>2015</w:t>
      </w:r>
      <w:r w:rsidRPr="00162514">
        <w:rPr>
          <w:rFonts w:hint="eastAsia"/>
          <w:snapToGrid/>
        </w:rPr>
        <w:t>年</w:t>
      </w:r>
      <w:r w:rsidRPr="00162514">
        <w:rPr>
          <w:rFonts w:hint="eastAsia"/>
          <w:snapToGrid/>
        </w:rPr>
        <w:t>4</w:t>
      </w:r>
      <w:r w:rsidRPr="00162514">
        <w:rPr>
          <w:rFonts w:hint="eastAsia"/>
          <w:snapToGrid/>
        </w:rPr>
        <w:t>月</w:t>
      </w:r>
      <w:r w:rsidRPr="00162514">
        <w:rPr>
          <w:rFonts w:hint="eastAsia"/>
          <w:snapToGrid/>
        </w:rPr>
        <w:t>1</w:t>
      </w:r>
      <w:r w:rsidRPr="00162514">
        <w:rPr>
          <w:rFonts w:hint="eastAsia"/>
          <w:snapToGrid/>
        </w:rPr>
        <w:t>日到期提交的第三次定期报告中提供关于实施委员会所有建议及实施整个《公约》的情况的最新具体资料。</w:t>
      </w:r>
    </w:p>
    <w:p w:rsidR="00162514" w:rsidRPr="002D6A9C" w:rsidRDefault="001625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62514" w:rsidRPr="00162514" w:rsidRDefault="00162514" w:rsidP="00162514">
      <w:pPr>
        <w:pStyle w:val="SingleTxtGC"/>
        <w:rPr>
          <w:rFonts w:hint="eastAsia"/>
          <w:snapToGrid/>
        </w:rPr>
      </w:pPr>
    </w:p>
    <w:sectPr w:rsidR="00162514" w:rsidRPr="0016251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80A" w:rsidRPr="000F217F" w:rsidRDefault="006A180A"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6A180A" w:rsidRPr="000F217F" w:rsidRDefault="006A180A"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A31" w:rsidRPr="002E49D8" w:rsidRDefault="00E17A31" w:rsidP="002E49D8">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B53513">
      <w:rPr>
        <w:rStyle w:val="PageNumber"/>
        <w:noProof/>
      </w:rPr>
      <w:t>2</w:t>
    </w:r>
    <w:r>
      <w:rPr>
        <w:rStyle w:val="PageNumber"/>
      </w:rPr>
      <w:fldChar w:fldCharType="end"/>
    </w:r>
    <w:r>
      <w:rPr>
        <w:rStyle w:val="PageNumber"/>
        <w:rFonts w:eastAsia="SimSun" w:hint="eastAsia"/>
        <w:lang w:eastAsia="zh-CN"/>
      </w:rPr>
      <w:tab/>
    </w:r>
    <w:r w:rsidRPr="002E49D8">
      <w:rPr>
        <w:rFonts w:eastAsia="SimSun"/>
      </w:rPr>
      <w:t>GE.11-43185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A31" w:rsidRDefault="00E17A31">
    <w:pPr>
      <w:pStyle w:val="Footer"/>
      <w:tabs>
        <w:tab w:val="right" w:pos="9639"/>
      </w:tabs>
    </w:pPr>
    <w:r w:rsidRPr="002E49D8">
      <w:rPr>
        <w:rFonts w:eastAsia="SimSun"/>
      </w:rPr>
      <w:t>GE.11-43185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A31" w:rsidRPr="0061164F" w:rsidRDefault="00E17A31" w:rsidP="00FD5EE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43185</w:t>
    </w:r>
    <w:r w:rsidRPr="00EE277A">
      <w:rPr>
        <w:rFonts w:eastAsia="SimSun"/>
        <w:sz w:val="20"/>
        <w:lang w:eastAsia="zh-CN"/>
      </w:rPr>
      <w:t xml:space="preserve"> (C)</w:t>
    </w:r>
    <w:r>
      <w:rPr>
        <w:rFonts w:eastAsia="SimSun"/>
        <w:sz w:val="20"/>
        <w:lang w:eastAsia="zh-CN"/>
      </w:rPr>
      <w:tab/>
    </w:r>
    <w:r>
      <w:rPr>
        <w:rFonts w:eastAsia="SimSun" w:hint="eastAsia"/>
        <w:sz w:val="20"/>
        <w:lang w:eastAsia="zh-CN"/>
      </w:rPr>
      <w:t>060711</w:t>
    </w:r>
    <w:r>
      <w:rPr>
        <w:rFonts w:eastAsia="SimSun"/>
        <w:sz w:val="20"/>
        <w:lang w:eastAsia="zh-CN"/>
      </w:rPr>
      <w:tab/>
    </w:r>
    <w:r>
      <w:rPr>
        <w:rFonts w:eastAsia="SimSun" w:hint="eastAsia"/>
        <w:sz w:val="20"/>
        <w:lang w:eastAsia="zh-CN"/>
      </w:rPr>
      <w:t>110711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80A" w:rsidRPr="00052154" w:rsidRDefault="006A180A"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A180A" w:rsidRPr="00052154" w:rsidRDefault="006A180A"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A31" w:rsidRPr="002E49D8" w:rsidRDefault="00E17A31">
    <w:pPr>
      <w:pStyle w:val="Header"/>
    </w:pPr>
    <w:r w:rsidRPr="002E49D8">
      <w:t>CCPR/C/SRB/CO/2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A31" w:rsidRPr="002E49D8" w:rsidRDefault="00E17A31">
    <w:pPr>
      <w:pStyle w:val="Header"/>
      <w:jc w:val="right"/>
    </w:pPr>
    <w:r w:rsidRPr="002E49D8">
      <w:t>CCPR/C/SRB/CO/2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A31" w:rsidRDefault="00E17A3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94B634D"/>
    <w:multiLevelType w:val="hybridMultilevel"/>
    <w:tmpl w:val="7C2063DE"/>
    <w:lvl w:ilvl="0" w:tplc="709A629E">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7EE709F"/>
    <w:multiLevelType w:val="hybridMultilevel"/>
    <w:tmpl w:val="34087BAE"/>
    <w:lvl w:ilvl="0" w:tplc="20B63A9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4"/>
  </w:num>
  <w:num w:numId="13">
    <w:abstractNumId w:val="16"/>
  </w:num>
  <w:num w:numId="14">
    <w:abstractNumId w:val="11"/>
  </w:num>
  <w:num w:numId="15">
    <w:abstractNumId w:val="12"/>
  </w:num>
  <w:num w:numId="16">
    <w:abstractNumId w:val="21"/>
  </w:num>
  <w:num w:numId="17">
    <w:abstractNumId w:val="11"/>
  </w:num>
  <w:num w:numId="18">
    <w:abstractNumId w:val="11"/>
  </w:num>
  <w:num w:numId="19">
    <w:abstractNumId w:val="21"/>
  </w:num>
  <w:num w:numId="20">
    <w:abstractNumId w:val="12"/>
  </w:num>
  <w:num w:numId="21">
    <w:abstractNumId w:val="12"/>
  </w:num>
  <w:num w:numId="22">
    <w:abstractNumId w:val="18"/>
  </w:num>
  <w:num w:numId="23">
    <w:abstractNumId w:val="10"/>
  </w:num>
  <w:num w:numId="24">
    <w:abstractNumId w:val="15"/>
  </w:num>
  <w:num w:numId="25">
    <w:abstractNumId w:val="20"/>
  </w:num>
  <w:num w:numId="26">
    <w:abstractNumId w:val="17"/>
  </w:num>
  <w:num w:numId="27">
    <w:abstractNumId w:val="13"/>
  </w:num>
  <w:num w:numId="28">
    <w:abstractNumId w:val="18"/>
  </w:num>
  <w:num w:numId="29">
    <w:abstractNumId w:val="10"/>
  </w:num>
  <w:num w:numId="30">
    <w:abstractNumId w:val="15"/>
  </w:num>
  <w:num w:numId="31">
    <w:abstractNumId w:val="23"/>
  </w:num>
  <w:num w:numId="32">
    <w:abstractNumId w:val="20"/>
  </w:num>
  <w:num w:numId="33">
    <w:abstractNumId w:val="17"/>
  </w:num>
  <w:num w:numId="34">
    <w:abstractNumId w:val="13"/>
  </w:num>
  <w:num w:numId="35">
    <w:abstractNumId w:val="18"/>
  </w:num>
  <w:num w:numId="36">
    <w:abstractNumId w:val="10"/>
  </w:num>
  <w:num w:numId="37">
    <w:abstractNumId w:val="15"/>
  </w:num>
  <w:num w:numId="38">
    <w:abstractNumId w:val="23"/>
  </w:num>
  <w:num w:numId="39">
    <w:abstractNumId w:val="14"/>
  </w:num>
  <w:num w:numId="40">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2514"/>
    <w:rsid w:val="00051474"/>
    <w:rsid w:val="00052154"/>
    <w:rsid w:val="00056B0A"/>
    <w:rsid w:val="000848DB"/>
    <w:rsid w:val="00086AFE"/>
    <w:rsid w:val="000F217F"/>
    <w:rsid w:val="0014292A"/>
    <w:rsid w:val="00143480"/>
    <w:rsid w:val="00161576"/>
    <w:rsid w:val="00162514"/>
    <w:rsid w:val="001909BF"/>
    <w:rsid w:val="001A7516"/>
    <w:rsid w:val="001B41B9"/>
    <w:rsid w:val="001F04F8"/>
    <w:rsid w:val="002250D3"/>
    <w:rsid w:val="0023199F"/>
    <w:rsid w:val="0023313F"/>
    <w:rsid w:val="00242C16"/>
    <w:rsid w:val="002547C8"/>
    <w:rsid w:val="002918A1"/>
    <w:rsid w:val="002C2513"/>
    <w:rsid w:val="002C5FB7"/>
    <w:rsid w:val="002C618C"/>
    <w:rsid w:val="002D3D9F"/>
    <w:rsid w:val="002E49D8"/>
    <w:rsid w:val="0038024C"/>
    <w:rsid w:val="003C6A6A"/>
    <w:rsid w:val="003D1840"/>
    <w:rsid w:val="003F3E54"/>
    <w:rsid w:val="003F67C5"/>
    <w:rsid w:val="00463CF0"/>
    <w:rsid w:val="004830C9"/>
    <w:rsid w:val="004841B8"/>
    <w:rsid w:val="00497733"/>
    <w:rsid w:val="004A27CA"/>
    <w:rsid w:val="004D1555"/>
    <w:rsid w:val="004E0BB3"/>
    <w:rsid w:val="004F49CC"/>
    <w:rsid w:val="004F794C"/>
    <w:rsid w:val="005054E6"/>
    <w:rsid w:val="00520B34"/>
    <w:rsid w:val="00524A79"/>
    <w:rsid w:val="005252B4"/>
    <w:rsid w:val="00547485"/>
    <w:rsid w:val="005539DA"/>
    <w:rsid w:val="00553C07"/>
    <w:rsid w:val="005714D8"/>
    <w:rsid w:val="0058028F"/>
    <w:rsid w:val="00583259"/>
    <w:rsid w:val="005848A2"/>
    <w:rsid w:val="0059200A"/>
    <w:rsid w:val="005A1158"/>
    <w:rsid w:val="005B0EBB"/>
    <w:rsid w:val="005B215B"/>
    <w:rsid w:val="005C1316"/>
    <w:rsid w:val="005C425C"/>
    <w:rsid w:val="005F24E4"/>
    <w:rsid w:val="0061164F"/>
    <w:rsid w:val="00630134"/>
    <w:rsid w:val="006425A2"/>
    <w:rsid w:val="0064450E"/>
    <w:rsid w:val="0065322F"/>
    <w:rsid w:val="00654852"/>
    <w:rsid w:val="006708D2"/>
    <w:rsid w:val="00671AA3"/>
    <w:rsid w:val="0068106B"/>
    <w:rsid w:val="006A180A"/>
    <w:rsid w:val="006A719B"/>
    <w:rsid w:val="006B33D0"/>
    <w:rsid w:val="006B6E2A"/>
    <w:rsid w:val="006D3DFA"/>
    <w:rsid w:val="006D537E"/>
    <w:rsid w:val="007022E6"/>
    <w:rsid w:val="00721ADC"/>
    <w:rsid w:val="007802C5"/>
    <w:rsid w:val="007B5B8A"/>
    <w:rsid w:val="007E1E0A"/>
    <w:rsid w:val="007F57CE"/>
    <w:rsid w:val="0082020C"/>
    <w:rsid w:val="008351FB"/>
    <w:rsid w:val="00840AD2"/>
    <w:rsid w:val="0086574C"/>
    <w:rsid w:val="00867AE0"/>
    <w:rsid w:val="00877885"/>
    <w:rsid w:val="008A29C7"/>
    <w:rsid w:val="008A2C66"/>
    <w:rsid w:val="008B7C42"/>
    <w:rsid w:val="008D08D4"/>
    <w:rsid w:val="008F1659"/>
    <w:rsid w:val="008F2A5F"/>
    <w:rsid w:val="00924464"/>
    <w:rsid w:val="00935148"/>
    <w:rsid w:val="009353BD"/>
    <w:rsid w:val="00964A61"/>
    <w:rsid w:val="00983FE7"/>
    <w:rsid w:val="00997F66"/>
    <w:rsid w:val="00A02B21"/>
    <w:rsid w:val="00A13418"/>
    <w:rsid w:val="00A3593C"/>
    <w:rsid w:val="00A37913"/>
    <w:rsid w:val="00A50BDC"/>
    <w:rsid w:val="00A53684"/>
    <w:rsid w:val="00A956E4"/>
    <w:rsid w:val="00AC0B2D"/>
    <w:rsid w:val="00AC56DE"/>
    <w:rsid w:val="00AE6BDB"/>
    <w:rsid w:val="00AF26E4"/>
    <w:rsid w:val="00B53513"/>
    <w:rsid w:val="00B75594"/>
    <w:rsid w:val="00BD7E3C"/>
    <w:rsid w:val="00C1716A"/>
    <w:rsid w:val="00C21A92"/>
    <w:rsid w:val="00C40431"/>
    <w:rsid w:val="00C51697"/>
    <w:rsid w:val="00C63BBD"/>
    <w:rsid w:val="00CD2B51"/>
    <w:rsid w:val="00CD757E"/>
    <w:rsid w:val="00D012B2"/>
    <w:rsid w:val="00D01D93"/>
    <w:rsid w:val="00D129A7"/>
    <w:rsid w:val="00D159B2"/>
    <w:rsid w:val="00D15CBD"/>
    <w:rsid w:val="00D26C70"/>
    <w:rsid w:val="00D3329D"/>
    <w:rsid w:val="00D37022"/>
    <w:rsid w:val="00D563C9"/>
    <w:rsid w:val="00D7111C"/>
    <w:rsid w:val="00D73055"/>
    <w:rsid w:val="00D94C4B"/>
    <w:rsid w:val="00DD5096"/>
    <w:rsid w:val="00E04759"/>
    <w:rsid w:val="00E17A31"/>
    <w:rsid w:val="00E52100"/>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64F15"/>
    <w:rsid w:val="00F82225"/>
    <w:rsid w:val="00F91E32"/>
    <w:rsid w:val="00FD51D4"/>
    <w:rsid w:val="00FD5EEF"/>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1</Pages>
  <Words>2936</Words>
  <Characters>3084</Characters>
  <Application>Microsoft Office Word</Application>
  <DocSecurity>4</DocSecurity>
  <Lines>110</Lines>
  <Paragraphs>66</Paragraphs>
  <ScaleCrop>false</ScaleCrop>
  <Company>CSD</Company>
  <LinksUpToDate>false</LinksUpToDate>
  <CharactersWithSpaces>5954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SI</cp:lastModifiedBy>
  <cp:revision>3</cp:revision>
  <cp:lastPrinted>2011-07-11T12:53:00Z</cp:lastPrinted>
  <dcterms:created xsi:type="dcterms:W3CDTF">2011-07-11T12:53:00Z</dcterms:created>
  <dcterms:modified xsi:type="dcterms:W3CDTF">2011-07-11T12:53:00Z</dcterms:modified>
</cp:coreProperties>
</file>