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F627426" w14:textId="77777777" w:rsidTr="00B614C4">
        <w:trPr>
          <w:trHeight w:hRule="exact" w:val="851"/>
        </w:trPr>
        <w:tc>
          <w:tcPr>
            <w:tcW w:w="1280" w:type="dxa"/>
            <w:tcBorders>
              <w:bottom w:val="single" w:sz="4" w:space="0" w:color="auto"/>
            </w:tcBorders>
          </w:tcPr>
          <w:p w14:paraId="2BF0300F" w14:textId="77777777" w:rsidR="00CE1D1C" w:rsidRPr="00F124C6" w:rsidRDefault="00CE1D1C" w:rsidP="00B614C4">
            <w:pPr>
              <w:pStyle w:val="H23GC"/>
            </w:pPr>
          </w:p>
        </w:tc>
        <w:tc>
          <w:tcPr>
            <w:tcW w:w="2273" w:type="dxa"/>
            <w:tcBorders>
              <w:bottom w:val="single" w:sz="4" w:space="0" w:color="auto"/>
            </w:tcBorders>
            <w:vAlign w:val="bottom"/>
          </w:tcPr>
          <w:p w14:paraId="38708BE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0B44907" w14:textId="77777777" w:rsidR="00CE1D1C" w:rsidRPr="00FF6785" w:rsidRDefault="00FF6785" w:rsidP="00B614C4">
            <w:pPr>
              <w:spacing w:line="240" w:lineRule="atLeast"/>
              <w:jc w:val="right"/>
              <w:rPr>
                <w:sz w:val="20"/>
                <w:szCs w:val="21"/>
              </w:rPr>
            </w:pPr>
            <w:r w:rsidRPr="00FF6785">
              <w:rPr>
                <w:sz w:val="40"/>
                <w:szCs w:val="21"/>
              </w:rPr>
              <w:t>CCPR</w:t>
            </w:r>
            <w:r>
              <w:rPr>
                <w:sz w:val="20"/>
                <w:szCs w:val="21"/>
              </w:rPr>
              <w:t>/C/133/3/Add.3</w:t>
            </w:r>
          </w:p>
        </w:tc>
      </w:tr>
      <w:tr w:rsidR="00CE1D1C" w:rsidRPr="00F124C6" w14:paraId="2BDE894B" w14:textId="77777777" w:rsidTr="00B614C4">
        <w:trPr>
          <w:trHeight w:hRule="exact" w:val="2835"/>
        </w:trPr>
        <w:tc>
          <w:tcPr>
            <w:tcW w:w="1280" w:type="dxa"/>
            <w:tcBorders>
              <w:top w:val="single" w:sz="4" w:space="0" w:color="auto"/>
              <w:bottom w:val="single" w:sz="12" w:space="0" w:color="auto"/>
            </w:tcBorders>
          </w:tcPr>
          <w:p w14:paraId="6F0EB124" w14:textId="77777777" w:rsidR="00CE1D1C" w:rsidRPr="00F124C6" w:rsidRDefault="00CE1D1C" w:rsidP="00B614C4">
            <w:pPr>
              <w:spacing w:line="120" w:lineRule="atLeast"/>
              <w:rPr>
                <w:sz w:val="10"/>
                <w:szCs w:val="10"/>
              </w:rPr>
            </w:pPr>
          </w:p>
          <w:p w14:paraId="21AE9C0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6FCCD7C" wp14:editId="5B64046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A48C6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DAA959F" w14:textId="35C33E9B" w:rsidR="00CE1D1C" w:rsidRPr="0004600B" w:rsidRDefault="00CE1D1C" w:rsidP="00B614C4">
            <w:pPr>
              <w:spacing w:before="240" w:line="240" w:lineRule="atLeast"/>
              <w:rPr>
                <w:sz w:val="20"/>
              </w:rPr>
            </w:pPr>
            <w:r w:rsidRPr="00F124C6">
              <w:rPr>
                <w:sz w:val="20"/>
              </w:rPr>
              <w:t xml:space="preserve">Distr.: </w:t>
            </w:r>
            <w:r w:rsidR="00F31164" w:rsidRPr="00F31164">
              <w:rPr>
                <w:sz w:val="20"/>
              </w:rPr>
              <w:t>General</w:t>
            </w:r>
          </w:p>
          <w:p w14:paraId="543ABE91" w14:textId="406CB626" w:rsidR="00CE1D1C" w:rsidRPr="00F124C6" w:rsidRDefault="00F31164" w:rsidP="00B614C4">
            <w:pPr>
              <w:spacing w:line="240" w:lineRule="atLeast"/>
              <w:rPr>
                <w:sz w:val="20"/>
              </w:rPr>
            </w:pPr>
            <w:r w:rsidRPr="00F31164">
              <w:rPr>
                <w:sz w:val="20"/>
              </w:rPr>
              <w:t>17 December 2021</w:t>
            </w:r>
          </w:p>
          <w:p w14:paraId="6CAD974A" w14:textId="77777777" w:rsidR="00CE1D1C" w:rsidRPr="00F124C6" w:rsidRDefault="00CE1D1C" w:rsidP="00B614C4">
            <w:pPr>
              <w:spacing w:line="240" w:lineRule="atLeast"/>
              <w:rPr>
                <w:sz w:val="20"/>
              </w:rPr>
            </w:pPr>
            <w:r w:rsidRPr="00F124C6">
              <w:rPr>
                <w:sz w:val="20"/>
              </w:rPr>
              <w:t xml:space="preserve">Chinese </w:t>
            </w:r>
          </w:p>
          <w:p w14:paraId="5A91F12F" w14:textId="77777777" w:rsidR="00CE1D1C" w:rsidRPr="00F124C6" w:rsidRDefault="00CE1D1C" w:rsidP="00B614C4">
            <w:pPr>
              <w:spacing w:line="240" w:lineRule="atLeast"/>
            </w:pPr>
            <w:r w:rsidRPr="00F124C6">
              <w:rPr>
                <w:sz w:val="20"/>
              </w:rPr>
              <w:t>Original: English</w:t>
            </w:r>
          </w:p>
        </w:tc>
      </w:tr>
    </w:tbl>
    <w:p w14:paraId="4F3C8A38" w14:textId="77777777" w:rsidR="00FF6785" w:rsidRDefault="00FF6785"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538999C" w14:textId="4CB318B5" w:rsidR="0067253D" w:rsidRDefault="00FF6785" w:rsidP="0067253D">
      <w:pPr>
        <w:pStyle w:val="HChGC"/>
        <w:rPr>
          <w:rFonts w:hint="eastAsia"/>
        </w:rPr>
      </w:pPr>
      <w:r>
        <w:tab/>
      </w:r>
      <w:r>
        <w:tab/>
      </w:r>
      <w:r w:rsidR="0067253D">
        <w:rPr>
          <w:rFonts w:hint="eastAsia"/>
        </w:rPr>
        <w:t>关于人权事务委员会结论性意见后续行动的报告</w:t>
      </w:r>
      <w:r w:rsidR="0067253D" w:rsidRPr="0079694F">
        <w:rPr>
          <w:rStyle w:val="a8"/>
          <w:rFonts w:eastAsia="黑体"/>
          <w:sz w:val="28"/>
          <w:vertAlign w:val="baseline"/>
        </w:rPr>
        <w:footnoteReference w:customMarkFollows="1" w:id="2"/>
        <w:t>*</w:t>
      </w:r>
    </w:p>
    <w:p w14:paraId="2769C27A" w14:textId="77777777" w:rsidR="0067253D" w:rsidRDefault="0067253D" w:rsidP="0067253D">
      <w:pPr>
        <w:pStyle w:val="H23GC"/>
        <w:rPr>
          <w:rFonts w:hint="eastAsia"/>
        </w:rPr>
      </w:pPr>
      <w:r>
        <w:rPr>
          <w:rFonts w:hint="eastAsia"/>
        </w:rPr>
        <w:tab/>
      </w:r>
      <w:r>
        <w:rPr>
          <w:rFonts w:hint="eastAsia"/>
        </w:rPr>
        <w:tab/>
      </w:r>
      <w:r>
        <w:rPr>
          <w:rFonts w:hint="eastAsia"/>
        </w:rPr>
        <w:t>增编</w:t>
      </w:r>
    </w:p>
    <w:p w14:paraId="2729B427" w14:textId="34771DE1" w:rsidR="00FF6785" w:rsidRDefault="0067253D" w:rsidP="0067253D">
      <w:pPr>
        <w:pStyle w:val="H1GC"/>
        <w:rPr>
          <w:rFonts w:hint="eastAsia"/>
        </w:rPr>
      </w:pPr>
      <w:r>
        <w:rPr>
          <w:rFonts w:hint="eastAsia"/>
        </w:rPr>
        <w:tab/>
      </w:r>
      <w:r>
        <w:rPr>
          <w:rFonts w:hint="eastAsia"/>
        </w:rPr>
        <w:tab/>
      </w:r>
      <w:r>
        <w:rPr>
          <w:rFonts w:hint="eastAsia"/>
        </w:rPr>
        <w:t>评价关于约旦的结论性意见的后续行动资料</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4394"/>
      </w:tblGrid>
      <w:tr w:rsidR="00FF6785" w14:paraId="1AB8D454" w14:textId="77777777" w:rsidTr="00EF7053">
        <w:trPr>
          <w:cantSplit/>
        </w:trPr>
        <w:tc>
          <w:tcPr>
            <w:tcW w:w="2977" w:type="dxa"/>
          </w:tcPr>
          <w:p w14:paraId="05F102E7" w14:textId="66AE8BA6" w:rsidR="00FF6785" w:rsidRPr="00172E04" w:rsidRDefault="0079694F" w:rsidP="0069394F">
            <w:pPr>
              <w:pStyle w:val="SingleTxtGC"/>
              <w:ind w:left="0" w:right="0"/>
              <w:rPr>
                <w:rFonts w:eastAsia="楷体"/>
              </w:rPr>
            </w:pPr>
            <w:r w:rsidRPr="0079694F">
              <w:rPr>
                <w:rFonts w:ascii="Time New Roman" w:eastAsia="楷体" w:hAnsi="Time New Roman" w:hint="eastAsia"/>
              </w:rPr>
              <w:t>结论性意见</w:t>
            </w:r>
            <w:r w:rsidRPr="0079694F">
              <w:rPr>
                <w:rFonts w:ascii="Time New Roman" w:eastAsia="楷体" w:hAnsi="Time New Roman" w:hint="eastAsia"/>
              </w:rPr>
              <w:t>(</w:t>
            </w:r>
            <w:r w:rsidRPr="0079694F">
              <w:rPr>
                <w:rFonts w:ascii="Time New Roman" w:eastAsia="楷体" w:hAnsi="Time New Roman" w:hint="eastAsia"/>
              </w:rPr>
              <w:t>第一二一届会议</w:t>
            </w:r>
            <w:r w:rsidRPr="0079694F">
              <w:rPr>
                <w:rFonts w:ascii="Time New Roman" w:eastAsia="楷体" w:hAnsi="Time New Roman" w:hint="eastAsia"/>
              </w:rPr>
              <w:t>)</w:t>
            </w:r>
            <w:r w:rsidRPr="0079694F">
              <w:rPr>
                <w:rFonts w:ascii="Time New Roman" w:eastAsia="楷体" w:hAnsi="Time New Roman" w:hint="eastAsia"/>
              </w:rPr>
              <w:t>：</w:t>
            </w:r>
          </w:p>
        </w:tc>
        <w:tc>
          <w:tcPr>
            <w:tcW w:w="4394" w:type="dxa"/>
          </w:tcPr>
          <w:p w14:paraId="0A091D61" w14:textId="44A83981" w:rsidR="00FF6785" w:rsidRPr="00C74FB6" w:rsidRDefault="00A007BC" w:rsidP="0069394F">
            <w:pPr>
              <w:pStyle w:val="SingleTxtGC"/>
              <w:ind w:left="0" w:right="0"/>
            </w:pPr>
            <w:hyperlink r:id="rId9" w:history="1">
              <w:r w:rsidRPr="00357A5B">
                <w:rPr>
                  <w:rStyle w:val="af6"/>
                </w:rPr>
                <w:t>CCPR/C/JOR/CO/5</w:t>
              </w:r>
            </w:hyperlink>
            <w:r w:rsidR="0079694F" w:rsidRPr="0079694F">
              <w:rPr>
                <w:rFonts w:hint="eastAsia"/>
              </w:rPr>
              <w:t>, 2017</w:t>
            </w:r>
            <w:r w:rsidR="0079694F" w:rsidRPr="0079694F">
              <w:rPr>
                <w:rFonts w:hint="eastAsia"/>
              </w:rPr>
              <w:t>年</w:t>
            </w:r>
            <w:r w:rsidR="0079694F" w:rsidRPr="0079694F">
              <w:rPr>
                <w:rFonts w:hint="eastAsia"/>
              </w:rPr>
              <w:t>11</w:t>
            </w:r>
            <w:r w:rsidR="0079694F" w:rsidRPr="0079694F">
              <w:rPr>
                <w:rFonts w:hint="eastAsia"/>
              </w:rPr>
              <w:t>月</w:t>
            </w:r>
            <w:r w:rsidR="0079694F" w:rsidRPr="0079694F">
              <w:rPr>
                <w:rFonts w:hint="eastAsia"/>
              </w:rPr>
              <w:t>6</w:t>
            </w:r>
            <w:r w:rsidR="0079694F" w:rsidRPr="0079694F">
              <w:rPr>
                <w:rFonts w:hint="eastAsia"/>
              </w:rPr>
              <w:t>日和</w:t>
            </w:r>
            <w:r w:rsidR="0079694F" w:rsidRPr="0079694F">
              <w:rPr>
                <w:rFonts w:hint="eastAsia"/>
              </w:rPr>
              <w:t>7</w:t>
            </w:r>
            <w:r w:rsidR="0079694F" w:rsidRPr="0079694F">
              <w:rPr>
                <w:rFonts w:hint="eastAsia"/>
              </w:rPr>
              <w:t>日</w:t>
            </w:r>
          </w:p>
        </w:tc>
      </w:tr>
      <w:tr w:rsidR="00FF6785" w14:paraId="433627B7" w14:textId="77777777" w:rsidTr="00EF7053">
        <w:trPr>
          <w:cantSplit/>
        </w:trPr>
        <w:tc>
          <w:tcPr>
            <w:tcW w:w="2977" w:type="dxa"/>
          </w:tcPr>
          <w:p w14:paraId="3FB655EF" w14:textId="08EC275B" w:rsidR="00FF6785" w:rsidRPr="00172E04" w:rsidRDefault="0079694F" w:rsidP="0069394F">
            <w:pPr>
              <w:pStyle w:val="SingleTxtGC"/>
              <w:ind w:left="0" w:right="0"/>
              <w:rPr>
                <w:rFonts w:eastAsia="楷体"/>
              </w:rPr>
            </w:pPr>
            <w:r w:rsidRPr="0079694F">
              <w:rPr>
                <w:rFonts w:ascii="Time New Roman" w:eastAsia="楷体" w:hAnsi="Time New Roman" w:hint="eastAsia"/>
              </w:rPr>
              <w:t>关于后续行动的段落：</w:t>
            </w:r>
          </w:p>
        </w:tc>
        <w:tc>
          <w:tcPr>
            <w:tcW w:w="4394" w:type="dxa"/>
          </w:tcPr>
          <w:p w14:paraId="510B8D3C" w14:textId="14F94530" w:rsidR="00FF6785" w:rsidRPr="00C74FB6" w:rsidRDefault="0079694F" w:rsidP="0069394F">
            <w:pPr>
              <w:pStyle w:val="SingleTxtGC"/>
              <w:ind w:left="0" w:right="0"/>
            </w:pPr>
            <w:r w:rsidRPr="0079694F">
              <w:rPr>
                <w:rFonts w:hint="eastAsia"/>
              </w:rPr>
              <w:t>第</w:t>
            </w:r>
            <w:r w:rsidRPr="0079694F">
              <w:rPr>
                <w:rFonts w:hint="eastAsia"/>
              </w:rPr>
              <w:t>11</w:t>
            </w:r>
            <w:r w:rsidRPr="0079694F">
              <w:rPr>
                <w:rFonts w:hint="eastAsia"/>
              </w:rPr>
              <w:t>、第</w:t>
            </w:r>
            <w:r w:rsidRPr="0079694F">
              <w:rPr>
                <w:rFonts w:hint="eastAsia"/>
              </w:rPr>
              <w:t>19</w:t>
            </w:r>
            <w:r w:rsidRPr="0079694F">
              <w:rPr>
                <w:rFonts w:hint="eastAsia"/>
              </w:rPr>
              <w:t>和第</w:t>
            </w:r>
            <w:r w:rsidRPr="0079694F">
              <w:rPr>
                <w:rFonts w:hint="eastAsia"/>
              </w:rPr>
              <w:t>25</w:t>
            </w:r>
            <w:r w:rsidRPr="0079694F">
              <w:rPr>
                <w:rFonts w:hint="eastAsia"/>
              </w:rPr>
              <w:t>段</w:t>
            </w:r>
          </w:p>
        </w:tc>
      </w:tr>
      <w:tr w:rsidR="00FF6785" w14:paraId="3564653D" w14:textId="77777777" w:rsidTr="00EF7053">
        <w:trPr>
          <w:cantSplit/>
        </w:trPr>
        <w:tc>
          <w:tcPr>
            <w:tcW w:w="2977" w:type="dxa"/>
          </w:tcPr>
          <w:p w14:paraId="0F9E670F" w14:textId="05913FFC" w:rsidR="00FF6785" w:rsidRPr="00172E04" w:rsidRDefault="0079694F" w:rsidP="0069394F">
            <w:pPr>
              <w:pStyle w:val="SingleTxtGC"/>
              <w:ind w:left="0" w:right="0"/>
              <w:rPr>
                <w:rFonts w:eastAsia="楷体"/>
              </w:rPr>
            </w:pPr>
            <w:r w:rsidRPr="0079694F">
              <w:rPr>
                <w:rFonts w:ascii="Time New Roman" w:eastAsia="楷体" w:hAnsi="Time New Roman" w:hint="eastAsia"/>
              </w:rPr>
              <w:t>从缔约国收到的资料：</w:t>
            </w:r>
          </w:p>
        </w:tc>
        <w:tc>
          <w:tcPr>
            <w:tcW w:w="4394" w:type="dxa"/>
          </w:tcPr>
          <w:p w14:paraId="4AE45A2E" w14:textId="682FDBA0" w:rsidR="00FF6785" w:rsidRPr="00C74FB6" w:rsidRDefault="00A007BC" w:rsidP="0069394F">
            <w:pPr>
              <w:pStyle w:val="SingleTxtGC"/>
              <w:ind w:left="0" w:right="0"/>
            </w:pPr>
            <w:hyperlink r:id="rId10" w:history="1">
              <w:r w:rsidRPr="00357A5B">
                <w:rPr>
                  <w:rStyle w:val="af6"/>
                </w:rPr>
                <w:t>C</w:t>
              </w:r>
              <w:r w:rsidRPr="00357A5B">
                <w:rPr>
                  <w:rStyle w:val="af6"/>
                </w:rPr>
                <w:t>C</w:t>
              </w:r>
              <w:r w:rsidRPr="00357A5B">
                <w:rPr>
                  <w:rStyle w:val="af6"/>
                </w:rPr>
                <w:t>PR/C/JOR/FCO/5</w:t>
              </w:r>
            </w:hyperlink>
            <w:r w:rsidR="00B23CF1" w:rsidRPr="00B23CF1">
              <w:rPr>
                <w:rFonts w:hint="eastAsia"/>
              </w:rPr>
              <w:t>, 2020</w:t>
            </w:r>
            <w:r w:rsidR="00B23CF1" w:rsidRPr="00B23CF1">
              <w:rPr>
                <w:rFonts w:hint="eastAsia"/>
              </w:rPr>
              <w:t>年</w:t>
            </w:r>
            <w:r w:rsidR="00B23CF1" w:rsidRPr="00B23CF1">
              <w:rPr>
                <w:rFonts w:hint="eastAsia"/>
              </w:rPr>
              <w:t>12</w:t>
            </w:r>
            <w:r w:rsidR="00B23CF1" w:rsidRPr="00B23CF1">
              <w:rPr>
                <w:rFonts w:hint="eastAsia"/>
              </w:rPr>
              <w:t>月</w:t>
            </w:r>
            <w:r w:rsidR="00B23CF1" w:rsidRPr="00B23CF1">
              <w:rPr>
                <w:rFonts w:hint="eastAsia"/>
              </w:rPr>
              <w:t>23</w:t>
            </w:r>
            <w:r w:rsidR="00B23CF1" w:rsidRPr="00B23CF1">
              <w:rPr>
                <w:rFonts w:hint="eastAsia"/>
              </w:rPr>
              <w:t>日</w:t>
            </w:r>
          </w:p>
        </w:tc>
      </w:tr>
      <w:tr w:rsidR="00FF6785" w14:paraId="474547BC" w14:textId="77777777" w:rsidTr="00EF7053">
        <w:trPr>
          <w:cantSplit/>
        </w:trPr>
        <w:tc>
          <w:tcPr>
            <w:tcW w:w="2977" w:type="dxa"/>
          </w:tcPr>
          <w:p w14:paraId="678C966C" w14:textId="33B79398" w:rsidR="00FF6785" w:rsidRPr="00172E04" w:rsidRDefault="00B23CF1" w:rsidP="0069394F">
            <w:pPr>
              <w:pStyle w:val="SingleTxtGC"/>
              <w:ind w:left="0" w:right="0"/>
              <w:rPr>
                <w:rFonts w:ascii="Time New Roman" w:eastAsia="楷体" w:hAnsi="Time New Roman" w:hint="eastAsia"/>
              </w:rPr>
            </w:pPr>
            <w:r w:rsidRPr="00B23CF1">
              <w:rPr>
                <w:rFonts w:ascii="Time New Roman" w:eastAsia="楷体" w:hAnsi="Time New Roman" w:hint="eastAsia"/>
              </w:rPr>
              <w:t>非政府组织提供的资料：</w:t>
            </w:r>
          </w:p>
        </w:tc>
        <w:tc>
          <w:tcPr>
            <w:tcW w:w="4394" w:type="dxa"/>
          </w:tcPr>
          <w:p w14:paraId="17738F18" w14:textId="6596FD32" w:rsidR="00FF6785" w:rsidRPr="00C74FB6" w:rsidRDefault="00016076" w:rsidP="0069394F">
            <w:pPr>
              <w:pStyle w:val="SingleTxtGC"/>
              <w:ind w:left="0" w:right="0"/>
              <w:rPr>
                <w:rFonts w:hint="eastAsia"/>
              </w:rPr>
            </w:pPr>
            <w:hyperlink r:id="rId11" w:history="1">
              <w:r w:rsidR="00A007BC" w:rsidRPr="00016076">
                <w:rPr>
                  <w:rStyle w:val="af6"/>
                </w:rPr>
                <w:t>Al Hayat</w:t>
              </w:r>
              <w:r w:rsidR="00A007BC" w:rsidRPr="00016076">
                <w:rPr>
                  <w:rStyle w:val="af6"/>
                  <w:rFonts w:hint="eastAsia"/>
                </w:rPr>
                <w:t>民间</w:t>
              </w:r>
              <w:r w:rsidR="00A007BC" w:rsidRPr="00016076">
                <w:rPr>
                  <w:rStyle w:val="af6"/>
                </w:rPr>
                <w:t>社会发展中</w:t>
              </w:r>
              <w:r w:rsidR="00A007BC" w:rsidRPr="00016076">
                <w:rPr>
                  <w:rStyle w:val="af6"/>
                </w:rPr>
                <w:t>心</w:t>
              </w:r>
            </w:hyperlink>
            <w:r w:rsidR="00B23CF1" w:rsidRPr="00B23CF1">
              <w:rPr>
                <w:rFonts w:hint="eastAsia"/>
              </w:rPr>
              <w:t>，</w:t>
            </w:r>
            <w:r w:rsidR="00EF7053">
              <w:br/>
            </w:r>
            <w:r w:rsidR="00EF7053" w:rsidRPr="00EF7053">
              <w:rPr>
                <w:rFonts w:hint="eastAsia"/>
              </w:rPr>
              <w:t>2021</w:t>
            </w:r>
            <w:r w:rsidR="00EF7053" w:rsidRPr="00EF7053">
              <w:rPr>
                <w:rFonts w:hint="eastAsia"/>
              </w:rPr>
              <w:t>年</w:t>
            </w:r>
            <w:r w:rsidR="00EF7053" w:rsidRPr="00EF7053">
              <w:rPr>
                <w:rFonts w:hint="eastAsia"/>
              </w:rPr>
              <w:t>8</w:t>
            </w:r>
            <w:r w:rsidR="00EF7053" w:rsidRPr="00EF7053">
              <w:rPr>
                <w:rFonts w:hint="eastAsia"/>
              </w:rPr>
              <w:t>月</w:t>
            </w:r>
          </w:p>
        </w:tc>
      </w:tr>
      <w:tr w:rsidR="00FF6785" w14:paraId="612665BC" w14:textId="77777777" w:rsidTr="00EF7053">
        <w:trPr>
          <w:cantSplit/>
        </w:trPr>
        <w:tc>
          <w:tcPr>
            <w:tcW w:w="2977" w:type="dxa"/>
          </w:tcPr>
          <w:p w14:paraId="4F29EC95" w14:textId="10850185" w:rsidR="00FF6785" w:rsidRPr="00172E04" w:rsidRDefault="00254C60" w:rsidP="0069394F">
            <w:pPr>
              <w:pStyle w:val="SingleTxtGC"/>
              <w:ind w:left="0" w:right="0"/>
              <w:rPr>
                <w:rFonts w:ascii="Time New Roman" w:eastAsia="楷体" w:hAnsi="Time New Roman" w:hint="eastAsia"/>
              </w:rPr>
            </w:pPr>
            <w:r w:rsidRPr="00254C60">
              <w:rPr>
                <w:rFonts w:eastAsia="楷体" w:hint="eastAsia"/>
              </w:rPr>
              <w:t>委员会的评价：</w:t>
            </w:r>
          </w:p>
        </w:tc>
        <w:tc>
          <w:tcPr>
            <w:tcW w:w="4394" w:type="dxa"/>
          </w:tcPr>
          <w:p w14:paraId="1665F9A1" w14:textId="5BDB4C26" w:rsidR="00FF6785" w:rsidRPr="00C74FB6" w:rsidRDefault="00254C60" w:rsidP="0069394F">
            <w:pPr>
              <w:pStyle w:val="SingleTxtGC"/>
              <w:ind w:left="0" w:right="0"/>
              <w:rPr>
                <w:lang w:val="fr-CH"/>
              </w:rPr>
            </w:pPr>
            <w:r w:rsidRPr="00254C60">
              <w:rPr>
                <w:rFonts w:hint="eastAsia"/>
                <w:snapToGrid/>
              </w:rPr>
              <w:t>需追加关于以下段落的资料：</w:t>
            </w:r>
            <w:r w:rsidR="00EF7053">
              <w:rPr>
                <w:snapToGrid/>
              </w:rPr>
              <w:br/>
            </w:r>
            <w:r w:rsidRPr="00254C60">
              <w:rPr>
                <w:rFonts w:hint="eastAsia"/>
                <w:snapToGrid/>
              </w:rPr>
              <w:t>11[B][</w:t>
            </w:r>
            <w:r w:rsidRPr="00506A64">
              <w:rPr>
                <w:rFonts w:hint="eastAsia"/>
                <w:b/>
                <w:bCs/>
                <w:snapToGrid/>
              </w:rPr>
              <w:t>A</w:t>
            </w:r>
            <w:r w:rsidRPr="00254C60">
              <w:rPr>
                <w:rFonts w:hint="eastAsia"/>
                <w:snapToGrid/>
              </w:rPr>
              <w:t>]</w:t>
            </w:r>
            <w:r w:rsidRPr="00254C60">
              <w:rPr>
                <w:rFonts w:hint="eastAsia"/>
                <w:snapToGrid/>
              </w:rPr>
              <w:t>、</w:t>
            </w:r>
            <w:r w:rsidRPr="00254C60">
              <w:rPr>
                <w:rFonts w:hint="eastAsia"/>
                <w:snapToGrid/>
              </w:rPr>
              <w:t>19[</w:t>
            </w:r>
            <w:r w:rsidRPr="00506A64">
              <w:rPr>
                <w:rFonts w:hint="eastAsia"/>
                <w:b/>
                <w:bCs/>
                <w:snapToGrid/>
              </w:rPr>
              <w:t>C</w:t>
            </w:r>
            <w:r w:rsidRPr="00254C60">
              <w:rPr>
                <w:rFonts w:hint="eastAsia"/>
                <w:snapToGrid/>
              </w:rPr>
              <w:t>][</w:t>
            </w:r>
            <w:r w:rsidRPr="00506A64">
              <w:rPr>
                <w:rFonts w:hint="eastAsia"/>
                <w:b/>
                <w:bCs/>
                <w:snapToGrid/>
              </w:rPr>
              <w:t>B</w:t>
            </w:r>
            <w:r w:rsidRPr="00254C60">
              <w:rPr>
                <w:rFonts w:hint="eastAsia"/>
                <w:snapToGrid/>
              </w:rPr>
              <w:t>]</w:t>
            </w:r>
            <w:r w:rsidRPr="00254C60">
              <w:rPr>
                <w:rFonts w:hint="eastAsia"/>
                <w:snapToGrid/>
              </w:rPr>
              <w:t>和</w:t>
            </w:r>
            <w:r w:rsidRPr="00254C60">
              <w:rPr>
                <w:rFonts w:hint="eastAsia"/>
                <w:snapToGrid/>
              </w:rPr>
              <w:t>25[</w:t>
            </w:r>
            <w:r w:rsidRPr="00506A64">
              <w:rPr>
                <w:rFonts w:hint="eastAsia"/>
                <w:b/>
                <w:bCs/>
                <w:snapToGrid/>
              </w:rPr>
              <w:t>C</w:t>
            </w:r>
            <w:r w:rsidRPr="00254C60">
              <w:rPr>
                <w:rFonts w:hint="eastAsia"/>
                <w:snapToGrid/>
              </w:rPr>
              <w:t>]</w:t>
            </w:r>
          </w:p>
        </w:tc>
      </w:tr>
    </w:tbl>
    <w:p w14:paraId="1C505545" w14:textId="77777777" w:rsidR="00F31164" w:rsidRDefault="00F31164" w:rsidP="00254C60">
      <w:pPr>
        <w:pStyle w:val="H23GC"/>
        <w:rPr>
          <w:rFonts w:hint="eastAsia"/>
        </w:rPr>
      </w:pPr>
      <w:r>
        <w:rPr>
          <w:rFonts w:hint="eastAsia"/>
        </w:rPr>
        <w:tab/>
      </w:r>
      <w:r>
        <w:rPr>
          <w:rFonts w:hint="eastAsia"/>
        </w:rPr>
        <w:tab/>
      </w:r>
      <w:r>
        <w:rPr>
          <w:rFonts w:hint="eastAsia"/>
        </w:rPr>
        <w:t>第</w:t>
      </w:r>
      <w:r>
        <w:rPr>
          <w:rFonts w:hint="eastAsia"/>
        </w:rPr>
        <w:t>11</w:t>
      </w:r>
      <w:r>
        <w:rPr>
          <w:rFonts w:hint="eastAsia"/>
        </w:rPr>
        <w:t>段：暴力侵害妇女，包括家庭暴力</w:t>
      </w:r>
    </w:p>
    <w:p w14:paraId="50E40A56" w14:textId="77777777" w:rsidR="00F31164" w:rsidRPr="00A02DE0" w:rsidRDefault="00F31164" w:rsidP="00F31164">
      <w:pPr>
        <w:pStyle w:val="SingleTxtGC"/>
        <w:rPr>
          <w:rFonts w:eastAsia="黑体" w:hint="eastAsia"/>
        </w:rPr>
      </w:pPr>
      <w:r w:rsidRPr="00A02DE0">
        <w:rPr>
          <w:rFonts w:eastAsia="黑体" w:hint="eastAsia"/>
        </w:rPr>
        <w:tab/>
      </w:r>
      <w:r w:rsidRPr="00A02DE0">
        <w:rPr>
          <w:rFonts w:eastAsia="黑体" w:hint="eastAsia"/>
        </w:rPr>
        <w:t>缔约国应：</w:t>
      </w:r>
    </w:p>
    <w:p w14:paraId="576D7004" w14:textId="17F9D789" w:rsidR="00F31164" w:rsidRPr="00A02DE0" w:rsidRDefault="000530FD" w:rsidP="00F31164">
      <w:pPr>
        <w:pStyle w:val="SingleTxtGC"/>
        <w:rPr>
          <w:rFonts w:eastAsia="黑体" w:hint="eastAsia"/>
        </w:rPr>
      </w:pPr>
      <w:r>
        <w:rPr>
          <w:rFonts w:eastAsia="黑体"/>
        </w:rPr>
        <w:tab/>
      </w:r>
      <w:r w:rsidR="00F31164" w:rsidRPr="00A02DE0">
        <w:rPr>
          <w:rFonts w:eastAsia="黑体" w:hint="eastAsia"/>
        </w:rPr>
        <w:t>(a)</w:t>
      </w:r>
      <w:r w:rsidR="00F31164" w:rsidRPr="00A02DE0">
        <w:rPr>
          <w:rFonts w:eastAsia="黑体" w:hint="eastAsia"/>
        </w:rPr>
        <w:tab/>
      </w:r>
      <w:r w:rsidR="00F31164" w:rsidRPr="00A02DE0">
        <w:rPr>
          <w:rFonts w:eastAsia="黑体" w:hint="eastAsia"/>
        </w:rPr>
        <w:t>加强保护妇女免遭家庭暴力的法律框架，特别是修正《刑法》第</w:t>
      </w:r>
      <w:r w:rsidR="00F31164" w:rsidRPr="00A02DE0">
        <w:rPr>
          <w:rFonts w:eastAsia="黑体" w:hint="eastAsia"/>
        </w:rPr>
        <w:t>292</w:t>
      </w:r>
      <w:r w:rsidR="00F31164" w:rsidRPr="00A02DE0">
        <w:rPr>
          <w:rFonts w:eastAsia="黑体" w:hint="eastAsia"/>
        </w:rPr>
        <w:t>条，将婚内强奸定为犯罪，并撤销名誉犯罪减轻处罚的条件；</w:t>
      </w:r>
    </w:p>
    <w:p w14:paraId="1C6F1D13" w14:textId="66CE57F7" w:rsidR="00F31164" w:rsidRPr="00A02DE0" w:rsidRDefault="000530FD" w:rsidP="00F31164">
      <w:pPr>
        <w:pStyle w:val="SingleTxtGC"/>
        <w:rPr>
          <w:rFonts w:eastAsia="黑体" w:hint="eastAsia"/>
        </w:rPr>
      </w:pPr>
      <w:r>
        <w:rPr>
          <w:rFonts w:eastAsia="黑体"/>
        </w:rPr>
        <w:tab/>
      </w:r>
      <w:r w:rsidR="00F31164" w:rsidRPr="00A02DE0">
        <w:rPr>
          <w:rFonts w:eastAsia="黑体" w:hint="eastAsia"/>
        </w:rPr>
        <w:t>(b)</w:t>
      </w:r>
      <w:r w:rsidR="00F31164" w:rsidRPr="00A02DE0">
        <w:rPr>
          <w:rFonts w:eastAsia="黑体" w:hint="eastAsia"/>
        </w:rPr>
        <w:tab/>
      </w:r>
      <w:r w:rsidR="00F31164" w:rsidRPr="00A02DE0">
        <w:rPr>
          <w:rFonts w:eastAsia="黑体" w:hint="eastAsia"/>
        </w:rPr>
        <w:t>修正其保护性拘押政策，并采取一切适当措施，确保躲避家庭暴力的妇女能够得到庇护和支助而不致有失去自由之虞；</w:t>
      </w:r>
    </w:p>
    <w:p w14:paraId="6DBB30A6" w14:textId="15119D96" w:rsidR="00F31164" w:rsidRPr="00A02DE0" w:rsidRDefault="000530FD" w:rsidP="00F31164">
      <w:pPr>
        <w:pStyle w:val="SingleTxtGC"/>
        <w:rPr>
          <w:rFonts w:eastAsia="黑体" w:hint="eastAsia"/>
        </w:rPr>
      </w:pPr>
      <w:r>
        <w:rPr>
          <w:rFonts w:eastAsia="黑体"/>
        </w:rPr>
        <w:tab/>
      </w:r>
      <w:r w:rsidR="00F31164" w:rsidRPr="00A02DE0">
        <w:rPr>
          <w:rFonts w:eastAsia="黑体" w:hint="eastAsia"/>
        </w:rPr>
        <w:t>(c)</w:t>
      </w:r>
      <w:r w:rsidR="00F31164" w:rsidRPr="00A02DE0">
        <w:rPr>
          <w:rFonts w:eastAsia="黑体" w:hint="eastAsia"/>
        </w:rPr>
        <w:tab/>
      </w:r>
      <w:r w:rsidR="00F31164" w:rsidRPr="00A02DE0">
        <w:rPr>
          <w:rFonts w:eastAsia="黑体" w:hint="eastAsia"/>
        </w:rPr>
        <w:t>制定和实施对执法官员、法官、检察官和律师及各省与家庭保护有关的部门雇员进行培训的更有效方案，并向家庭暴力受害人提供援助；</w:t>
      </w:r>
    </w:p>
    <w:p w14:paraId="41464CD6" w14:textId="5FD74AD3" w:rsidR="00F31164" w:rsidRPr="00A02DE0" w:rsidRDefault="000530FD" w:rsidP="00F31164">
      <w:pPr>
        <w:pStyle w:val="SingleTxtGC"/>
        <w:rPr>
          <w:rFonts w:eastAsia="黑体" w:hint="eastAsia"/>
        </w:rPr>
      </w:pPr>
      <w:r>
        <w:rPr>
          <w:rFonts w:eastAsia="黑体"/>
        </w:rPr>
        <w:tab/>
      </w:r>
      <w:r w:rsidR="00F31164" w:rsidRPr="00A02DE0">
        <w:rPr>
          <w:rFonts w:eastAsia="黑体" w:hint="eastAsia"/>
        </w:rPr>
        <w:t>(d)</w:t>
      </w:r>
      <w:r w:rsidR="00F31164" w:rsidRPr="00A02DE0">
        <w:rPr>
          <w:rFonts w:eastAsia="黑体" w:hint="eastAsia"/>
        </w:rPr>
        <w:tab/>
      </w:r>
      <w:r w:rsidR="00F31164" w:rsidRPr="00A02DE0">
        <w:rPr>
          <w:rFonts w:eastAsia="黑体" w:hint="eastAsia"/>
        </w:rPr>
        <w:t>开展宣传运动，以制止暴力侵害妇女，包括家庭暴力，对暴力侵害妇女的根本原因进行研究，并立足于这类研究加大宣传努力，以防止和消除暴力侵害妇女的行为。</w:t>
      </w:r>
    </w:p>
    <w:p w14:paraId="40FE8363" w14:textId="77777777" w:rsidR="00F31164" w:rsidRDefault="00F31164" w:rsidP="00F37918">
      <w:pPr>
        <w:pStyle w:val="H23GC"/>
        <w:rPr>
          <w:rFonts w:hint="eastAsia"/>
        </w:rPr>
      </w:pPr>
      <w:r>
        <w:rPr>
          <w:rFonts w:hint="eastAsia"/>
        </w:rPr>
        <w:lastRenderedPageBreak/>
        <w:tab/>
      </w:r>
      <w:r>
        <w:rPr>
          <w:rFonts w:hint="eastAsia"/>
        </w:rPr>
        <w:tab/>
      </w:r>
      <w:r>
        <w:rPr>
          <w:rFonts w:hint="eastAsia"/>
        </w:rPr>
        <w:t>缔约国答复概要</w:t>
      </w:r>
    </w:p>
    <w:p w14:paraId="7F03380A" w14:textId="7465ED88" w:rsidR="00F31164" w:rsidRDefault="00F31164" w:rsidP="00F31164">
      <w:pPr>
        <w:pStyle w:val="SingleTxtGC"/>
        <w:rPr>
          <w:rFonts w:hint="eastAsia"/>
        </w:rPr>
      </w:pPr>
      <w:r>
        <w:rPr>
          <w:rFonts w:hint="eastAsia"/>
        </w:rPr>
        <w:t>(a)</w:t>
      </w:r>
      <w:r>
        <w:rPr>
          <w:rFonts w:hint="eastAsia"/>
        </w:rPr>
        <w:tab/>
      </w:r>
      <w:r>
        <w:rPr>
          <w:rFonts w:hint="eastAsia"/>
        </w:rPr>
        <w:t>缔约国于</w:t>
      </w:r>
      <w:r>
        <w:rPr>
          <w:rFonts w:hint="eastAsia"/>
        </w:rPr>
        <w:t>2017</w:t>
      </w:r>
      <w:r>
        <w:rPr>
          <w:rFonts w:hint="eastAsia"/>
        </w:rPr>
        <w:t>年修订了《刑法》，以确保根据第</w:t>
      </w:r>
      <w:r>
        <w:rPr>
          <w:rFonts w:hint="eastAsia"/>
        </w:rPr>
        <w:t>306</w:t>
      </w:r>
      <w:r>
        <w:rPr>
          <w:rFonts w:hint="eastAsia"/>
        </w:rPr>
        <w:t>条惩罚所有形式的性骚扰，删除第</w:t>
      </w:r>
      <w:r>
        <w:rPr>
          <w:rFonts w:hint="eastAsia"/>
        </w:rPr>
        <w:t>98</w:t>
      </w:r>
      <w:r>
        <w:rPr>
          <w:rFonts w:hint="eastAsia"/>
        </w:rPr>
        <w:t>条中允许将“一时愤怒”视为“名誉犯罪”减轻情节的规定，并根据第</w:t>
      </w:r>
      <w:r>
        <w:rPr>
          <w:rFonts w:hint="eastAsia"/>
        </w:rPr>
        <w:t>99</w:t>
      </w:r>
      <w:r>
        <w:rPr>
          <w:rFonts w:hint="eastAsia"/>
        </w:rPr>
        <w:t>条对暴力侵害妇女行为实行更严厉的处罚。</w:t>
      </w:r>
    </w:p>
    <w:p w14:paraId="3989D7FC" w14:textId="28E85732" w:rsidR="00F31164" w:rsidRDefault="00F31164" w:rsidP="00F31164">
      <w:pPr>
        <w:pStyle w:val="SingleTxtGC"/>
        <w:rPr>
          <w:rFonts w:hint="eastAsia"/>
        </w:rPr>
      </w:pPr>
      <w:r>
        <w:rPr>
          <w:rFonts w:hint="eastAsia"/>
        </w:rPr>
        <w:t>(b)</w:t>
      </w:r>
      <w:r>
        <w:rPr>
          <w:rFonts w:hint="eastAsia"/>
        </w:rPr>
        <w:tab/>
      </w:r>
      <w:r>
        <w:rPr>
          <w:rFonts w:hint="eastAsia"/>
        </w:rPr>
        <w:t>缔约国于</w:t>
      </w:r>
      <w:r>
        <w:rPr>
          <w:rFonts w:hint="eastAsia"/>
        </w:rPr>
        <w:t>2018</w:t>
      </w:r>
      <w:r>
        <w:rPr>
          <w:rFonts w:hint="eastAsia"/>
        </w:rPr>
        <w:t>年开设了</w:t>
      </w:r>
      <w:r>
        <w:rPr>
          <w:rFonts w:hint="eastAsia"/>
        </w:rPr>
        <w:t>Amna</w:t>
      </w:r>
      <w:r>
        <w:rPr>
          <w:rFonts w:hint="eastAsia"/>
        </w:rPr>
        <w:t>中心，作为保护性拘押的替代办法。该庇护所提供住宿、食物、衣物和支助服务，还提供培训和康复方案、心理支持、保健服务、咨询和法律援助。家庭保护部会采取一切适当措施，确保家庭暴力的受害者能够进入该庇护所。公共安全局局长已下令改组家庭保护部，并审查有关保护妇女和儿童的法律、法规和指示。</w:t>
      </w:r>
    </w:p>
    <w:p w14:paraId="782FBE3A" w14:textId="5E2768B2" w:rsidR="00F31164" w:rsidRDefault="00F31164" w:rsidP="00F31164">
      <w:pPr>
        <w:pStyle w:val="SingleTxtGC"/>
        <w:rPr>
          <w:rFonts w:hint="eastAsia"/>
        </w:rPr>
      </w:pPr>
      <w:r>
        <w:rPr>
          <w:rFonts w:hint="eastAsia"/>
        </w:rPr>
        <w:t>(c)</w:t>
      </w:r>
      <w:r>
        <w:rPr>
          <w:rFonts w:hint="eastAsia"/>
        </w:rPr>
        <w:tab/>
      </w:r>
      <w:r>
        <w:rPr>
          <w:rFonts w:hint="eastAsia"/>
        </w:rPr>
        <w:t>司法委员会向司法机关的成员提供了涉及一系列问题的培训，包括家庭暴力和贩运人口问题。司法机关成员还接受了关于在家庭暴力案件中开展保护工作的培训。家庭保护中心于</w:t>
      </w:r>
      <w:r>
        <w:rPr>
          <w:rFonts w:hint="eastAsia"/>
        </w:rPr>
        <w:t>2018</w:t>
      </w:r>
      <w:r>
        <w:rPr>
          <w:rFonts w:hint="eastAsia"/>
        </w:rPr>
        <w:t>年、</w:t>
      </w:r>
      <w:r>
        <w:rPr>
          <w:rFonts w:hint="eastAsia"/>
        </w:rPr>
        <w:t>2019</w:t>
      </w:r>
      <w:r>
        <w:rPr>
          <w:rFonts w:hint="eastAsia"/>
        </w:rPr>
        <w:t>年和</w:t>
      </w:r>
      <w:r>
        <w:rPr>
          <w:rFonts w:hint="eastAsia"/>
        </w:rPr>
        <w:t>2020</w:t>
      </w:r>
      <w:r>
        <w:rPr>
          <w:rFonts w:hint="eastAsia"/>
        </w:rPr>
        <w:t>年为其大量工作人员提供了与暴力侵害妇女行为有关的一系列专题的培训课程和讲习班。缔约国已与联合国儿童基金会</w:t>
      </w:r>
      <w:r>
        <w:rPr>
          <w:rFonts w:hint="eastAsia"/>
        </w:rPr>
        <w:t>(</w:t>
      </w:r>
      <w:r>
        <w:rPr>
          <w:rFonts w:hint="eastAsia"/>
        </w:rPr>
        <w:t>儿基会</w:t>
      </w:r>
      <w:r>
        <w:rPr>
          <w:rFonts w:hint="eastAsia"/>
        </w:rPr>
        <w:t>)</w:t>
      </w:r>
      <w:r>
        <w:rPr>
          <w:rFonts w:hint="eastAsia"/>
        </w:rPr>
        <w:t>、联合国难民事务高级专员公署</w:t>
      </w:r>
      <w:r>
        <w:rPr>
          <w:rFonts w:hint="eastAsia"/>
        </w:rPr>
        <w:t>(</w:t>
      </w:r>
      <w:r>
        <w:rPr>
          <w:rFonts w:hint="eastAsia"/>
        </w:rPr>
        <w:t>难民署</w:t>
      </w:r>
      <w:r>
        <w:rPr>
          <w:rFonts w:hint="eastAsia"/>
        </w:rPr>
        <w:t>)</w:t>
      </w:r>
      <w:r>
        <w:rPr>
          <w:rFonts w:hint="eastAsia"/>
        </w:rPr>
        <w:t>和联合国人口基金等国际组织合作，就涉及暴力侵害妇女行为的不同问题，制定相关指南。目前正在制定一项保护家庭暴力案件报案人或证人的制度。</w:t>
      </w:r>
    </w:p>
    <w:p w14:paraId="5AA1B58C" w14:textId="79EB97B1" w:rsidR="00F31164" w:rsidRDefault="00F31164" w:rsidP="00F31164">
      <w:pPr>
        <w:pStyle w:val="SingleTxtGC"/>
        <w:rPr>
          <w:rFonts w:hint="eastAsia"/>
        </w:rPr>
      </w:pPr>
      <w:r>
        <w:rPr>
          <w:rFonts w:hint="eastAsia"/>
        </w:rPr>
        <w:t>(d)</w:t>
      </w:r>
      <w:r>
        <w:rPr>
          <w:rFonts w:hint="eastAsia"/>
        </w:rPr>
        <w:tab/>
      </w:r>
      <w:r>
        <w:rPr>
          <w:rFonts w:hint="eastAsia"/>
        </w:rPr>
        <w:t>缔约国组织了一系列宣传活动以打击暴力侵害妇女行为，包括调动社交媒体的参与，以及举行了</w:t>
      </w:r>
      <w:r>
        <w:rPr>
          <w:rFonts w:hint="eastAsia"/>
        </w:rPr>
        <w:t>754</w:t>
      </w:r>
      <w:r>
        <w:rPr>
          <w:rFonts w:hint="eastAsia"/>
        </w:rPr>
        <w:t>次讲座，受众达</w:t>
      </w:r>
      <w:r>
        <w:rPr>
          <w:rFonts w:hint="eastAsia"/>
        </w:rPr>
        <w:t>37,750</w:t>
      </w:r>
      <w:r>
        <w:rPr>
          <w:rFonts w:hint="eastAsia"/>
        </w:rPr>
        <w:t>人，涵盖所有省份。在报告所述期间采取的措施包括：每年举行为期</w:t>
      </w:r>
      <w:r>
        <w:rPr>
          <w:rFonts w:hint="eastAsia"/>
        </w:rPr>
        <w:t>16</w:t>
      </w:r>
      <w:r>
        <w:rPr>
          <w:rFonts w:hint="eastAsia"/>
        </w:rPr>
        <w:t>天的反性别暴力行动，以及在</w:t>
      </w:r>
      <w:r>
        <w:rPr>
          <w:rFonts w:hint="eastAsia"/>
        </w:rPr>
        <w:t>2018</w:t>
      </w:r>
      <w:r>
        <w:rPr>
          <w:rFonts w:hint="eastAsia"/>
        </w:rPr>
        <w:t>年开展了题为“大胆发声……骚扰就是犯罪”的运动。缔约国开展的评价活动表明，这些运动显著提高了人们对性骚扰和可用补救措施的认识。家庭保护部为合作伙伴和研究人员开展的许多关于暴力侵害妇女行为的研究作出了贡献。</w:t>
      </w:r>
    </w:p>
    <w:p w14:paraId="08BEAD14" w14:textId="77777777" w:rsidR="00F31164" w:rsidRDefault="00F31164" w:rsidP="00DB55A5">
      <w:pPr>
        <w:pStyle w:val="H23GC"/>
        <w:rPr>
          <w:rFonts w:hint="eastAsia"/>
        </w:rPr>
      </w:pPr>
      <w:r>
        <w:rPr>
          <w:rFonts w:hint="eastAsia"/>
        </w:rPr>
        <w:tab/>
      </w:r>
      <w:r>
        <w:rPr>
          <w:rFonts w:hint="eastAsia"/>
        </w:rPr>
        <w:tab/>
      </w:r>
      <w:r>
        <w:rPr>
          <w:rFonts w:hint="eastAsia"/>
        </w:rPr>
        <w:t>利益攸关方资料概要</w:t>
      </w:r>
    </w:p>
    <w:p w14:paraId="16029D5A" w14:textId="77777777" w:rsidR="00F31164" w:rsidRDefault="00F31164" w:rsidP="00DB55A5">
      <w:pPr>
        <w:pStyle w:val="H4GC"/>
        <w:rPr>
          <w:rFonts w:hint="eastAsia"/>
        </w:rPr>
      </w:pPr>
      <w:r>
        <w:rPr>
          <w:rFonts w:hint="eastAsia"/>
        </w:rPr>
        <w:tab/>
      </w:r>
      <w:r>
        <w:rPr>
          <w:rFonts w:hint="eastAsia"/>
        </w:rPr>
        <w:tab/>
        <w:t>Al Hayat</w:t>
      </w:r>
      <w:r>
        <w:rPr>
          <w:rFonts w:hint="eastAsia"/>
        </w:rPr>
        <w:t>民间社会发展中心</w:t>
      </w:r>
    </w:p>
    <w:p w14:paraId="7D5B4B4D" w14:textId="1C22B0F6" w:rsidR="00F31164" w:rsidRDefault="00F31164" w:rsidP="00F31164">
      <w:pPr>
        <w:pStyle w:val="SingleTxtGC"/>
        <w:rPr>
          <w:rFonts w:hint="eastAsia"/>
        </w:rPr>
      </w:pPr>
      <w:r>
        <w:rPr>
          <w:rFonts w:hint="eastAsia"/>
        </w:rPr>
        <w:t>《刑法》于</w:t>
      </w:r>
      <w:r>
        <w:rPr>
          <w:rFonts w:hint="eastAsia"/>
        </w:rPr>
        <w:t>2017</w:t>
      </w:r>
      <w:r>
        <w:rPr>
          <w:rFonts w:hint="eastAsia"/>
        </w:rPr>
        <w:t>年经过修正，根据第</w:t>
      </w:r>
      <w:r>
        <w:rPr>
          <w:rFonts w:hint="eastAsia"/>
        </w:rPr>
        <w:t>306</w:t>
      </w:r>
      <w:r>
        <w:rPr>
          <w:rFonts w:hint="eastAsia"/>
        </w:rPr>
        <w:t>条惩罚所有形式的性骚扰行为。第</w:t>
      </w:r>
      <w:r>
        <w:rPr>
          <w:rFonts w:hint="eastAsia"/>
        </w:rPr>
        <w:t>98</w:t>
      </w:r>
      <w:r>
        <w:rPr>
          <w:rFonts w:hint="eastAsia"/>
        </w:rPr>
        <w:t>条也经过修正，以确保在一时愤怒下对女性实施名誉犯罪不属于减轻情节。此外，第</w:t>
      </w:r>
      <w:r>
        <w:rPr>
          <w:rFonts w:hint="eastAsia"/>
        </w:rPr>
        <w:t>99</w:t>
      </w:r>
      <w:r>
        <w:rPr>
          <w:rFonts w:hint="eastAsia"/>
        </w:rPr>
        <w:t>条也经过修正，对这些罪行规定了更严厉的处罚。尽管有这些变化，暴力侵害妇女行为的发生率并未下降。若干民间社会组织报告称，在</w:t>
      </w:r>
      <w:r>
        <w:rPr>
          <w:rFonts w:hint="eastAsia"/>
        </w:rPr>
        <w:t>2019</w:t>
      </w:r>
      <w:r>
        <w:rPr>
          <w:rFonts w:hint="eastAsia"/>
        </w:rPr>
        <w:t>冠状病毒病</w:t>
      </w:r>
      <w:r>
        <w:rPr>
          <w:rFonts w:hint="eastAsia"/>
        </w:rPr>
        <w:t>(COVID-19)</w:t>
      </w:r>
      <w:r>
        <w:rPr>
          <w:rFonts w:hint="eastAsia"/>
        </w:rPr>
        <w:t>大流行期间，针对妇女的家庭暴力案件有所增加，</w:t>
      </w:r>
      <w:r>
        <w:rPr>
          <w:rFonts w:hint="eastAsia"/>
        </w:rPr>
        <w:t>2020</w:t>
      </w:r>
      <w:r>
        <w:rPr>
          <w:rFonts w:hint="eastAsia"/>
        </w:rPr>
        <w:t>年</w:t>
      </w:r>
      <w:r>
        <w:rPr>
          <w:rFonts w:hint="eastAsia"/>
        </w:rPr>
        <w:t>5</w:t>
      </w:r>
      <w:r>
        <w:rPr>
          <w:rFonts w:hint="eastAsia"/>
        </w:rPr>
        <w:t>月</w:t>
      </w:r>
      <w:r>
        <w:rPr>
          <w:rFonts w:hint="eastAsia"/>
        </w:rPr>
        <w:t>12</w:t>
      </w:r>
      <w:r>
        <w:rPr>
          <w:rFonts w:hint="eastAsia"/>
        </w:rPr>
        <w:t>日，家庭保护部宣布，在约旦实行宵禁的第一个月，家庭暴力案件与</w:t>
      </w:r>
      <w:r>
        <w:rPr>
          <w:rFonts w:hint="eastAsia"/>
        </w:rPr>
        <w:t>2019</w:t>
      </w:r>
      <w:r>
        <w:rPr>
          <w:rFonts w:hint="eastAsia"/>
        </w:rPr>
        <w:t>年同期相比增加了</w:t>
      </w:r>
      <w:r>
        <w:rPr>
          <w:rFonts w:hint="eastAsia"/>
        </w:rPr>
        <w:t>33%</w:t>
      </w:r>
      <w:r>
        <w:rPr>
          <w:rFonts w:hint="eastAsia"/>
        </w:rPr>
        <w:t>。有关法律修正案并未得到法院的切实适用。</w:t>
      </w:r>
    </w:p>
    <w:p w14:paraId="3264BF5C" w14:textId="0DCD6830" w:rsidR="00F31164" w:rsidRDefault="00F31164" w:rsidP="00F31164">
      <w:pPr>
        <w:pStyle w:val="SingleTxtGC"/>
        <w:rPr>
          <w:rFonts w:hint="eastAsia"/>
        </w:rPr>
      </w:pPr>
      <w:r>
        <w:rPr>
          <w:rFonts w:hint="eastAsia"/>
        </w:rPr>
        <w:t>家庭保护和</w:t>
      </w:r>
      <w:r>
        <w:rPr>
          <w:rFonts w:hint="eastAsia"/>
        </w:rPr>
        <w:t>Amna</w:t>
      </w:r>
      <w:r>
        <w:rPr>
          <w:rFonts w:hint="eastAsia"/>
        </w:rPr>
        <w:t>庇护所是为处境危险的妇女和被行政拘留的妇女建造的保护她们的临时住所。然而，大多数此类庇护所管理政策并不明确，可能导致保护方面的漏洞。实际上，这些庇护所与监狱无异。</w:t>
      </w:r>
    </w:p>
    <w:p w14:paraId="5E0E05F6" w14:textId="710CA972" w:rsidR="00F31164" w:rsidRDefault="00F31164" w:rsidP="00F31164">
      <w:pPr>
        <w:pStyle w:val="SingleTxtGC"/>
        <w:rPr>
          <w:rFonts w:hint="eastAsia"/>
        </w:rPr>
      </w:pPr>
      <w:r>
        <w:rPr>
          <w:rFonts w:hint="eastAsia"/>
        </w:rPr>
        <w:t>民间社会组织已在缔约国开展了一系列宣传活动和赋权项目。</w:t>
      </w:r>
    </w:p>
    <w:p w14:paraId="5B078A87" w14:textId="77777777" w:rsidR="00F31164" w:rsidRDefault="00F31164" w:rsidP="00DB55A5">
      <w:pPr>
        <w:pStyle w:val="H23GC"/>
        <w:rPr>
          <w:rFonts w:hint="eastAsia"/>
        </w:rPr>
      </w:pPr>
      <w:r>
        <w:rPr>
          <w:rFonts w:hint="eastAsia"/>
        </w:rPr>
        <w:tab/>
      </w:r>
      <w:r>
        <w:rPr>
          <w:rFonts w:hint="eastAsia"/>
        </w:rPr>
        <w:tab/>
      </w:r>
      <w:r>
        <w:rPr>
          <w:rFonts w:hint="eastAsia"/>
        </w:rPr>
        <w:t>委员会的评价</w:t>
      </w:r>
    </w:p>
    <w:p w14:paraId="4B5A46EB" w14:textId="77777777" w:rsidR="00F31164" w:rsidRDefault="00F31164" w:rsidP="00F31164">
      <w:pPr>
        <w:pStyle w:val="SingleTxtGC"/>
        <w:rPr>
          <w:rFonts w:hint="eastAsia"/>
        </w:rPr>
      </w:pPr>
      <w:r>
        <w:rPr>
          <w:rFonts w:hint="eastAsia"/>
        </w:rPr>
        <w:t>[</w:t>
      </w:r>
      <w:r w:rsidRPr="00EB2871">
        <w:rPr>
          <w:rFonts w:hint="eastAsia"/>
          <w:b/>
          <w:bCs/>
        </w:rPr>
        <w:t>B</w:t>
      </w:r>
      <w:r>
        <w:rPr>
          <w:rFonts w:hint="eastAsia"/>
        </w:rPr>
        <w:t>]: (a)</w:t>
      </w:r>
      <w:r>
        <w:rPr>
          <w:rFonts w:hint="eastAsia"/>
        </w:rPr>
        <w:t>、</w:t>
      </w:r>
      <w:r>
        <w:rPr>
          <w:rFonts w:hint="eastAsia"/>
        </w:rPr>
        <w:t>(b)</w:t>
      </w:r>
      <w:r>
        <w:rPr>
          <w:rFonts w:hint="eastAsia"/>
        </w:rPr>
        <w:t>和</w:t>
      </w:r>
      <w:r>
        <w:rPr>
          <w:rFonts w:hint="eastAsia"/>
        </w:rPr>
        <w:t>(c)</w:t>
      </w:r>
    </w:p>
    <w:p w14:paraId="615F7219" w14:textId="5EB56C68" w:rsidR="00F31164" w:rsidRDefault="00F31164" w:rsidP="00F31164">
      <w:pPr>
        <w:pStyle w:val="SingleTxtGC"/>
        <w:rPr>
          <w:rFonts w:hint="eastAsia"/>
        </w:rPr>
      </w:pPr>
      <w:r>
        <w:rPr>
          <w:rFonts w:hint="eastAsia"/>
        </w:rPr>
        <w:t>委员会欢迎缔约国修订《刑法》以加强关于暴力侵害妇女行为的法律框架，包括采取步骤取消名誉犯罪的减轻情节。委员会请缔约国提供资料，说明该国如何确</w:t>
      </w:r>
      <w:r>
        <w:rPr>
          <w:rFonts w:hint="eastAsia"/>
        </w:rPr>
        <w:lastRenderedPageBreak/>
        <w:t>保切实实施这些措施。委员会注意到，缔约国没有提供资料说明采取了哪些措施以将婚内强奸定为犯罪，并请缔约国澄清该做法当前的法律地位。</w:t>
      </w:r>
    </w:p>
    <w:p w14:paraId="25A902EC" w14:textId="77777777" w:rsidR="00F31164" w:rsidRDefault="00F31164" w:rsidP="00F31164">
      <w:pPr>
        <w:pStyle w:val="SingleTxtGC"/>
        <w:rPr>
          <w:rFonts w:hint="eastAsia"/>
        </w:rPr>
      </w:pPr>
      <w:r>
        <w:rPr>
          <w:rFonts w:hint="eastAsia"/>
        </w:rPr>
        <w:t>委员会欢迎缔约国采取步骤，让遭受暴力侵害或面临暴力侵害风险的妇女和儿童更容易进入庇护所。委员会还欣见有消息称缔约国计划审查有关保护妇女和儿童的法律、法规和指示。但委员会感到遗憾的是，缔约国没有提供资料说明该国保护性拘押政策的具体变化。委员会重申其在这方面的建议，并请缔约国提供资料，说明该国是否仍在使用保护性拘押来防止包括名誉犯罪在内的暴力侵害妇女行为，以及公共安全局局长下令开展的活动的内容是否包含对这项政策的审查。委员会还请缔约国提供资料，说明目前现有的庇护所的条件情况。</w:t>
      </w:r>
    </w:p>
    <w:p w14:paraId="5FE1E968" w14:textId="77777777" w:rsidR="00F31164" w:rsidRDefault="00F31164" w:rsidP="00F31164">
      <w:pPr>
        <w:pStyle w:val="SingleTxtGC"/>
        <w:rPr>
          <w:rFonts w:hint="eastAsia"/>
        </w:rPr>
      </w:pPr>
      <w:r>
        <w:rPr>
          <w:rFonts w:hint="eastAsia"/>
        </w:rPr>
        <w:t>委员会欢迎缔约国提供的关于向公职人员，包括向司法机关和家庭保护部工作人员提供培训的资料。委员会请缔约国提供补充资料，说明这些活动的效力，以及包括执法人员在内的其他国家官员是否能够获得这种培训。委员会注意到缔约国提供的关于改善家庭暴力受害人和证人保护工作的计划的资料，并请缔约国提供进一步资料，说明这些计划的范围和状况。</w:t>
      </w:r>
    </w:p>
    <w:p w14:paraId="78C4142B" w14:textId="77777777" w:rsidR="00F31164" w:rsidRDefault="00F31164" w:rsidP="00F31164">
      <w:pPr>
        <w:pStyle w:val="SingleTxtGC"/>
      </w:pPr>
      <w:r>
        <w:t>[</w:t>
      </w:r>
      <w:r w:rsidRPr="00EB2871">
        <w:rPr>
          <w:b/>
          <w:bCs/>
        </w:rPr>
        <w:t>A</w:t>
      </w:r>
      <w:r>
        <w:t>]: (d)</w:t>
      </w:r>
    </w:p>
    <w:p w14:paraId="1546AA36" w14:textId="77777777" w:rsidR="00F31164" w:rsidRDefault="00F31164" w:rsidP="00F31164">
      <w:pPr>
        <w:pStyle w:val="SingleTxtGC"/>
        <w:rPr>
          <w:rFonts w:hint="eastAsia"/>
        </w:rPr>
      </w:pPr>
      <w:r>
        <w:rPr>
          <w:rFonts w:hint="eastAsia"/>
        </w:rPr>
        <w:t>委员会欢迎关于打击暴力侵害妇女行为的宣传运动的资料，并赞扬缔约国开展这些活动。委员会还欢迎缔约国提供资料，详细说明该国为评价这些活动的效力所作的努力以及研究得出的积极结果。委员会请缔约国提供资料，说明为打击暴力侵害妇女行为所作的任何其他努力，包括任何专门针对家庭暴力的活动。委员会还请缔约国提供更多关于家庭保护部所作研究的细节，包括这些研究是否涉及缔约国内暴力侵害妇女行为的根本原因，以及这些研究的结论是否为宣传活动提供了参考。</w:t>
      </w:r>
    </w:p>
    <w:p w14:paraId="52FCA55E" w14:textId="77777777" w:rsidR="00F31164" w:rsidRDefault="00F31164" w:rsidP="00DB55A5">
      <w:pPr>
        <w:pStyle w:val="H23GC"/>
        <w:rPr>
          <w:rFonts w:hint="eastAsia"/>
        </w:rPr>
      </w:pPr>
      <w:r>
        <w:rPr>
          <w:rFonts w:hint="eastAsia"/>
        </w:rPr>
        <w:tab/>
      </w:r>
      <w:r>
        <w:rPr>
          <w:rFonts w:hint="eastAsia"/>
        </w:rPr>
        <w:tab/>
      </w:r>
      <w:r>
        <w:rPr>
          <w:rFonts w:hint="eastAsia"/>
        </w:rPr>
        <w:t>第</w:t>
      </w:r>
      <w:r>
        <w:rPr>
          <w:rFonts w:hint="eastAsia"/>
        </w:rPr>
        <w:t>19</w:t>
      </w:r>
      <w:r>
        <w:rPr>
          <w:rFonts w:hint="eastAsia"/>
        </w:rPr>
        <w:t>段：生命权、人身自由和安全权以及被剥夺自由的人的待遇</w:t>
      </w:r>
    </w:p>
    <w:p w14:paraId="4160F97D" w14:textId="1867BC74" w:rsidR="00F31164" w:rsidRPr="00EB2871" w:rsidRDefault="00F31164" w:rsidP="00F31164">
      <w:pPr>
        <w:pStyle w:val="SingleTxtGC"/>
        <w:rPr>
          <w:rFonts w:eastAsia="黑体" w:hint="eastAsia"/>
        </w:rPr>
      </w:pPr>
      <w:r w:rsidRPr="00EB2871">
        <w:rPr>
          <w:rFonts w:eastAsia="黑体" w:hint="eastAsia"/>
        </w:rPr>
        <w:t>委员会重申其建议</w:t>
      </w:r>
      <w:r w:rsidR="00FA6A30" w:rsidRPr="00EB2871">
        <w:rPr>
          <w:rStyle w:val="a8"/>
          <w:rFonts w:eastAsia="黑体"/>
        </w:rPr>
        <w:footnoteReference w:id="3"/>
      </w:r>
      <w:r w:rsidRPr="00EB2871">
        <w:rPr>
          <w:rFonts w:eastAsia="黑体" w:hint="eastAsia"/>
        </w:rPr>
        <w:t xml:space="preserve"> </w:t>
      </w:r>
      <w:r w:rsidRPr="00EB2871">
        <w:rPr>
          <w:rFonts w:eastAsia="黑体" w:hint="eastAsia"/>
        </w:rPr>
        <w:t>，即缔约国修正《预防犯罪法》，以停止行政拘留的做法。同时，缔约国应采取具体步骤，大幅度减少行政拘留的人数。此外，缔约国应确保被行政拘留者能够向有权裁决拘留合法性的独立公正法院提起申诉。它应允许对所有拘留场所进行更进一步的探访，包括探访情报总局的下属设施。</w:t>
      </w:r>
    </w:p>
    <w:p w14:paraId="4050114B" w14:textId="77777777" w:rsidR="00F31164" w:rsidRDefault="00F31164" w:rsidP="00DB55A5">
      <w:pPr>
        <w:pStyle w:val="H23GC"/>
        <w:rPr>
          <w:rFonts w:hint="eastAsia"/>
        </w:rPr>
      </w:pPr>
      <w:r>
        <w:rPr>
          <w:rFonts w:hint="eastAsia"/>
        </w:rPr>
        <w:tab/>
      </w:r>
      <w:r>
        <w:rPr>
          <w:rFonts w:hint="eastAsia"/>
        </w:rPr>
        <w:tab/>
      </w:r>
      <w:r>
        <w:rPr>
          <w:rFonts w:hint="eastAsia"/>
        </w:rPr>
        <w:t>缔约国答复概要</w:t>
      </w:r>
    </w:p>
    <w:p w14:paraId="5AB43EC4" w14:textId="6D2AA779" w:rsidR="00F31164" w:rsidRDefault="00F31164" w:rsidP="00F31164">
      <w:pPr>
        <w:pStyle w:val="SingleTxtGC"/>
        <w:rPr>
          <w:rFonts w:hint="eastAsia"/>
        </w:rPr>
      </w:pPr>
      <w:r>
        <w:rPr>
          <w:rFonts w:hint="eastAsia"/>
        </w:rPr>
        <w:t>缔约国制定了一系列法律和体制保障措施，以确保依法实施行政拘留。《预防犯罪法》载有防止滥用职权的规定。已向各省省长和驻地机构发出公开指示，强调限制行政拘留期限的重要性以及可适用行政拘留的情形。行政法院负责监督行政拘留决定的合法性。已有若干案件的行政拘留经法院裁决撤销。此外，还设有一些监督机制，包括通过首相府政府人权协调员来对行政拘留进行监测。红十字国际委员会和公共安全局也会对被拘留者的关押条件进行监测。</w:t>
      </w:r>
    </w:p>
    <w:p w14:paraId="4FD8BAD8" w14:textId="77777777" w:rsidR="00F31164" w:rsidRDefault="00F31164" w:rsidP="00DB55A5">
      <w:pPr>
        <w:pStyle w:val="H23GC"/>
        <w:rPr>
          <w:rFonts w:hint="eastAsia"/>
        </w:rPr>
      </w:pPr>
      <w:r>
        <w:rPr>
          <w:rFonts w:hint="eastAsia"/>
        </w:rPr>
        <w:lastRenderedPageBreak/>
        <w:tab/>
      </w:r>
      <w:r>
        <w:rPr>
          <w:rFonts w:hint="eastAsia"/>
        </w:rPr>
        <w:tab/>
      </w:r>
      <w:r>
        <w:rPr>
          <w:rFonts w:hint="eastAsia"/>
        </w:rPr>
        <w:t>利益攸关方资料概要</w:t>
      </w:r>
    </w:p>
    <w:p w14:paraId="4884E1E9" w14:textId="77777777" w:rsidR="00F31164" w:rsidRDefault="00F31164" w:rsidP="00DB55A5">
      <w:pPr>
        <w:pStyle w:val="H4GC"/>
        <w:rPr>
          <w:rFonts w:hint="eastAsia"/>
        </w:rPr>
      </w:pPr>
      <w:r>
        <w:rPr>
          <w:rFonts w:hint="eastAsia"/>
        </w:rPr>
        <w:tab/>
      </w:r>
      <w:r>
        <w:rPr>
          <w:rFonts w:hint="eastAsia"/>
        </w:rPr>
        <w:tab/>
        <w:t>Al Hayat</w:t>
      </w:r>
      <w:r>
        <w:rPr>
          <w:rFonts w:hint="eastAsia"/>
        </w:rPr>
        <w:t>民间社会发展中心</w:t>
      </w:r>
    </w:p>
    <w:p w14:paraId="2CDB81A3" w14:textId="3DA13994" w:rsidR="00F31164" w:rsidRDefault="00F31164" w:rsidP="00F31164">
      <w:pPr>
        <w:pStyle w:val="SingleTxtGC"/>
        <w:rPr>
          <w:rFonts w:hint="eastAsia"/>
        </w:rPr>
      </w:pPr>
      <w:r>
        <w:rPr>
          <w:rFonts w:hint="eastAsia"/>
        </w:rPr>
        <w:t>民间社会组织已呼吁对规范行政拘留的《预防犯罪法》进行审查。它们强调，该法已被广泛用于以保护妇女和女童免遭虐待和杀害为借口，长期限制妇女和女童的自由。民间社会组织主张立即停止行政拘留的做法，释放所有被行政拘留的人。它们还呼吁发布指令和指示，澄清指出《预防犯罪法》第</w:t>
      </w:r>
      <w:r>
        <w:rPr>
          <w:rFonts w:hint="eastAsia"/>
        </w:rPr>
        <w:t>3</w:t>
      </w:r>
      <w:r>
        <w:rPr>
          <w:rFonts w:hint="eastAsia"/>
        </w:rPr>
        <w:t>条并未规定可以保护妇女为由逮捕妇女。国家人权中心收集的数据显示，</w:t>
      </w:r>
      <w:r>
        <w:rPr>
          <w:rFonts w:hint="eastAsia"/>
        </w:rPr>
        <w:t>2018</w:t>
      </w:r>
      <w:r>
        <w:rPr>
          <w:rFonts w:hint="eastAsia"/>
        </w:rPr>
        <w:t>年有</w:t>
      </w:r>
      <w:r>
        <w:rPr>
          <w:rFonts w:hint="eastAsia"/>
        </w:rPr>
        <w:t>37,683</w:t>
      </w:r>
      <w:r>
        <w:rPr>
          <w:rFonts w:hint="eastAsia"/>
        </w:rPr>
        <w:t>名妇女被行政拘留；</w:t>
      </w:r>
      <w:r>
        <w:rPr>
          <w:rFonts w:hint="eastAsia"/>
        </w:rPr>
        <w:t>2017</w:t>
      </w:r>
      <w:r>
        <w:rPr>
          <w:rFonts w:hint="eastAsia"/>
        </w:rPr>
        <w:t>年有</w:t>
      </w:r>
      <w:r>
        <w:rPr>
          <w:rFonts w:hint="eastAsia"/>
        </w:rPr>
        <w:t>34,952</w:t>
      </w:r>
      <w:r>
        <w:rPr>
          <w:rFonts w:hint="eastAsia"/>
        </w:rPr>
        <w:t>名；</w:t>
      </w:r>
      <w:r>
        <w:rPr>
          <w:rFonts w:hint="eastAsia"/>
        </w:rPr>
        <w:t>2016</w:t>
      </w:r>
      <w:r>
        <w:rPr>
          <w:rFonts w:hint="eastAsia"/>
        </w:rPr>
        <w:t>年有</w:t>
      </w:r>
      <w:r>
        <w:rPr>
          <w:rFonts w:hint="eastAsia"/>
        </w:rPr>
        <w:t>30,138</w:t>
      </w:r>
      <w:r>
        <w:rPr>
          <w:rFonts w:hint="eastAsia"/>
        </w:rPr>
        <w:t>名。</w:t>
      </w:r>
    </w:p>
    <w:p w14:paraId="7C090375" w14:textId="576AF761" w:rsidR="00F31164" w:rsidRDefault="00F31164" w:rsidP="00F31164">
      <w:pPr>
        <w:pStyle w:val="SingleTxtGC"/>
        <w:rPr>
          <w:rFonts w:hint="eastAsia"/>
        </w:rPr>
      </w:pPr>
      <w:r>
        <w:rPr>
          <w:rFonts w:hint="eastAsia"/>
        </w:rPr>
        <w:t>新政府已认真考虑停止行政拘留的做法。新政府已指示各省省长审查被行政拘留者的被捕理由，并从监狱中释放那些对自身或社会不构成危险的人员。内政部长公开表示，已有</w:t>
      </w:r>
      <w:r>
        <w:rPr>
          <w:rFonts w:hint="eastAsia"/>
        </w:rPr>
        <w:t>661</w:t>
      </w:r>
      <w:r>
        <w:rPr>
          <w:rFonts w:hint="eastAsia"/>
        </w:rPr>
        <w:t>名符合这些标准的被行政拘留者获释，没有人会因使用毒品而遭到行政逮捕。政府已经出台了规则和条例，确保对行政拘留程序的公正性和可靠性进行监督。然而，对于这些规定得到切实执行的程度，人们有不同的看法。</w:t>
      </w:r>
    </w:p>
    <w:p w14:paraId="00D69705" w14:textId="77777777" w:rsidR="00F31164" w:rsidRDefault="00F31164" w:rsidP="00DB55A5">
      <w:pPr>
        <w:pStyle w:val="H23GC"/>
        <w:rPr>
          <w:rFonts w:hint="eastAsia"/>
        </w:rPr>
      </w:pPr>
      <w:r>
        <w:rPr>
          <w:rFonts w:hint="eastAsia"/>
        </w:rPr>
        <w:tab/>
      </w:r>
      <w:r>
        <w:rPr>
          <w:rFonts w:hint="eastAsia"/>
        </w:rPr>
        <w:tab/>
      </w:r>
      <w:r>
        <w:rPr>
          <w:rFonts w:hint="eastAsia"/>
        </w:rPr>
        <w:t>委员会的评价</w:t>
      </w:r>
    </w:p>
    <w:p w14:paraId="436C4381" w14:textId="77777777" w:rsidR="00F31164" w:rsidRDefault="00F31164" w:rsidP="00F31164">
      <w:pPr>
        <w:pStyle w:val="SingleTxtGC"/>
        <w:rPr>
          <w:rFonts w:hint="eastAsia"/>
        </w:rPr>
      </w:pPr>
      <w:r>
        <w:rPr>
          <w:rFonts w:hint="eastAsia"/>
        </w:rPr>
        <w:t>[</w:t>
      </w:r>
      <w:r w:rsidRPr="00725265">
        <w:rPr>
          <w:rFonts w:hint="eastAsia"/>
          <w:b/>
          <w:bCs/>
        </w:rPr>
        <w:t>C</w:t>
      </w:r>
      <w:r>
        <w:rPr>
          <w:rFonts w:hint="eastAsia"/>
        </w:rPr>
        <w:t xml:space="preserve">]: </w:t>
      </w:r>
      <w:r>
        <w:rPr>
          <w:rFonts w:hint="eastAsia"/>
        </w:rPr>
        <w:t>委员会注意到缔约国提供资料，说明了防止滥用行政拘留和监测被拘留者关押条件的现行法律和体制框架。但委员会感到遗憾的是，缔约国没有提供资料说明在报告所述期间采取了哪些步骤来修正法律以停止行政拘留的做法。委员会重申其建议，并请缔约国提供资料，说明该国是否打算在报告所述期间为此目的进行法律改革。</w:t>
      </w:r>
    </w:p>
    <w:p w14:paraId="2B66778B" w14:textId="77777777" w:rsidR="00F31164" w:rsidRDefault="00F31164" w:rsidP="00F31164">
      <w:pPr>
        <w:pStyle w:val="SingleTxtGC"/>
        <w:rPr>
          <w:rFonts w:hint="eastAsia"/>
        </w:rPr>
      </w:pPr>
      <w:r>
        <w:rPr>
          <w:rFonts w:hint="eastAsia"/>
        </w:rPr>
        <w:t>[</w:t>
      </w:r>
      <w:r w:rsidRPr="00F2237C">
        <w:rPr>
          <w:rFonts w:hint="eastAsia"/>
          <w:b/>
          <w:bCs/>
        </w:rPr>
        <w:t>B</w:t>
      </w:r>
      <w:r>
        <w:rPr>
          <w:rFonts w:hint="eastAsia"/>
        </w:rPr>
        <w:t xml:space="preserve">]: </w:t>
      </w:r>
      <w:r>
        <w:rPr>
          <w:rFonts w:hint="eastAsia"/>
        </w:rPr>
        <w:t>委员会欢迎为确保对行政拘留进行司法监督所采取的措施。委员会请缔约国提供更多资料，说明采取了哪些步骤以停止行政拘留的做法，包括在报告所述期间获释的人数，以及仍被行政拘留的人数。委员会还欢迎缔约国采取步骤允许对拘留场所进行独立探访，并请缔约国提供资料说明报告所述期间进行的访问的次数。</w:t>
      </w:r>
    </w:p>
    <w:p w14:paraId="1504DFF9" w14:textId="77777777" w:rsidR="00F31164" w:rsidRDefault="00F31164" w:rsidP="00DB55A5">
      <w:pPr>
        <w:pStyle w:val="H23GC"/>
        <w:rPr>
          <w:rFonts w:hint="eastAsia"/>
        </w:rPr>
      </w:pPr>
      <w:r>
        <w:rPr>
          <w:rFonts w:hint="eastAsia"/>
        </w:rPr>
        <w:tab/>
      </w:r>
      <w:r>
        <w:rPr>
          <w:rFonts w:hint="eastAsia"/>
        </w:rPr>
        <w:tab/>
      </w:r>
      <w:r>
        <w:rPr>
          <w:rFonts w:hint="eastAsia"/>
        </w:rPr>
        <w:t>第</w:t>
      </w:r>
      <w:r>
        <w:rPr>
          <w:rFonts w:hint="eastAsia"/>
        </w:rPr>
        <w:t>25</w:t>
      </w:r>
      <w:r>
        <w:rPr>
          <w:rFonts w:hint="eastAsia"/>
        </w:rPr>
        <w:t>段：难民和不推回</w:t>
      </w:r>
    </w:p>
    <w:p w14:paraId="77110A14" w14:textId="1BD8636C" w:rsidR="00F31164" w:rsidRPr="00F2237C" w:rsidRDefault="00F31164" w:rsidP="00F31164">
      <w:pPr>
        <w:pStyle w:val="SingleTxtGC"/>
        <w:rPr>
          <w:rFonts w:eastAsia="黑体" w:hint="eastAsia"/>
        </w:rPr>
      </w:pPr>
      <w:r w:rsidRPr="00F2237C">
        <w:rPr>
          <w:rFonts w:eastAsia="黑体" w:hint="eastAsia"/>
        </w:rPr>
        <w:t>缔约国应采取一切必要措施，确保遵守不推回原则，包括对巴勒斯坦难民，无论其在约旦的身份如何，并制定防止推回的程序性保障，包括须经独立的司法机构审查和提供有效的补救办法。缔约国应确保公民资格不被撤销，除非依照与《公约》和国际标准相符的国内法行事且须经过独立的司法审查。它还应采取措施，改善难民营中难民的地位和生活条件。</w:t>
      </w:r>
    </w:p>
    <w:p w14:paraId="63BC8B10" w14:textId="77777777" w:rsidR="00F31164" w:rsidRDefault="00F31164" w:rsidP="00DB55A5">
      <w:pPr>
        <w:pStyle w:val="H23GC"/>
        <w:rPr>
          <w:rFonts w:hint="eastAsia"/>
        </w:rPr>
      </w:pPr>
      <w:r>
        <w:rPr>
          <w:rFonts w:hint="eastAsia"/>
        </w:rPr>
        <w:tab/>
      </w:r>
      <w:r>
        <w:rPr>
          <w:rFonts w:hint="eastAsia"/>
        </w:rPr>
        <w:tab/>
      </w:r>
      <w:r>
        <w:rPr>
          <w:rFonts w:hint="eastAsia"/>
        </w:rPr>
        <w:t>缔约国答复概要</w:t>
      </w:r>
    </w:p>
    <w:p w14:paraId="532FD0EF" w14:textId="77777777" w:rsidR="00F31164" w:rsidRDefault="00F31164" w:rsidP="00F31164">
      <w:pPr>
        <w:pStyle w:val="SingleTxtGC"/>
        <w:rPr>
          <w:rFonts w:hint="eastAsia"/>
        </w:rPr>
      </w:pPr>
      <w:r>
        <w:rPr>
          <w:rFonts w:hint="eastAsia"/>
        </w:rPr>
        <w:t>缔约国在难民方面采取的措施符合国内法和该国的国际义务。《宪法》第</w:t>
      </w:r>
      <w:r>
        <w:rPr>
          <w:rFonts w:hint="eastAsia"/>
        </w:rPr>
        <w:t>21(1)</w:t>
      </w:r>
      <w:r>
        <w:rPr>
          <w:rFonts w:hint="eastAsia"/>
        </w:rPr>
        <w:t>条规定了难民的若干种类，设立了不推回原则。缔约国</w:t>
      </w:r>
      <w:r>
        <w:rPr>
          <w:rFonts w:hint="eastAsia"/>
        </w:rPr>
        <w:t>1998</w:t>
      </w:r>
      <w:r>
        <w:rPr>
          <w:rFonts w:hint="eastAsia"/>
        </w:rPr>
        <w:t>年与难民署签订的谅解备忘录也载有对不推回原则的承诺。寻求庇护者在难民身份获得认定之前可留在约旦，而难民在自身难民身份得到承认后最多可停留六个月，在此期间必须找到永久解决办法。缔约国已经制定了一些政策和方案措施，以满足叙利亚难民和收容社区的短期和长期人道主义需求。这些措施包括《</w:t>
      </w:r>
      <w:r>
        <w:rPr>
          <w:rFonts w:hint="eastAsia"/>
        </w:rPr>
        <w:t>2017-2019</w:t>
      </w:r>
      <w:r>
        <w:rPr>
          <w:rFonts w:hint="eastAsia"/>
        </w:rPr>
        <w:t>年约旦应对叙利亚危机计划》和《</w:t>
      </w:r>
      <w:r>
        <w:rPr>
          <w:rFonts w:hint="eastAsia"/>
        </w:rPr>
        <w:t>2020-2022</w:t>
      </w:r>
      <w:r>
        <w:rPr>
          <w:rFonts w:hint="eastAsia"/>
        </w:rPr>
        <w:t>年快速反应方案》。</w:t>
      </w:r>
    </w:p>
    <w:p w14:paraId="6C6F3EC8" w14:textId="77777777" w:rsidR="00F31164" w:rsidRDefault="00F31164" w:rsidP="00DB55A5">
      <w:pPr>
        <w:pStyle w:val="H23GC"/>
        <w:rPr>
          <w:rFonts w:hint="eastAsia"/>
        </w:rPr>
      </w:pPr>
      <w:r>
        <w:rPr>
          <w:rFonts w:hint="eastAsia"/>
        </w:rPr>
        <w:lastRenderedPageBreak/>
        <w:tab/>
      </w:r>
      <w:r>
        <w:rPr>
          <w:rFonts w:hint="eastAsia"/>
        </w:rPr>
        <w:tab/>
      </w:r>
      <w:r>
        <w:rPr>
          <w:rFonts w:hint="eastAsia"/>
        </w:rPr>
        <w:tab/>
      </w:r>
      <w:r>
        <w:rPr>
          <w:rFonts w:hint="eastAsia"/>
        </w:rPr>
        <w:t>委员会的评价</w:t>
      </w:r>
    </w:p>
    <w:p w14:paraId="02C87652" w14:textId="77777777" w:rsidR="00F31164" w:rsidRDefault="00F31164" w:rsidP="00F31164">
      <w:pPr>
        <w:pStyle w:val="SingleTxtGC"/>
        <w:rPr>
          <w:rFonts w:hint="eastAsia"/>
        </w:rPr>
      </w:pPr>
      <w:r>
        <w:rPr>
          <w:rFonts w:hint="eastAsia"/>
        </w:rPr>
        <w:t>[</w:t>
      </w:r>
      <w:r w:rsidRPr="00F2237C">
        <w:rPr>
          <w:rFonts w:hint="eastAsia"/>
          <w:b/>
          <w:bCs/>
        </w:rPr>
        <w:t>C</w:t>
      </w:r>
      <w:r>
        <w:rPr>
          <w:rFonts w:hint="eastAsia"/>
        </w:rPr>
        <w:t xml:space="preserve">]: </w:t>
      </w:r>
      <w:r>
        <w:rPr>
          <w:rFonts w:hint="eastAsia"/>
        </w:rPr>
        <w:t>委员会欢迎缔约国提供关于《</w:t>
      </w:r>
      <w:r>
        <w:rPr>
          <w:rFonts w:hint="eastAsia"/>
        </w:rPr>
        <w:t>2017-2019</w:t>
      </w:r>
      <w:r>
        <w:rPr>
          <w:rFonts w:hint="eastAsia"/>
        </w:rPr>
        <w:t>年约旦应对叙利亚危机计划》和《</w:t>
      </w:r>
      <w:r>
        <w:rPr>
          <w:rFonts w:hint="eastAsia"/>
        </w:rPr>
        <w:t>2020-2022</w:t>
      </w:r>
      <w:r>
        <w:rPr>
          <w:rFonts w:hint="eastAsia"/>
        </w:rPr>
        <w:t>年快速反应方案》的资料。委员会请缔约国提供关于这些方案及其效力的补充资料。委员会注意到关于国家法律框架和与难民署签订的不推回谅解备忘录的资料。但委员会感到遗憾的是，缔约国没有提供资料说明在报告所述期间采取了哪些措施以加强防止推回的程序性保障，包括由独立机构进行审查和提供补救办法。委员会还感到遗憾的是，缔约国没有提供资料说明采取了哪些步骤以确保不在违反《公约》的情况下撤销公民资格以及采取了哪些措施以改善难民营的条件。委员会重申其建议，并请缔约国提供资料，说明该国在报告所述期间采取了哪些具体步骤，以加强现有保护，确保不在违反《公约》的情况下撤销公民资格。</w:t>
      </w:r>
    </w:p>
    <w:p w14:paraId="5F6FDE69" w14:textId="77777777" w:rsidR="00F31164" w:rsidRDefault="00F31164" w:rsidP="00F31164">
      <w:pPr>
        <w:pStyle w:val="SingleTxtGC"/>
        <w:rPr>
          <w:rFonts w:hint="eastAsia"/>
        </w:rPr>
      </w:pPr>
      <w:r w:rsidRPr="00F2237C">
        <w:rPr>
          <w:rFonts w:eastAsia="黑体" w:hint="eastAsia"/>
        </w:rPr>
        <w:t>建议采取的行动</w:t>
      </w:r>
      <w:r>
        <w:rPr>
          <w:rFonts w:hint="eastAsia"/>
        </w:rPr>
        <w:t>：应函告缔约国后续程序中止。所要求的资料应列入缔约国下一次定期报告。</w:t>
      </w:r>
    </w:p>
    <w:p w14:paraId="5CD25FAD" w14:textId="2F865C7E" w:rsidR="00F31164" w:rsidRDefault="00F31164" w:rsidP="005276B0">
      <w:pPr>
        <w:pStyle w:val="SingleTxtGC"/>
        <w:rPr>
          <w:rFonts w:hint="eastAsia"/>
        </w:rPr>
      </w:pPr>
      <w:r w:rsidRPr="005276B0">
        <w:rPr>
          <w:rFonts w:eastAsia="黑体" w:hint="eastAsia"/>
        </w:rPr>
        <w:t>应提交下次定期报告的时间</w:t>
      </w:r>
      <w:r>
        <w:rPr>
          <w:rFonts w:hint="eastAsia"/>
        </w:rPr>
        <w:t>：</w:t>
      </w:r>
      <w:r>
        <w:rPr>
          <w:rFonts w:hint="eastAsia"/>
        </w:rPr>
        <w:t>2025</w:t>
      </w:r>
      <w:r>
        <w:rPr>
          <w:rFonts w:hint="eastAsia"/>
        </w:rPr>
        <w:t>年</w:t>
      </w:r>
      <w:r>
        <w:rPr>
          <w:rFonts w:hint="eastAsia"/>
        </w:rPr>
        <w:t>(</w:t>
      </w:r>
      <w:r>
        <w:rPr>
          <w:rFonts w:hint="eastAsia"/>
        </w:rPr>
        <w:t>根据可预测的审议周期，将于</w:t>
      </w:r>
      <w:r>
        <w:rPr>
          <w:rFonts w:hint="eastAsia"/>
        </w:rPr>
        <w:t>2026</w:t>
      </w:r>
      <w:r>
        <w:rPr>
          <w:rFonts w:hint="eastAsia"/>
        </w:rPr>
        <w:t>年进行国别审议。见</w:t>
      </w:r>
      <w:r w:rsidR="005276B0">
        <w:br/>
      </w:r>
      <w:hyperlink r:id="rId12" w:history="1">
        <w:r w:rsidR="00772080" w:rsidRPr="001D16C0">
          <w:rPr>
            <w:rStyle w:val="af6"/>
            <w:rFonts w:hint="eastAsia"/>
          </w:rPr>
          <w:t>www.ohchr.org/EN/HRBodies/CCPR/Pages/PredictableReviewCycle.aspx</w:t>
        </w:r>
      </w:hyperlink>
      <w:r>
        <w:rPr>
          <w:rFonts w:hint="eastAsia"/>
        </w:rPr>
        <w:t>)</w:t>
      </w:r>
      <w:r w:rsidR="005276B0">
        <w:rPr>
          <w:rFonts w:hint="eastAsia"/>
        </w:rPr>
        <w:t>.</w:t>
      </w:r>
    </w:p>
    <w:p w14:paraId="69ACBC1E" w14:textId="7F851AAC" w:rsidR="00DB55A5" w:rsidRDefault="00DB55A5" w:rsidP="00DB55A5">
      <w:pPr>
        <w:pStyle w:val="SingleTxtGC"/>
      </w:pPr>
    </w:p>
    <w:p w14:paraId="47D17419" w14:textId="77777777" w:rsidR="005276B0" w:rsidRPr="002D6A9C" w:rsidRDefault="005276B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05D3517" w14:textId="51626BE1" w:rsidR="005276B0" w:rsidRPr="005276B0" w:rsidRDefault="005276B0" w:rsidP="00DB55A5">
      <w:pPr>
        <w:pStyle w:val="SingleTxtGC"/>
        <w:rPr>
          <w:rFonts w:hint="eastAsia"/>
        </w:rPr>
      </w:pPr>
    </w:p>
    <w:sectPr w:rsidR="005276B0" w:rsidRPr="005276B0" w:rsidSect="004D0A0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60598" w14:textId="77777777" w:rsidR="003F2136" w:rsidRPr="000D319F" w:rsidRDefault="003F2136" w:rsidP="000D319F">
      <w:pPr>
        <w:pStyle w:val="af0"/>
        <w:spacing w:after="240"/>
        <w:ind w:left="907"/>
        <w:rPr>
          <w:rFonts w:asciiTheme="majorBidi" w:eastAsia="宋体" w:hAnsiTheme="majorBidi" w:cstheme="majorBidi"/>
          <w:sz w:val="21"/>
          <w:szCs w:val="21"/>
          <w:lang w:val="en-US"/>
        </w:rPr>
      </w:pPr>
    </w:p>
    <w:p w14:paraId="0EF17402" w14:textId="77777777" w:rsidR="003F2136" w:rsidRPr="000D319F" w:rsidRDefault="003F213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9F3EECE" w14:textId="77777777" w:rsidR="003F2136" w:rsidRPr="000D319F" w:rsidRDefault="003F2136" w:rsidP="000D319F">
      <w:pPr>
        <w:pStyle w:val="af0"/>
      </w:pPr>
    </w:p>
  </w:endnote>
  <w:endnote w:type="continuationNotice" w:id="1">
    <w:p w14:paraId="560C5589" w14:textId="77777777" w:rsidR="003F2136" w:rsidRDefault="003F21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E5A27" w14:textId="77777777" w:rsidR="00056632" w:rsidRPr="00FF6785" w:rsidRDefault="00FF6785" w:rsidP="00FF678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F6785">
      <w:rPr>
        <w:rStyle w:val="af2"/>
        <w:b w:val="0"/>
        <w:snapToGrid w:val="0"/>
        <w:sz w:val="16"/>
      </w:rPr>
      <w:t>GE.21-19076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5D2AC" w14:textId="77777777" w:rsidR="00056632" w:rsidRPr="00FF6785" w:rsidRDefault="00FF6785" w:rsidP="00FF6785">
    <w:pPr>
      <w:pStyle w:val="af0"/>
      <w:tabs>
        <w:tab w:val="clear" w:pos="431"/>
        <w:tab w:val="right" w:pos="9638"/>
      </w:tabs>
      <w:rPr>
        <w:rStyle w:val="af2"/>
      </w:rPr>
    </w:pPr>
    <w:r>
      <w:t>GE.21-19076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0ADE" w14:textId="632B2759" w:rsidR="00056632" w:rsidRPr="00487939" w:rsidRDefault="00FF678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FC5FAD" wp14:editId="39EF48C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GE.21-19076</w:t>
    </w:r>
    <w:r w:rsidR="00731A42" w:rsidRPr="00EE277A">
      <w:rPr>
        <w:sz w:val="20"/>
        <w:lang w:eastAsia="zh-CN"/>
      </w:rPr>
      <w:t xml:space="preserve"> (C)</w:t>
    </w:r>
    <w:r w:rsidR="00EA7E67">
      <w:rPr>
        <w:sz w:val="20"/>
        <w:lang w:eastAsia="zh-CN"/>
      </w:rPr>
      <w:tab/>
    </w:r>
    <w:r w:rsidR="003C723F">
      <w:rPr>
        <w:sz w:val="20"/>
        <w:lang w:eastAsia="zh-CN"/>
      </w:rPr>
      <w:t>040222</w:t>
    </w:r>
    <w:r w:rsidR="00731A42">
      <w:rPr>
        <w:sz w:val="20"/>
        <w:lang w:eastAsia="zh-CN"/>
      </w:rPr>
      <w:tab/>
    </w:r>
    <w:r w:rsidR="00F37918">
      <w:rPr>
        <w:sz w:val="20"/>
        <w:lang w:eastAsia="zh-CN"/>
      </w:rPr>
      <w:t>230222</w:t>
    </w:r>
    <w:r w:rsidR="00731A42">
      <w:rPr>
        <w:b/>
        <w:sz w:val="21"/>
      </w:rPr>
      <w:tab/>
    </w:r>
    <w:r w:rsidR="00A1364C">
      <w:rPr>
        <w:rFonts w:hint="eastAsia"/>
        <w:b/>
        <w:noProof/>
        <w:snapToGrid/>
        <w:sz w:val="21"/>
        <w:lang w:val="en-US" w:eastAsia="zh-CN"/>
      </w:rPr>
      <w:drawing>
        <wp:inline distT="0" distB="0" distL="0" distR="0" wp14:anchorId="2BC8382A" wp14:editId="3B1F616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DCBCF" w14:textId="77777777" w:rsidR="003F2136" w:rsidRPr="000157B1" w:rsidRDefault="003F21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7DC54CB" w14:textId="77777777" w:rsidR="003F2136" w:rsidRPr="000157B1" w:rsidRDefault="003F21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1EB390" w14:textId="77777777" w:rsidR="003F2136" w:rsidRDefault="003F2136"/>
  </w:footnote>
  <w:footnote w:id="2">
    <w:p w14:paraId="0DC7C201" w14:textId="3EF9C2F0" w:rsidR="0067253D" w:rsidRPr="0079694F" w:rsidRDefault="0067253D">
      <w:pPr>
        <w:pStyle w:val="a6"/>
        <w:rPr>
          <w:rFonts w:hint="eastAsia"/>
        </w:rPr>
      </w:pPr>
      <w:r w:rsidRPr="0079694F">
        <w:rPr>
          <w:rStyle w:val="a8"/>
          <w:rFonts w:eastAsia="宋体"/>
          <w:vertAlign w:val="baseline"/>
        </w:rPr>
        <w:tab/>
        <w:t>*</w:t>
      </w:r>
      <w:r w:rsidRPr="0079694F">
        <w:t xml:space="preserve"> </w:t>
      </w:r>
      <w:r w:rsidRPr="0079694F">
        <w:tab/>
      </w:r>
      <w:r w:rsidR="00FA6A30" w:rsidRPr="00FA6A30">
        <w:rPr>
          <w:rFonts w:hint="eastAsia"/>
        </w:rPr>
        <w:t>委员会第一三三届会议</w:t>
      </w:r>
      <w:r w:rsidR="00FA6A30" w:rsidRPr="00FA6A30">
        <w:rPr>
          <w:rFonts w:hint="eastAsia"/>
        </w:rPr>
        <w:t>(2021</w:t>
      </w:r>
      <w:r w:rsidR="00FA6A30" w:rsidRPr="00FA6A30">
        <w:rPr>
          <w:rFonts w:hint="eastAsia"/>
        </w:rPr>
        <w:t>年</w:t>
      </w:r>
      <w:r w:rsidR="00FA6A30" w:rsidRPr="00FA6A30">
        <w:rPr>
          <w:rFonts w:hint="eastAsia"/>
        </w:rPr>
        <w:t>10</w:t>
      </w:r>
      <w:r w:rsidR="00FA6A30" w:rsidRPr="00FA6A30">
        <w:rPr>
          <w:rFonts w:hint="eastAsia"/>
        </w:rPr>
        <w:t>月</w:t>
      </w:r>
      <w:r w:rsidR="00FA6A30" w:rsidRPr="00FA6A30">
        <w:rPr>
          <w:rFonts w:hint="eastAsia"/>
        </w:rPr>
        <w:t>11</w:t>
      </w:r>
      <w:r w:rsidR="00FA6A30" w:rsidRPr="00FA6A30">
        <w:rPr>
          <w:rFonts w:hint="eastAsia"/>
        </w:rPr>
        <w:t>日至</w:t>
      </w:r>
      <w:r w:rsidR="00FA6A30" w:rsidRPr="00FA6A30">
        <w:rPr>
          <w:rFonts w:hint="eastAsia"/>
        </w:rPr>
        <w:t>11</w:t>
      </w:r>
      <w:r w:rsidR="00FA6A30" w:rsidRPr="00FA6A30">
        <w:rPr>
          <w:rFonts w:hint="eastAsia"/>
        </w:rPr>
        <w:t>月</w:t>
      </w:r>
      <w:r w:rsidR="00FA6A30" w:rsidRPr="00FA6A30">
        <w:rPr>
          <w:rFonts w:hint="eastAsia"/>
        </w:rPr>
        <w:t>5</w:t>
      </w:r>
      <w:r w:rsidR="00FA6A30" w:rsidRPr="00FA6A30">
        <w:rPr>
          <w:rFonts w:hint="eastAsia"/>
        </w:rPr>
        <w:t>日</w:t>
      </w:r>
      <w:r w:rsidR="00FA6A30" w:rsidRPr="00FA6A30">
        <w:rPr>
          <w:rFonts w:hint="eastAsia"/>
        </w:rPr>
        <w:t>)</w:t>
      </w:r>
      <w:r w:rsidR="00FA6A30" w:rsidRPr="00FA6A30">
        <w:rPr>
          <w:rFonts w:hint="eastAsia"/>
        </w:rPr>
        <w:t>通过。</w:t>
      </w:r>
    </w:p>
  </w:footnote>
  <w:footnote w:id="3">
    <w:p w14:paraId="4C3D7E95" w14:textId="3E4F2EEF" w:rsidR="00FA6A30" w:rsidRDefault="00FA6A30">
      <w:pPr>
        <w:pStyle w:val="a6"/>
        <w:rPr>
          <w:rFonts w:hint="eastAsia"/>
        </w:rPr>
      </w:pPr>
      <w:r>
        <w:tab/>
      </w:r>
      <w:r>
        <w:rPr>
          <w:rStyle w:val="a8"/>
          <w:rFonts w:eastAsia="宋体"/>
        </w:rPr>
        <w:footnoteRef/>
      </w:r>
      <w:r>
        <w:tab/>
      </w:r>
      <w:hyperlink r:id="rId1" w:history="1">
        <w:r w:rsidRPr="00016076">
          <w:rPr>
            <w:rStyle w:val="af6"/>
            <w:rFonts w:hint="eastAsia"/>
          </w:rPr>
          <w:t>CCPR/C/JOR/CO/4</w:t>
        </w:r>
      </w:hyperlink>
      <w:r w:rsidRPr="00FA6A30">
        <w:rPr>
          <w:rFonts w:hint="eastAsia"/>
        </w:rPr>
        <w:t xml:space="preserve">, </w:t>
      </w:r>
      <w:r w:rsidRPr="00FA6A30">
        <w:rPr>
          <w:rFonts w:hint="eastAsia"/>
        </w:rPr>
        <w:t>第</w:t>
      </w:r>
      <w:r w:rsidRPr="00FA6A30">
        <w:rPr>
          <w:rFonts w:hint="eastAsia"/>
        </w:rPr>
        <w:t>11</w:t>
      </w:r>
      <w:r w:rsidRPr="00FA6A30">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9DFBB" w14:textId="77777777" w:rsidR="00056632" w:rsidRDefault="00FF6785" w:rsidP="00FF6785">
    <w:pPr>
      <w:pStyle w:val="af3"/>
    </w:pPr>
    <w:r>
      <w:t>CCPR/C/133/3/Add.3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67E99" w14:textId="77777777" w:rsidR="00056632" w:rsidRPr="00202A30" w:rsidRDefault="00FF6785" w:rsidP="00FF6785">
    <w:pPr>
      <w:pStyle w:val="af3"/>
      <w:jc w:val="right"/>
    </w:pPr>
    <w:r>
      <w:t>CCPR/C/133/3/Add.3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36"/>
    <w:rsid w:val="00011483"/>
    <w:rsid w:val="00016076"/>
    <w:rsid w:val="0004554F"/>
    <w:rsid w:val="000530FD"/>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54C60"/>
    <w:rsid w:val="002E1C97"/>
    <w:rsid w:val="002F5834"/>
    <w:rsid w:val="003006AB"/>
    <w:rsid w:val="00326EBF"/>
    <w:rsid w:val="00327FE4"/>
    <w:rsid w:val="003333CC"/>
    <w:rsid w:val="0034770A"/>
    <w:rsid w:val="00385347"/>
    <w:rsid w:val="003C723F"/>
    <w:rsid w:val="003F2136"/>
    <w:rsid w:val="00427F63"/>
    <w:rsid w:val="00434D38"/>
    <w:rsid w:val="00494EB8"/>
    <w:rsid w:val="004C4A0A"/>
    <w:rsid w:val="004D0A00"/>
    <w:rsid w:val="004E473D"/>
    <w:rsid w:val="004F348E"/>
    <w:rsid w:val="00501220"/>
    <w:rsid w:val="00506A64"/>
    <w:rsid w:val="005276B0"/>
    <w:rsid w:val="00552BC8"/>
    <w:rsid w:val="0057615F"/>
    <w:rsid w:val="005E403A"/>
    <w:rsid w:val="005E4086"/>
    <w:rsid w:val="0060122D"/>
    <w:rsid w:val="00604D91"/>
    <w:rsid w:val="006257FE"/>
    <w:rsid w:val="00654DD9"/>
    <w:rsid w:val="00670DEE"/>
    <w:rsid w:val="0067253D"/>
    <w:rsid w:val="00680656"/>
    <w:rsid w:val="006B1119"/>
    <w:rsid w:val="006D3757"/>
    <w:rsid w:val="006D37EB"/>
    <w:rsid w:val="006E3E46"/>
    <w:rsid w:val="006E71B1"/>
    <w:rsid w:val="006F1404"/>
    <w:rsid w:val="0070593B"/>
    <w:rsid w:val="00705D89"/>
    <w:rsid w:val="00725265"/>
    <w:rsid w:val="00731A42"/>
    <w:rsid w:val="00755487"/>
    <w:rsid w:val="00767E69"/>
    <w:rsid w:val="0077079A"/>
    <w:rsid w:val="007710C4"/>
    <w:rsid w:val="00771504"/>
    <w:rsid w:val="00772080"/>
    <w:rsid w:val="0079694F"/>
    <w:rsid w:val="007A5599"/>
    <w:rsid w:val="00856233"/>
    <w:rsid w:val="00860F27"/>
    <w:rsid w:val="008B0560"/>
    <w:rsid w:val="008B2BFA"/>
    <w:rsid w:val="008D31F4"/>
    <w:rsid w:val="008E6A3F"/>
    <w:rsid w:val="008E6FEB"/>
    <w:rsid w:val="008F2025"/>
    <w:rsid w:val="00923557"/>
    <w:rsid w:val="00936F03"/>
    <w:rsid w:val="00943B69"/>
    <w:rsid w:val="00944CB3"/>
    <w:rsid w:val="0096722F"/>
    <w:rsid w:val="00986624"/>
    <w:rsid w:val="009B09D7"/>
    <w:rsid w:val="009D35ED"/>
    <w:rsid w:val="00A007BC"/>
    <w:rsid w:val="00A02DE0"/>
    <w:rsid w:val="00A03CB6"/>
    <w:rsid w:val="00A1364C"/>
    <w:rsid w:val="00A21076"/>
    <w:rsid w:val="00A31BA8"/>
    <w:rsid w:val="00A3739A"/>
    <w:rsid w:val="00A52DAF"/>
    <w:rsid w:val="00A84072"/>
    <w:rsid w:val="00B16570"/>
    <w:rsid w:val="00B23B03"/>
    <w:rsid w:val="00B23CF1"/>
    <w:rsid w:val="00B43EB7"/>
    <w:rsid w:val="00B53320"/>
    <w:rsid w:val="00B614C4"/>
    <w:rsid w:val="00B66A5F"/>
    <w:rsid w:val="00B712F3"/>
    <w:rsid w:val="00BC6522"/>
    <w:rsid w:val="00BE1FFE"/>
    <w:rsid w:val="00C121D5"/>
    <w:rsid w:val="00C17349"/>
    <w:rsid w:val="00C323A4"/>
    <w:rsid w:val="00C351AA"/>
    <w:rsid w:val="00C70852"/>
    <w:rsid w:val="00C7253F"/>
    <w:rsid w:val="00C829C3"/>
    <w:rsid w:val="00C90707"/>
    <w:rsid w:val="00CE1D1C"/>
    <w:rsid w:val="00D26A05"/>
    <w:rsid w:val="00D9309B"/>
    <w:rsid w:val="00D97B98"/>
    <w:rsid w:val="00DB0D94"/>
    <w:rsid w:val="00DB55A5"/>
    <w:rsid w:val="00DC671F"/>
    <w:rsid w:val="00DE4DA7"/>
    <w:rsid w:val="00E02C13"/>
    <w:rsid w:val="00E33B38"/>
    <w:rsid w:val="00E442A1"/>
    <w:rsid w:val="00E47FE5"/>
    <w:rsid w:val="00E574AF"/>
    <w:rsid w:val="00E73B33"/>
    <w:rsid w:val="00EA7E67"/>
    <w:rsid w:val="00EB2871"/>
    <w:rsid w:val="00EF7053"/>
    <w:rsid w:val="00F2237C"/>
    <w:rsid w:val="00F24E6D"/>
    <w:rsid w:val="00F31164"/>
    <w:rsid w:val="00F37918"/>
    <w:rsid w:val="00F379B8"/>
    <w:rsid w:val="00F714DA"/>
    <w:rsid w:val="00F87910"/>
    <w:rsid w:val="00FA6A30"/>
    <w:rsid w:val="00FB456B"/>
    <w:rsid w:val="00FF5FC3"/>
    <w:rsid w:val="00FF67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8738BC"/>
  <w15:docId w15:val="{5ECCADB7-7009-4E4C-9889-AAFA5932C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FF678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007BC"/>
    <w:rPr>
      <w:color w:val="0000FF" w:themeColor="hyperlink"/>
      <w:u w:val="none"/>
    </w:rPr>
  </w:style>
  <w:style w:type="character" w:styleId="af7">
    <w:name w:val="FollowedHyperlink"/>
    <w:basedOn w:val="a0"/>
    <w:uiPriority w:val="99"/>
    <w:semiHidden/>
    <w:unhideWhenUsed/>
    <w:rsid w:val="00A007BC"/>
    <w:rPr>
      <w:color w:val="800080" w:themeColor="followedHyperlink"/>
      <w:u w:val="single"/>
    </w:rPr>
  </w:style>
  <w:style w:type="character" w:styleId="af8">
    <w:name w:val="Unresolved Mention"/>
    <w:basedOn w:val="a0"/>
    <w:uiPriority w:val="99"/>
    <w:semiHidden/>
    <w:unhideWhenUsed/>
    <w:rsid w:val="000160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OR%2f4653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zh/CCPR/C/JOR/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zh/CCPR/C/JOR/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zh/CCPR/C/J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4079</Words>
  <Characters>4463</Characters>
  <Application>Microsoft Office Word</Application>
  <DocSecurity>0</DocSecurity>
  <Lines>168</Lines>
  <Paragraphs>63</Paragraphs>
  <ScaleCrop>false</ScaleCrop>
  <Company>DCM</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2119076</dc:subject>
  <dc:creator>JI</dc:creator>
  <cp:keywords/>
  <dc:description/>
  <cp:lastModifiedBy>Xiangli Ferschin-Ji</cp:lastModifiedBy>
  <cp:revision>2</cp:revision>
  <cp:lastPrinted>2014-05-09T11:28:00Z</cp:lastPrinted>
  <dcterms:created xsi:type="dcterms:W3CDTF">2022-02-23T13:30:00Z</dcterms:created>
  <dcterms:modified xsi:type="dcterms:W3CDTF">2022-02-23T13:30:00Z</dcterms:modified>
</cp:coreProperties>
</file>