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90D23" w14:textId="77777777" w:rsidR="00C90612" w:rsidRPr="00574D0D" w:rsidRDefault="00C90612" w:rsidP="00C90612">
      <w:pPr>
        <w:spacing w:line="240" w:lineRule="auto"/>
        <w:rPr>
          <w:sz w:val="2"/>
        </w:rPr>
        <w:sectPr w:rsidR="00C90612" w:rsidRPr="00574D0D" w:rsidSect="00574D0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74D0D">
        <w:rPr>
          <w:rStyle w:val="CommentReference"/>
          <w:szCs w:val="20"/>
        </w:rPr>
        <w:commentReference w:id="0"/>
      </w:r>
    </w:p>
    <w:p w14:paraId="6ACDEA1E" w14:textId="3DA47E2A" w:rsidR="00574D0D" w:rsidRDefault="00574D0D" w:rsidP="00574D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63101D">
        <w:rPr>
          <w:lang w:val="es-ES_tradnl"/>
        </w:rPr>
        <w:t>Comité para la Eliminación de la Discriminación contra la Mujer</w:t>
      </w:r>
    </w:p>
    <w:p w14:paraId="6A88F7E8" w14:textId="239B79A4" w:rsidR="00574D0D" w:rsidRPr="00574D0D" w:rsidRDefault="00574D0D" w:rsidP="00574D0D">
      <w:pPr>
        <w:pStyle w:val="SingleTxt"/>
        <w:spacing w:after="0" w:line="120" w:lineRule="exact"/>
        <w:rPr>
          <w:sz w:val="10"/>
          <w:lang w:val="es-ES_tradnl"/>
        </w:rPr>
      </w:pPr>
    </w:p>
    <w:p w14:paraId="1E9653CF" w14:textId="756B0A29" w:rsidR="00574D0D" w:rsidRPr="00574D0D" w:rsidRDefault="00574D0D" w:rsidP="00574D0D">
      <w:pPr>
        <w:pStyle w:val="SingleTxt"/>
        <w:spacing w:after="0" w:line="120" w:lineRule="exact"/>
        <w:rPr>
          <w:sz w:val="10"/>
          <w:lang w:val="es-ES_tradnl"/>
        </w:rPr>
      </w:pPr>
    </w:p>
    <w:p w14:paraId="2671B74A" w14:textId="7391570A" w:rsidR="00574D0D" w:rsidRPr="00574D0D" w:rsidRDefault="00574D0D" w:rsidP="00574D0D">
      <w:pPr>
        <w:pStyle w:val="SingleTxt"/>
        <w:spacing w:after="0" w:line="120" w:lineRule="exact"/>
        <w:rPr>
          <w:sz w:val="10"/>
          <w:lang w:val="es-ES_tradnl"/>
        </w:rPr>
      </w:pPr>
    </w:p>
    <w:p w14:paraId="789B63A7" w14:textId="61C10659" w:rsidR="00574D0D" w:rsidRDefault="00574D0D" w:rsidP="00574D0D">
      <w:pPr>
        <w:pStyle w:val="TitleHCH"/>
        <w:ind w:right="1560"/>
        <w:rPr>
          <w:b w:val="0"/>
          <w:spacing w:val="4"/>
          <w:sz w:val="20"/>
        </w:rPr>
      </w:pPr>
      <w:r w:rsidRPr="0063101D">
        <w:rPr>
          <w:lang w:val="es-ES_tradnl"/>
        </w:rPr>
        <w:tab/>
      </w:r>
      <w:r w:rsidRPr="0063101D">
        <w:rPr>
          <w:lang w:val="es-ES_tradnl"/>
        </w:rPr>
        <w:tab/>
        <w:t>Información recibida de Seychelles sobre el seguimiento de las observaciones finales relativas a su sexto informe</w:t>
      </w:r>
      <w:r>
        <w:rPr>
          <w:lang w:val="es-ES_tradnl"/>
        </w:rPr>
        <w:t> </w:t>
      </w:r>
      <w:r w:rsidRPr="0063101D">
        <w:rPr>
          <w:lang w:val="es-ES_tradnl"/>
        </w:rPr>
        <w:t>periódico</w:t>
      </w:r>
      <w:r w:rsidRPr="00574D0D">
        <w:rPr>
          <w:rStyle w:val="FootnoteReference"/>
          <w:b w:val="0"/>
          <w:spacing w:val="4"/>
          <w:sz w:val="20"/>
          <w:vertAlign w:val="baseline"/>
        </w:rPr>
        <w:footnoteReference w:customMarkFollows="1" w:id="1"/>
        <w:t>*</w:t>
      </w:r>
    </w:p>
    <w:p w14:paraId="1BE7F365" w14:textId="2FC974BE" w:rsidR="00574D0D" w:rsidRPr="00574D0D" w:rsidRDefault="00574D0D" w:rsidP="00574D0D">
      <w:pPr>
        <w:pStyle w:val="SingleTxt"/>
        <w:spacing w:after="0" w:line="120" w:lineRule="exact"/>
        <w:rPr>
          <w:sz w:val="10"/>
        </w:rPr>
      </w:pPr>
    </w:p>
    <w:p w14:paraId="5E906E3F" w14:textId="65E23CD4" w:rsidR="00574D0D" w:rsidRPr="00574D0D" w:rsidRDefault="00574D0D" w:rsidP="00574D0D">
      <w:pPr>
        <w:pStyle w:val="SingleTxt"/>
        <w:spacing w:after="0" w:line="120" w:lineRule="exact"/>
        <w:rPr>
          <w:sz w:val="10"/>
        </w:rPr>
      </w:pPr>
    </w:p>
    <w:p w14:paraId="47164793" w14:textId="204893CA" w:rsidR="00C90612" w:rsidRDefault="00574D0D" w:rsidP="00574D0D">
      <w:pPr>
        <w:pStyle w:val="SingleTxt"/>
        <w:jc w:val="right"/>
        <w:rPr>
          <w:lang w:val="es-ES_tradnl"/>
        </w:rPr>
      </w:pPr>
      <w:r w:rsidRPr="0063101D">
        <w:rPr>
          <w:lang w:val="es-ES_tradnl"/>
        </w:rPr>
        <w:t>[Fecha de recepción: 7 de marzo de 2022]</w:t>
      </w:r>
    </w:p>
    <w:p w14:paraId="1B5A77C3" w14:textId="78B14356" w:rsidR="00574D0D" w:rsidRDefault="00574D0D">
      <w:pPr>
        <w:suppressAutoHyphens w:val="0"/>
        <w:spacing w:after="200" w:line="276" w:lineRule="auto"/>
        <w:rPr>
          <w:kern w:val="14"/>
        </w:rPr>
      </w:pPr>
      <w:r>
        <w:br w:type="page"/>
      </w:r>
    </w:p>
    <w:p w14:paraId="1EE2785B" w14:textId="26070EE2" w:rsidR="00574D0D" w:rsidRDefault="00574D0D" w:rsidP="00574D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Pr="00574D0D">
        <w:rPr>
          <w:lang w:val="es-ES_tradnl"/>
        </w:rPr>
        <w:t>Información de seguimiento</w:t>
      </w:r>
    </w:p>
    <w:p w14:paraId="77D2B510" w14:textId="17343FAF" w:rsidR="00574D0D" w:rsidRPr="00574D0D" w:rsidRDefault="00574D0D" w:rsidP="00574D0D">
      <w:pPr>
        <w:pStyle w:val="SingleTxt"/>
        <w:spacing w:after="0" w:line="120" w:lineRule="exact"/>
        <w:rPr>
          <w:sz w:val="10"/>
          <w:lang w:val="es-ES_tradnl"/>
        </w:rPr>
      </w:pPr>
    </w:p>
    <w:p w14:paraId="4A7BCC14" w14:textId="77777777" w:rsidR="00574D0D" w:rsidRPr="00574D0D" w:rsidRDefault="00574D0D" w:rsidP="00574D0D">
      <w:pPr>
        <w:pStyle w:val="SingleTxt"/>
        <w:spacing w:after="0" w:line="120" w:lineRule="exact"/>
        <w:rPr>
          <w:sz w:val="10"/>
          <w:lang w:val="es-ES_tradnl"/>
        </w:rPr>
      </w:pPr>
    </w:p>
    <w:p w14:paraId="71300802" w14:textId="1F24A26E" w:rsidR="00574D0D" w:rsidRPr="00574D0D" w:rsidRDefault="00574D0D" w:rsidP="00574D0D">
      <w:pPr>
        <w:pStyle w:val="SingleTxt"/>
        <w:numPr>
          <w:ilvl w:val="0"/>
          <w:numId w:val="7"/>
        </w:numPr>
        <w:tabs>
          <w:tab w:val="num" w:pos="2804"/>
        </w:tabs>
        <w:ind w:left="1267"/>
        <w:rPr>
          <w:lang w:val="es-ES_tradnl"/>
        </w:rPr>
      </w:pPr>
      <w:r w:rsidRPr="00574D0D">
        <w:rPr>
          <w:lang w:val="es-ES_tradnl"/>
        </w:rPr>
        <w:t xml:space="preserve">La siguiente es la respuesta de Seychelles a la recomendación núm. 52 formulada por el Comité de la CEDAW en su informe </w:t>
      </w:r>
      <w:hyperlink r:id="rId17" w:history="1">
        <w:r w:rsidRPr="00574D0D">
          <w:rPr>
            <w:rStyle w:val="Hyperlink"/>
            <w:lang w:val="es-ES_tradnl"/>
          </w:rPr>
          <w:t>CEDAW/C/SYC/6</w:t>
        </w:r>
      </w:hyperlink>
      <w:r w:rsidRPr="00574D0D">
        <w:rPr>
          <w:lang w:val="es-ES_tradnl"/>
        </w:rPr>
        <w:t>.</w:t>
      </w:r>
    </w:p>
    <w:p w14:paraId="5AB02378" w14:textId="20F1CDC2" w:rsidR="00574D0D" w:rsidRPr="00574D0D" w:rsidRDefault="00574D0D" w:rsidP="00574D0D">
      <w:pPr>
        <w:pStyle w:val="SingleTxt"/>
        <w:numPr>
          <w:ilvl w:val="0"/>
          <w:numId w:val="8"/>
        </w:numPr>
        <w:tabs>
          <w:tab w:val="num" w:pos="2804"/>
        </w:tabs>
        <w:ind w:left="1267"/>
        <w:rPr>
          <w:bCs/>
          <w:lang w:val="es-ES_tradnl"/>
        </w:rPr>
      </w:pPr>
      <w:r w:rsidRPr="00574D0D">
        <w:rPr>
          <w:lang w:val="es-ES_tradnl"/>
        </w:rPr>
        <w:t xml:space="preserve">El Comité pide al Estado </w:t>
      </w:r>
      <w:r>
        <w:rPr>
          <w:lang w:val="es-ES_tradnl"/>
        </w:rPr>
        <w:t>P</w:t>
      </w:r>
      <w:r w:rsidRPr="00574D0D">
        <w:rPr>
          <w:lang w:val="es-ES_tradnl"/>
        </w:rPr>
        <w:t>arte que, en el plazo de dos años, proporcione información por escrito sobre las medidas adoptadas para aplicar las recomendaciones que figuran en los párrafos 18, 28 a) y 40 a).</w:t>
      </w:r>
    </w:p>
    <w:p w14:paraId="159D748F" w14:textId="776F4325" w:rsidR="00574D0D" w:rsidRPr="00574D0D" w:rsidRDefault="00574D0D" w:rsidP="00574D0D">
      <w:pPr>
        <w:pStyle w:val="SingleTxt"/>
        <w:spacing w:after="0" w:line="120" w:lineRule="exact"/>
        <w:rPr>
          <w:b/>
          <w:sz w:val="10"/>
          <w:lang w:val="es-ES_tradnl"/>
        </w:rPr>
      </w:pPr>
    </w:p>
    <w:p w14:paraId="026FE113" w14:textId="77777777" w:rsidR="00574D0D" w:rsidRPr="00574D0D" w:rsidRDefault="00574D0D" w:rsidP="00574D0D">
      <w:pPr>
        <w:pStyle w:val="SingleTxt"/>
        <w:spacing w:after="0" w:line="120" w:lineRule="exact"/>
        <w:rPr>
          <w:b/>
          <w:sz w:val="10"/>
          <w:lang w:val="es-ES_tradnl"/>
        </w:rPr>
      </w:pPr>
    </w:p>
    <w:p w14:paraId="324D9E6B" w14:textId="4ED4C86B" w:rsidR="00574D0D" w:rsidRPr="00574D0D" w:rsidRDefault="00574D0D" w:rsidP="00574D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30" w:hanging="1267"/>
        <w:rPr>
          <w:lang w:val="es-ES_tradnl"/>
        </w:rPr>
      </w:pPr>
      <w:r>
        <w:rPr>
          <w:lang w:val="es-ES_tradnl"/>
        </w:rPr>
        <w:tab/>
      </w:r>
      <w:r>
        <w:rPr>
          <w:lang w:val="es-ES_tradnl"/>
        </w:rPr>
        <w:tab/>
      </w:r>
      <w:r w:rsidRPr="00574D0D">
        <w:rPr>
          <w:lang w:val="es-ES_tradnl"/>
        </w:rPr>
        <w:t>Información de seguimiento sobre el párrafo 18 de las observaciones finales (</w:t>
      </w:r>
      <w:hyperlink r:id="rId18" w:history="1">
        <w:r w:rsidRPr="00574D0D">
          <w:rPr>
            <w:rStyle w:val="Hyperlink"/>
            <w:bCs/>
            <w:lang w:val="es-ES_tradnl"/>
          </w:rPr>
          <w:t>CEDAW/C/SYC/CO/6</w:t>
        </w:r>
      </w:hyperlink>
      <w:r w:rsidRPr="00574D0D">
        <w:rPr>
          <w:lang w:val="es-ES_tradnl"/>
        </w:rPr>
        <w:t>)</w:t>
      </w:r>
    </w:p>
    <w:p w14:paraId="744FA9C0" w14:textId="191A487B" w:rsidR="00574D0D" w:rsidRPr="00574D0D" w:rsidRDefault="00574D0D" w:rsidP="00574D0D">
      <w:pPr>
        <w:pStyle w:val="SingleTxt"/>
        <w:spacing w:after="0" w:line="120" w:lineRule="exact"/>
        <w:rPr>
          <w:sz w:val="10"/>
          <w:lang w:val="es-ES_tradnl"/>
        </w:rPr>
      </w:pPr>
    </w:p>
    <w:p w14:paraId="205B6177" w14:textId="77777777" w:rsidR="00574D0D" w:rsidRPr="00574D0D" w:rsidRDefault="00574D0D" w:rsidP="00574D0D">
      <w:pPr>
        <w:pStyle w:val="SingleTxt"/>
        <w:spacing w:after="0" w:line="120" w:lineRule="exact"/>
        <w:rPr>
          <w:sz w:val="10"/>
          <w:lang w:val="es-ES_tradnl"/>
        </w:rPr>
      </w:pPr>
    </w:p>
    <w:p w14:paraId="66C330F5" w14:textId="54199400" w:rsidR="00574D0D" w:rsidRPr="00574D0D" w:rsidRDefault="00574D0D" w:rsidP="00574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74D0D">
        <w:rPr>
          <w:lang w:val="es-ES_tradnl"/>
        </w:rPr>
        <w:tab/>
      </w:r>
      <w:r w:rsidRPr="00574D0D">
        <w:rPr>
          <w:lang w:val="es-ES_tradnl"/>
        </w:rPr>
        <w:tab/>
        <w:t>Mecanismos nacionales para el adelanto de la mujer</w:t>
      </w:r>
    </w:p>
    <w:p w14:paraId="7861D9C8" w14:textId="5CECD75F" w:rsidR="00574D0D" w:rsidRPr="00574D0D" w:rsidRDefault="00574D0D" w:rsidP="00574D0D">
      <w:pPr>
        <w:pStyle w:val="SingleTxt"/>
        <w:spacing w:after="0" w:line="120" w:lineRule="exact"/>
        <w:rPr>
          <w:sz w:val="10"/>
          <w:lang w:val="es-ES_tradnl"/>
        </w:rPr>
      </w:pPr>
    </w:p>
    <w:p w14:paraId="693A08C8" w14:textId="13F44948" w:rsidR="00574D0D" w:rsidRPr="00574D0D" w:rsidRDefault="00574D0D" w:rsidP="00574D0D">
      <w:pPr>
        <w:pStyle w:val="SingleTxt"/>
        <w:numPr>
          <w:ilvl w:val="0"/>
          <w:numId w:val="8"/>
        </w:numPr>
        <w:tabs>
          <w:tab w:val="num" w:pos="2804"/>
        </w:tabs>
        <w:ind w:left="1267"/>
        <w:rPr>
          <w:lang w:val="es-ES_tradnl"/>
        </w:rPr>
      </w:pPr>
      <w:r w:rsidRPr="00574D0D">
        <w:rPr>
          <w:lang w:val="es-ES_tradnl"/>
        </w:rPr>
        <w:t>La Secretaría de Género pertenece a la División de Investigación y Planificación Política, dirigida por un Director General con dos funcionarios asignados. Con la nueva reestructuración de la División, la Secretaría de Género también recibe el apoyo de la Sección de Seguimiento y Evaluación y de la Unidad de Programas. Durante los dos últimos años, el Equipo Nacional de Gestión de Género o Grupo de Trabajo de Género no ha estado activo, en parte debido a las restricciones derivadas de la COVID y a la reestructuración del Departamento. No obstante, se ha solicitado a todos los sectores implicados que nombren a personas de contacto a nivel institucional que también formarán parte del comité de la CEDAW.</w:t>
      </w:r>
      <w:r>
        <w:rPr>
          <w:lang w:val="es-ES_tradnl"/>
        </w:rPr>
        <w:t xml:space="preserve"> </w:t>
      </w:r>
    </w:p>
    <w:p w14:paraId="0B48F989" w14:textId="50EA783D" w:rsidR="00574D0D" w:rsidRPr="00574D0D" w:rsidRDefault="00574D0D" w:rsidP="00574D0D">
      <w:pPr>
        <w:pStyle w:val="SingleTxt"/>
        <w:spacing w:after="0" w:line="120" w:lineRule="exact"/>
        <w:rPr>
          <w:b/>
          <w:sz w:val="10"/>
          <w:lang w:val="es-ES_tradnl"/>
        </w:rPr>
      </w:pPr>
    </w:p>
    <w:p w14:paraId="4E13A3C9" w14:textId="77777777" w:rsidR="00574D0D" w:rsidRPr="00574D0D" w:rsidRDefault="00574D0D" w:rsidP="00574D0D">
      <w:pPr>
        <w:pStyle w:val="SingleTxt"/>
        <w:spacing w:after="0" w:line="120" w:lineRule="exact"/>
        <w:rPr>
          <w:b/>
          <w:sz w:val="10"/>
          <w:lang w:val="es-ES_tradnl"/>
        </w:rPr>
      </w:pPr>
    </w:p>
    <w:p w14:paraId="726FE26E" w14:textId="69D43DFE" w:rsidR="00574D0D" w:rsidRPr="00574D0D" w:rsidRDefault="00574D0D" w:rsidP="00574D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0" w:hanging="1267"/>
        <w:rPr>
          <w:lang w:val="es-ES_tradnl"/>
        </w:rPr>
      </w:pPr>
      <w:r>
        <w:rPr>
          <w:lang w:val="es-ES_tradnl"/>
        </w:rPr>
        <w:tab/>
      </w:r>
      <w:r>
        <w:rPr>
          <w:lang w:val="es-ES_tradnl"/>
        </w:rPr>
        <w:tab/>
      </w:r>
      <w:r w:rsidRPr="00574D0D">
        <w:rPr>
          <w:lang w:val="es-ES_tradnl"/>
        </w:rPr>
        <w:t>Información de seguimiento sobre el párrafo 28 de las observaciones finales</w:t>
      </w:r>
    </w:p>
    <w:p w14:paraId="5F67F174" w14:textId="627F37E0" w:rsidR="00574D0D" w:rsidRPr="00574D0D" w:rsidRDefault="00574D0D" w:rsidP="00574D0D">
      <w:pPr>
        <w:pStyle w:val="SingleTxt"/>
        <w:spacing w:after="0" w:line="120" w:lineRule="exact"/>
        <w:rPr>
          <w:b/>
          <w:sz w:val="10"/>
          <w:lang w:val="es-ES_tradnl"/>
        </w:rPr>
      </w:pPr>
    </w:p>
    <w:p w14:paraId="458F6EC1" w14:textId="77777777" w:rsidR="00574D0D" w:rsidRPr="00574D0D" w:rsidRDefault="00574D0D" w:rsidP="00574D0D">
      <w:pPr>
        <w:pStyle w:val="SingleTxt"/>
        <w:spacing w:after="0" w:line="120" w:lineRule="exact"/>
        <w:rPr>
          <w:b/>
          <w:sz w:val="10"/>
          <w:lang w:val="es-ES_tradnl"/>
        </w:rPr>
      </w:pPr>
    </w:p>
    <w:p w14:paraId="494E86E1" w14:textId="662E5A37" w:rsidR="00574D0D" w:rsidRPr="00574D0D" w:rsidRDefault="00574D0D" w:rsidP="00574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574D0D">
        <w:rPr>
          <w:lang w:val="es-ES_tradnl"/>
        </w:rPr>
        <w:t>Trata de personas y explotación de la prostitución</w:t>
      </w:r>
    </w:p>
    <w:p w14:paraId="30941B3B" w14:textId="77777777" w:rsidR="00574D0D" w:rsidRPr="00574D0D" w:rsidRDefault="00574D0D" w:rsidP="00574D0D">
      <w:pPr>
        <w:pStyle w:val="SingleTxt"/>
        <w:spacing w:after="0" w:line="120" w:lineRule="exact"/>
        <w:rPr>
          <w:sz w:val="10"/>
          <w:lang w:val="es-ES_tradnl"/>
        </w:rPr>
      </w:pPr>
    </w:p>
    <w:p w14:paraId="64993563" w14:textId="1B47E7CB" w:rsidR="00574D0D" w:rsidRPr="00574D0D" w:rsidRDefault="00574D0D" w:rsidP="00574D0D">
      <w:pPr>
        <w:pStyle w:val="SingleTxt"/>
        <w:numPr>
          <w:ilvl w:val="0"/>
          <w:numId w:val="8"/>
        </w:numPr>
        <w:tabs>
          <w:tab w:val="num" w:pos="2804"/>
        </w:tabs>
        <w:ind w:left="1267"/>
        <w:rPr>
          <w:lang w:val="es-ES_tradnl"/>
        </w:rPr>
      </w:pPr>
      <w:r w:rsidRPr="00574D0D">
        <w:rPr>
          <w:lang w:val="es-ES_tradnl"/>
        </w:rPr>
        <w:t>Para ayudar a la pronta identificación de las víctimas, la Fuerza de Policía de Seychelles inició un proyecto para educar a todos sus funcionarios de primera línea con el fin de que pudieran identificar y tratar a las posibles víctimas y los sospechosos.</w:t>
      </w:r>
    </w:p>
    <w:p w14:paraId="64A1F406" w14:textId="77777777" w:rsidR="00574D0D" w:rsidRPr="00574D0D" w:rsidRDefault="00574D0D" w:rsidP="00574D0D">
      <w:pPr>
        <w:pStyle w:val="SingleTxt"/>
        <w:numPr>
          <w:ilvl w:val="0"/>
          <w:numId w:val="8"/>
        </w:numPr>
        <w:tabs>
          <w:tab w:val="num" w:pos="2804"/>
        </w:tabs>
        <w:ind w:left="1267"/>
        <w:rPr>
          <w:lang w:val="es-ES_tradnl"/>
        </w:rPr>
      </w:pPr>
      <w:r w:rsidRPr="00574D0D">
        <w:rPr>
          <w:lang w:val="es-ES_tradnl"/>
        </w:rPr>
        <w:t>Antes de las restricciones derivadas de la COVID, casi la mitad de los funcionarios de primera línea de la Fuerza de Policía recibían capacitación sobre cómo tratar los casos de violencia doméstica. El objetivo de la Fuerza de Policía es capacitar al 100 % de los funcionarios de primera línea para finales de 2021. En julio de 2021, la UNODC impartió una capacitación sobre la trata de personas a participantes de la Judicatura, la Policía de Seychelles, Inmigración, la División de Aduanas y personas de la Secretaría de Trata de Personas de Asuntos Internos.</w:t>
      </w:r>
    </w:p>
    <w:p w14:paraId="341B7AF3" w14:textId="77777777" w:rsidR="00574D0D" w:rsidRPr="00574D0D" w:rsidRDefault="00574D0D" w:rsidP="00574D0D">
      <w:pPr>
        <w:pStyle w:val="SingleTxt"/>
        <w:numPr>
          <w:ilvl w:val="0"/>
          <w:numId w:val="8"/>
        </w:numPr>
        <w:tabs>
          <w:tab w:val="num" w:pos="2804"/>
        </w:tabs>
        <w:ind w:left="1267"/>
        <w:rPr>
          <w:lang w:val="es-ES_tradnl"/>
        </w:rPr>
      </w:pPr>
      <w:r w:rsidRPr="00574D0D">
        <w:rPr>
          <w:lang w:val="es-ES_tradnl"/>
        </w:rPr>
        <w:t>La Policía también ha incluido esas cuestiones en su programa de formación de la Academia de Policía de Seychelles (también se aplica al punto 5).</w:t>
      </w:r>
    </w:p>
    <w:p w14:paraId="1D487DEB" w14:textId="77777777" w:rsidR="00574D0D" w:rsidRPr="00574D0D" w:rsidRDefault="00574D0D" w:rsidP="00574D0D">
      <w:pPr>
        <w:pStyle w:val="SingleTxt"/>
        <w:numPr>
          <w:ilvl w:val="0"/>
          <w:numId w:val="8"/>
        </w:numPr>
        <w:tabs>
          <w:tab w:val="num" w:pos="2804"/>
        </w:tabs>
        <w:ind w:left="1267"/>
        <w:rPr>
          <w:lang w:val="es-ES_tradnl"/>
        </w:rPr>
      </w:pPr>
      <w:r w:rsidRPr="00574D0D">
        <w:rPr>
          <w:lang w:val="es-ES_tradnl"/>
        </w:rPr>
        <w:t>En relación con la recopilación de datos, la Unidad Prioritaria del Servicio de Investigación mantiene registros de todos los casos, que incluyen información sobre las víctimas y los autores, así como información sobre el estado del caso y la condena.</w:t>
      </w:r>
    </w:p>
    <w:p w14:paraId="758C8EFE" w14:textId="5D1079A9" w:rsidR="00574D0D" w:rsidRPr="00CC5FFB" w:rsidRDefault="00574D0D" w:rsidP="00CC5FFB">
      <w:pPr>
        <w:pStyle w:val="SingleTxt"/>
        <w:spacing w:after="0" w:line="120" w:lineRule="exact"/>
        <w:rPr>
          <w:b/>
          <w:sz w:val="10"/>
          <w:lang w:val="es-ES_tradnl"/>
        </w:rPr>
      </w:pPr>
    </w:p>
    <w:p w14:paraId="5C182C59" w14:textId="77777777" w:rsidR="00CC5FFB" w:rsidRPr="00574D0D" w:rsidRDefault="00CC5FFB" w:rsidP="00574D0D">
      <w:pPr>
        <w:pStyle w:val="SingleTxt"/>
        <w:spacing w:after="0" w:line="120" w:lineRule="exact"/>
        <w:rPr>
          <w:b/>
          <w:sz w:val="10"/>
          <w:lang w:val="es-ES_tradnl"/>
        </w:rPr>
      </w:pPr>
    </w:p>
    <w:p w14:paraId="0A1FF880" w14:textId="77777777" w:rsidR="00CC5FFB" w:rsidRDefault="00CC5FFB">
      <w:pPr>
        <w:suppressAutoHyphens w:val="0"/>
        <w:spacing w:after="200" w:line="276" w:lineRule="auto"/>
        <w:rPr>
          <w:b/>
          <w:kern w:val="14"/>
          <w:sz w:val="24"/>
          <w:lang w:val="es-ES_tradnl"/>
        </w:rPr>
      </w:pPr>
      <w:r>
        <w:rPr>
          <w:lang w:val="es-ES_tradnl"/>
        </w:rPr>
        <w:br w:type="page"/>
      </w:r>
    </w:p>
    <w:p w14:paraId="01135859" w14:textId="42171225" w:rsidR="00574D0D" w:rsidRPr="00574D0D" w:rsidRDefault="00574D0D" w:rsidP="00CC5F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574D0D">
        <w:rPr>
          <w:lang w:val="es-ES_tradnl"/>
        </w:rPr>
        <w:t>Información de seguimiento sobre el párrafo 40 de las observaciones finales</w:t>
      </w:r>
    </w:p>
    <w:p w14:paraId="67D518AC" w14:textId="266A3803" w:rsidR="00574D0D" w:rsidRPr="00CC5FFB" w:rsidRDefault="00574D0D" w:rsidP="00CC5FFB">
      <w:pPr>
        <w:pStyle w:val="SingleTxt"/>
        <w:spacing w:after="0" w:line="120" w:lineRule="exact"/>
        <w:rPr>
          <w:b/>
          <w:sz w:val="10"/>
          <w:lang w:val="es-ES_tradnl"/>
        </w:rPr>
      </w:pPr>
    </w:p>
    <w:p w14:paraId="53F39139" w14:textId="77777777" w:rsidR="00CC5FFB" w:rsidRPr="00574D0D" w:rsidRDefault="00CC5FFB" w:rsidP="00574D0D">
      <w:pPr>
        <w:pStyle w:val="SingleTxt"/>
        <w:spacing w:after="0" w:line="120" w:lineRule="exact"/>
        <w:rPr>
          <w:b/>
          <w:sz w:val="10"/>
          <w:lang w:val="es-ES_tradnl"/>
        </w:rPr>
      </w:pPr>
    </w:p>
    <w:p w14:paraId="5E30F5BE" w14:textId="79DCE0CA" w:rsidR="00574D0D" w:rsidRPr="00574D0D" w:rsidRDefault="00574D0D" w:rsidP="00CC5F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574D0D">
        <w:rPr>
          <w:lang w:val="es-ES_tradnl"/>
        </w:rPr>
        <w:tab/>
        <w:t xml:space="preserve">Salud </w:t>
      </w:r>
    </w:p>
    <w:p w14:paraId="43B1D696" w14:textId="18821AF3" w:rsidR="00574D0D" w:rsidRPr="00574D0D" w:rsidRDefault="00574D0D" w:rsidP="00574D0D">
      <w:pPr>
        <w:pStyle w:val="SingleTxt"/>
        <w:spacing w:after="0" w:line="120" w:lineRule="exact"/>
        <w:rPr>
          <w:sz w:val="10"/>
          <w:lang w:val="es-ES_tradnl"/>
        </w:rPr>
      </w:pPr>
    </w:p>
    <w:p w14:paraId="175068B2" w14:textId="29A896E7" w:rsidR="00574D0D" w:rsidRPr="00574D0D" w:rsidRDefault="00574D0D" w:rsidP="00574D0D">
      <w:pPr>
        <w:pStyle w:val="SingleTxt"/>
        <w:numPr>
          <w:ilvl w:val="0"/>
          <w:numId w:val="8"/>
        </w:numPr>
        <w:tabs>
          <w:tab w:val="num" w:pos="2804"/>
        </w:tabs>
        <w:ind w:left="1267"/>
        <w:rPr>
          <w:lang w:val="es-ES_tradnl"/>
        </w:rPr>
      </w:pPr>
      <w:r w:rsidRPr="00574D0D">
        <w:rPr>
          <w:lang w:val="es-ES_tradnl"/>
        </w:rPr>
        <w:t>La política nacional de salud sexual y reproductiva está aún en fase de proyecto.</w:t>
      </w:r>
    </w:p>
    <w:p w14:paraId="02CD3E79" w14:textId="77777777" w:rsidR="00574D0D" w:rsidRPr="00574D0D" w:rsidRDefault="00574D0D" w:rsidP="00574D0D">
      <w:pPr>
        <w:pStyle w:val="SingleTxt"/>
        <w:numPr>
          <w:ilvl w:val="0"/>
          <w:numId w:val="8"/>
        </w:numPr>
        <w:tabs>
          <w:tab w:val="num" w:pos="2804"/>
        </w:tabs>
        <w:ind w:left="1267"/>
        <w:rPr>
          <w:lang w:val="es-ES_tradnl"/>
        </w:rPr>
      </w:pPr>
      <w:r w:rsidRPr="00574D0D">
        <w:rPr>
          <w:lang w:val="es-ES_tradnl"/>
        </w:rPr>
        <w:t>Los adolescentes de Seychelles tienen acceso a métodos anticonceptivos modernos e información sobre la salud y los derechos sexuales y reproductivos. Sin embargo, según la Constitución de Seychelles, los menores de 18 años han de contar con el consentimiento de los progenitores para tener acceso a anticonceptivos.</w:t>
      </w:r>
    </w:p>
    <w:p w14:paraId="16E25837" w14:textId="77777777" w:rsidR="00574D0D" w:rsidRPr="00574D0D" w:rsidRDefault="00574D0D" w:rsidP="00574D0D">
      <w:pPr>
        <w:pStyle w:val="SingleTxt"/>
        <w:numPr>
          <w:ilvl w:val="0"/>
          <w:numId w:val="8"/>
        </w:numPr>
        <w:tabs>
          <w:tab w:val="num" w:pos="2804"/>
        </w:tabs>
        <w:ind w:left="1267"/>
        <w:rPr>
          <w:lang w:val="es-ES_tradnl"/>
        </w:rPr>
      </w:pPr>
      <w:r w:rsidRPr="00574D0D">
        <w:rPr>
          <w:lang w:val="es-ES_tradnl"/>
        </w:rPr>
        <w:t>En Seychelles, la interrupción del embarazo está prevista en la Ley de interrupción del embarazo (1994), que proporciona un marco jurídico, con condiciones restrictivas, para poder acceder al aborto de forma segura. Todavía no se ha iniciado la labor de revisión de la ley para garantizar a las mujeres en edad reproductiva un mayor acceso al aborto seguro y a la atención posterior.</w:t>
      </w:r>
    </w:p>
    <w:p w14:paraId="10E380EC" w14:textId="77777777" w:rsidR="00574D0D" w:rsidRDefault="00574D0D" w:rsidP="00574D0D">
      <w:pPr>
        <w:pStyle w:val="SingleTxt"/>
        <w:numPr>
          <w:ilvl w:val="0"/>
          <w:numId w:val="8"/>
        </w:numPr>
        <w:tabs>
          <w:tab w:val="num" w:pos="2804"/>
        </w:tabs>
        <w:ind w:left="1267"/>
        <w:rPr>
          <w:lang w:val="es-ES_tradnl"/>
        </w:rPr>
      </w:pPr>
      <w:r w:rsidRPr="00574D0D">
        <w:rPr>
          <w:lang w:val="es-ES_tradnl"/>
        </w:rPr>
        <w:t>En 2017 se creó el organismo para la prevención del abuso de drogas y la rehabilitación (APDAR) con el fin de frenar el consumo de sustancias en Seychelles. Existe un proyecto de programa para las madres drogadictas, pero no se ha aplicado debido a las restricciones presupuestarias. No obstante, a principio de 2021 APDAR creó un servicio especial para las embarazadas que consumen opioides.</w:t>
      </w:r>
    </w:p>
    <w:p w14:paraId="43712FBB" w14:textId="6ABA9114" w:rsidR="00574D0D" w:rsidRPr="00574D0D" w:rsidRDefault="00574D0D" w:rsidP="00574D0D">
      <w:pPr>
        <w:pStyle w:val="SingleTxt"/>
        <w:numPr>
          <w:ilvl w:val="0"/>
          <w:numId w:val="8"/>
        </w:numPr>
        <w:tabs>
          <w:tab w:val="num" w:pos="2804"/>
        </w:tabs>
        <w:ind w:left="1267"/>
        <w:rPr>
          <w:lang w:val="es-ES_tradnl"/>
        </w:rPr>
      </w:pPr>
      <w:r>
        <w:rPr>
          <w:noProof/>
          <w:w w:val="100"/>
          <w:lang w:val="es-ES_tradnl"/>
        </w:rPr>
        <mc:AlternateContent>
          <mc:Choice Requires="wps">
            <w:drawing>
              <wp:anchor distT="0" distB="0" distL="114300" distR="114300" simplePos="0" relativeHeight="251659264" behindDoc="0" locked="0" layoutInCell="1" allowOverlap="1" wp14:anchorId="09942BFA" wp14:editId="125CAAF9">
                <wp:simplePos x="0" y="0"/>
                <wp:positionH relativeFrom="margin">
                  <wp:align>center</wp:align>
                </wp:positionH>
                <wp:positionV relativeFrom="paragraph">
                  <wp:posOffset>906457</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0A3E5D"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1.35pt" to="1in,7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" strokecolor="#010000" strokeweight=".25pt">
                <w10:wrap anchorx="margin"/>
              </v:line>
            </w:pict>
          </mc:Fallback>
        </mc:AlternateContent>
      </w:r>
      <w:r w:rsidRPr="00574D0D">
        <w:rPr>
          <w:lang w:val="es-ES_tradnl"/>
        </w:rPr>
        <w:t>El Ministerio no ha realizado ningún estudio para averiguar la causa fundamental de la tasa de suicidio femenino. Cabe destacar que en Seychelles la tasa de suicidio de los hombres ha sido superior a la tasa en el caso de las mujeres.</w:t>
      </w:r>
    </w:p>
    <w:sectPr w:rsidR="00574D0D" w:rsidRPr="00574D0D" w:rsidSect="00574D0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2T16:27:00Z" w:initials="Start">
    <w:p w14:paraId="6F094FA6" w14:textId="77777777" w:rsidR="00C90612" w:rsidRDefault="00C90612">
      <w:pPr>
        <w:pStyle w:val="CommentText"/>
      </w:pPr>
      <w:r>
        <w:rPr>
          <w:rStyle w:val="CommentReference"/>
        </w:rPr>
        <w:annotationRef/>
      </w:r>
      <w:r>
        <w:t>&lt;&lt;ODS JOB NO&gt;&gt;N2228679S&lt;&lt;ODS JOB NO&gt;&gt;</w:t>
      </w:r>
    </w:p>
    <w:p w14:paraId="53418D23" w14:textId="77777777" w:rsidR="00C90612" w:rsidRDefault="00C90612">
      <w:pPr>
        <w:pStyle w:val="CommentText"/>
      </w:pPr>
      <w:r>
        <w:t>&lt;&lt;ODS DOC SYMBOL1&gt;&gt;CEDAW/C/SYC/FCO/6&lt;&lt;ODS DOC SYMBOL1&gt;&gt;</w:t>
      </w:r>
    </w:p>
    <w:p w14:paraId="14D05F0B" w14:textId="77777777" w:rsidR="00C90612" w:rsidRDefault="00C9061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D05F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47776" w16cex:dateUtc="2022-03-22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D05F0B" w16cid:durableId="25E477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4777A" w14:textId="77777777" w:rsidR="00050873" w:rsidRDefault="00050873" w:rsidP="00101B18">
      <w:r>
        <w:separator/>
      </w:r>
    </w:p>
  </w:endnote>
  <w:endnote w:type="continuationSeparator" w:id="0">
    <w:p w14:paraId="1692666C" w14:textId="77777777" w:rsidR="00050873" w:rsidRDefault="0005087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90612" w14:paraId="5D869057" w14:textId="77777777" w:rsidTr="00C90612">
      <w:tblPrEx>
        <w:tblCellMar>
          <w:top w:w="0" w:type="dxa"/>
          <w:bottom w:w="0" w:type="dxa"/>
        </w:tblCellMar>
      </w:tblPrEx>
      <w:tc>
        <w:tcPr>
          <w:tcW w:w="4920" w:type="dxa"/>
          <w:shd w:val="clear" w:color="auto" w:fill="auto"/>
          <w:vAlign w:val="bottom"/>
        </w:tcPr>
        <w:p w14:paraId="1432200E" w14:textId="77777777" w:rsidR="00C90612" w:rsidRPr="00C90612" w:rsidRDefault="00C90612" w:rsidP="00C9061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204643E" w14:textId="77777777" w:rsidR="00C90612" w:rsidRPr="00C90612" w:rsidRDefault="00C90612" w:rsidP="00C9061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22-03772</w:t>
          </w:r>
          <w:r>
            <w:rPr>
              <w:b w:val="0"/>
              <w:color w:val="000000"/>
              <w:sz w:val="14"/>
            </w:rPr>
            <w:fldChar w:fldCharType="end"/>
          </w:r>
        </w:p>
      </w:tc>
    </w:tr>
  </w:tbl>
  <w:p w14:paraId="0E5C3013" w14:textId="77777777" w:rsidR="00C90612" w:rsidRPr="00C90612" w:rsidRDefault="00C90612" w:rsidP="00C906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90612" w14:paraId="1F47682B" w14:textId="77777777" w:rsidTr="00C90612">
      <w:tblPrEx>
        <w:tblCellMar>
          <w:top w:w="0" w:type="dxa"/>
          <w:bottom w:w="0" w:type="dxa"/>
        </w:tblCellMar>
      </w:tblPrEx>
      <w:tc>
        <w:tcPr>
          <w:tcW w:w="4920" w:type="dxa"/>
          <w:shd w:val="clear" w:color="auto" w:fill="auto"/>
          <w:vAlign w:val="bottom"/>
        </w:tcPr>
        <w:p w14:paraId="67E17E4D" w14:textId="77777777" w:rsidR="00C90612" w:rsidRPr="00C90612" w:rsidRDefault="00C90612" w:rsidP="00C9061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22-03772</w:t>
          </w:r>
          <w:r>
            <w:rPr>
              <w:b w:val="0"/>
              <w:color w:val="000000"/>
              <w:sz w:val="14"/>
            </w:rPr>
            <w:fldChar w:fldCharType="end"/>
          </w:r>
        </w:p>
      </w:tc>
      <w:tc>
        <w:tcPr>
          <w:tcW w:w="4920" w:type="dxa"/>
          <w:shd w:val="clear" w:color="auto" w:fill="auto"/>
          <w:vAlign w:val="bottom"/>
        </w:tcPr>
        <w:p w14:paraId="50B733B4" w14:textId="77777777" w:rsidR="00C90612" w:rsidRPr="00C90612" w:rsidRDefault="00C90612" w:rsidP="00C9061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174030E" w14:textId="77777777" w:rsidR="00C90612" w:rsidRPr="00C90612" w:rsidRDefault="00C90612" w:rsidP="00C906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28C5A" w14:textId="77777777" w:rsidR="00C90612" w:rsidRPr="00C90612" w:rsidRDefault="00C90612" w:rsidP="00C90612">
    <w:pPr>
      <w:pStyle w:val="Footer"/>
      <w:spacing w:line="120" w:lineRule="exact"/>
      <w:rPr>
        <w:b w:val="0"/>
        <w:sz w:val="10"/>
      </w:rPr>
    </w:pPr>
    <w:r>
      <w:rPr>
        <w:b w:val="0"/>
        <w:sz w:val="10"/>
      </w:rPr>
      <w:drawing>
        <wp:anchor distT="0" distB="0" distL="114300" distR="114300" simplePos="0" relativeHeight="251658240" behindDoc="0" locked="0" layoutInCell="1" allowOverlap="1" wp14:anchorId="77C24042" wp14:editId="722813B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90612" w14:paraId="5A35DD83" w14:textId="77777777" w:rsidTr="00C90612">
      <w:tblPrEx>
        <w:tblCellMar>
          <w:top w:w="0" w:type="dxa"/>
          <w:bottom w:w="0" w:type="dxa"/>
        </w:tblCellMar>
      </w:tblPrEx>
      <w:tc>
        <w:tcPr>
          <w:tcW w:w="3830" w:type="dxa"/>
          <w:shd w:val="clear" w:color="auto" w:fill="auto"/>
        </w:tcPr>
        <w:p w14:paraId="091F492B" w14:textId="30CAFD0D" w:rsidR="00C90612" w:rsidRDefault="00C90612" w:rsidP="00C90612">
          <w:pPr>
            <w:pStyle w:val="ReleaseDate0"/>
          </w:pPr>
          <w:r>
            <w:t>22-03772 (S)    220322    2</w:t>
          </w:r>
          <w:r w:rsidR="00574D0D">
            <w:t>4</w:t>
          </w:r>
          <w:r>
            <w:t>0322</w:t>
          </w:r>
        </w:p>
        <w:p w14:paraId="10469C63" w14:textId="77777777" w:rsidR="00C90612" w:rsidRPr="00C90612" w:rsidRDefault="00C90612" w:rsidP="00C9061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*2203772*</w:t>
          </w:r>
        </w:p>
      </w:tc>
      <w:tc>
        <w:tcPr>
          <w:tcW w:w="4920" w:type="dxa"/>
          <w:shd w:val="clear" w:color="auto" w:fill="auto"/>
        </w:tcPr>
        <w:p w14:paraId="7FEA4A6B" w14:textId="77777777" w:rsidR="00C90612" w:rsidRDefault="00C90612" w:rsidP="00C90612">
          <w:pPr>
            <w:pStyle w:val="Footer"/>
            <w:jc w:val="right"/>
            <w:rPr>
              <w:b w:val="0"/>
              <w:sz w:val="20"/>
            </w:rPr>
          </w:pPr>
          <w:r>
            <w:rPr>
              <w:b w:val="0"/>
              <w:sz w:val="20"/>
            </w:rPr>
            <w:drawing>
              <wp:inline distT="0" distB="0" distL="0" distR="0" wp14:anchorId="068866EA" wp14:editId="39E0CAF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F7FC121" w14:textId="77777777" w:rsidR="00C90612" w:rsidRPr="00C90612" w:rsidRDefault="00C90612" w:rsidP="00C9061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6A005" w14:textId="77777777" w:rsidR="00050873" w:rsidRPr="00574D0D" w:rsidRDefault="00050873" w:rsidP="00574D0D">
      <w:pPr>
        <w:pStyle w:val="Footer"/>
        <w:spacing w:after="80"/>
        <w:ind w:left="792"/>
        <w:rPr>
          <w:sz w:val="16"/>
        </w:rPr>
      </w:pPr>
      <w:r w:rsidRPr="00574D0D">
        <w:rPr>
          <w:sz w:val="16"/>
        </w:rPr>
        <w:t>__________________</w:t>
      </w:r>
    </w:p>
  </w:footnote>
  <w:footnote w:type="continuationSeparator" w:id="0">
    <w:p w14:paraId="1A9A37E7" w14:textId="77777777" w:rsidR="00050873" w:rsidRPr="00574D0D" w:rsidRDefault="00050873" w:rsidP="00574D0D">
      <w:pPr>
        <w:pStyle w:val="Footer"/>
        <w:spacing w:after="80"/>
        <w:ind w:left="792"/>
        <w:rPr>
          <w:sz w:val="16"/>
        </w:rPr>
      </w:pPr>
      <w:r w:rsidRPr="00574D0D">
        <w:rPr>
          <w:sz w:val="16"/>
        </w:rPr>
        <w:t>__________________</w:t>
      </w:r>
    </w:p>
  </w:footnote>
  <w:footnote w:id="1">
    <w:p w14:paraId="60904D12" w14:textId="77777777" w:rsidR="00574D0D" w:rsidRPr="0082360B" w:rsidRDefault="00574D0D" w:rsidP="00574D0D">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90612" w14:paraId="5D363B89" w14:textId="77777777" w:rsidTr="00C90612">
      <w:tblPrEx>
        <w:tblCellMar>
          <w:top w:w="0" w:type="dxa"/>
          <w:bottom w:w="0" w:type="dxa"/>
        </w:tblCellMar>
      </w:tblPrEx>
      <w:trPr>
        <w:trHeight w:hRule="exact" w:val="864"/>
      </w:trPr>
      <w:tc>
        <w:tcPr>
          <w:tcW w:w="4920" w:type="dxa"/>
          <w:shd w:val="clear" w:color="auto" w:fill="auto"/>
          <w:vAlign w:val="bottom"/>
        </w:tcPr>
        <w:p w14:paraId="5291A867" w14:textId="77777777" w:rsidR="00C90612" w:rsidRPr="00C90612" w:rsidRDefault="00C90612" w:rsidP="00C90612">
          <w:pPr>
            <w:pStyle w:val="Header"/>
            <w:spacing w:after="80"/>
            <w:rPr>
              <w:b/>
            </w:rPr>
          </w:pPr>
          <w:r>
            <w:rPr>
              <w:b/>
            </w:rPr>
            <w:fldChar w:fldCharType="begin"/>
          </w:r>
          <w:r>
            <w:rPr>
              <w:b/>
            </w:rPr>
            <w:instrText xml:space="preserve"> DOCVARIABLE "sss1" \* MERGEFORMAT </w:instrText>
          </w:r>
          <w:r>
            <w:rPr>
              <w:b/>
            </w:rPr>
            <w:fldChar w:fldCharType="separate"/>
          </w:r>
          <w:r>
            <w:rPr>
              <w:b/>
            </w:rPr>
            <w:t>CEDAW/C/SYC/FCO/6</w:t>
          </w:r>
          <w:r>
            <w:rPr>
              <w:b/>
            </w:rPr>
            <w:fldChar w:fldCharType="end"/>
          </w:r>
        </w:p>
      </w:tc>
      <w:tc>
        <w:tcPr>
          <w:tcW w:w="4920" w:type="dxa"/>
          <w:shd w:val="clear" w:color="auto" w:fill="auto"/>
          <w:vAlign w:val="bottom"/>
        </w:tcPr>
        <w:p w14:paraId="38F65561" w14:textId="77777777" w:rsidR="00C90612" w:rsidRDefault="00C90612" w:rsidP="00C90612">
          <w:pPr>
            <w:pStyle w:val="Header"/>
          </w:pPr>
        </w:p>
      </w:tc>
    </w:tr>
  </w:tbl>
  <w:p w14:paraId="0496D3AF" w14:textId="77777777" w:rsidR="00C90612" w:rsidRPr="00C90612" w:rsidRDefault="00C90612" w:rsidP="00C906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90612" w14:paraId="1EA5E030" w14:textId="77777777" w:rsidTr="00C90612">
      <w:tblPrEx>
        <w:tblCellMar>
          <w:top w:w="0" w:type="dxa"/>
          <w:bottom w:w="0" w:type="dxa"/>
        </w:tblCellMar>
      </w:tblPrEx>
      <w:trPr>
        <w:trHeight w:hRule="exact" w:val="864"/>
      </w:trPr>
      <w:tc>
        <w:tcPr>
          <w:tcW w:w="4920" w:type="dxa"/>
          <w:shd w:val="clear" w:color="auto" w:fill="auto"/>
          <w:vAlign w:val="bottom"/>
        </w:tcPr>
        <w:p w14:paraId="21EC78E1" w14:textId="77777777" w:rsidR="00C90612" w:rsidRDefault="00C90612" w:rsidP="00C90612">
          <w:pPr>
            <w:pStyle w:val="Header"/>
          </w:pPr>
        </w:p>
      </w:tc>
      <w:tc>
        <w:tcPr>
          <w:tcW w:w="4920" w:type="dxa"/>
          <w:shd w:val="clear" w:color="auto" w:fill="auto"/>
          <w:vAlign w:val="bottom"/>
        </w:tcPr>
        <w:p w14:paraId="07E606F7" w14:textId="77777777" w:rsidR="00C90612" w:rsidRPr="00C90612" w:rsidRDefault="00C90612" w:rsidP="00C9061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CEDAW/C/SYC/FCO/6</w:t>
          </w:r>
          <w:r>
            <w:rPr>
              <w:b/>
            </w:rPr>
            <w:fldChar w:fldCharType="end"/>
          </w:r>
        </w:p>
      </w:tc>
    </w:tr>
  </w:tbl>
  <w:p w14:paraId="5C965C97" w14:textId="77777777" w:rsidR="00C90612" w:rsidRPr="00C90612" w:rsidRDefault="00C90612" w:rsidP="00C906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90612" w14:paraId="09866CF2" w14:textId="77777777" w:rsidTr="00C90612">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39235C78" w14:textId="77777777" w:rsidR="00C90612" w:rsidRDefault="00C90612" w:rsidP="00C90612">
          <w:pPr>
            <w:pStyle w:val="Header"/>
            <w:spacing w:after="120"/>
          </w:pPr>
        </w:p>
      </w:tc>
      <w:tc>
        <w:tcPr>
          <w:tcW w:w="2059" w:type="dxa"/>
          <w:tcBorders>
            <w:bottom w:val="single" w:sz="4" w:space="0" w:color="auto"/>
          </w:tcBorders>
          <w:shd w:val="clear" w:color="auto" w:fill="auto"/>
          <w:vAlign w:val="bottom"/>
        </w:tcPr>
        <w:p w14:paraId="1C9F3080" w14:textId="77777777" w:rsidR="00C90612" w:rsidRPr="00C90612" w:rsidRDefault="00C90612" w:rsidP="00C9061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2146E3A" w14:textId="77777777" w:rsidR="00C90612" w:rsidRDefault="00C90612" w:rsidP="00C90612">
          <w:pPr>
            <w:pStyle w:val="Header"/>
            <w:spacing w:after="120"/>
          </w:pPr>
        </w:p>
      </w:tc>
      <w:tc>
        <w:tcPr>
          <w:tcW w:w="6480" w:type="dxa"/>
          <w:gridSpan w:val="3"/>
          <w:tcBorders>
            <w:bottom w:val="single" w:sz="4" w:space="0" w:color="auto"/>
          </w:tcBorders>
          <w:shd w:val="clear" w:color="auto" w:fill="auto"/>
          <w:vAlign w:val="bottom"/>
        </w:tcPr>
        <w:p w14:paraId="04D564BE" w14:textId="77777777" w:rsidR="00C90612" w:rsidRPr="00C90612" w:rsidRDefault="00C90612" w:rsidP="00C90612">
          <w:pPr>
            <w:spacing w:after="80" w:line="240" w:lineRule="auto"/>
            <w:jc w:val="right"/>
            <w:rPr>
              <w:position w:val="-4"/>
            </w:rPr>
          </w:pPr>
          <w:r>
            <w:rPr>
              <w:position w:val="-4"/>
              <w:sz w:val="40"/>
            </w:rPr>
            <w:t>CEDAW</w:t>
          </w:r>
          <w:r>
            <w:rPr>
              <w:position w:val="-4"/>
            </w:rPr>
            <w:t>/C/SYC/FCO/6</w:t>
          </w:r>
        </w:p>
      </w:tc>
    </w:tr>
    <w:tr w:rsidR="00C90612" w:rsidRPr="00C90612" w14:paraId="077F9B19" w14:textId="77777777" w:rsidTr="00C9061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50E41EE" w14:textId="77777777" w:rsidR="00C90612" w:rsidRPr="00C90612" w:rsidRDefault="00C90612" w:rsidP="00C90612">
          <w:pPr>
            <w:pStyle w:val="Header"/>
            <w:spacing w:before="120"/>
            <w:jc w:val="center"/>
          </w:pPr>
          <w:r>
            <w:t xml:space="preserve"> </w:t>
          </w:r>
          <w:r>
            <w:drawing>
              <wp:inline distT="0" distB="0" distL="0" distR="0" wp14:anchorId="6AF2A460" wp14:editId="7998D8C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03FBEA" w14:textId="77777777" w:rsidR="00C90612" w:rsidRPr="00C90612" w:rsidRDefault="00C90612" w:rsidP="00C9061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6E3F92E" w14:textId="77777777" w:rsidR="00C90612" w:rsidRPr="00574D0D" w:rsidRDefault="00C90612" w:rsidP="00C9061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2DB23E5" w14:textId="77777777" w:rsidR="00C90612" w:rsidRDefault="00C90612" w:rsidP="00C90612">
          <w:pPr>
            <w:pStyle w:val="Distribution"/>
            <w:spacing w:before="240"/>
          </w:pPr>
          <w:r>
            <w:t>Distr. general</w:t>
          </w:r>
        </w:p>
        <w:p w14:paraId="7BFCB4EC" w14:textId="77777777" w:rsidR="00C90612" w:rsidRDefault="00C90612" w:rsidP="00C90612">
          <w:pPr>
            <w:pStyle w:val="Publication"/>
          </w:pPr>
          <w:r>
            <w:t>14 de marzo de 2022</w:t>
          </w:r>
        </w:p>
        <w:p w14:paraId="28B5AC6F" w14:textId="77777777" w:rsidR="00C90612" w:rsidRDefault="00C90612" w:rsidP="00C90612">
          <w:r>
            <w:t>Español</w:t>
          </w:r>
        </w:p>
        <w:p w14:paraId="1D685B3C" w14:textId="77777777" w:rsidR="00574D0D" w:rsidRDefault="00C90612" w:rsidP="00C90612">
          <w:pPr>
            <w:pStyle w:val="Original"/>
          </w:pPr>
          <w:r>
            <w:t xml:space="preserve">Original: </w:t>
          </w:r>
          <w:r w:rsidR="00574D0D">
            <w:t>inglés</w:t>
          </w:r>
        </w:p>
        <w:p w14:paraId="3DD74BB1" w14:textId="451ED170" w:rsidR="00C90612" w:rsidRPr="00C90612" w:rsidRDefault="00574D0D" w:rsidP="00574D0D">
          <w:pPr>
            <w:pStyle w:val="Original"/>
          </w:pPr>
          <w:r>
            <w:t>E</w:t>
          </w:r>
          <w:r w:rsidR="00C90612">
            <w:t>spañol</w:t>
          </w:r>
          <w:r>
            <w:t xml:space="preserve">, </w:t>
          </w:r>
          <w:r w:rsidR="00C90612">
            <w:t>francés</w:t>
          </w:r>
          <w:r>
            <w:t xml:space="preserve"> e </w:t>
          </w:r>
          <w:r w:rsidR="00C90612">
            <w:t>inglés</w:t>
          </w:r>
          <w:r>
            <w:br/>
            <w:t>únicamente</w:t>
          </w:r>
        </w:p>
      </w:tc>
    </w:tr>
  </w:tbl>
  <w:p w14:paraId="456DC0BC" w14:textId="77777777" w:rsidR="00C90612" w:rsidRPr="00574D0D" w:rsidRDefault="00C90612" w:rsidP="00C90612">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0E056DF"/>
    <w:multiLevelType w:val="singleLevel"/>
    <w:tmpl w:val="30FEF9C6"/>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E0A2979"/>
    <w:multiLevelType w:val="hybridMultilevel"/>
    <w:tmpl w:val="F9C81D26"/>
    <w:lvl w:ilvl="0" w:tplc="C164C55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5"/>
  </w:num>
  <w:num w:numId="2">
    <w:abstractNumId w:val="0"/>
  </w:num>
  <w:num w:numId="3">
    <w:abstractNumId w:val="4"/>
  </w:num>
  <w:num w:numId="4">
    <w:abstractNumId w:val="3"/>
  </w:num>
  <w:num w:numId="5">
    <w:abstractNumId w:val="2"/>
  </w:num>
  <w:num w:numId="6">
    <w:abstractNumId w:val="6"/>
  </w:num>
  <w:num w:numId="7">
    <w:abstractNumId w:val="1"/>
  </w:num>
  <w:num w:numId="8">
    <w:abstractNumId w:val="1"/>
    <w:lvlOverride w:ilvl="0">
      <w:lvl w:ilvl="0">
        <w:start w:val="1"/>
        <w:numFmt w:val="decimal"/>
        <w:lvlRestart w:val="0"/>
        <w:lvlText w:val="%1."/>
        <w:lvlJc w:val="left"/>
        <w:pPr>
          <w:tabs>
            <w:tab w:val="num" w:pos="475"/>
          </w:tabs>
          <w:ind w:left="0" w:firstLine="0"/>
        </w:pPr>
        <w:rPr>
          <w:spacing w:val="0"/>
          <w:w w:val="100"/>
        </w:rPr>
      </w:lvl>
    </w:lvlOverride>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 w:numId="10">
    <w:abstractNumId w:val="1"/>
    <w:lvlOverride w:ilvl="0">
      <w:lvl w:ilvl="0">
        <w:start w:val="1"/>
        <w:numFmt w:val="decimal"/>
        <w:lvlRestart w:val="0"/>
        <w:lvlText w:val="%1."/>
        <w:lvlJc w:val="left"/>
        <w:pPr>
          <w:tabs>
            <w:tab w:val="num" w:pos="475"/>
          </w:tabs>
          <w:ind w:left="0" w:firstLine="0"/>
        </w:pPr>
        <w:rPr>
          <w:spacing w:val="0"/>
          <w:w w:val="100"/>
        </w:rPr>
      </w:lvl>
    </w:lvlOverride>
  </w:num>
  <w:num w:numId="11">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revisionView w:markup="0"/>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772*"/>
    <w:docVar w:name="CreationDt" w:val="22/03/2022 4:27: PM"/>
    <w:docVar w:name="DocCategory" w:val="Doc"/>
    <w:docVar w:name="DocType" w:val="Final"/>
    <w:docVar w:name="DutyStation" w:val="New York"/>
    <w:docVar w:name="FooterJN" w:val="22-03772"/>
    <w:docVar w:name="jobn" w:val="22-03772 (S)"/>
    <w:docVar w:name="jobnDT" w:val="22-03772 (S)   220322"/>
    <w:docVar w:name="jobnDTDT" w:val="22-03772 (S)   220322   220322"/>
    <w:docVar w:name="JobNo" w:val="2203772S"/>
    <w:docVar w:name="JobNo2" w:val="22286794:27: PM"/>
    <w:docVar w:name="LocalDrive" w:val="-1"/>
    <w:docVar w:name="OandT" w:val="FAA/MC"/>
    <w:docVar w:name="sss1" w:val="CEDAW/C/SYC/FCO/6"/>
    <w:docVar w:name="sss2" w:val="-"/>
    <w:docVar w:name="Symbol1" w:val="CEDAW/C/SYC/FCO/6"/>
    <w:docVar w:name="Symbol2" w:val="-"/>
    <w:docVar w:name="Title1" w:val="_x0009__x0009_Información recibida de Seychelles sobre el seguimiento de las observaciones finales relativas a su sexto informe periódico*_x000d_"/>
  </w:docVars>
  <w:rsids>
    <w:rsidRoot w:val="00F76905"/>
    <w:rsid w:val="00002584"/>
    <w:rsid w:val="00031525"/>
    <w:rsid w:val="00050873"/>
    <w:rsid w:val="0006491F"/>
    <w:rsid w:val="00067B89"/>
    <w:rsid w:val="00071D43"/>
    <w:rsid w:val="00081806"/>
    <w:rsid w:val="00082144"/>
    <w:rsid w:val="000A46C0"/>
    <w:rsid w:val="000C3DFF"/>
    <w:rsid w:val="000F1F99"/>
    <w:rsid w:val="00101B18"/>
    <w:rsid w:val="00117EA0"/>
    <w:rsid w:val="00122A56"/>
    <w:rsid w:val="00134FEE"/>
    <w:rsid w:val="00146C6A"/>
    <w:rsid w:val="00147570"/>
    <w:rsid w:val="00151388"/>
    <w:rsid w:val="00166A0D"/>
    <w:rsid w:val="001912F2"/>
    <w:rsid w:val="001D5969"/>
    <w:rsid w:val="001E4B50"/>
    <w:rsid w:val="00241B93"/>
    <w:rsid w:val="002478A0"/>
    <w:rsid w:val="00260237"/>
    <w:rsid w:val="002753B1"/>
    <w:rsid w:val="00283932"/>
    <w:rsid w:val="002A5E20"/>
    <w:rsid w:val="002D1584"/>
    <w:rsid w:val="00304428"/>
    <w:rsid w:val="003063C0"/>
    <w:rsid w:val="00352B3D"/>
    <w:rsid w:val="00356DCA"/>
    <w:rsid w:val="00366D21"/>
    <w:rsid w:val="0037384C"/>
    <w:rsid w:val="0039127C"/>
    <w:rsid w:val="003A675A"/>
    <w:rsid w:val="003B24AA"/>
    <w:rsid w:val="003B740D"/>
    <w:rsid w:val="003D096D"/>
    <w:rsid w:val="003F61E1"/>
    <w:rsid w:val="00411A14"/>
    <w:rsid w:val="00415E1D"/>
    <w:rsid w:val="00431E47"/>
    <w:rsid w:val="00440C93"/>
    <w:rsid w:val="00480B84"/>
    <w:rsid w:val="004B5B62"/>
    <w:rsid w:val="004B64F9"/>
    <w:rsid w:val="004C1A25"/>
    <w:rsid w:val="004D28DF"/>
    <w:rsid w:val="00515991"/>
    <w:rsid w:val="005225EC"/>
    <w:rsid w:val="00525097"/>
    <w:rsid w:val="005509B6"/>
    <w:rsid w:val="00574D0D"/>
    <w:rsid w:val="005D670B"/>
    <w:rsid w:val="005F1F5F"/>
    <w:rsid w:val="00622288"/>
    <w:rsid w:val="00632C10"/>
    <w:rsid w:val="00650967"/>
    <w:rsid w:val="00657C5A"/>
    <w:rsid w:val="006731EC"/>
    <w:rsid w:val="00690698"/>
    <w:rsid w:val="00695D66"/>
    <w:rsid w:val="006A68DE"/>
    <w:rsid w:val="006E4A4B"/>
    <w:rsid w:val="006F4570"/>
    <w:rsid w:val="00703106"/>
    <w:rsid w:val="007050C1"/>
    <w:rsid w:val="007116A9"/>
    <w:rsid w:val="007459AE"/>
    <w:rsid w:val="007526FF"/>
    <w:rsid w:val="007531A5"/>
    <w:rsid w:val="00753D8A"/>
    <w:rsid w:val="00771C9E"/>
    <w:rsid w:val="00783685"/>
    <w:rsid w:val="007C3880"/>
    <w:rsid w:val="00807B29"/>
    <w:rsid w:val="0082045E"/>
    <w:rsid w:val="008222A3"/>
    <w:rsid w:val="00840664"/>
    <w:rsid w:val="00865E99"/>
    <w:rsid w:val="00870F24"/>
    <w:rsid w:val="008B3FC7"/>
    <w:rsid w:val="008B5EF0"/>
    <w:rsid w:val="008F3462"/>
    <w:rsid w:val="00935932"/>
    <w:rsid w:val="00944B76"/>
    <w:rsid w:val="009559A6"/>
    <w:rsid w:val="00993CB7"/>
    <w:rsid w:val="009A633E"/>
    <w:rsid w:val="009D0EE3"/>
    <w:rsid w:val="009E1F5F"/>
    <w:rsid w:val="00A06F88"/>
    <w:rsid w:val="00A1038C"/>
    <w:rsid w:val="00A2494D"/>
    <w:rsid w:val="00A31C1D"/>
    <w:rsid w:val="00A536A1"/>
    <w:rsid w:val="00A8599D"/>
    <w:rsid w:val="00AB0B7D"/>
    <w:rsid w:val="00AD5F2F"/>
    <w:rsid w:val="00AE7243"/>
    <w:rsid w:val="00AF4336"/>
    <w:rsid w:val="00B114E4"/>
    <w:rsid w:val="00B4741E"/>
    <w:rsid w:val="00B858D5"/>
    <w:rsid w:val="00BB462D"/>
    <w:rsid w:val="00BD113B"/>
    <w:rsid w:val="00C026EE"/>
    <w:rsid w:val="00C07FF6"/>
    <w:rsid w:val="00C32BC2"/>
    <w:rsid w:val="00C43505"/>
    <w:rsid w:val="00C5036A"/>
    <w:rsid w:val="00C7565B"/>
    <w:rsid w:val="00C90612"/>
    <w:rsid w:val="00CB06FB"/>
    <w:rsid w:val="00CB63C5"/>
    <w:rsid w:val="00CC5FFB"/>
    <w:rsid w:val="00D0035F"/>
    <w:rsid w:val="00D3073B"/>
    <w:rsid w:val="00D30EED"/>
    <w:rsid w:val="00D37A44"/>
    <w:rsid w:val="00D63B57"/>
    <w:rsid w:val="00DB32F0"/>
    <w:rsid w:val="00DB66DE"/>
    <w:rsid w:val="00DC7881"/>
    <w:rsid w:val="00DD5701"/>
    <w:rsid w:val="00E117BC"/>
    <w:rsid w:val="00E343A6"/>
    <w:rsid w:val="00E443AC"/>
    <w:rsid w:val="00E44BC2"/>
    <w:rsid w:val="00E47A1E"/>
    <w:rsid w:val="00E517AD"/>
    <w:rsid w:val="00E7105F"/>
    <w:rsid w:val="00E818DE"/>
    <w:rsid w:val="00EA35B4"/>
    <w:rsid w:val="00ED471D"/>
    <w:rsid w:val="00EE37EC"/>
    <w:rsid w:val="00EF2DFA"/>
    <w:rsid w:val="00EF376D"/>
    <w:rsid w:val="00F0034E"/>
    <w:rsid w:val="00F0282E"/>
    <w:rsid w:val="00F0704E"/>
    <w:rsid w:val="00F272D7"/>
    <w:rsid w:val="00F313F6"/>
    <w:rsid w:val="00F5012D"/>
    <w:rsid w:val="00F73093"/>
    <w:rsid w:val="00F76905"/>
    <w:rsid w:val="00F873D4"/>
    <w:rsid w:val="00FA3D05"/>
    <w:rsid w:val="00FA5CC9"/>
    <w:rsid w:val="00FB0A2C"/>
    <w:rsid w:val="00FB3A0E"/>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D83DA6"/>
  <w15:chartTrackingRefBased/>
  <w15:docId w15:val="{CBDB1223-B7F3-4296-94F8-0890A57D1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34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0034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0034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0034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0034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0034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0034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0034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0034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0034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034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0034E"/>
    <w:pPr>
      <w:spacing w:line="360" w:lineRule="exact"/>
    </w:pPr>
    <w:rPr>
      <w:spacing w:val="-3"/>
      <w:w w:val="99"/>
      <w:sz w:val="34"/>
    </w:rPr>
  </w:style>
  <w:style w:type="paragraph" w:customStyle="1" w:styleId="H23">
    <w:name w:val="_ H_2/3"/>
    <w:basedOn w:val="H1"/>
    <w:next w:val="SingleTxt"/>
    <w:qFormat/>
    <w:rsid w:val="00F0034E"/>
    <w:pPr>
      <w:spacing w:line="240" w:lineRule="exact"/>
      <w:outlineLvl w:val="1"/>
    </w:pPr>
    <w:rPr>
      <w:spacing w:val="2"/>
      <w:sz w:val="20"/>
    </w:rPr>
  </w:style>
  <w:style w:type="paragraph" w:customStyle="1" w:styleId="H4">
    <w:name w:val="_ H_4"/>
    <w:basedOn w:val="Normal"/>
    <w:next w:val="Normal"/>
    <w:qFormat/>
    <w:rsid w:val="00F0034E"/>
    <w:pPr>
      <w:keepNext/>
      <w:keepLines/>
      <w:tabs>
        <w:tab w:val="right" w:pos="360"/>
      </w:tabs>
      <w:outlineLvl w:val="3"/>
    </w:pPr>
    <w:rPr>
      <w:i/>
      <w:spacing w:val="3"/>
      <w:kern w:val="14"/>
    </w:rPr>
  </w:style>
  <w:style w:type="paragraph" w:customStyle="1" w:styleId="H56">
    <w:name w:val="_ H_5/6"/>
    <w:basedOn w:val="Normal"/>
    <w:next w:val="Normal"/>
    <w:qFormat/>
    <w:rsid w:val="00F0034E"/>
    <w:pPr>
      <w:keepNext/>
      <w:keepLines/>
      <w:tabs>
        <w:tab w:val="right" w:pos="360"/>
      </w:tabs>
      <w:outlineLvl w:val="4"/>
    </w:pPr>
    <w:rPr>
      <w:kern w:val="14"/>
    </w:rPr>
  </w:style>
  <w:style w:type="paragraph" w:customStyle="1" w:styleId="DualTxt">
    <w:name w:val="__Dual Txt"/>
    <w:basedOn w:val="Normal"/>
    <w:qFormat/>
    <w:rsid w:val="00F0034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034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034E"/>
    <w:pPr>
      <w:spacing w:line="540" w:lineRule="exact"/>
    </w:pPr>
    <w:rPr>
      <w:spacing w:val="-8"/>
      <w:w w:val="96"/>
      <w:sz w:val="57"/>
    </w:rPr>
  </w:style>
  <w:style w:type="paragraph" w:customStyle="1" w:styleId="SS">
    <w:name w:val="__S_S"/>
    <w:basedOn w:val="HCh0"/>
    <w:next w:val="Normal"/>
    <w:qFormat/>
    <w:rsid w:val="00F0034E"/>
    <w:pPr>
      <w:ind w:left="1267" w:right="1267"/>
    </w:pPr>
  </w:style>
  <w:style w:type="paragraph" w:customStyle="1" w:styleId="SingleTxt">
    <w:name w:val="__Single Txt"/>
    <w:basedOn w:val="Normal"/>
    <w:link w:val="SingleTxtChar"/>
    <w:qFormat/>
    <w:rsid w:val="00F003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034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034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0034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0034E"/>
    <w:rPr>
      <w:rFonts w:ascii="Tahoma" w:hAnsi="Tahoma" w:cs="Tahoma"/>
      <w:sz w:val="16"/>
      <w:szCs w:val="16"/>
    </w:rPr>
  </w:style>
  <w:style w:type="character" w:customStyle="1" w:styleId="BalloonTextChar">
    <w:name w:val="Balloon Text Char"/>
    <w:basedOn w:val="DefaultParagraphFont"/>
    <w:link w:val="BalloonText"/>
    <w:semiHidden/>
    <w:rsid w:val="00F0034E"/>
    <w:rPr>
      <w:rFonts w:ascii="Tahoma" w:eastAsiaTheme="minorHAnsi" w:hAnsi="Tahoma" w:cs="Tahoma"/>
      <w:spacing w:val="4"/>
      <w:w w:val="103"/>
      <w:sz w:val="16"/>
      <w:szCs w:val="16"/>
      <w:lang w:val="es-ES" w:eastAsia="en-US"/>
    </w:rPr>
  </w:style>
  <w:style w:type="paragraph" w:customStyle="1" w:styleId="Bullet1">
    <w:name w:val="Bullet 1"/>
    <w:basedOn w:val="Normal"/>
    <w:qFormat/>
    <w:rsid w:val="00F0034E"/>
    <w:pPr>
      <w:numPr>
        <w:numId w:val="1"/>
      </w:numPr>
      <w:spacing w:after="120"/>
      <w:ind w:right="1264"/>
      <w:jc w:val="both"/>
    </w:pPr>
  </w:style>
  <w:style w:type="paragraph" w:customStyle="1" w:styleId="Bullet2">
    <w:name w:val="Bullet 2"/>
    <w:basedOn w:val="Normal"/>
    <w:qFormat/>
    <w:rsid w:val="00F0034E"/>
    <w:pPr>
      <w:numPr>
        <w:numId w:val="2"/>
      </w:numPr>
      <w:spacing w:after="120"/>
      <w:ind w:right="1264"/>
      <w:jc w:val="both"/>
    </w:pPr>
  </w:style>
  <w:style w:type="paragraph" w:customStyle="1" w:styleId="Bullet3">
    <w:name w:val="Bullet 3"/>
    <w:basedOn w:val="SingleTxt"/>
    <w:qFormat/>
    <w:rsid w:val="00F0034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0034E"/>
    <w:pPr>
      <w:spacing w:after="80"/>
    </w:pPr>
  </w:style>
  <w:style w:type="character" w:customStyle="1" w:styleId="EndnoteTextChar">
    <w:name w:val="Endnote Text Char"/>
    <w:basedOn w:val="DefaultParagraphFont"/>
    <w:link w:val="EndnoteText"/>
    <w:semiHidden/>
    <w:rsid w:val="00F0034E"/>
    <w:rPr>
      <w:rFonts w:ascii="Times New Roman" w:eastAsiaTheme="minorHAnsi" w:hAnsi="Times New Roman" w:cs="Times New Roman"/>
      <w:spacing w:val="5"/>
      <w:w w:val="104"/>
      <w:sz w:val="17"/>
      <w:lang w:val="es-ES" w:eastAsia="en-US"/>
    </w:rPr>
  </w:style>
  <w:style w:type="paragraph" w:styleId="Footer">
    <w:name w:val="footer"/>
    <w:link w:val="FooterChar"/>
    <w:qFormat/>
    <w:rsid w:val="00F0034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0034E"/>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0034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F0034E"/>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0034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F0034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0034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0034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0034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0034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0034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0034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0034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0034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0034E"/>
    <w:rPr>
      <w:rFonts w:ascii="Cambria" w:hAnsi="Cambria" w:cs="Times New Roman"/>
      <w:i/>
      <w:iCs/>
      <w:spacing w:val="5"/>
      <w:w w:val="103"/>
      <w:sz w:val="20"/>
      <w:szCs w:val="20"/>
      <w:lang w:val="es-ES" w:eastAsia="en-US"/>
    </w:rPr>
  </w:style>
  <w:style w:type="character" w:styleId="LineNumber">
    <w:name w:val="line number"/>
    <w:qFormat/>
    <w:rsid w:val="00F0034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0034E"/>
    <w:pPr>
      <w:spacing w:line="240" w:lineRule="auto"/>
    </w:pPr>
  </w:style>
  <w:style w:type="paragraph" w:customStyle="1" w:styleId="Original">
    <w:name w:val="Original"/>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0034E"/>
    <w:pPr>
      <w:tabs>
        <w:tab w:val="right" w:pos="9965"/>
      </w:tabs>
      <w:spacing w:line="210" w:lineRule="exact"/>
    </w:pPr>
    <w:rPr>
      <w:spacing w:val="5"/>
      <w:w w:val="104"/>
      <w:kern w:val="14"/>
      <w:sz w:val="17"/>
    </w:rPr>
  </w:style>
  <w:style w:type="paragraph" w:customStyle="1" w:styleId="SmallX">
    <w:name w:val="SmallX"/>
    <w:basedOn w:val="Small"/>
    <w:next w:val="Normal"/>
    <w:qFormat/>
    <w:rsid w:val="00F0034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0034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003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F0034E"/>
    <w:pPr>
      <w:spacing w:line="300" w:lineRule="exact"/>
    </w:pPr>
    <w:rPr>
      <w:spacing w:val="-2"/>
      <w:sz w:val="28"/>
    </w:rPr>
  </w:style>
  <w:style w:type="paragraph" w:styleId="Caption">
    <w:name w:val="caption"/>
    <w:basedOn w:val="Normal"/>
    <w:next w:val="Normal"/>
    <w:uiPriority w:val="35"/>
    <w:semiHidden/>
    <w:unhideWhenUsed/>
    <w:rsid w:val="00F0034E"/>
    <w:pPr>
      <w:spacing w:line="240" w:lineRule="auto"/>
    </w:pPr>
    <w:rPr>
      <w:b/>
      <w:bCs/>
      <w:color w:val="4F81BD"/>
      <w:sz w:val="18"/>
      <w:szCs w:val="18"/>
    </w:rPr>
  </w:style>
  <w:style w:type="character" w:styleId="CommentReference">
    <w:name w:val="annotation reference"/>
    <w:semiHidden/>
    <w:rsid w:val="00F0034E"/>
    <w:rPr>
      <w:sz w:val="6"/>
    </w:rPr>
  </w:style>
  <w:style w:type="paragraph" w:customStyle="1" w:styleId="HdBanner">
    <w:name w:val="Hd Banner"/>
    <w:basedOn w:val="Normal"/>
    <w:next w:val="Normal"/>
    <w:qFormat/>
    <w:rsid w:val="00F0034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034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034E"/>
    <w:pPr>
      <w:spacing w:before="240"/>
    </w:pPr>
    <w:rPr>
      <w:b/>
      <w:spacing w:val="-2"/>
      <w:w w:val="100"/>
    </w:rPr>
  </w:style>
  <w:style w:type="paragraph" w:customStyle="1" w:styleId="HdChapterBdLg">
    <w:name w:val="Hd Chapter Bd Lg"/>
    <w:basedOn w:val="HdChapterBD"/>
    <w:next w:val="Normal"/>
    <w:qFormat/>
    <w:rsid w:val="00F0034E"/>
    <w:rPr>
      <w:spacing w:val="-3"/>
      <w:w w:val="99"/>
      <w:kern w:val="14"/>
      <w:sz w:val="34"/>
      <w:szCs w:val="34"/>
    </w:rPr>
  </w:style>
  <w:style w:type="paragraph" w:customStyle="1" w:styleId="JournalHeading1">
    <w:name w:val="Journal_Heading1"/>
    <w:basedOn w:val="Normal"/>
    <w:next w:val="Normal"/>
    <w:qFormat/>
    <w:rsid w:val="00F0034E"/>
    <w:pPr>
      <w:keepNext/>
      <w:spacing w:before="190" w:line="270" w:lineRule="exact"/>
    </w:pPr>
    <w:rPr>
      <w:b/>
      <w:kern w:val="14"/>
      <w:sz w:val="24"/>
    </w:rPr>
  </w:style>
  <w:style w:type="paragraph" w:customStyle="1" w:styleId="JournalHeading2">
    <w:name w:val="Journal_Heading2"/>
    <w:basedOn w:val="Normal"/>
    <w:next w:val="Normal"/>
    <w:qFormat/>
    <w:rsid w:val="00F0034E"/>
    <w:pPr>
      <w:keepNext/>
      <w:keepLines/>
      <w:spacing w:before="240"/>
      <w:outlineLvl w:val="1"/>
    </w:pPr>
    <w:rPr>
      <w:b/>
      <w:spacing w:val="2"/>
      <w:kern w:val="14"/>
    </w:rPr>
  </w:style>
  <w:style w:type="paragraph" w:customStyle="1" w:styleId="JournalHeading4">
    <w:name w:val="Journal_Heading4"/>
    <w:basedOn w:val="Normal"/>
    <w:next w:val="Normal"/>
    <w:qFormat/>
    <w:rsid w:val="00F0034E"/>
    <w:pPr>
      <w:keepNext/>
      <w:keepLines/>
      <w:spacing w:before="240"/>
      <w:outlineLvl w:val="3"/>
    </w:pPr>
    <w:rPr>
      <w:i/>
      <w:kern w:val="14"/>
    </w:rPr>
  </w:style>
  <w:style w:type="paragraph" w:customStyle="1" w:styleId="NormalBullet">
    <w:name w:val="Normal Bullet"/>
    <w:basedOn w:val="Normal"/>
    <w:next w:val="Normal"/>
    <w:qFormat/>
    <w:rsid w:val="00F0034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0034E"/>
    <w:pPr>
      <w:tabs>
        <w:tab w:val="left" w:leader="dot" w:pos="2218"/>
        <w:tab w:val="left" w:pos="2707"/>
        <w:tab w:val="right" w:leader="dot" w:pos="9835"/>
      </w:tabs>
    </w:pPr>
    <w:rPr>
      <w:kern w:val="14"/>
    </w:rPr>
  </w:style>
  <w:style w:type="paragraph" w:customStyle="1" w:styleId="ReleaseDate0">
    <w:name w:val="ReleaseDate"/>
    <w:next w:val="Footer"/>
    <w:autoRedefine/>
    <w:qFormat/>
    <w:rsid w:val="00F0034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0034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0034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C90612"/>
    <w:pPr>
      <w:spacing w:line="240" w:lineRule="auto"/>
    </w:pPr>
    <w:rPr>
      <w:szCs w:val="20"/>
    </w:rPr>
  </w:style>
  <w:style w:type="character" w:customStyle="1" w:styleId="CommentTextChar">
    <w:name w:val="Comment Text Char"/>
    <w:basedOn w:val="DefaultParagraphFont"/>
    <w:link w:val="CommentText"/>
    <w:uiPriority w:val="99"/>
    <w:semiHidden/>
    <w:rsid w:val="00C9061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90612"/>
    <w:rPr>
      <w:b/>
      <w:bCs/>
    </w:rPr>
  </w:style>
  <w:style w:type="character" w:customStyle="1" w:styleId="CommentSubjectChar">
    <w:name w:val="Comment Subject Char"/>
    <w:basedOn w:val="CommentTextChar"/>
    <w:link w:val="CommentSubject"/>
    <w:uiPriority w:val="99"/>
    <w:semiHidden/>
    <w:rsid w:val="00C90612"/>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574D0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character" w:styleId="UnresolvedMention">
    <w:name w:val="Unresolved Mention"/>
    <w:basedOn w:val="DefaultParagraphFont"/>
    <w:uiPriority w:val="99"/>
    <w:semiHidden/>
    <w:unhideWhenUsed/>
    <w:rsid w:val="00574D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YC/CO/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YC/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727</Words>
  <Characters>3718</Characters>
  <Application>Microsoft Office Word</Application>
  <DocSecurity>0</DocSecurity>
  <Lines>90</Lines>
  <Paragraphs>26</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Comité para la Eliminación de la Discriminación contra la Mujer</vt:lpstr>
      <vt:lpstr>Información recibida de Seychelles sobre el seguimiento de las observaciones f</vt:lpstr>
      <vt:lpstr>Información de seguimiento</vt:lpstr>
      <vt:lpstr>Información de seguimiento sobre el párrafo 18 de las observaciones finales (C</vt:lpstr>
      <vt:lpstr>    Mecanismos nacionales para el adelanto de la mujer</vt:lpstr>
      <vt:lpstr>Información de seguimiento sobre el párrafo 28 de las observaciones finales</vt:lpstr>
      <vt:lpstr>    Trata de personas y explotación de la prostitución</vt:lpstr>
      <vt:lpstr>Información de seguimiento sobre el párrafo 40 de las observaciones finales</vt:lpstr>
      <vt:lpstr>    Salud </vt:lpstr>
    </vt:vector>
  </TitlesOfParts>
  <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Fernando A</cp:lastModifiedBy>
  <cp:revision>6</cp:revision>
  <dcterms:created xsi:type="dcterms:W3CDTF">2022-03-22T20:44:00Z</dcterms:created>
  <dcterms:modified xsi:type="dcterms:W3CDTF">2022-03-22T20:52:00Z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2203772</vt:lpwstr>
  </property>
  <property fmtid="{D5CDD505-2E9C-101B-9397-08002B2CF9AE}" pid="3" name="ODSRefJobNo">
    <vt:lpwstr>2228679</vt:lpwstr>
  </property>
  <property fmtid="{D5CDD505-2E9C-101B-9397-08002B2CF9AE}" pid="4" name="Symbol1">
    <vt:lpwstr>CEDAW/C/SYC/FCO/6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inglés_x000b_únicamente_x000d__x0007_</vt:lpwstr>
  </property>
  <property fmtid="{D5CDD505-2E9C-101B-9397-08002B2CF9AE}" pid="9" name="Release Date">
    <vt:lpwstr>220322</vt:lpwstr>
  </property>
  <property fmtid="{D5CDD505-2E9C-101B-9397-08002B2CF9AE}" pid="10" name="Title1">
    <vt:lpwstr>		Información recibida de Seychelles sobre el seguimiento de las observaciones finales relativas a su sexto informe periódico*_x000d_</vt:lpwstr>
  </property>
  <property fmtid="{D5CDD505-2E9C-101B-9397-08002B2CF9AE}" pid="11" name="Comment">
    <vt:lpwstr>Finalizado</vt:lpwstr>
  </property>
  <property fmtid="{D5CDD505-2E9C-101B-9397-08002B2CF9AE}" pid="12" name="DraftPages">
    <vt:lpwstr> </vt:lpwstr>
  </property>
  <property fmtid="{D5CDD505-2E9C-101B-9397-08002B2CF9AE}" pid="13" name="Operator">
    <vt:lpwstr>FAA</vt:lpwstr>
  </property>
  <property fmtid="{D5CDD505-2E9C-101B-9397-08002B2CF9AE}" pid="14" name="Translator">
    <vt:lpwstr>MC</vt:lpwstr>
  </property>
</Properties>
</file>