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C59" w:rsidRDefault="006B7C59" w:rsidP="006B7C59">
      <w:pPr>
        <w:spacing w:line="60" w:lineRule="exact"/>
        <w:rPr>
          <w:sz w:val="6"/>
        </w:rPr>
        <w:sectPr w:rsidR="006B7C59" w:rsidSect="006B7C5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B7C59" w:rsidRDefault="006B7C59" w:rsidP="006B7C59">
      <w:pPr>
        <w:spacing w:line="60" w:lineRule="exact"/>
        <w:rPr>
          <w:sz w:val="6"/>
        </w:rPr>
      </w:pPr>
    </w:p>
    <w:p w:rsidR="0011129F" w:rsidRPr="0011129F" w:rsidRDefault="0011129F" w:rsidP="0011129F">
      <w:pPr>
        <w:pStyle w:val="SingleTxt"/>
        <w:spacing w:after="60"/>
        <w:ind w:left="0"/>
        <w:rPr>
          <w:rFonts w:ascii="SimHei" w:eastAsia="SimHei" w:hint="eastAsia"/>
          <w:sz w:val="24"/>
          <w:szCs w:val="24"/>
        </w:rPr>
      </w:pPr>
      <w:r w:rsidRPr="0011129F">
        <w:rPr>
          <w:rFonts w:ascii="SimHei" w:eastAsia="SimHei" w:hint="eastAsia"/>
          <w:sz w:val="24"/>
          <w:szCs w:val="24"/>
        </w:rPr>
        <w:t>消除对妇女歧视委员会</w:t>
      </w:r>
    </w:p>
    <w:p w:rsidR="0011129F" w:rsidRPr="0011129F" w:rsidRDefault="0011129F" w:rsidP="0011129F">
      <w:pPr>
        <w:pStyle w:val="SingleTxt"/>
        <w:spacing w:after="60"/>
        <w:ind w:left="0"/>
        <w:rPr>
          <w:rFonts w:ascii="SimHei" w:eastAsia="SimHei" w:hint="eastAsia"/>
        </w:rPr>
      </w:pPr>
      <w:r w:rsidRPr="0011129F">
        <w:rPr>
          <w:rFonts w:ascii="SimHei" w:eastAsia="SimHei" w:hint="eastAsia"/>
        </w:rPr>
        <w:t>第四十九届会议</w:t>
      </w:r>
    </w:p>
    <w:p w:rsidR="0011129F" w:rsidRDefault="0011129F" w:rsidP="0011129F">
      <w:pPr>
        <w:pStyle w:val="SingleTxt"/>
        <w:spacing w:after="360"/>
        <w:ind w:left="0"/>
        <w:rPr>
          <w:rFonts w:hint="eastAsia"/>
        </w:rPr>
      </w:pPr>
      <w:r>
        <w:rPr>
          <w:rFonts w:hint="eastAsia"/>
        </w:rPr>
        <w:t>2011年7月11日至29日</w:t>
      </w:r>
    </w:p>
    <w:p w:rsidR="0011129F" w:rsidRDefault="0011129F" w:rsidP="0011129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与审议定期报告有关的议题和问题清单</w:t>
      </w:r>
    </w:p>
    <w:p w:rsidR="0011129F" w:rsidRDefault="0011129F" w:rsidP="001112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80"/>
        <w:ind w:left="1264" w:right="1259" w:hanging="1264"/>
        <w:rPr>
          <w:rFonts w:hint="eastAsia"/>
        </w:rPr>
      </w:pPr>
      <w:r>
        <w:rPr>
          <w:rFonts w:hint="eastAsia"/>
        </w:rPr>
        <w:tab/>
      </w:r>
      <w:r>
        <w:rPr>
          <w:rFonts w:hint="eastAsia"/>
        </w:rPr>
        <w:tab/>
        <w:t>新加坡</w:t>
      </w:r>
    </w:p>
    <w:p w:rsidR="0011129F" w:rsidRDefault="0011129F" w:rsidP="0011129F">
      <w:pPr>
        <w:pStyle w:val="SingleTxt"/>
        <w:spacing w:after="160"/>
        <w:rPr>
          <w:rFonts w:hint="eastAsia"/>
        </w:rPr>
      </w:pPr>
      <w:r>
        <w:rPr>
          <w:rFonts w:hint="eastAsia"/>
        </w:rPr>
        <w:tab/>
        <w:t>会前工作组审议了新加坡的第四次定期报告(CEDAW/C/SGP/4)。</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60"/>
        <w:ind w:left="1264" w:right="1259" w:hanging="1264"/>
        <w:rPr>
          <w:rFonts w:hint="eastAsia"/>
        </w:rPr>
      </w:pPr>
      <w:r>
        <w:rPr>
          <w:rFonts w:hint="eastAsia"/>
        </w:rPr>
        <w:tab/>
      </w:r>
      <w:r>
        <w:rPr>
          <w:rFonts w:hint="eastAsia"/>
        </w:rPr>
        <w:tab/>
        <w:t>概述</w:t>
      </w:r>
    </w:p>
    <w:p w:rsidR="0011129F" w:rsidRDefault="0011129F" w:rsidP="0011129F">
      <w:pPr>
        <w:pStyle w:val="SingleTxt"/>
        <w:spacing w:line="332" w:lineRule="exact"/>
        <w:rPr>
          <w:rFonts w:hint="eastAsia"/>
        </w:rPr>
      </w:pPr>
      <w:r>
        <w:rPr>
          <w:rFonts w:hint="eastAsia"/>
        </w:rPr>
        <w:t>1.</w:t>
      </w:r>
      <w:r>
        <w:rPr>
          <w:rFonts w:hint="eastAsia"/>
        </w:rPr>
        <w:tab/>
        <w:t>请提供关于该报告编写过程的更详细的资料，包括：(a) 有哪些政府部门和机构参与了编写工作，参与的性质和程度；(b) 在多大程度上与非政府组织进行协商；(c) 报告是否经政府通过并提交议会。</w:t>
      </w:r>
    </w:p>
    <w:p w:rsidR="0011129F" w:rsidRDefault="0011129F" w:rsidP="0011129F">
      <w:pPr>
        <w:pStyle w:val="SingleTxt"/>
        <w:spacing w:line="332" w:lineRule="exact"/>
        <w:rPr>
          <w:rFonts w:hint="eastAsia"/>
        </w:rPr>
      </w:pPr>
      <w:r>
        <w:rPr>
          <w:rFonts w:hint="eastAsia"/>
        </w:rPr>
        <w:t>2.</w:t>
      </w:r>
      <w:r>
        <w:rPr>
          <w:rFonts w:hint="eastAsia"/>
        </w:rPr>
        <w:tab/>
        <w:t>请提供最新情况，说明根据委员会先前的结论意见(CEDAW/C/SGP/CO/3)第12段建议撤回对《公约》第二条、第十一条第(1)款和第十六条的保留的进展情况，且分析这些保留意见的确切范围及其对各类妇女群体的影响。</w:t>
      </w:r>
    </w:p>
    <w:p w:rsidR="0011129F" w:rsidRDefault="0011129F" w:rsidP="0011129F">
      <w:pPr>
        <w:pStyle w:val="SingleTxt"/>
        <w:spacing w:after="160" w:line="332" w:lineRule="exact"/>
        <w:rPr>
          <w:rFonts w:hint="eastAsia"/>
        </w:rPr>
      </w:pPr>
      <w:r>
        <w:rPr>
          <w:rFonts w:hint="eastAsia"/>
        </w:rPr>
        <w:t>3.</w:t>
      </w:r>
      <w:r>
        <w:rPr>
          <w:rFonts w:hint="eastAsia"/>
        </w:rPr>
        <w:tab/>
        <w:t>请提供资料，说明全国数据收集和分析的整体状况，以及这些数据在多大程度上是按性别分类收集的。请说明政府打算如何改进《公约》所涉所有领域、按性别分列的数据的收集工作。在制订政策和方案以及对实现事实上的男女平等方面的进展情况进行监测时，如何利用这类数据？</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宪法、立法和体制框架</w:t>
      </w:r>
    </w:p>
    <w:p w:rsidR="0011129F" w:rsidRDefault="0011129F" w:rsidP="0011129F">
      <w:pPr>
        <w:pStyle w:val="SingleTxt"/>
        <w:spacing w:line="332" w:lineRule="exact"/>
        <w:rPr>
          <w:rFonts w:hint="eastAsia"/>
        </w:rPr>
      </w:pPr>
      <w:r>
        <w:rPr>
          <w:rFonts w:hint="eastAsia"/>
        </w:rPr>
        <w:t>4.</w:t>
      </w:r>
      <w:r>
        <w:rPr>
          <w:rFonts w:hint="eastAsia"/>
        </w:rPr>
        <w:tab/>
        <w:t>请说明缔约国与《公约》有关的立法现状以及为确保充分、切实执行委员会先前的结论意见采取的措施。特别是，请更详细地阐述缔约国报告第F.5段的陈述，即：“受害方不得在新加坡法庭援引《公约》的规定”，原因是新加坡签署的国际条约和公约并不会自动成为新加坡法律的一部分，除非这些文书被专门纳入法律体系。</w:t>
      </w:r>
    </w:p>
    <w:p w:rsidR="0011129F" w:rsidRDefault="0011129F" w:rsidP="0011129F">
      <w:pPr>
        <w:pStyle w:val="SingleTxt"/>
        <w:rPr>
          <w:rFonts w:hint="eastAsia"/>
        </w:rPr>
      </w:pPr>
      <w:r>
        <w:rPr>
          <w:rFonts w:hint="eastAsia"/>
        </w:rPr>
        <w:t>5.</w:t>
      </w:r>
      <w:r>
        <w:rPr>
          <w:rFonts w:hint="eastAsia"/>
        </w:rPr>
        <w:tab/>
        <w:t>请提供资料，说明缔约国为系统和长期地培训律师、法官、执法人员、教育工作者、人民协会的领袖、非政府组织和工会了解《公约》及事实平等或实质平等的概念以便在与男子平等的基础上建设支持充分、平等享有人权的文化所做工作。</w:t>
      </w:r>
    </w:p>
    <w:p w:rsidR="0011129F" w:rsidRDefault="0011129F" w:rsidP="0011129F">
      <w:pPr>
        <w:pStyle w:val="SingleTxt"/>
        <w:rPr>
          <w:rFonts w:hint="eastAsia"/>
        </w:rPr>
      </w:pPr>
      <w:r>
        <w:rPr>
          <w:rFonts w:hint="eastAsia"/>
        </w:rPr>
        <w:t>6.</w:t>
      </w:r>
      <w:r>
        <w:rPr>
          <w:rFonts w:hint="eastAsia"/>
        </w:rPr>
        <w:tab/>
        <w:t>委员会在其先前的结论意见第14段中鼓励缔约国在本国立法中根据《公约》第一条纳入歧视妇女的定义，并纳入禁止以其它理由、特别是以婚姻状况、年龄、残疾和民族血统为由歧视妇女的规定。缔约国为有效执行这些建议做了哪些工作？请提供资料，说明缔约国在这方面面临的障碍，特别是，如缔约国报告2.4段所述，新加坡没有专门的性别平等和反性别歧视的立法。</w:t>
      </w:r>
    </w:p>
    <w:p w:rsidR="0011129F" w:rsidRDefault="0011129F" w:rsidP="0011129F">
      <w:pPr>
        <w:pStyle w:val="SingleTxt"/>
        <w:rPr>
          <w:rFonts w:hint="eastAsia"/>
        </w:rPr>
      </w:pPr>
      <w:r>
        <w:rPr>
          <w:rFonts w:hint="eastAsia"/>
        </w:rPr>
        <w:t>7.</w:t>
      </w:r>
      <w:r>
        <w:rPr>
          <w:rFonts w:hint="eastAsia"/>
        </w:rPr>
        <w:tab/>
        <w:t>根据委员会在先前的结论意见第16段中所提建议，缔约国是否在努力消除民法与伊斯兰法相互不一致的规定方面取得了进展？就此，是否研究了法律制度相似的其他国家的比较法理和立法？请详细说明缔约国报告第16.15段所述的《伊斯兰法》不断修订情况。</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提高妇女地位的国家机制</w:t>
      </w:r>
    </w:p>
    <w:p w:rsidR="0011129F" w:rsidRDefault="0011129F" w:rsidP="0011129F">
      <w:pPr>
        <w:pStyle w:val="SingleTxt"/>
        <w:rPr>
          <w:rFonts w:hint="eastAsia"/>
        </w:rPr>
      </w:pPr>
      <w:r>
        <w:rPr>
          <w:rFonts w:hint="eastAsia"/>
        </w:rPr>
        <w:t>8.</w:t>
      </w:r>
      <w:r>
        <w:rPr>
          <w:rFonts w:hint="eastAsia"/>
        </w:rPr>
        <w:tab/>
        <w:t>请说明缔约国为提高妇女科的地位及加强其任务规定所做工作。请提供最新资料，说明妇女科的人力资源和财政资源情况，且说明这些资源是否足以让妇女科开展其任务规定。此外，请说明《消除对妇女一切形式歧视公约》部际委员会如何通过所做工作有效应对歧视妇女行为。</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暂行特别措施(第四条第1款)</w:t>
      </w:r>
    </w:p>
    <w:p w:rsidR="0011129F" w:rsidRDefault="0011129F" w:rsidP="0011129F">
      <w:pPr>
        <w:pStyle w:val="SingleTxt"/>
        <w:spacing w:line="332" w:lineRule="exact"/>
        <w:rPr>
          <w:rFonts w:hint="eastAsia"/>
        </w:rPr>
      </w:pPr>
      <w:r>
        <w:rPr>
          <w:rFonts w:hint="eastAsia"/>
        </w:rPr>
        <w:t>9.</w:t>
      </w:r>
      <w:r>
        <w:rPr>
          <w:rFonts w:hint="eastAsia"/>
        </w:rPr>
        <w:tab/>
        <w:t>缔约国报告没有提供关于暂行特别措施的最新资料。请提供最新资料，说明根据委员会在先前的结论意见第20段中所提建议，为推动妇女全面、平等地参与各级和各领域的政治和公共生活以及决策工作采用暂行特别措施的情况。制订了哪些举措促进妇女参与就业、教育、政治和公共生活以及司法领域？</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歧视性男女角色成见</w:t>
      </w:r>
    </w:p>
    <w:p w:rsidR="0011129F" w:rsidRDefault="0011129F" w:rsidP="0011129F">
      <w:pPr>
        <w:pStyle w:val="SingleTxt"/>
        <w:spacing w:line="332" w:lineRule="exact"/>
        <w:rPr>
          <w:rFonts w:hint="eastAsia"/>
        </w:rPr>
      </w:pPr>
      <w:r>
        <w:rPr>
          <w:rFonts w:hint="eastAsia"/>
        </w:rPr>
        <w:t>10.</w:t>
      </w:r>
      <w:r>
        <w:rPr>
          <w:rFonts w:hint="eastAsia"/>
        </w:rPr>
        <w:tab/>
        <w:t>请说明缔约国报告第5.1-5.13段所述的为消除关于妇女在社会中的作用和责任的传统歧视性成见和偏见开展的提高公众认识活动的影响。是否根据委员会在先前的结论意见第32段所提建议，为政党领导人以及私营部门的高级主管人员组办了宣传和培训活动？</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暴力侵害妇女行为</w:t>
      </w:r>
    </w:p>
    <w:p w:rsidR="0011129F" w:rsidRDefault="0011129F" w:rsidP="0011129F">
      <w:pPr>
        <w:pStyle w:val="SingleTxt"/>
        <w:rPr>
          <w:rFonts w:hint="eastAsia"/>
        </w:rPr>
      </w:pPr>
      <w:r>
        <w:rPr>
          <w:rFonts w:hint="eastAsia"/>
        </w:rPr>
        <w:t>11.</w:t>
      </w:r>
      <w:r>
        <w:rPr>
          <w:rFonts w:hint="eastAsia"/>
        </w:rPr>
        <w:tab/>
      </w:r>
      <w:r w:rsidRPr="0011129F">
        <w:rPr>
          <w:rFonts w:hint="eastAsia"/>
          <w:spacing w:val="-4"/>
        </w:rPr>
        <w:t>除了缔约国报告第24.20段所述的人身保护令申请数目外，缔约国正在就暴力侵害妇女行为、包括家庭暴力和性暴力收集何种资料？这些资料说明了什么趋势？</w:t>
      </w:r>
    </w:p>
    <w:p w:rsidR="0011129F" w:rsidRDefault="0011129F" w:rsidP="0011129F">
      <w:pPr>
        <w:pStyle w:val="SingleTxt"/>
        <w:rPr>
          <w:rFonts w:hint="eastAsia"/>
        </w:rPr>
      </w:pPr>
      <w:r>
        <w:rPr>
          <w:rFonts w:hint="eastAsia"/>
        </w:rPr>
        <w:t>12.</w:t>
      </w:r>
      <w:r>
        <w:rPr>
          <w:rFonts w:hint="eastAsia"/>
        </w:rPr>
        <w:tab/>
        <w:t>请提供最新资料，说明：(a) 报告的暴力侵害妇女行为、包括家庭暴力和婚内强奸事件的性质，若有数据，还说明被丈夫、伴侣或前伴侣杀害的妇女人数；(b) 对犯罪者定罪的案件数目和处罚种类；(c) 对受害者的补偿。请说明关于暴力侵害妇女行为的现行法律和规范是否惩治所有暴力行为？在多大程度上考虑到了老年妇女和残疾妇女易受伤害的问题？</w:t>
      </w:r>
    </w:p>
    <w:p w:rsidR="0011129F" w:rsidRDefault="0011129F" w:rsidP="0011129F">
      <w:pPr>
        <w:pStyle w:val="SingleTxt"/>
        <w:rPr>
          <w:rFonts w:hint="eastAsia"/>
        </w:rPr>
      </w:pPr>
      <w:r>
        <w:rPr>
          <w:rFonts w:hint="eastAsia"/>
        </w:rPr>
        <w:t>13.</w:t>
      </w:r>
      <w:r>
        <w:rPr>
          <w:rFonts w:hint="eastAsia"/>
        </w:rPr>
        <w:tab/>
        <w:t>请提供资料，说明为确保有效实施关于婚内强奸的修订立法所采取的措施(缔约国报告第16.11-16.14段和第24.3段)。这一资料应包括调查、起诉和定罪的案件数目以及向受害者提供的保护性质。</w:t>
      </w:r>
    </w:p>
    <w:p w:rsidR="0011129F" w:rsidRDefault="0011129F" w:rsidP="0011129F">
      <w:pPr>
        <w:pStyle w:val="SingleTxt"/>
        <w:rPr>
          <w:rFonts w:hint="eastAsia"/>
        </w:rPr>
      </w:pPr>
      <w:r>
        <w:rPr>
          <w:rFonts w:hint="eastAsia"/>
        </w:rPr>
        <w:t>14.</w:t>
      </w:r>
      <w:r>
        <w:rPr>
          <w:rFonts w:hint="eastAsia"/>
        </w:rPr>
        <w:tab/>
        <w:t>缔约国报告提到了《妇女宪章》第65(5)节提出的《法定咨询方案》(第24.17-24.19段)。请明确说明，在本报告所述期间有多少受害者、犯罪者和(或)受害者家属受益于这些服务以及结果如何。</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贩运人口和利用卖淫营利</w:t>
      </w:r>
    </w:p>
    <w:p w:rsidR="0011129F" w:rsidRDefault="0011129F" w:rsidP="0011129F">
      <w:pPr>
        <w:pStyle w:val="SingleTxt"/>
        <w:rPr>
          <w:rFonts w:hint="eastAsia"/>
        </w:rPr>
      </w:pPr>
      <w:r>
        <w:rPr>
          <w:rFonts w:hint="eastAsia"/>
        </w:rPr>
        <w:t>15.</w:t>
      </w:r>
      <w:r>
        <w:rPr>
          <w:rFonts w:hint="eastAsia"/>
        </w:rPr>
        <w:tab/>
        <w:t>缔约国是否根据委员会在先前的结论意见第22段中的建议采取步骤批准《联合国打击跨国有组织犯罪公约关于预防、禁止和惩治贩运人口特别是妇女和儿童行为的补充议定书》？此外，委员会还鼓励缔约国按照《议定书》中关于贩运的定义，审查国内现行法律和政策措施，且保证贩运受害者不会因违反移民法而受到惩罚，并得到充分的援助和补救。请说明实施委员会这些建议的最新进展情况。</w:t>
      </w:r>
    </w:p>
    <w:p w:rsidR="0011129F" w:rsidRDefault="0011129F" w:rsidP="0011129F">
      <w:pPr>
        <w:pStyle w:val="SingleTxt"/>
        <w:rPr>
          <w:rFonts w:hint="eastAsia"/>
        </w:rPr>
      </w:pPr>
      <w:r>
        <w:rPr>
          <w:rFonts w:hint="eastAsia"/>
        </w:rPr>
        <w:t>16.</w:t>
      </w:r>
      <w:r>
        <w:rPr>
          <w:rFonts w:hint="eastAsia"/>
        </w:rPr>
        <w:tab/>
        <w:t>请提供资料，说明在本定期报告所述期间：(a) 对贩运妇女和女孩案的判决；(b) 对犯罪者的处罚；(c) 对受害者的补偿。缔约国正在采取什么措施收集按性别分列的贩运数据？</w:t>
      </w:r>
    </w:p>
    <w:p w:rsidR="0011129F" w:rsidRPr="0011129F" w:rsidRDefault="0011129F" w:rsidP="0011129F">
      <w:pPr>
        <w:pStyle w:val="SingleTxt"/>
        <w:spacing w:line="332" w:lineRule="exact"/>
        <w:rPr>
          <w:rFonts w:hint="eastAsia"/>
          <w:spacing w:val="-4"/>
        </w:rPr>
      </w:pPr>
      <w:r>
        <w:rPr>
          <w:rFonts w:hint="eastAsia"/>
        </w:rPr>
        <w:t>17.</w:t>
      </w:r>
      <w:r>
        <w:rPr>
          <w:rFonts w:hint="eastAsia"/>
        </w:rPr>
        <w:tab/>
      </w:r>
      <w:r w:rsidRPr="0011129F">
        <w:rPr>
          <w:rFonts w:hint="eastAsia"/>
          <w:spacing w:val="-4"/>
        </w:rPr>
        <w:t>还请说明，针对缔约国报告第6.2段所述的28起强迫妇女卖淫和以欺诈手段运入妇女的案件采取了何种后续行动。根据缔约国报告第6页和第6.4段所述，政府是否为公众、特别是妇女和女孩举办了关于贩运人口问题的提高认识活动以及为加强保护年轻人使其免受商业性性剥削且打击儿童性服务旅游业修正了《刑法典》?</w:t>
      </w:r>
    </w:p>
    <w:p w:rsidR="0011129F" w:rsidRDefault="0011129F" w:rsidP="0011129F">
      <w:pPr>
        <w:pStyle w:val="SingleTxt"/>
        <w:spacing w:line="332" w:lineRule="exact"/>
        <w:rPr>
          <w:rFonts w:hint="eastAsia"/>
        </w:rPr>
      </w:pPr>
      <w:r>
        <w:rPr>
          <w:rFonts w:hint="eastAsia"/>
        </w:rPr>
        <w:t>18.</w:t>
      </w:r>
      <w:r>
        <w:rPr>
          <w:rFonts w:hint="eastAsia"/>
        </w:rPr>
        <w:tab/>
        <w:t>有报告称，缔约国</w:t>
      </w:r>
      <w:r w:rsidRPr="0011129F">
        <w:rPr>
          <w:rFonts w:hint="eastAsia"/>
          <w:spacing w:val="-4"/>
        </w:rPr>
        <w:t>从未</w:t>
      </w:r>
      <w:r>
        <w:rPr>
          <w:rFonts w:hint="eastAsia"/>
        </w:rPr>
        <w:t>就儿童色情旅游业对本国人或永久居民进行调查、起诉或定罪，请对此做出评论。资料应包括有关起诉、定罪和判决的统计数据。此外，请说明根据已修订的《刑法典》为打击色情旅游业采取的措施，且举例说明切实执行这种措施的情况。</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政治参与和参与公共生活</w:t>
      </w:r>
    </w:p>
    <w:p w:rsidR="0011129F" w:rsidRDefault="0011129F" w:rsidP="0011129F">
      <w:pPr>
        <w:pStyle w:val="SingleTxt"/>
        <w:rPr>
          <w:rFonts w:hint="eastAsia"/>
        </w:rPr>
      </w:pPr>
      <w:r>
        <w:rPr>
          <w:rFonts w:hint="eastAsia"/>
        </w:rPr>
        <w:t>19.</w:t>
      </w:r>
      <w:r>
        <w:rPr>
          <w:rFonts w:hint="eastAsia"/>
        </w:rPr>
        <w:tab/>
        <w:t>缔约国为提高妇女在公共和政治生活及决策职位、包括内阁、议会、司法部门、公共行政管理和私营部门的代表人数采取了什么步骤？还请详细说明为改善少数群体妇女和残障妇女参与政治和公共生活所采取的措施。</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就业</w:t>
      </w:r>
    </w:p>
    <w:p w:rsidR="0011129F" w:rsidRDefault="0011129F" w:rsidP="0011129F">
      <w:pPr>
        <w:pStyle w:val="SingleTxt"/>
        <w:spacing w:after="120"/>
        <w:rPr>
          <w:rFonts w:hint="eastAsia"/>
        </w:rPr>
      </w:pPr>
      <w:r>
        <w:rPr>
          <w:rFonts w:hint="eastAsia"/>
        </w:rPr>
        <w:t>20.</w:t>
      </w:r>
      <w:r>
        <w:rPr>
          <w:rFonts w:hint="eastAsia"/>
        </w:rPr>
        <w:tab/>
        <w:t>请提供资料，说明如缔约国报告第11.1至11.3段所述为促进公平的就业做法已采取措施的切实执行情况及其影响。缔约国报告关于男女工资差距的统计数据限于男女公务员的中位数工资(第11.7段)。请提供本报告所述期间所有部门男女雇员的这种统计数据。还请说明缔约国是否打算通过一项立法以确保同值工作同等报酬？</w:t>
      </w:r>
    </w:p>
    <w:p w:rsidR="0011129F" w:rsidRDefault="0011129F" w:rsidP="0011129F">
      <w:pPr>
        <w:pStyle w:val="SingleTxt"/>
        <w:spacing w:after="120"/>
        <w:rPr>
          <w:rFonts w:hint="eastAsia"/>
        </w:rPr>
      </w:pPr>
      <w:r>
        <w:rPr>
          <w:rFonts w:hint="eastAsia"/>
        </w:rPr>
        <w:t>21.</w:t>
      </w:r>
      <w:r>
        <w:rPr>
          <w:rFonts w:hint="eastAsia"/>
        </w:rPr>
        <w:tab/>
        <w:t>缔约国采取了哪些措施，确保促进工作/生活平衡的所有方案都会针对公私部门的妇女和男子，以便进一步支持男女平等分担家庭和工作责任？</w:t>
      </w:r>
    </w:p>
    <w:p w:rsidR="0011129F" w:rsidRDefault="0011129F" w:rsidP="0011129F">
      <w:pPr>
        <w:pStyle w:val="SingleTxt"/>
        <w:spacing w:after="120"/>
        <w:rPr>
          <w:rFonts w:hint="eastAsia"/>
        </w:rPr>
      </w:pPr>
      <w:r>
        <w:rPr>
          <w:rFonts w:hint="eastAsia"/>
        </w:rPr>
        <w:t>22.</w:t>
      </w:r>
      <w:r>
        <w:rPr>
          <w:rFonts w:hint="eastAsia"/>
        </w:rPr>
        <w:tab/>
        <w:t>缔约国报告第11.4段指出，根据《刑法典》和《杂项罪行(公共秩序与骚扰)法》，性骚扰可受到惩处。请提供资料，说明妇女报告的工作场所性骚扰案的数目以及进行有关调查和起诉的案件数目。</w:t>
      </w:r>
    </w:p>
    <w:p w:rsidR="0011129F" w:rsidRDefault="0011129F" w:rsidP="0011129F">
      <w:pPr>
        <w:pStyle w:val="SingleTxt"/>
        <w:spacing w:after="120"/>
        <w:rPr>
          <w:rFonts w:hint="eastAsia"/>
        </w:rPr>
      </w:pPr>
      <w:r>
        <w:rPr>
          <w:rFonts w:hint="eastAsia"/>
        </w:rPr>
        <w:t>23.</w:t>
      </w:r>
      <w:r>
        <w:rPr>
          <w:rFonts w:hint="eastAsia"/>
        </w:rPr>
        <w:tab/>
        <w:t>请提供最新资料，说明第11.24和第11.25段所述的劳动力发展局设立的继续教育和培训体系开展的活动和分配给其的资源情况。这一体系是否已完全运作？在本报告所述期间有多少妇女得益于这一战略？继续教育和培训中心接收参加者的标准有哪些？</w:t>
      </w:r>
    </w:p>
    <w:p w:rsidR="0011129F" w:rsidRDefault="0011129F" w:rsidP="0011129F">
      <w:pPr>
        <w:pStyle w:val="SingleTxt"/>
        <w:spacing w:after="120"/>
        <w:rPr>
          <w:rFonts w:hint="eastAsia"/>
        </w:rPr>
      </w:pPr>
      <w:r>
        <w:rPr>
          <w:rFonts w:hint="eastAsia"/>
        </w:rPr>
        <w:t>24.</w:t>
      </w:r>
      <w:r>
        <w:rPr>
          <w:rFonts w:hint="eastAsia"/>
        </w:rPr>
        <w:tab/>
        <w:t>鉴于当代形式种族主义、种族歧视、仇外心理和相关不容忍行为问题特别报告员2010年4月出访新加坡后所提建议(A/65/295，第76段)，请说明为保护少数族裔群体妇女的就业权采取的措施。</w:t>
      </w:r>
    </w:p>
    <w:p w:rsidR="0011129F" w:rsidRDefault="0011129F" w:rsidP="0011129F">
      <w:pPr>
        <w:pStyle w:val="SingleTxt"/>
        <w:rPr>
          <w:rFonts w:hint="eastAsia"/>
        </w:rPr>
      </w:pPr>
      <w:r>
        <w:rPr>
          <w:rFonts w:hint="eastAsia"/>
        </w:rPr>
        <w:t>25.</w:t>
      </w:r>
      <w:r>
        <w:rPr>
          <w:rFonts w:hint="eastAsia"/>
        </w:rPr>
        <w:tab/>
        <w:t>委员会在其先前的结论意见(第24段)中对外籍家务佣工缺乏法律保护及其艰难处境表示关切，尤其是外籍家务佣工要定期做怀孕测试、禁止佣工与新加坡人结婚、每周没有法定休息日以及因保证金问题限制外籍家务佣工的自由移动等问题。请说明向外籍家务佣工提供有效的法律保护以解决这种问题的最新进展情况。这一资料应包括最新资料，说明根据修订的《刑法典》或《外籍人就业法》对虐待外籍家务佣工的雇主进行调查和起诉的数量以及惩处性质。</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保健</w:t>
      </w:r>
    </w:p>
    <w:p w:rsidR="0011129F" w:rsidRDefault="0011129F" w:rsidP="0011129F">
      <w:pPr>
        <w:pStyle w:val="SingleTxt"/>
        <w:rPr>
          <w:rFonts w:hint="eastAsia"/>
        </w:rPr>
      </w:pPr>
      <w:r>
        <w:rPr>
          <w:rFonts w:hint="eastAsia"/>
        </w:rPr>
        <w:t>26.</w:t>
      </w:r>
      <w:r>
        <w:rPr>
          <w:rFonts w:hint="eastAsia"/>
        </w:rPr>
        <w:tab/>
        <w:t>采取了什么具体措施提高计划生育服务和教育的覆盖范围，包括获取负担得起的避孕药具、性健康和性权利教育的机会并为健康推广人员、医务人员和妇女团体提供培训？缔约国报告第12.15段所述使妇女能更好地控制自己的性健康的行为干预方案的成果是什么？</w:t>
      </w:r>
    </w:p>
    <w:p w:rsidR="0011129F" w:rsidRDefault="0011129F" w:rsidP="0011129F">
      <w:pPr>
        <w:pStyle w:val="SingleTxt"/>
        <w:rPr>
          <w:rFonts w:hint="eastAsia"/>
        </w:rPr>
      </w:pPr>
      <w:r>
        <w:rPr>
          <w:rFonts w:hint="eastAsia"/>
        </w:rPr>
        <w:t>27.</w:t>
      </w:r>
      <w:r>
        <w:rPr>
          <w:rFonts w:hint="eastAsia"/>
        </w:rPr>
        <w:tab/>
        <w:t>缔约国报告提到了专门针对女性的保健方案，包括针对高危人群的艾滋病毒/艾滋病教育(第12.14段)。请提供有关这些方案的资料，包括执行措施、影响以及按性别分列的有关这些方案受益人的资料。</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处于不利地位的妇女群体</w:t>
      </w:r>
    </w:p>
    <w:p w:rsidR="0011129F" w:rsidRDefault="0011129F" w:rsidP="0011129F">
      <w:pPr>
        <w:pStyle w:val="SingleTxt"/>
        <w:rPr>
          <w:rFonts w:hint="eastAsia"/>
        </w:rPr>
      </w:pPr>
      <w:r>
        <w:rPr>
          <w:rFonts w:hint="eastAsia"/>
        </w:rPr>
        <w:t>28.</w:t>
      </w:r>
      <w:r>
        <w:rPr>
          <w:rFonts w:hint="eastAsia"/>
        </w:rPr>
        <w:tab/>
        <w:t>委员会在其先前的结论意见第26段中对新加坡公民的外籍妻子的处境表示关切，尤其是暴力和虐待问题及其在新加坡的工作权和居民身份问题。请提供资料，说明缔约国为保护这些妇女申请公民身份以及在其受到暴力和虐待时提供避难所等方面开展的工作。</w:t>
      </w:r>
    </w:p>
    <w:p w:rsidR="0011129F" w:rsidRDefault="0011129F" w:rsidP="0011129F">
      <w:pPr>
        <w:pStyle w:val="SingleTxt"/>
        <w:rPr>
          <w:rFonts w:hint="eastAsia"/>
        </w:rPr>
      </w:pPr>
      <w:r>
        <w:rPr>
          <w:rFonts w:hint="eastAsia"/>
        </w:rPr>
        <w:t>29.</w:t>
      </w:r>
      <w:r>
        <w:rPr>
          <w:rFonts w:hint="eastAsia"/>
        </w:rPr>
        <w:tab/>
        <w:t>请提供资料，说明为保护和促进残障妇女权利以及消除对残障妇女特别是在就业、教育和保健方面的歧视采取的措施。缔约国是否打算把《义务教育法》推广用于非公民儿童和残障儿童？</w:t>
      </w:r>
    </w:p>
    <w:p w:rsidR="0011129F" w:rsidRDefault="0011129F" w:rsidP="0011129F">
      <w:pPr>
        <w:pStyle w:val="SingleTxt"/>
        <w:rPr>
          <w:rFonts w:hint="eastAsia"/>
        </w:rPr>
      </w:pPr>
      <w:r>
        <w:rPr>
          <w:rFonts w:hint="eastAsia"/>
        </w:rPr>
        <w:t>30.</w:t>
      </w:r>
      <w:r>
        <w:rPr>
          <w:rFonts w:hint="eastAsia"/>
        </w:rPr>
        <w:tab/>
        <w:t>缔约国报告几乎没有提供有关妇女难民、寻求庇护妇女和移徙妇女的资料。请提供资料，说明这些妇女的处境以及在《公约》所述所有领域为其提供的法律保护情况。是否为移民和检查站管理局官员以及其他执法人员提供关于基于性别的问题的培训？</w:t>
      </w:r>
    </w:p>
    <w:p w:rsidR="0011129F" w:rsidRDefault="0011129F" w:rsidP="0011129F">
      <w:pPr>
        <w:pStyle w:val="SingleTxt"/>
        <w:rPr>
          <w:rFonts w:hint="eastAsia"/>
        </w:rPr>
      </w:pPr>
      <w:r>
        <w:rPr>
          <w:rFonts w:hint="eastAsia"/>
        </w:rPr>
        <w:t>31.</w:t>
      </w:r>
      <w:r>
        <w:rPr>
          <w:rFonts w:hint="eastAsia"/>
        </w:rPr>
        <w:tab/>
        <w:t>请评论关于缔约国在社会、文化、政治和经济领域因性取向和性别认同而产生的普遍、系统歧视妇女的报告。为解决这些问题、特别是为了消除污名化且为此促进容忍正在采取什么措施。</w:t>
      </w:r>
    </w:p>
    <w:p w:rsidR="0011129F" w:rsidRDefault="0011129F" w:rsidP="001112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任择议定书</w:t>
      </w:r>
    </w:p>
    <w:p w:rsidR="00EA31C3" w:rsidRDefault="0011129F" w:rsidP="0011129F">
      <w:pPr>
        <w:pStyle w:val="SingleTxt"/>
        <w:rPr>
          <w:rFonts w:hint="eastAsia"/>
        </w:rPr>
      </w:pPr>
      <w:r>
        <w:rPr>
          <w:rFonts w:hint="eastAsia"/>
        </w:rPr>
        <w:t>32.</w:t>
      </w:r>
      <w:r>
        <w:rPr>
          <w:rFonts w:hint="eastAsia"/>
        </w:rPr>
        <w:tab/>
        <w:t>请说明在批准《公约任择议定书》和接受与委员会会期有关的《公约》第二十条第1款修正案方面取得的进展情况。</w:t>
      </w:r>
    </w:p>
    <w:p w:rsidR="0011129F" w:rsidRDefault="0011129F" w:rsidP="0011129F">
      <w:pPr>
        <w:pStyle w:val="SingleTxt"/>
        <w:rPr>
          <w:rFonts w:hint="eastAsia"/>
        </w:rPr>
      </w:pPr>
    </w:p>
    <w:p w:rsidR="0011129F" w:rsidRDefault="0011129F" w:rsidP="0011129F">
      <w:pPr>
        <w:pStyle w:val="SingleTxt"/>
        <w:jc w:val="center"/>
      </w:pPr>
      <w:r>
        <w:t>––––––––––––––</w:t>
      </w:r>
    </w:p>
    <w:p w:rsidR="0011129F" w:rsidRPr="006B7C59" w:rsidRDefault="0011129F" w:rsidP="0011129F">
      <w:pPr>
        <w:pStyle w:val="SingleTxt"/>
        <w:rPr>
          <w:rFonts w:hint="eastAsia"/>
        </w:rPr>
      </w:pPr>
    </w:p>
    <w:sectPr w:rsidR="0011129F" w:rsidRPr="006B7C59" w:rsidSect="006B7C5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09:34:00Z" w:initials="Start">
    <w:p w:rsidR="00087F62" w:rsidRDefault="00087F6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NO&gt;&gt;N1062041C&lt;&lt;ODS JOB NO&gt;&gt;</w:t>
      </w:r>
    </w:p>
    <w:p w:rsidR="00087F62" w:rsidRDefault="00087F62">
      <w:pPr>
        <w:pStyle w:val="CommentText"/>
      </w:pPr>
      <w:r>
        <w:t>&lt;&lt;ODS DOC SYMBOL1&gt;&gt;CEDAW/C/SGP/Q/4&lt;&lt;ODS DOC SYMBOL1&gt;&gt;</w:t>
      </w:r>
    </w:p>
    <w:p w:rsidR="00087F62" w:rsidRDefault="00087F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83C" w:rsidRDefault="0006683C">
      <w:r>
        <w:separator/>
      </w:r>
    </w:p>
  </w:endnote>
  <w:endnote w:type="continuationSeparator" w:id="0">
    <w:p w:rsidR="0006683C" w:rsidRDefault="00066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7F62" w:rsidTr="006B7C59">
      <w:tblPrEx>
        <w:tblCellMar>
          <w:top w:w="0" w:type="dxa"/>
          <w:bottom w:w="0" w:type="dxa"/>
        </w:tblCellMar>
      </w:tblPrEx>
      <w:tc>
        <w:tcPr>
          <w:tcW w:w="5033" w:type="dxa"/>
          <w:shd w:val="clear" w:color="auto" w:fill="auto"/>
        </w:tcPr>
        <w:p w:rsidR="00087F62" w:rsidRPr="006B7C59" w:rsidRDefault="00087F62" w:rsidP="006B7C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10-62041 (C)</w:t>
          </w:r>
          <w:r>
            <w:rPr>
              <w:b w:val="0"/>
              <w:w w:val="103"/>
              <w:sz w:val="14"/>
            </w:rPr>
            <w:fldChar w:fldCharType="end"/>
          </w:r>
        </w:p>
      </w:tc>
      <w:tc>
        <w:tcPr>
          <w:tcW w:w="5033" w:type="dxa"/>
          <w:shd w:val="clear" w:color="auto" w:fill="auto"/>
        </w:tcPr>
        <w:p w:rsidR="00087F62" w:rsidRPr="006B7C59" w:rsidRDefault="00087F62" w:rsidP="006B7C59">
          <w:pPr>
            <w:pStyle w:val="Footer"/>
            <w:jc w:val="left"/>
            <w:rPr>
              <w:w w:val="103"/>
            </w:rPr>
          </w:pPr>
          <w:r>
            <w:rPr>
              <w:w w:val="103"/>
            </w:rPr>
            <w:fldChar w:fldCharType="begin"/>
          </w:r>
          <w:r>
            <w:rPr>
              <w:w w:val="103"/>
            </w:rPr>
            <w:instrText xml:space="preserve"> PAGE  \* MERGEFORMAT </w:instrText>
          </w:r>
          <w:r>
            <w:rPr>
              <w:w w:val="103"/>
            </w:rPr>
            <w:fldChar w:fldCharType="separate"/>
          </w:r>
          <w:r w:rsidR="0051100F">
            <w:rPr>
              <w:w w:val="103"/>
            </w:rPr>
            <w:t>4</w:t>
          </w:r>
          <w:r>
            <w:rPr>
              <w:w w:val="103"/>
            </w:rPr>
            <w:fldChar w:fldCharType="end"/>
          </w:r>
        </w:p>
      </w:tc>
    </w:tr>
  </w:tbl>
  <w:p w:rsidR="00087F62" w:rsidRPr="006B7C59" w:rsidRDefault="00087F62" w:rsidP="006B7C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7F62" w:rsidTr="006B7C59">
      <w:tblPrEx>
        <w:tblCellMar>
          <w:top w:w="0" w:type="dxa"/>
          <w:bottom w:w="0" w:type="dxa"/>
        </w:tblCellMar>
      </w:tblPrEx>
      <w:tc>
        <w:tcPr>
          <w:tcW w:w="5033" w:type="dxa"/>
          <w:shd w:val="clear" w:color="auto" w:fill="auto"/>
        </w:tcPr>
        <w:p w:rsidR="00087F62" w:rsidRPr="006B7C59" w:rsidRDefault="00087F62" w:rsidP="006B7C59">
          <w:pPr>
            <w:pStyle w:val="Footer"/>
            <w:jc w:val="right"/>
          </w:pPr>
          <w:r>
            <w:fldChar w:fldCharType="begin"/>
          </w:r>
          <w:r>
            <w:instrText xml:space="preserve"> PAGE  \* MERGEFORMAT </w:instrText>
          </w:r>
          <w:r>
            <w:fldChar w:fldCharType="separate"/>
          </w:r>
          <w:r w:rsidR="0051100F">
            <w:t>5</w:t>
          </w:r>
          <w:r>
            <w:fldChar w:fldCharType="end"/>
          </w:r>
        </w:p>
      </w:tc>
      <w:tc>
        <w:tcPr>
          <w:tcW w:w="5033" w:type="dxa"/>
          <w:shd w:val="clear" w:color="auto" w:fill="auto"/>
        </w:tcPr>
        <w:p w:rsidR="00087F62" w:rsidRPr="006B7C59" w:rsidRDefault="00087F62" w:rsidP="006B7C5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10-62041 (C)</w:t>
          </w:r>
          <w:r>
            <w:rPr>
              <w:b w:val="0"/>
              <w:w w:val="103"/>
              <w:sz w:val="14"/>
            </w:rPr>
            <w:fldChar w:fldCharType="end"/>
          </w:r>
        </w:p>
      </w:tc>
    </w:tr>
  </w:tbl>
  <w:p w:rsidR="00087F62" w:rsidRPr="006B7C59" w:rsidRDefault="00087F62" w:rsidP="006B7C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87F62">
      <w:tblPrEx>
        <w:tblCellMar>
          <w:top w:w="0" w:type="dxa"/>
          <w:bottom w:w="0" w:type="dxa"/>
        </w:tblCellMar>
      </w:tblPrEx>
      <w:tc>
        <w:tcPr>
          <w:tcW w:w="5033" w:type="dxa"/>
        </w:tcPr>
        <w:p w:rsidR="00087F62" w:rsidRDefault="00087F62" w:rsidP="006B7C5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10-62041 (C)</w:t>
          </w:r>
          <w:r>
            <w:rPr>
              <w:b w:val="0"/>
              <w:sz w:val="21"/>
            </w:rPr>
            <w:fldChar w:fldCharType="end"/>
          </w:r>
          <w:r>
            <w:rPr>
              <w:b w:val="0"/>
              <w:sz w:val="21"/>
            </w:rPr>
            <w:t xml:space="preserve">    1</w:t>
          </w:r>
          <w:r>
            <w:rPr>
              <w:rFonts w:hint="eastAsia"/>
              <w:b w:val="0"/>
              <w:sz w:val="21"/>
            </w:rPr>
            <w:t>6</w:t>
          </w:r>
          <w:r>
            <w:rPr>
              <w:b w:val="0"/>
              <w:sz w:val="21"/>
            </w:rPr>
            <w:t>1110    1</w:t>
          </w:r>
          <w:r>
            <w:rPr>
              <w:rFonts w:hint="eastAsia"/>
              <w:b w:val="0"/>
              <w:sz w:val="21"/>
            </w:rPr>
            <w:t>9</w:t>
          </w:r>
          <w:r>
            <w:rPr>
              <w:b w:val="0"/>
              <w:sz w:val="21"/>
            </w:rPr>
            <w:t>1110</w:t>
          </w:r>
        </w:p>
        <w:p w:rsidR="00087F62" w:rsidRPr="006B7C59" w:rsidRDefault="00087F62" w:rsidP="006B7C59">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*1062041*</w:t>
          </w:r>
          <w:r>
            <w:rPr>
              <w:rFonts w:ascii="Barcode 3 of 9 by request" w:hAnsi="Barcode 3 of 9 by request" w:hint="eastAsia"/>
              <w:sz w:val="24"/>
            </w:rPr>
            <w:fldChar w:fldCharType="end"/>
          </w:r>
        </w:p>
      </w:tc>
      <w:tc>
        <w:tcPr>
          <w:tcW w:w="5033" w:type="dxa"/>
        </w:tcPr>
        <w:p w:rsidR="00087F62" w:rsidRDefault="00087F62" w:rsidP="006B7C59">
          <w:pPr>
            <w:pStyle w:val="Footer"/>
            <w:jc w:val="right"/>
            <w:rPr>
              <w:b w:val="0"/>
              <w:sz w:val="21"/>
            </w:rPr>
          </w:pPr>
          <w:r w:rsidRPr="006B7C59">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87F62" w:rsidRPr="006B7C59" w:rsidRDefault="00087F62" w:rsidP="006B7C59">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83C" w:rsidRDefault="0006683C">
      <w:r>
        <w:separator/>
      </w:r>
    </w:p>
  </w:footnote>
  <w:footnote w:type="continuationSeparator" w:id="0">
    <w:p w:rsidR="0006683C" w:rsidRDefault="00066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87F62" w:rsidTr="006B7C59">
      <w:tblPrEx>
        <w:tblCellMar>
          <w:top w:w="0" w:type="dxa"/>
          <w:bottom w:w="0" w:type="dxa"/>
        </w:tblCellMar>
      </w:tblPrEx>
      <w:trPr>
        <w:trHeight w:hRule="exact" w:val="864"/>
      </w:trPr>
      <w:tc>
        <w:tcPr>
          <w:tcW w:w="4838" w:type="dxa"/>
          <w:shd w:val="clear" w:color="auto" w:fill="auto"/>
          <w:vAlign w:val="bottom"/>
        </w:tcPr>
        <w:p w:rsidR="00087F62" w:rsidRPr="006B7C59" w:rsidRDefault="00087F62" w:rsidP="006B7C5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CEDAW/C/SGP/Q/4</w:t>
          </w:r>
          <w:r>
            <w:rPr>
              <w:b/>
              <w:sz w:val="17"/>
            </w:rPr>
            <w:fldChar w:fldCharType="end"/>
          </w:r>
        </w:p>
      </w:tc>
      <w:tc>
        <w:tcPr>
          <w:tcW w:w="5033" w:type="dxa"/>
          <w:shd w:val="clear" w:color="auto" w:fill="auto"/>
          <w:vAlign w:val="bottom"/>
        </w:tcPr>
        <w:p w:rsidR="00087F62" w:rsidRDefault="00087F62" w:rsidP="006B7C59">
          <w:pPr>
            <w:pStyle w:val="Header"/>
          </w:pPr>
        </w:p>
      </w:tc>
    </w:tr>
  </w:tbl>
  <w:p w:rsidR="00087F62" w:rsidRPr="006B7C59" w:rsidRDefault="00087F62" w:rsidP="006B7C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87F62" w:rsidTr="006B7C59">
      <w:tblPrEx>
        <w:tblCellMar>
          <w:top w:w="0" w:type="dxa"/>
          <w:bottom w:w="0" w:type="dxa"/>
        </w:tblCellMar>
      </w:tblPrEx>
      <w:trPr>
        <w:trHeight w:hRule="exact" w:val="864"/>
      </w:trPr>
      <w:tc>
        <w:tcPr>
          <w:tcW w:w="4838" w:type="dxa"/>
          <w:shd w:val="clear" w:color="auto" w:fill="auto"/>
          <w:vAlign w:val="bottom"/>
        </w:tcPr>
        <w:p w:rsidR="00087F62" w:rsidRDefault="00087F62" w:rsidP="006B7C59">
          <w:pPr>
            <w:pStyle w:val="Header"/>
          </w:pPr>
        </w:p>
      </w:tc>
      <w:tc>
        <w:tcPr>
          <w:tcW w:w="5033" w:type="dxa"/>
          <w:shd w:val="clear" w:color="auto" w:fill="auto"/>
          <w:vAlign w:val="bottom"/>
        </w:tcPr>
        <w:p w:rsidR="00087F62" w:rsidRPr="006B7C59" w:rsidRDefault="00087F62" w:rsidP="006B7C5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CEDAW/C/SGP/Q/4</w:t>
          </w:r>
          <w:r>
            <w:rPr>
              <w:b/>
              <w:sz w:val="17"/>
            </w:rPr>
            <w:fldChar w:fldCharType="end"/>
          </w:r>
        </w:p>
      </w:tc>
    </w:tr>
  </w:tbl>
  <w:p w:rsidR="00087F62" w:rsidRPr="006B7C59" w:rsidRDefault="00087F62" w:rsidP="006B7C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87F62" w:rsidTr="006B7C5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87F62" w:rsidRDefault="00087F62" w:rsidP="006B7C59">
          <w:pPr>
            <w:pStyle w:val="Header"/>
            <w:spacing w:after="120"/>
          </w:pPr>
        </w:p>
      </w:tc>
      <w:tc>
        <w:tcPr>
          <w:tcW w:w="1872" w:type="dxa"/>
          <w:tcBorders>
            <w:bottom w:val="single" w:sz="4" w:space="0" w:color="auto"/>
          </w:tcBorders>
          <w:shd w:val="clear" w:color="auto" w:fill="auto"/>
          <w:vAlign w:val="bottom"/>
        </w:tcPr>
        <w:p w:rsidR="00087F62" w:rsidRPr="006B7C59" w:rsidRDefault="00087F62" w:rsidP="006B7C5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87F62" w:rsidRDefault="00087F62" w:rsidP="006B7C59">
          <w:pPr>
            <w:pStyle w:val="Header"/>
            <w:spacing w:after="120"/>
          </w:pPr>
        </w:p>
      </w:tc>
      <w:tc>
        <w:tcPr>
          <w:tcW w:w="6523" w:type="dxa"/>
          <w:gridSpan w:val="3"/>
          <w:tcBorders>
            <w:bottom w:val="single" w:sz="4" w:space="0" w:color="auto"/>
          </w:tcBorders>
          <w:shd w:val="clear" w:color="auto" w:fill="auto"/>
          <w:vAlign w:val="bottom"/>
        </w:tcPr>
        <w:p w:rsidR="00087F62" w:rsidRPr="006B7C59" w:rsidRDefault="00087F62" w:rsidP="006B7C59">
          <w:pPr>
            <w:spacing w:after="80" w:line="240" w:lineRule="auto"/>
            <w:jc w:val="right"/>
            <w:rPr>
              <w:rFonts w:ascii="Times New Roman"/>
              <w:position w:val="-4"/>
            </w:rPr>
          </w:pPr>
          <w:r>
            <w:rPr>
              <w:rFonts w:ascii="Times New Roman"/>
              <w:position w:val="-4"/>
              <w:sz w:val="40"/>
            </w:rPr>
            <w:t>CEDAW</w:t>
          </w:r>
          <w:r>
            <w:rPr>
              <w:rFonts w:ascii="Times New Roman"/>
              <w:position w:val="-4"/>
            </w:rPr>
            <w:t>/C/SGP/Q/4</w:t>
          </w:r>
        </w:p>
      </w:tc>
    </w:tr>
    <w:tr w:rsidR="00087F62" w:rsidRPr="006B7C59" w:rsidTr="006B7C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87F62" w:rsidRDefault="00087F62" w:rsidP="006B7C5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87F62" w:rsidRPr="006B7C59" w:rsidRDefault="00087F62" w:rsidP="006B7C59">
          <w:pPr>
            <w:pStyle w:val="Header"/>
            <w:spacing w:before="109"/>
            <w:ind w:left="-72"/>
          </w:pPr>
        </w:p>
      </w:tc>
      <w:tc>
        <w:tcPr>
          <w:tcW w:w="5227" w:type="dxa"/>
          <w:gridSpan w:val="3"/>
          <w:tcBorders>
            <w:top w:val="single" w:sz="4" w:space="0" w:color="auto"/>
            <w:bottom w:val="single" w:sz="12" w:space="0" w:color="auto"/>
          </w:tcBorders>
          <w:shd w:val="clear" w:color="auto" w:fill="auto"/>
        </w:tcPr>
        <w:p w:rsidR="00087F62" w:rsidRPr="006B7C59" w:rsidRDefault="00087F62" w:rsidP="006B7C5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87F62" w:rsidRPr="006B7C59" w:rsidRDefault="00087F62" w:rsidP="006B7C59">
          <w:pPr>
            <w:pStyle w:val="Header"/>
            <w:spacing w:before="109"/>
          </w:pPr>
        </w:p>
      </w:tc>
      <w:tc>
        <w:tcPr>
          <w:tcW w:w="3180" w:type="dxa"/>
          <w:gridSpan w:val="2"/>
          <w:tcBorders>
            <w:top w:val="single" w:sz="4" w:space="0" w:color="auto"/>
            <w:bottom w:val="single" w:sz="12" w:space="0" w:color="auto"/>
          </w:tcBorders>
          <w:shd w:val="clear" w:color="auto" w:fill="auto"/>
        </w:tcPr>
        <w:p w:rsidR="00087F62" w:rsidRDefault="00087F62" w:rsidP="006B7C59">
          <w:pPr>
            <w:spacing w:before="240" w:line="240" w:lineRule="exact"/>
            <w:rPr>
              <w:rFonts w:ascii="Times New Roman"/>
            </w:rPr>
          </w:pPr>
          <w:r>
            <w:rPr>
              <w:rFonts w:ascii="Times New Roman"/>
            </w:rPr>
            <w:t>Distr.: General</w:t>
          </w:r>
        </w:p>
        <w:p w:rsidR="00087F62" w:rsidRDefault="00087F62" w:rsidP="006B7C59">
          <w:pPr>
            <w:spacing w:line="240" w:lineRule="exact"/>
            <w:rPr>
              <w:rFonts w:ascii="Times New Roman"/>
            </w:rPr>
          </w:pPr>
          <w:r>
            <w:rPr>
              <w:rFonts w:ascii="Times New Roman"/>
            </w:rPr>
            <w:t>4 November 2010</w:t>
          </w:r>
        </w:p>
        <w:p w:rsidR="00087F62" w:rsidRDefault="00087F62" w:rsidP="006B7C59">
          <w:pPr>
            <w:spacing w:line="240" w:lineRule="exact"/>
            <w:rPr>
              <w:rFonts w:ascii="Times New Roman"/>
            </w:rPr>
          </w:pPr>
          <w:r>
            <w:rPr>
              <w:rFonts w:ascii="Times New Roman"/>
            </w:rPr>
            <w:t>Chinese</w:t>
          </w:r>
        </w:p>
        <w:p w:rsidR="00087F62" w:rsidRPr="006B7C59" w:rsidRDefault="00087F62" w:rsidP="006B7C59">
          <w:pPr>
            <w:spacing w:line="240" w:lineRule="exact"/>
            <w:rPr>
              <w:rFonts w:ascii="Times New Roman"/>
            </w:rPr>
          </w:pPr>
          <w:r>
            <w:rPr>
              <w:rFonts w:ascii="Times New Roman"/>
            </w:rPr>
            <w:t>Original: English</w:t>
          </w:r>
        </w:p>
      </w:tc>
    </w:tr>
  </w:tbl>
  <w:p w:rsidR="00087F62" w:rsidRPr="006B7C59" w:rsidRDefault="00087F62" w:rsidP="006B7C5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41*"/>
    <w:docVar w:name="CreationDt" w:val="18/11/2010 09:09:42"/>
    <w:docVar w:name="DocCategory" w:val="Doc"/>
    <w:docVar w:name="DocType" w:val="Final"/>
    <w:docVar w:name="FooterJN" w:val="10-62041 (C)"/>
    <w:docVar w:name="jobn" w:val="10-62041 (C)"/>
    <w:docVar w:name="jobnDT" w:val="10-62041 (C)   181110"/>
    <w:docVar w:name="jobnDTDT" w:val="10-62041 (C)   181110   181110"/>
    <w:docVar w:name="JobNo" w:val="1062041C"/>
    <w:docVar w:name="OandT" w:val="sheng"/>
    <w:docVar w:name="sss1" w:val="CEDAW/C/SGP/Q/4"/>
    <w:docVar w:name="sss2" w:val="-"/>
    <w:docVar w:name="Symbol1" w:val="CEDAW/C/SGP/Q/4"/>
    <w:docVar w:name="Symbol2" w:val="-"/>
  </w:docVars>
  <w:rsids>
    <w:rsidRoot w:val="00382360"/>
    <w:rsid w:val="0000347C"/>
    <w:rsid w:val="000125BC"/>
    <w:rsid w:val="00021A2B"/>
    <w:rsid w:val="00037B39"/>
    <w:rsid w:val="00044CA4"/>
    <w:rsid w:val="00045EFE"/>
    <w:rsid w:val="0006683C"/>
    <w:rsid w:val="0007337D"/>
    <w:rsid w:val="000758DF"/>
    <w:rsid w:val="00076EB8"/>
    <w:rsid w:val="00087F62"/>
    <w:rsid w:val="00095C67"/>
    <w:rsid w:val="000A31F9"/>
    <w:rsid w:val="000C1786"/>
    <w:rsid w:val="000C4DDE"/>
    <w:rsid w:val="000E240F"/>
    <w:rsid w:val="000E49A4"/>
    <w:rsid w:val="000F1058"/>
    <w:rsid w:val="00101C4E"/>
    <w:rsid w:val="0011129F"/>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D61EA"/>
    <w:rsid w:val="002E66D5"/>
    <w:rsid w:val="002F41E2"/>
    <w:rsid w:val="00320C99"/>
    <w:rsid w:val="003274A9"/>
    <w:rsid w:val="00331221"/>
    <w:rsid w:val="003649EE"/>
    <w:rsid w:val="00371BC6"/>
    <w:rsid w:val="00373A15"/>
    <w:rsid w:val="00382360"/>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100F"/>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B7C59"/>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DE4935"/>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1955</Words>
  <Characters>2074</Characters>
  <Application>Microsoft Office Word</Application>
  <DocSecurity>4</DocSecurity>
  <Lines>76</Lines>
  <Paragraphs>50</Paragraphs>
  <ScaleCrop>false</ScaleCrop>
  <Company>United Nations</Company>
  <LinksUpToDate>false</LinksUpToDate>
  <CharactersWithSpaces>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CTPU SZX</cp:lastModifiedBy>
  <cp:revision>8</cp:revision>
  <cp:lastPrinted>2010-11-18T07:34:00Z</cp:lastPrinted>
  <dcterms:created xsi:type="dcterms:W3CDTF">2010-11-18T07:08:00Z</dcterms:created>
  <dcterms:modified xsi:type="dcterms:W3CDTF">2010-11-18T07:36:00Z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1062041</vt:lpwstr>
  </property>
  <property fmtid="{D5CDD505-2E9C-101B-9397-08002B2CF9AE}" pid="3" name="Symbol1">
    <vt:lpwstr>CEDAW/C/SGP/Q/4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