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000000">
        <w:trPr>
          <w:cantSplit/>
          <w:trHeight w:hRule="exact" w:val="851"/>
        </w:trPr>
        <w:tc>
          <w:tcPr>
            <w:tcW w:w="4536" w:type="dxa"/>
            <w:gridSpan w:val="2"/>
            <w:tcBorders>
              <w:bottom w:val="single" w:sz="4" w:space="0" w:color="auto"/>
            </w:tcBorders>
            <w:vAlign w:val="bottom"/>
          </w:tcPr>
          <w:p w:rsidR="00000000" w:rsidRDefault="00000000">
            <w:pPr>
              <w:spacing w:after="80" w:line="300" w:lineRule="exact"/>
              <w:rPr>
                <w:b/>
                <w:sz w:val="24"/>
                <w:szCs w:val="24"/>
              </w:rPr>
            </w:pPr>
            <w:proofErr w:type="spellStart"/>
            <w:r>
              <w:rPr>
                <w:sz w:val="28"/>
              </w:rPr>
              <w:t>5Организация</w:t>
            </w:r>
            <w:proofErr w:type="spellEnd"/>
            <w:r>
              <w:rPr>
                <w:sz w:val="28"/>
              </w:rPr>
              <w:t xml:space="preserve"> Объединенных Наций</w:t>
            </w:r>
          </w:p>
        </w:tc>
        <w:tc>
          <w:tcPr>
            <w:tcW w:w="141" w:type="dxa"/>
            <w:tcBorders>
              <w:bottom w:val="single" w:sz="4" w:space="0" w:color="auto"/>
            </w:tcBorders>
            <w:vAlign w:val="bottom"/>
          </w:tcPr>
          <w:p w:rsidR="00000000" w:rsidRDefault="00000000">
            <w:pPr>
              <w:spacing w:after="80" w:line="240" w:lineRule="auto"/>
              <w:jc w:val="right"/>
            </w:pPr>
          </w:p>
        </w:tc>
        <w:tc>
          <w:tcPr>
            <w:tcW w:w="4962" w:type="dxa"/>
            <w:gridSpan w:val="2"/>
            <w:tcBorders>
              <w:left w:val="nil"/>
              <w:bottom w:val="single" w:sz="4" w:space="0" w:color="auto"/>
            </w:tcBorders>
            <w:vAlign w:val="bottom"/>
          </w:tcPr>
          <w:p w:rsidR="00000000" w:rsidRDefault="00000000">
            <w:pPr>
              <w:spacing w:after="80"/>
              <w:jc w:val="right"/>
              <w:rPr>
                <w:lang w:val="en-US"/>
              </w:rPr>
            </w:pPr>
            <w:proofErr w:type="spellStart"/>
            <w:r>
              <w:rPr>
                <w:sz w:val="40"/>
                <w:szCs w:val="40"/>
                <w:lang w:val="en-US"/>
              </w:rPr>
              <w:t>CCPR</w:t>
            </w:r>
            <w:proofErr w:type="spellEnd"/>
            <w:r>
              <w:rPr>
                <w:lang w:val="en-US"/>
              </w:rPr>
              <w:t>/</w:t>
            </w:r>
            <w:r>
              <w:fldChar w:fldCharType="begin"/>
            </w:r>
            <w:r>
              <w:instrText xml:space="preserve"> FILLIN  "Введите часть символа после CCPR/"  \* MERGEFORMAT </w:instrText>
            </w:r>
            <w:r>
              <w:fldChar w:fldCharType="separate"/>
            </w:r>
            <w:proofErr w:type="spellStart"/>
            <w:r>
              <w:t>C</w:t>
            </w:r>
            <w:proofErr w:type="spellEnd"/>
            <w:r>
              <w:t>/</w:t>
            </w:r>
            <w:proofErr w:type="spellStart"/>
            <w:r>
              <w:t>SR.2660</w:t>
            </w:r>
            <w:proofErr w:type="spellEnd"/>
            <w:r>
              <w:fldChar w:fldCharType="end"/>
            </w:r>
          </w:p>
        </w:tc>
      </w:tr>
      <w:tr w:rsidR="00000000">
        <w:trPr>
          <w:cantSplit/>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000000" w:rsidRDefault="00000000">
            <w:pPr>
              <w:spacing w:before="120" w:line="380" w:lineRule="exact"/>
              <w:rPr>
                <w:spacing w:val="-4"/>
                <w:w w:val="100"/>
                <w:sz w:val="34"/>
                <w:szCs w:val="34"/>
              </w:rPr>
            </w:pPr>
            <w:r>
              <w:rPr>
                <w:b/>
                <w:spacing w:val="-4"/>
                <w:w w:val="100"/>
                <w:sz w:val="34"/>
                <w:szCs w:val="34"/>
              </w:rPr>
              <w:t xml:space="preserve">Международный пакт </w:t>
            </w:r>
            <w:r>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000000" w:rsidRDefault="00000000">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000000" w:rsidRDefault="00000000">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31 March 2010</w:t>
            </w:r>
            <w:r>
              <w:rPr>
                <w:lang w:val="en-US"/>
              </w:rPr>
              <w:fldChar w:fldCharType="end"/>
            </w:r>
          </w:p>
          <w:p w:rsidR="00000000" w:rsidRDefault="00000000">
            <w:r>
              <w:rPr>
                <w:lang w:val="en-US"/>
              </w:rPr>
              <w:t>Russian</w:t>
            </w:r>
          </w:p>
          <w:p w:rsidR="00000000" w:rsidRDefault="00000000">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000000" w:rsidRDefault="00000000"/>
        </w:tc>
      </w:tr>
    </w:tbl>
    <w:p w:rsidR="00000000" w:rsidRDefault="00000000">
      <w:pPr>
        <w:spacing w:before="120" w:line="240" w:lineRule="auto"/>
        <w:rPr>
          <w:b/>
          <w:sz w:val="24"/>
        </w:rPr>
      </w:pPr>
      <w:r>
        <w:rPr>
          <w:b/>
          <w:sz w:val="24"/>
        </w:rPr>
        <w:t>Комитет по правам человека</w:t>
      </w:r>
    </w:p>
    <w:p w:rsidR="00000000" w:rsidRDefault="00000000">
      <w:pPr>
        <w:spacing w:line="240" w:lineRule="exact"/>
        <w:rPr>
          <w:b/>
        </w:rPr>
      </w:pPr>
      <w:r>
        <w:rPr>
          <w:b/>
        </w:rPr>
        <w:t>Девяносто седьмая сессия</w:t>
      </w:r>
    </w:p>
    <w:p w:rsidR="00000000" w:rsidRDefault="00000000">
      <w:pPr>
        <w:spacing w:before="120" w:line="240" w:lineRule="exact"/>
        <w:rPr>
          <w:b/>
        </w:rPr>
      </w:pPr>
      <w:r>
        <w:rPr>
          <w:b/>
        </w:rPr>
        <w:t>Краткий отчет о 2660-м заседании,</w:t>
      </w:r>
    </w:p>
    <w:p w:rsidR="00000000" w:rsidRDefault="00000000">
      <w:pPr>
        <w:spacing w:line="240" w:lineRule="exact"/>
      </w:pPr>
      <w:r>
        <w:t>состоявшемся во Дворце Вильсона в Женеве</w:t>
      </w:r>
    </w:p>
    <w:p w:rsidR="00000000" w:rsidRDefault="00000000">
      <w:pPr>
        <w:spacing w:line="240" w:lineRule="exact"/>
      </w:pPr>
      <w:r>
        <w:t>в четверг, 14 октября 2009 года, в 10 ч. 00 м.</w:t>
      </w:r>
    </w:p>
    <w:p w:rsidR="00000000" w:rsidRDefault="00000000">
      <w:pPr>
        <w:spacing w:before="120" w:line="240" w:lineRule="exact"/>
      </w:pPr>
      <w:r>
        <w:rPr>
          <w:i/>
        </w:rPr>
        <w:t>Председатель:</w:t>
      </w:r>
      <w:r>
        <w:rPr>
          <w:i/>
        </w:rPr>
        <w:tab/>
        <w:t xml:space="preserve"> </w:t>
      </w:r>
      <w:r>
        <w:t xml:space="preserve">г-н </w:t>
      </w:r>
      <w:proofErr w:type="spellStart"/>
      <w:r>
        <w:t>Ивасава</w:t>
      </w:r>
      <w:proofErr w:type="spellEnd"/>
    </w:p>
    <w:p w:rsidR="00000000" w:rsidRDefault="00000000">
      <w:pPr>
        <w:spacing w:before="240" w:after="360" w:line="240" w:lineRule="exact"/>
        <w:rPr>
          <w:sz w:val="28"/>
          <w:szCs w:val="28"/>
        </w:rPr>
      </w:pPr>
      <w:r>
        <w:rPr>
          <w:sz w:val="28"/>
          <w:szCs w:val="28"/>
        </w:rPr>
        <w:t>Содержание</w:t>
      </w:r>
    </w:p>
    <w:p w:rsidR="00000000" w:rsidRDefault="00000000">
      <w:pPr>
        <w:spacing w:after="120" w:line="240" w:lineRule="auto"/>
      </w:pPr>
      <w:r>
        <w:rPr>
          <w:sz w:val="24"/>
        </w:rPr>
        <w:tab/>
      </w:r>
      <w:r>
        <w:rPr>
          <w:sz w:val="24"/>
        </w:rPr>
        <w:tab/>
      </w:r>
      <w:r>
        <w:t>Рассмотрение докладов, представляемых государствами-участниками</w:t>
      </w:r>
      <w:r>
        <w:br/>
      </w:r>
      <w:r>
        <w:tab/>
      </w:r>
      <w:r>
        <w:tab/>
        <w:t>в соответствии со стат</w:t>
      </w:r>
      <w:r>
        <w:t>ь</w:t>
      </w:r>
      <w:r>
        <w:t>ей 40 Пакта</w:t>
      </w:r>
    </w:p>
    <w:p w:rsidR="00000000" w:rsidRDefault="00000000">
      <w:pPr>
        <w:spacing w:after="120" w:line="240" w:lineRule="auto"/>
      </w:pPr>
      <w:r>
        <w:tab/>
      </w:r>
      <w:r>
        <w:tab/>
      </w:r>
      <w:r>
        <w:tab/>
      </w:r>
      <w:r>
        <w:rPr>
          <w:i/>
        </w:rPr>
        <w:t xml:space="preserve">Второй периодический доклад Республики Молдова </w:t>
      </w:r>
      <w:r>
        <w:t>(продолжение)</w:t>
      </w:r>
    </w:p>
    <w:p w:rsidR="00000000" w:rsidRDefault="00000000">
      <w:pPr>
        <w:spacing w:after="120" w:line="240" w:lineRule="auto"/>
      </w:pPr>
    </w:p>
    <w:p w:rsidR="00000000" w:rsidRDefault="00000000">
      <w:pPr>
        <w:spacing w:after="120" w:line="240" w:lineRule="auto"/>
      </w:pPr>
    </w:p>
    <w:p w:rsidR="00000000" w:rsidRDefault="00000000">
      <w:pPr>
        <w:spacing w:after="120" w:line="240" w:lineRule="auto"/>
      </w:pPr>
    </w:p>
    <w:p w:rsidR="00000000" w:rsidRDefault="00000000">
      <w:pPr>
        <w:spacing w:after="120" w:line="240" w:lineRule="auto"/>
      </w:pPr>
    </w:p>
    <w:p w:rsidR="00000000" w:rsidRDefault="00000000">
      <w:pPr>
        <w:spacing w:after="120" w:line="240" w:lineRule="auto"/>
      </w:pPr>
    </w:p>
    <w:p w:rsidR="00000000" w:rsidRDefault="00000000">
      <w:pPr>
        <w:spacing w:after="120" w:line="240" w:lineRule="auto"/>
      </w:pPr>
    </w:p>
    <w:p w:rsidR="00000000" w:rsidRDefault="00000000">
      <w:pPr>
        <w:spacing w:after="120" w:line="240" w:lineRule="auto"/>
      </w:pPr>
    </w:p>
    <w:p w:rsidR="00000000" w:rsidRDefault="00000000">
      <w:pPr>
        <w:spacing w:after="120" w:line="240" w:lineRule="auto"/>
      </w:pPr>
    </w:p>
    <w:p w:rsidR="00000000" w:rsidRDefault="00000000">
      <w:pPr>
        <w:spacing w:after="120" w:line="240" w:lineRule="auto"/>
      </w:pPr>
    </w:p>
    <w:p w:rsidR="00000000" w:rsidRDefault="00000000">
      <w:pPr>
        <w:pStyle w:val="SingleTxtGR"/>
        <w:rPr>
          <w:i/>
        </w:rPr>
      </w:pPr>
      <w:r>
        <w:br w:type="page"/>
      </w:r>
      <w:r>
        <w:rPr>
          <w:i/>
        </w:rPr>
        <w:t>Заседание открывается в 10 ч. 10 м.</w:t>
      </w:r>
    </w:p>
    <w:p w:rsidR="00000000" w:rsidRDefault="00000000">
      <w:pPr>
        <w:pStyle w:val="H23GR"/>
      </w:pPr>
      <w:r>
        <w:tab/>
      </w:r>
      <w:r>
        <w:tab/>
        <w:t>Рассмотрение докладов, представляемых государствами-участниками в соотве</w:t>
      </w:r>
      <w:r>
        <w:t>т</w:t>
      </w:r>
      <w:r>
        <w:t xml:space="preserve">ствии со статьей 40 Пакта </w:t>
      </w:r>
      <w:r>
        <w:rPr>
          <w:b w:val="0"/>
        </w:rPr>
        <w:t>(пункт 6 повестки дня) (</w:t>
      </w:r>
      <w:r>
        <w:rPr>
          <w:b w:val="0"/>
          <w:i/>
        </w:rPr>
        <w:t>продолжение</w:t>
      </w:r>
      <w:r>
        <w:rPr>
          <w:b w:val="0"/>
        </w:rPr>
        <w:t>)</w:t>
      </w:r>
    </w:p>
    <w:p w:rsidR="00000000" w:rsidRDefault="00000000">
      <w:pPr>
        <w:pStyle w:val="SingleTxtGR"/>
      </w:pPr>
      <w:r>
        <w:t>Второй периодический доклад Республики Молдова (</w:t>
      </w:r>
      <w:r>
        <w:rPr>
          <w:lang w:val="fr-CH"/>
        </w:rPr>
        <w:t>CCPR</w:t>
      </w:r>
      <w:r>
        <w:t>/</w:t>
      </w:r>
      <w:r>
        <w:rPr>
          <w:lang w:val="fr-CH"/>
        </w:rPr>
        <w:t>C</w:t>
      </w:r>
      <w:r>
        <w:t>/</w:t>
      </w:r>
      <w:r>
        <w:rPr>
          <w:lang w:val="fr-CH"/>
        </w:rPr>
        <w:t>MDA</w:t>
      </w:r>
      <w:r>
        <w:t xml:space="preserve">/2; </w:t>
      </w:r>
      <w:r>
        <w:rPr>
          <w:lang w:val="fr-CH"/>
        </w:rPr>
        <w:t>CCPR</w:t>
      </w:r>
      <w:r>
        <w:t>/</w:t>
      </w:r>
      <w:r>
        <w:rPr>
          <w:lang w:val="fr-CH"/>
        </w:rPr>
        <w:t>C</w:t>
      </w:r>
      <w:r>
        <w:t>/</w:t>
      </w:r>
      <w:r>
        <w:rPr>
          <w:lang w:val="fr-CH"/>
        </w:rPr>
        <w:t>MDA</w:t>
      </w:r>
      <w:r>
        <w:t>/</w:t>
      </w:r>
      <w:r>
        <w:rPr>
          <w:lang w:val="fr-CH"/>
        </w:rPr>
        <w:t>Q</w:t>
      </w:r>
      <w:r>
        <w:t xml:space="preserve">/2; </w:t>
      </w:r>
      <w:r>
        <w:rPr>
          <w:lang w:val="fr-CH"/>
        </w:rPr>
        <w:t>CCPR</w:t>
      </w:r>
      <w:r>
        <w:t>/</w:t>
      </w:r>
      <w:r>
        <w:rPr>
          <w:lang w:val="fr-CH"/>
        </w:rPr>
        <w:t>C</w:t>
      </w:r>
      <w:r>
        <w:t>/</w:t>
      </w:r>
      <w:r>
        <w:rPr>
          <w:lang w:val="fr-CH"/>
        </w:rPr>
        <w:t>MDA</w:t>
      </w:r>
      <w:r>
        <w:t>/</w:t>
      </w:r>
      <w:r>
        <w:rPr>
          <w:lang w:val="fr-CH"/>
        </w:rPr>
        <w:t>Q</w:t>
      </w:r>
      <w:r>
        <w:t>/2/</w:t>
      </w:r>
      <w:r>
        <w:rPr>
          <w:lang w:val="fr-CH"/>
        </w:rPr>
        <w:t>Add</w:t>
      </w:r>
      <w:r>
        <w:t xml:space="preserve">.1; </w:t>
      </w:r>
      <w:r>
        <w:rPr>
          <w:lang w:val="fr-CH"/>
        </w:rPr>
        <w:t>HRI</w:t>
      </w:r>
      <w:r>
        <w:t>/</w:t>
      </w:r>
      <w:r>
        <w:rPr>
          <w:lang w:val="fr-CH"/>
        </w:rPr>
        <w:t>CORE</w:t>
      </w:r>
      <w:r>
        <w:t>/1/</w:t>
      </w:r>
      <w:r>
        <w:rPr>
          <w:lang w:val="fr-CH"/>
        </w:rPr>
        <w:t>Add</w:t>
      </w:r>
      <w:r>
        <w:t>.4) (</w:t>
      </w:r>
      <w:r>
        <w:rPr>
          <w:i/>
        </w:rPr>
        <w:t>продолж</w:t>
      </w:r>
      <w:r>
        <w:rPr>
          <w:i/>
        </w:rPr>
        <w:t>е</w:t>
      </w:r>
      <w:r>
        <w:rPr>
          <w:i/>
        </w:rPr>
        <w:t>ние</w:t>
      </w:r>
      <w:r>
        <w:t>)</w:t>
      </w:r>
    </w:p>
    <w:p w:rsidR="00000000" w:rsidRDefault="00000000">
      <w:pPr>
        <w:pStyle w:val="SingleTxtGR"/>
        <w:rPr>
          <w:i/>
        </w:rPr>
      </w:pPr>
      <w:r>
        <w:t>1.</w:t>
      </w:r>
      <w:r>
        <w:tab/>
      </w:r>
      <w:r>
        <w:rPr>
          <w:i/>
        </w:rPr>
        <w:t>По приглашению Председателя члены делегации Молдовы вновь заним</w:t>
      </w:r>
      <w:r>
        <w:rPr>
          <w:i/>
        </w:rPr>
        <w:t>а</w:t>
      </w:r>
      <w:r>
        <w:rPr>
          <w:i/>
        </w:rPr>
        <w:t>ют ме</w:t>
      </w:r>
      <w:r>
        <w:rPr>
          <w:i/>
        </w:rPr>
        <w:t>с</w:t>
      </w:r>
      <w:r>
        <w:rPr>
          <w:i/>
        </w:rPr>
        <w:t>та за столом Комитета.</w:t>
      </w:r>
    </w:p>
    <w:p w:rsidR="00000000" w:rsidRDefault="00000000">
      <w:pPr>
        <w:pStyle w:val="SingleTxtGR"/>
      </w:pPr>
      <w:r>
        <w:t>2.</w:t>
      </w:r>
      <w:r>
        <w:tab/>
      </w:r>
      <w:r>
        <w:rPr>
          <w:b/>
        </w:rPr>
        <w:t xml:space="preserve">Г-н Эсану </w:t>
      </w:r>
      <w:r>
        <w:t>(Республика Молдова) поясняет, что по причине выходного дня в Кишиневе ему не удалось получить все данные, в частности статистич</w:t>
      </w:r>
      <w:r>
        <w:t>е</w:t>
      </w:r>
      <w:r>
        <w:t>ские сведения, запрошенные на предыдущем заседании; он проследит за тем, чтобы они поступили в Комитет в ближайшее время. Тем не менее согласно имеющейся в его распоряжении информации он готов сообщить, что число д</w:t>
      </w:r>
      <w:r>
        <w:t>е</w:t>
      </w:r>
      <w:r>
        <w:t>путатов-женщин в настоящее время достигло 25 при общей численности деп</w:t>
      </w:r>
      <w:r>
        <w:t>у</w:t>
      </w:r>
      <w:r>
        <w:t xml:space="preserve">татского корпуса в 101 человека, таким образом, на женщин приходится </w:t>
      </w:r>
      <w:r>
        <w:br/>
        <w:t xml:space="preserve">25% парламентариев. Что касается упомянутого на предыдущем заседании </w:t>
      </w:r>
      <w:r>
        <w:br/>
        <w:t>вопроса о девушке, подвергающейся преследованию за совершение аборта, то следует указать, что преждевременное прерывание беременности в Республике Молдова допускается законом и что общественное мнение не настроено против него. По всей видимости, в данном случае речь идет о девушке, которая была осуждена за совершение детоубийства, поскольку аборт был совершен на вес</w:t>
      </w:r>
      <w:r>
        <w:t>ь</w:t>
      </w:r>
      <w:r>
        <w:t>ма поздней стадии береме</w:t>
      </w:r>
      <w:r>
        <w:t>н</w:t>
      </w:r>
      <w:r>
        <w:t>ности.</w:t>
      </w:r>
    </w:p>
    <w:p w:rsidR="00000000" w:rsidRDefault="00000000">
      <w:pPr>
        <w:pStyle w:val="SingleTxtGR"/>
      </w:pPr>
      <w:r>
        <w:t>3.</w:t>
      </w:r>
      <w:r>
        <w:tab/>
        <w:t>Принимаются меры для совершенствования работы правозащитных у</w:t>
      </w:r>
      <w:r>
        <w:t>ч</w:t>
      </w:r>
      <w:r>
        <w:t>реждени</w:t>
      </w:r>
      <w:r>
        <w:t>й</w:t>
      </w:r>
      <w:r>
        <w:t>, парламентских защитников и Центра по правам человека. Делегация не располагает точными цифрами ни о количестве жалоб и петиций, которые поступили в адрес парламентского защитника, ни о числе проведенных им ра</w:t>
      </w:r>
      <w:r>
        <w:t>с</w:t>
      </w:r>
      <w:r>
        <w:t>следований, но может предполагать, что в большинстве случаев жалобы кас</w:t>
      </w:r>
      <w:r>
        <w:t>а</w:t>
      </w:r>
      <w:r>
        <w:t>ются скорее сути, чем законности принятых судебными орг</w:t>
      </w:r>
      <w:r>
        <w:t>а</w:t>
      </w:r>
      <w:r>
        <w:t>нами решений.</w:t>
      </w:r>
    </w:p>
    <w:p w:rsidR="00000000" w:rsidRDefault="00000000">
      <w:pPr>
        <w:pStyle w:val="SingleTxtGR"/>
      </w:pPr>
      <w:r>
        <w:t>4.</w:t>
      </w:r>
      <w:r>
        <w:tab/>
        <w:t>Что касается подготовки сотрудников полиции и пенитенциарной сист</w:t>
      </w:r>
      <w:r>
        <w:t>е</w:t>
      </w:r>
      <w:r>
        <w:t>мы, медицинских работников или даже школьников по вопросам репродукти</w:t>
      </w:r>
      <w:r>
        <w:t>в</w:t>
      </w:r>
      <w:r>
        <w:t>ного здоровья, то Министерство образования в настоящее время реализует с</w:t>
      </w:r>
      <w:r>
        <w:t>о</w:t>
      </w:r>
      <w:r>
        <w:t>держание программы, преподаваемой в координации с организациями гражда</w:t>
      </w:r>
      <w:r>
        <w:t>н</w:t>
      </w:r>
      <w:r>
        <w:t>ского общества; любые замечания, высказанные Комитетом, будут приняты во внимание. Что касается повышения уровня знаний магистратов и сотрудников полиции, то соответствующие учебные программы будут доработаны с учетом замечаний Комитета, с тем чтобы в них были всесторонне охвачены все аспе</w:t>
      </w:r>
      <w:r>
        <w:t>к</w:t>
      </w:r>
      <w:r>
        <w:t>ты, касающиеся защиты прав челов</w:t>
      </w:r>
      <w:r>
        <w:t>е</w:t>
      </w:r>
      <w:r>
        <w:t>ка.</w:t>
      </w:r>
    </w:p>
    <w:p w:rsidR="00000000" w:rsidRDefault="00000000">
      <w:pPr>
        <w:pStyle w:val="SingleTxtGR"/>
      </w:pPr>
      <w:r>
        <w:t>5.</w:t>
      </w:r>
      <w:r>
        <w:tab/>
        <w:t>Проблема торговли людьми тесно связана с проблемой приднестровского конфликта, ввиду того что Республика Молдова не контролирует самопрово</w:t>
      </w:r>
      <w:r>
        <w:t>з</w:t>
      </w:r>
      <w:r>
        <w:t>глашенную Приднестровскую республику и представители судебных органов не имеют в нее доступа. В настоящее время благодаря размещению при соде</w:t>
      </w:r>
      <w:r>
        <w:t>й</w:t>
      </w:r>
      <w:r>
        <w:t>ствии Европейского союза в 2005 году миссии по оказанию помощи на границе между Республикой Молдова и Украиной обеспечен контроль над границей м</w:t>
      </w:r>
      <w:r>
        <w:t>е</w:t>
      </w:r>
      <w:r>
        <w:t>жду Приднестровьем и Украиной, что позволяет в определенной степени во</w:t>
      </w:r>
      <w:r>
        <w:t>с</w:t>
      </w:r>
      <w:r>
        <w:t>препятствовать торговле людьми через территорию Молдовы. В принципе все проекты по оказанию гуманитарной помощи, выполняемые Республикой Мо</w:t>
      </w:r>
      <w:r>
        <w:t>л</w:t>
      </w:r>
      <w:r>
        <w:t>дова в партнерстве с международными организациями, ориентированы на лиц, проживающих в Приднестровье (услуги в сфере здравоохранения, образов</w:t>
      </w:r>
      <w:r>
        <w:t>а</w:t>
      </w:r>
      <w:r>
        <w:t>ния и т.д.).</w:t>
      </w:r>
    </w:p>
    <w:p w:rsidR="00000000" w:rsidRDefault="00000000">
      <w:pPr>
        <w:pStyle w:val="SingleTxtGR"/>
      </w:pPr>
      <w:r>
        <w:t>6.</w:t>
      </w:r>
      <w:r>
        <w:tab/>
      </w:r>
      <w:r>
        <w:rPr>
          <w:b/>
        </w:rPr>
        <w:t>Г-н Русу</w:t>
      </w:r>
      <w:r>
        <w:t xml:space="preserve"> (Республика Молдова) поясняет, что наиболее распространенная форма эксплуатации − это торговля людьми в целях принуждения к занятию проституцией или оказанию сексуальных услуг, при этом на торговлю людьми с целью экономической или трудовой эксплуатации приходится не более 20% случаев. Большинство жертв составляют женщины, в то время как мужч</w:t>
      </w:r>
      <w:r>
        <w:t>и</w:t>
      </w:r>
      <w:r>
        <w:t>ны и дети − не более 10−15%. Что касается ликвидации 36 сетей, занима</w:t>
      </w:r>
      <w:r>
        <w:t>в</w:t>
      </w:r>
      <w:r>
        <w:t>шихся торговлей людьми, о которой шла речь, то следует указать, что в состав пр</w:t>
      </w:r>
      <w:r>
        <w:t>е</w:t>
      </w:r>
      <w:r>
        <w:t>ступных организаций, из которых состояли эти сети, входили не только гражд</w:t>
      </w:r>
      <w:r>
        <w:t>а</w:t>
      </w:r>
      <w:r>
        <w:t>не Молдовы, но и граждане стран назначения (Турция, страны бывшей Югосл</w:t>
      </w:r>
      <w:r>
        <w:t>а</w:t>
      </w:r>
      <w:r>
        <w:t>вии, такие как Косово или Македония, Российская Федерация, Италия, Объед</w:t>
      </w:r>
      <w:r>
        <w:t>и</w:t>
      </w:r>
      <w:r>
        <w:t>ненные Арабские Эмираты и, скорее в целях экономической эксплуатации, И</w:t>
      </w:r>
      <w:r>
        <w:t>с</w:t>
      </w:r>
      <w:r>
        <w:t>пания и Португалия). По имеющимся расчетам, около 50% жертв этой то</w:t>
      </w:r>
      <w:r>
        <w:t>р</w:t>
      </w:r>
      <w:r>
        <w:t>говли составляют лица в возрасте 18−25 лет и 30% в во</w:t>
      </w:r>
      <w:r>
        <w:t>з</w:t>
      </w:r>
      <w:r>
        <w:t>расте 26−40 лет.</w:t>
      </w:r>
    </w:p>
    <w:p w:rsidR="00000000" w:rsidRDefault="00000000">
      <w:pPr>
        <w:pStyle w:val="SingleTxtGR"/>
      </w:pPr>
      <w:r>
        <w:t>7.</w:t>
      </w:r>
      <w:r>
        <w:tab/>
        <w:t>Что касается сроков принятия законопроекта о борьбе с дискриминацией, то без положений о дискриминации по признаку сексуальной ориентации пр</w:t>
      </w:r>
      <w:r>
        <w:t>о</w:t>
      </w:r>
      <w:r>
        <w:t>ект, по всей видимости, мог бы быть утвержден в самые кратчайшие сроки, но ввиду того, что возможность изъятия этих положений исключена, принятие з</w:t>
      </w:r>
      <w:r>
        <w:t>а</w:t>
      </w:r>
      <w:r>
        <w:t>конопроекта, возможно, задержится. Вопрос о дискриминации в Республике Молдова не носит острого характера, поскольку страна унаследовала от Сове</w:t>
      </w:r>
      <w:r>
        <w:t>т</w:t>
      </w:r>
      <w:r>
        <w:t>ского Союза принцип равенства мужчин и женщин или меньшинств. В сове</w:t>
      </w:r>
      <w:r>
        <w:t>т</w:t>
      </w:r>
      <w:r>
        <w:t>скую эпоху истории страны, конечно, допускались нарушения многих прав ч</w:t>
      </w:r>
      <w:r>
        <w:t>е</w:t>
      </w:r>
      <w:r>
        <w:t>ловека, но равенство мужчин и женщин, независимо от национальной прина</w:t>
      </w:r>
      <w:r>
        <w:t>д</w:t>
      </w:r>
      <w:r>
        <w:t xml:space="preserve">лежности, соблюдалось. Несколько поколений граждан выросли в обстановке уважительного отношения к принципу </w:t>
      </w:r>
      <w:proofErr w:type="spellStart"/>
      <w:r>
        <w:t>недискриминации</w:t>
      </w:r>
      <w:proofErr w:type="spellEnd"/>
      <w:r>
        <w:t>. Цыгане, несомненно, сталкиваются с трудностями, однако эти трудности не всегда связаны с дискр</w:t>
      </w:r>
      <w:r>
        <w:t>и</w:t>
      </w:r>
      <w:r>
        <w:t>минацией. Необходимо проводить разграничение между проявлениями дискр</w:t>
      </w:r>
      <w:r>
        <w:t>и</w:t>
      </w:r>
      <w:r>
        <w:t>минации, с которыми необходимо бороться, и фактами проявления насилия, жертвами которого становятся как представители меньшинств, так и молдаване. Необходимо прилагать усилия для борьбы с проявлениями насилия, для чего требуется не выделение особых финансовых ресурсов, а строгое соблюдение всеми законности.</w:t>
      </w:r>
    </w:p>
    <w:p w:rsidR="00000000" w:rsidRDefault="00000000">
      <w:pPr>
        <w:pStyle w:val="SingleTxtGR"/>
      </w:pPr>
      <w:r>
        <w:t>8.</w:t>
      </w:r>
      <w:r>
        <w:tab/>
        <w:t xml:space="preserve">Г-н </w:t>
      </w:r>
      <w:proofErr w:type="spellStart"/>
      <w:r>
        <w:t>Русу</w:t>
      </w:r>
      <w:proofErr w:type="spellEnd"/>
      <w:r>
        <w:t xml:space="preserve"> (Республика Молдова) говорит, что за последние три года было возбуждено три уголовных дела по факту подстрекательства к ненависти, но ни по одному из них не удалось установить наличия элемента дискриминации: п</w:t>
      </w:r>
      <w:r>
        <w:t>о</w:t>
      </w:r>
      <w:r>
        <w:t xml:space="preserve">этому ни одно из этих дел не было передано в суд. Были организованы курсы по обучению сотрудников полиции и прокуратуры с целью формирования у них навыков выявления фактов дискриминации и подстрекательства к ненависти. </w:t>
      </w:r>
    </w:p>
    <w:p w:rsidR="00000000" w:rsidRDefault="00000000">
      <w:pPr>
        <w:pStyle w:val="SingleTxtGR"/>
      </w:pPr>
      <w:r>
        <w:t>9.</w:t>
      </w:r>
      <w:r>
        <w:tab/>
      </w:r>
      <w:r>
        <w:rPr>
          <w:b/>
        </w:rPr>
        <w:t>Председатель</w:t>
      </w:r>
      <w:r>
        <w:t xml:space="preserve"> благодарит делегацию Молдовы и интересуется, нет ли у членов Комитета других вопросов.</w:t>
      </w:r>
    </w:p>
    <w:p w:rsidR="00000000" w:rsidRDefault="00000000">
      <w:pPr>
        <w:pStyle w:val="SingleTxtGR"/>
      </w:pPr>
      <w:r>
        <w:t>10.</w:t>
      </w:r>
      <w:r>
        <w:tab/>
      </w:r>
      <w:r>
        <w:rPr>
          <w:b/>
        </w:rPr>
        <w:t xml:space="preserve">Сэр Найджел </w:t>
      </w:r>
      <w:proofErr w:type="spellStart"/>
      <w:r>
        <w:rPr>
          <w:b/>
        </w:rPr>
        <w:t>Родли</w:t>
      </w:r>
      <w:proofErr w:type="spellEnd"/>
      <w:r>
        <w:t xml:space="preserve"> задает вопрос о том, как применяется недавно пр</w:t>
      </w:r>
      <w:r>
        <w:t>и</w:t>
      </w:r>
      <w:r>
        <w:t>нятый закон о терроризме, и просит привести конкретные примеры. Ему было приятно услышать, что работники прокуратуры ежедневно посещают места лишения свободы, однако с учетом того, что жалобы на плохое обращение не убывают, он хотел бы знать, в чем конкретно состоят эти посещения. Он также просит дать пояснения относительно Национального механизма по предупре</w:t>
      </w:r>
      <w:r>
        <w:t>ж</w:t>
      </w:r>
      <w:r>
        <w:t>дению пыток и методов подбора его членов. Ему хотелось бы также знать спр</w:t>
      </w:r>
      <w:r>
        <w:t>а</w:t>
      </w:r>
      <w:r>
        <w:t>ведливость утверждения, что парламентский защитник, возглавляющий этот механизм, который, согласно имеющейся у него информации, в прошлом был прокурором, руководит также Центром по правам человека. Он далее спраш</w:t>
      </w:r>
      <w:r>
        <w:t>и</w:t>
      </w:r>
      <w:r>
        <w:t>вает, кто назначает Консультативный совет и каковы его полномочия по отн</w:t>
      </w:r>
      <w:r>
        <w:t>о</w:t>
      </w:r>
      <w:r>
        <w:t>шению к четырем парламентским защитникам.</w:t>
      </w:r>
    </w:p>
    <w:p w:rsidR="00000000" w:rsidRDefault="00000000">
      <w:pPr>
        <w:pStyle w:val="SingleTxtGR"/>
      </w:pPr>
      <w:r>
        <w:t>11.</w:t>
      </w:r>
      <w:r>
        <w:tab/>
      </w:r>
      <w:r>
        <w:rPr>
          <w:b/>
        </w:rPr>
        <w:t xml:space="preserve">Г-жа </w:t>
      </w:r>
      <w:proofErr w:type="spellStart"/>
      <w:r>
        <w:rPr>
          <w:b/>
        </w:rPr>
        <w:t>Келлер</w:t>
      </w:r>
      <w:proofErr w:type="spellEnd"/>
      <w:r>
        <w:t xml:space="preserve"> говорит, что она принимает к сведению тот факт, что по в</w:t>
      </w:r>
      <w:r>
        <w:t>о</w:t>
      </w:r>
      <w:r>
        <w:t>просу абортов предполагается представление дополнительной информации в письменной форме, и задает вопрос, принимаются ли профилактические меры с целью недопущения случаев принуждения женщины к аборту со стороны ее социального окружения.</w:t>
      </w:r>
    </w:p>
    <w:p w:rsidR="00000000" w:rsidRDefault="00000000">
      <w:pPr>
        <w:pStyle w:val="SingleTxtGR"/>
      </w:pPr>
      <w:r>
        <w:t>12.</w:t>
      </w:r>
      <w:r>
        <w:tab/>
      </w:r>
      <w:r>
        <w:rPr>
          <w:b/>
        </w:rPr>
        <w:t xml:space="preserve">Г-н </w:t>
      </w:r>
      <w:proofErr w:type="spellStart"/>
      <w:r>
        <w:rPr>
          <w:b/>
        </w:rPr>
        <w:t>Сальвиоли</w:t>
      </w:r>
      <w:proofErr w:type="spellEnd"/>
      <w:r>
        <w:t xml:space="preserve"> просит дать разъяснение относительно законопроекта о борьбе с дискриминацией и интересуется тем, учла ли Республика Молдова р</w:t>
      </w:r>
      <w:r>
        <w:t>е</w:t>
      </w:r>
      <w:r>
        <w:t>комендации, вынесенные представителями Управления Верховного комиссара в июле 2009 года. С заявлениями о существовании проблем дискриминации в</w:t>
      </w:r>
      <w:r>
        <w:t>ы</w:t>
      </w:r>
      <w:r>
        <w:t>ступают не только представители гражданского общества, но и межправител</w:t>
      </w:r>
      <w:r>
        <w:t>ь</w:t>
      </w:r>
      <w:r>
        <w:t xml:space="preserve">ственные органы, такие как Европейская комиссия против расизма, Комитет Организации Объединенных Наций по ликвидации расовой дискриминации или даже Программа развития Организации Объединенных Наций. </w:t>
      </w:r>
    </w:p>
    <w:p w:rsidR="00000000" w:rsidRDefault="00000000">
      <w:pPr>
        <w:pStyle w:val="SingleTxtGR"/>
      </w:pPr>
      <w:r>
        <w:t>13.</w:t>
      </w:r>
      <w:r>
        <w:tab/>
      </w:r>
      <w:r>
        <w:rPr>
          <w:b/>
        </w:rPr>
        <w:t xml:space="preserve">Г-н </w:t>
      </w:r>
      <w:proofErr w:type="spellStart"/>
      <w:r>
        <w:rPr>
          <w:b/>
        </w:rPr>
        <w:t>Эсану</w:t>
      </w:r>
      <w:proofErr w:type="spellEnd"/>
      <w:r>
        <w:rPr>
          <w:b/>
        </w:rPr>
        <w:t xml:space="preserve"> </w:t>
      </w:r>
      <w:r>
        <w:t>(Республика Молдова) поясняет, что еще не было возбуждено ни одного дела на основе закона о терроризме. В обязанности прокуроров вм</w:t>
      </w:r>
      <w:r>
        <w:t>е</w:t>
      </w:r>
      <w:r>
        <w:t>няется инспектирование следственных изоляторов. Этот вопрос неоднократно обсуждался и должен быть повторно рассмотрен. Уже принимаются меры во избежание конфликта интересов; так, например, инспектирование мест закл</w:t>
      </w:r>
      <w:r>
        <w:t>ю</w:t>
      </w:r>
      <w:r>
        <w:t>чения производится теми работниками прокуратуры, которые не занимаются следствием по делу.</w:t>
      </w:r>
    </w:p>
    <w:p w:rsidR="00000000" w:rsidRDefault="00000000">
      <w:pPr>
        <w:pStyle w:val="SingleTxtGR"/>
      </w:pPr>
      <w:r>
        <w:t>14.</w:t>
      </w:r>
      <w:r>
        <w:tab/>
      </w:r>
      <w:r>
        <w:rPr>
          <w:b/>
        </w:rPr>
        <w:t xml:space="preserve">Г-н </w:t>
      </w:r>
      <w:proofErr w:type="spellStart"/>
      <w:r>
        <w:rPr>
          <w:b/>
        </w:rPr>
        <w:t>Русу</w:t>
      </w:r>
      <w:proofErr w:type="spellEnd"/>
      <w:r>
        <w:t xml:space="preserve"> (Республика Молдова) добавляет, что, будучи прокурором с </w:t>
      </w:r>
      <w:proofErr w:type="spellStart"/>
      <w:r>
        <w:t>25</w:t>
      </w:r>
      <w:r>
        <w:noBreakHyphen/>
        <w:t>летним</w:t>
      </w:r>
      <w:proofErr w:type="spellEnd"/>
      <w:r>
        <w:t xml:space="preserve"> стажем, он может подтвердить, что инспектирование мест заключ</w:t>
      </w:r>
      <w:r>
        <w:t>е</w:t>
      </w:r>
      <w:r>
        <w:t>ния является очень серьезным делом. Сотрудникам прокуратуры вменяется в обязанность посещать следственные изоляторы в ведении полиции, интерес</w:t>
      </w:r>
      <w:r>
        <w:t>о</w:t>
      </w:r>
      <w:r>
        <w:t>ваться участью задержанных, проводить с ними собеседования и проверку з</w:t>
      </w:r>
      <w:r>
        <w:t>а</w:t>
      </w:r>
      <w:r>
        <w:t>явлений, на основании которых лица были взяты под стражу. Проводится и</w:t>
      </w:r>
      <w:r>
        <w:t>н</w:t>
      </w:r>
      <w:r>
        <w:t>спектирование камер на предмет выявления лиц, задержанных без санкции прокурора. Сотрудник прокуратуры представляет рапорт вышестоящему н</w:t>
      </w:r>
      <w:r>
        <w:t>а</w:t>
      </w:r>
      <w:r>
        <w:t xml:space="preserve">чальству и сигнализирует о фактах незаконного задержания. </w:t>
      </w:r>
    </w:p>
    <w:p w:rsidR="00000000" w:rsidRDefault="00000000">
      <w:pPr>
        <w:pStyle w:val="SingleTxtGR"/>
      </w:pPr>
      <w:r>
        <w:t>15.</w:t>
      </w:r>
      <w:r>
        <w:tab/>
      </w:r>
      <w:r>
        <w:rPr>
          <w:b/>
        </w:rPr>
        <w:t xml:space="preserve">Г-н </w:t>
      </w:r>
      <w:proofErr w:type="spellStart"/>
      <w:r>
        <w:rPr>
          <w:b/>
        </w:rPr>
        <w:t>Эсану</w:t>
      </w:r>
      <w:proofErr w:type="spellEnd"/>
      <w:r>
        <w:t xml:space="preserve"> (Республика Молдова) говорит, что в настоящее время в сле</w:t>
      </w:r>
      <w:r>
        <w:t>д</w:t>
      </w:r>
      <w:r>
        <w:t>ственных изоляторах находится 170 человек, из которых 24 ожидают решения суда. Этот показатель значительно снизился после достижения в 2007 году с Министерством внутренних дел договоренности о том, что лица, содержащиеся под стражей в ожидании решения суда, переводятся в пенитенциарные учре</w:t>
      </w:r>
      <w:r>
        <w:t>ж</w:t>
      </w:r>
      <w:r>
        <w:t>дения. Число лиц, содержащихся в пенитенциарных учреждениях в ожидании решения суда, в 2006 году составляло 2 456, а в 2007 году − 2 472; в результате принятых мер этот показатель в 2008 году снизился до 1 374 человек, что с</w:t>
      </w:r>
      <w:r>
        <w:t>о</w:t>
      </w:r>
      <w:r>
        <w:t>ставляет сокращение на 50%, а в начале 2009 года до 1 360 человек, причем в настоящее время этот показатель не превышает 1 121 человека. Налицо пол</w:t>
      </w:r>
      <w:r>
        <w:t>о</w:t>
      </w:r>
      <w:r>
        <w:t>жительная динамика.</w:t>
      </w:r>
    </w:p>
    <w:p w:rsidR="00000000" w:rsidRDefault="00000000">
      <w:pPr>
        <w:pStyle w:val="SingleTxtGR"/>
      </w:pPr>
      <w:r>
        <w:t>16.</w:t>
      </w:r>
      <w:r>
        <w:tab/>
        <w:t>Директором Национального механизма по предупреждению нарушений прав человека действительно является парламентский защитник, в прошлом прокурор, который был назначен на эту должность парламентом с соблюдением норм законности. Один из парламентских защитников, возможно, в прошлом занимался защитой прав человека. Его кандидатура вызвала определенные во</w:t>
      </w:r>
      <w:r>
        <w:t>з</w:t>
      </w:r>
      <w:r>
        <w:t xml:space="preserve">ражения со стороны оппозиции и некоторых организаций, однако было сочтено, что он не принимал участия в расследованиях, поскольку в рамках исполнения функций прокурора он занимался отстаиванием прав человека. Выступающий не располагает информацией о функциях Центра по правам человека. </w:t>
      </w:r>
      <w:r>
        <w:br/>
        <w:t xml:space="preserve">Национальный механизм по предупреждению пыток имеет в своем составе парламентских защитников и сотрудников Центра по правам человека. </w:t>
      </w:r>
      <w:r>
        <w:br/>
        <w:t>Консультативный совет − это орган, состоящий из представителей обществе</w:t>
      </w:r>
      <w:r>
        <w:t>н</w:t>
      </w:r>
      <w:r>
        <w:t>ных организаций. Он был учрежден парламентом по предложению парламен</w:t>
      </w:r>
      <w:r>
        <w:t>т</w:t>
      </w:r>
      <w:r>
        <w:t>ской комиссии по правам человека. Члены Консультативного совета действуют автономно и независимо от парламентских защитников; они могут инспектир</w:t>
      </w:r>
      <w:r>
        <w:t>о</w:t>
      </w:r>
      <w:r>
        <w:t>вать пенитенциарные учреждения, готовить по ним отчеты и представлять их в соответствующие инстанции с целью принятия мер в случае обнаружения н</w:t>
      </w:r>
      <w:r>
        <w:t>а</w:t>
      </w:r>
      <w:r>
        <w:t>рушений основных прав человека.</w:t>
      </w:r>
    </w:p>
    <w:p w:rsidR="00000000" w:rsidRDefault="00000000">
      <w:pPr>
        <w:pStyle w:val="SingleTxtGR"/>
      </w:pPr>
      <w:r>
        <w:t>17.</w:t>
      </w:r>
      <w:r>
        <w:tab/>
        <w:t>Определенные рекомендации, сформулированные Управлением Верхо</w:t>
      </w:r>
      <w:r>
        <w:t>в</w:t>
      </w:r>
      <w:r>
        <w:t>ного комиссара относительно законопроекта о борьбе с дискриминацией, были включены в текст законопроекта, а другие нет. Например, рекомендация о со</w:t>
      </w:r>
      <w:r>
        <w:t>з</w:t>
      </w:r>
      <w:r>
        <w:t>дании механизма, конкретно занимающегося вопросами дискриминации, не была принята, поскольку было сочтено более целесообразным сосредоточить усилия на укреплении уже существующих институтов, таких как Центр по пр</w:t>
      </w:r>
      <w:r>
        <w:t>а</w:t>
      </w:r>
      <w:r>
        <w:t>вам человека и парламентские защитники, через наделение их достаточными людскими и финансовыми ресурсами с целью эффективного выполнения своих задач по защите прав человека. Представители гражданского общества, которые приняли участие в консультациях по законопроекту, могут подтвердить, что со стороны властей была проявлена готовность к диалогу на протяжении всего процесса. Среди общественности продолжается дискуссия по таким вопросам, как дискриминация по признаку сексуальной ориентации, и, прежде чем будет принято решение, состоится не одна дискуссия с изложением позиций всех з</w:t>
      </w:r>
      <w:r>
        <w:t>а</w:t>
      </w:r>
      <w:r>
        <w:t xml:space="preserve">интересованных сторон и их должным учетом. </w:t>
      </w:r>
    </w:p>
    <w:p w:rsidR="00000000" w:rsidRDefault="00000000">
      <w:pPr>
        <w:pStyle w:val="SingleTxtGR"/>
      </w:pPr>
      <w:r>
        <w:t>18.</w:t>
      </w:r>
      <w:r>
        <w:tab/>
        <w:t>Закон запрещает оказание на женщину давления с целью совершению ею аборта. Позднее в письменной форме могут быть приведены примеры конкре</w:t>
      </w:r>
      <w:r>
        <w:t>т</w:t>
      </w:r>
      <w:r>
        <w:t>ных мер для защиты женщин от такого давления.</w:t>
      </w:r>
    </w:p>
    <w:p w:rsidR="00000000" w:rsidRDefault="00000000">
      <w:pPr>
        <w:pStyle w:val="SingleTxtGR"/>
      </w:pPr>
      <w:r>
        <w:t>19.</w:t>
      </w:r>
      <w:r>
        <w:tab/>
      </w:r>
      <w:r>
        <w:rPr>
          <w:b/>
        </w:rPr>
        <w:t>Председатель</w:t>
      </w:r>
      <w:r>
        <w:t xml:space="preserve"> благодарит делегацию за ответы на дополнительные в</w:t>
      </w:r>
      <w:r>
        <w:t>о</w:t>
      </w:r>
      <w:r>
        <w:t>просы со стороны членов Комитета и предлагает ответить на вопросы 13−24 из перечня вопросов, подлежащих рассмотрению.</w:t>
      </w:r>
    </w:p>
    <w:p w:rsidR="00000000" w:rsidRDefault="00000000">
      <w:pPr>
        <w:pStyle w:val="SingleTxtGR"/>
      </w:pPr>
      <w:r>
        <w:t>20.</w:t>
      </w:r>
      <w:r>
        <w:tab/>
      </w:r>
      <w:r>
        <w:rPr>
          <w:b/>
        </w:rPr>
        <w:t xml:space="preserve">Г-н </w:t>
      </w:r>
      <w:proofErr w:type="spellStart"/>
      <w:r>
        <w:rPr>
          <w:b/>
        </w:rPr>
        <w:t>Эсану</w:t>
      </w:r>
      <w:proofErr w:type="spellEnd"/>
      <w:r>
        <w:t xml:space="preserve"> (Республика Молдова) говорит, что закон гарантирует лицам, взятым под стражу, право на общение с адвокатом с момента своего ареста или, если они не располагают средствами для оплаты услуг адвоката, на безвозмез</w:t>
      </w:r>
      <w:r>
        <w:t>д</w:t>
      </w:r>
      <w:r>
        <w:t>ное пользование услугами адвоката по назначению. Следует все же признать, что на практике полиция не всегда позволяет лицам, взятым под стражу, о</w:t>
      </w:r>
      <w:r>
        <w:t>б</w:t>
      </w:r>
      <w:r>
        <w:t>щаться с адвокатом с момента ареста и что качество услуг, оказываемых адв</w:t>
      </w:r>
      <w:r>
        <w:t>о</w:t>
      </w:r>
      <w:r>
        <w:t>катами по назначению, нередко оставляет желать лучшего. В 2007 году был принят новый закон, призванный усовершенствовать систему юридической п</w:t>
      </w:r>
      <w:r>
        <w:t>о</w:t>
      </w:r>
      <w:r>
        <w:t>мощи, и по инициативе Министерства юстиции был начат процесс критической оценки всего комплекса положений, регламентирующих функционирование системы юридической помощи, с целью определения путей к повышению кач</w:t>
      </w:r>
      <w:r>
        <w:t>е</w:t>
      </w:r>
      <w:r>
        <w:t>ства юридических услуг, в частности путем установления более строгих крит</w:t>
      </w:r>
      <w:r>
        <w:t>е</w:t>
      </w:r>
      <w:r>
        <w:t>риев отбора адвокатов по назначению. По желанию Комитета до его сведения могут быть доведены окончательные предложения Министерства юстиции.</w:t>
      </w:r>
    </w:p>
    <w:p w:rsidR="00000000" w:rsidRDefault="00000000">
      <w:pPr>
        <w:pStyle w:val="SingleTxtGR"/>
      </w:pPr>
      <w:r>
        <w:t>21.</w:t>
      </w:r>
      <w:r>
        <w:tab/>
        <w:t>В учреждениях пенитенциарной системы страны по требованию парл</w:t>
      </w:r>
      <w:r>
        <w:t>а</w:t>
      </w:r>
      <w:r>
        <w:t>мента было проведено обследование с целью определения положения с лицами, содержащимися в них в ожидании приговора. Результаты обследования были проанализированы с целью определения путей к сокращению продолжительн</w:t>
      </w:r>
      <w:r>
        <w:t>о</w:t>
      </w:r>
      <w:r>
        <w:t>сти содержания под стражей в ожидании приговора, и с этой целью были пр</w:t>
      </w:r>
      <w:r>
        <w:t>и</w:t>
      </w:r>
      <w:r>
        <w:t xml:space="preserve">няты соответствующие меры, в частности законодательного характера. Был также усилен судебный надзор над законностью содержания под стражей: обоснованность мотивов содержания под стражей теперь пересматривается </w:t>
      </w:r>
      <w:r>
        <w:br/>
        <w:t xml:space="preserve">судами раз в три месяца и продление срока содержания под стражей сверх </w:t>
      </w:r>
      <w:r>
        <w:br/>
        <w:t>пределов, установленных законом, требует заблаговременной подачи хорошо обоснованного ходатайства на имя Генерального прокурора и получения от него санкции. Даются обещания в ближайшее время представить Комитету в пис</w:t>
      </w:r>
      <w:r>
        <w:t>ь</w:t>
      </w:r>
      <w:r>
        <w:t>менном виде статистические данные о продолжительности содержания под стражей в ожидании приговора.</w:t>
      </w:r>
    </w:p>
    <w:p w:rsidR="00000000" w:rsidRDefault="00000000">
      <w:pPr>
        <w:pStyle w:val="SingleTxtGR"/>
      </w:pPr>
      <w:r>
        <w:t>22.</w:t>
      </w:r>
      <w:r>
        <w:tab/>
        <w:t>Правительство Молдовы прилагает все усилия для улучшения условий содержания в тюрьмах, о чем можно судить на основании данных, предста</w:t>
      </w:r>
      <w:r>
        <w:t>в</w:t>
      </w:r>
      <w:r>
        <w:t>ленных в письменном виде в ответ на вопрос 14. В своем докладе о посещении Республики Молдова в июле 2009 года Европейский комитет по предупрежд</w:t>
      </w:r>
      <w:r>
        <w:t>е</w:t>
      </w:r>
      <w:r>
        <w:t xml:space="preserve">нию пыток признал достижение большого прогресса. Тюрьма № 7 в </w:t>
      </w:r>
      <w:proofErr w:type="spellStart"/>
      <w:r>
        <w:t>Руске</w:t>
      </w:r>
      <w:proofErr w:type="spellEnd"/>
      <w:r>
        <w:t>, к примеру, была капитально отремонтирована и теперь полностью отвечает ме</w:t>
      </w:r>
      <w:r>
        <w:t>ж</w:t>
      </w:r>
      <w:r>
        <w:t>дународным нормам. Тюрьма № 1 в Тараклии была частично отремонтирована, однако запланированные на этот год ремонтные работы пришлось приостан</w:t>
      </w:r>
      <w:r>
        <w:t>о</w:t>
      </w:r>
      <w:r>
        <w:t>вить из-за финансового кризиса. Условия содержания в тюрьме № 13, где с</w:t>
      </w:r>
      <w:r>
        <w:t>о</w:t>
      </w:r>
      <w:r>
        <w:t>держится большое число лиц, ожидающих судебного решения, остаются весьма неудовлетворительными, однако в настоящий момент правительство не расп</w:t>
      </w:r>
      <w:r>
        <w:t>о</w:t>
      </w:r>
      <w:r>
        <w:t>лагает необходимыми средствами для завершения проекта по строительству н</w:t>
      </w:r>
      <w:r>
        <w:t>о</w:t>
      </w:r>
      <w:r>
        <w:t>вой тюрьмы, куда эти лица могли бы быть переведены. Что касается изоляторов при полицейских участках, то Министерство внутренних дел обследовало с</w:t>
      </w:r>
      <w:r>
        <w:t>о</w:t>
      </w:r>
      <w:r>
        <w:t>стояние всех камер предварительного заключения и приняло меры для провед</w:t>
      </w:r>
      <w:r>
        <w:t>е</w:t>
      </w:r>
      <w:r>
        <w:t>ния в них необходимых ремонтных работ. Проблема переполненности тюрем по-прежнему существует, однако имеющиеся статистические сведения показ</w:t>
      </w:r>
      <w:r>
        <w:t>ы</w:t>
      </w:r>
      <w:r>
        <w:t>вают, что число заключенных − как осужденных, так и подследственных − в п</w:t>
      </w:r>
      <w:r>
        <w:t>е</w:t>
      </w:r>
      <w:r>
        <w:t>нитенциарных учреждениях сократилось почти на треть за период с 2006 года по 2009 год и, согласно самым последним сведениям, составляет 6 610 человек. В рамках усилий, прилагаемых для сокращения численности заключенных, был принят закон о внесении поправок в Уголовный кодекс, предусматривающих сокращение продолжительности сроков тюремного заключения за большое число правонарушений, однако прошло еще слишком мало времени, для того чтобы можно было оценить его последствия для численности заключенных. Были значительно увеличены средства, выделяемые из бюджета на деятел</w:t>
      </w:r>
      <w:r>
        <w:t>ь</w:t>
      </w:r>
      <w:r>
        <w:t>ность пенитенциарной системы, и эта сумма в 2009 году составляет порядка 236 млн. лей против 135 млн. лей в 2006 году. Первоначально предусмотренная сумма была еще больше, однако финансовый кризис заставил правительство пересмотреть бюджет в сторону понижения. В период с 2006 года по 2009 год сокращение числа заключенных на фоне роста суммы средств, выделяемых на пенитенциарную систему, позволило в целом добиться явного улучшения усл</w:t>
      </w:r>
      <w:r>
        <w:t>о</w:t>
      </w:r>
      <w:r>
        <w:t>вий содержания под стражей. Правительство отдает себе отчет в том, что вп</w:t>
      </w:r>
      <w:r>
        <w:t>е</w:t>
      </w:r>
      <w:r>
        <w:t>реди еще немало работы и ему потребуется больше средств для успешной ли</w:t>
      </w:r>
      <w:r>
        <w:t>к</w:t>
      </w:r>
      <w:r>
        <w:t>видации еще остающихся пр</w:t>
      </w:r>
      <w:r>
        <w:t>о</w:t>
      </w:r>
      <w:r>
        <w:t>блем, в первую очередь для строительства новых тюрем, но оно полно решимости сделать все необходимое для реализации п</w:t>
      </w:r>
      <w:r>
        <w:t>о</w:t>
      </w:r>
      <w:r>
        <w:t>ставленной задачи.</w:t>
      </w:r>
    </w:p>
    <w:p w:rsidR="00000000" w:rsidRDefault="00000000">
      <w:pPr>
        <w:pStyle w:val="SingleTxtGR"/>
      </w:pPr>
      <w:r>
        <w:t>23.</w:t>
      </w:r>
      <w:r>
        <w:tab/>
        <w:t>Правительство разделяет озабоченность Комитета по поводу тех сложн</w:t>
      </w:r>
      <w:r>
        <w:t>о</w:t>
      </w:r>
      <w:r>
        <w:t>стей, которые мешают нормальному ходу отправления правосудия. Ведется реализация насыщенного плана мероприятий по реформированию судебной системы, о некоторых из которых уже говорилось ранее, например постепенное закрытие судов по делам об экономических преступлениях и военных трибун</w:t>
      </w:r>
      <w:r>
        <w:t>а</w:t>
      </w:r>
      <w:r>
        <w:t>лов и передача их компетенции обычным судам и реформа Высшего совета по делам магистратуры. Другие вопросы по-прежнему находятся в процессе обс</w:t>
      </w:r>
      <w:r>
        <w:t>у</w:t>
      </w:r>
      <w:r>
        <w:t>ждения, например срок начальных полномочий судей до их пожизненного н</w:t>
      </w:r>
      <w:r>
        <w:t>а</w:t>
      </w:r>
      <w:r>
        <w:t>значения: одни хотели бы, чтобы он был сокращен с пяти до трех лет, тогда как другие ратуют за его полную и безоговорочную отмену. Планируется также внести поправки в законодательство, с тем чтобы гарантировать исполнение с</w:t>
      </w:r>
      <w:r>
        <w:t>у</w:t>
      </w:r>
      <w:r>
        <w:t xml:space="preserve">дебных решений. </w:t>
      </w:r>
    </w:p>
    <w:p w:rsidR="00000000" w:rsidRDefault="00000000">
      <w:pPr>
        <w:pStyle w:val="SingleTxtGR"/>
      </w:pPr>
      <w:r>
        <w:t>24.</w:t>
      </w:r>
      <w:r>
        <w:tab/>
      </w:r>
      <w:r>
        <w:rPr>
          <w:b/>
        </w:rPr>
        <w:t xml:space="preserve">Г-н </w:t>
      </w:r>
      <w:proofErr w:type="spellStart"/>
      <w:r>
        <w:rPr>
          <w:b/>
        </w:rPr>
        <w:t>Русу</w:t>
      </w:r>
      <w:proofErr w:type="spellEnd"/>
      <w:r>
        <w:t xml:space="preserve"> (Республика Молдова) говорит, что правительство в партнерстве с </w:t>
      </w:r>
      <w:proofErr w:type="spellStart"/>
      <w:r>
        <w:t>ЮНИСЕФ</w:t>
      </w:r>
      <w:proofErr w:type="spellEnd"/>
      <w:r>
        <w:t xml:space="preserve"> работает над реформой правосудия по делам несовершеннолетних. Последние три года акцент делается на альтернативных лишению свободы н</w:t>
      </w:r>
      <w:r>
        <w:t>а</w:t>
      </w:r>
      <w:r>
        <w:t>казаниях, таких как направление несовершеннолетних правонарушителей в специализированные воспитательные центры. С 2007 года уголовные дела н</w:t>
      </w:r>
      <w:r>
        <w:t>е</w:t>
      </w:r>
      <w:r>
        <w:t>совершеннолетних находятся в исключительной компетенции прокуратуры, и ее сотрудники получают специальную подготовку для работы с делами о пр</w:t>
      </w:r>
      <w:r>
        <w:t>а</w:t>
      </w:r>
      <w:r>
        <w:t>вонарушениях, совершаемых несовершеннолетними. Взятие под стражу нес</w:t>
      </w:r>
      <w:r>
        <w:t>о</w:t>
      </w:r>
      <w:r>
        <w:t>вершеннолетнего лица не может длиться дольше 24 часов, а временное закл</w:t>
      </w:r>
      <w:r>
        <w:t>ю</w:t>
      </w:r>
      <w:r>
        <w:t>чение − четырех месяцев. Санкция на содержание под стражей несовершенн</w:t>
      </w:r>
      <w:r>
        <w:t>о</w:t>
      </w:r>
      <w:r>
        <w:t>летнего дается лишь для случаев тяжких деликтов с применением насилия, и сроки наказания в форме лишения свободы за те же правонарушения для нес</w:t>
      </w:r>
      <w:r>
        <w:t>о</w:t>
      </w:r>
      <w:r>
        <w:t>вершеннолетних наполовину короче, чем для взрослых. Несовершеннолетние содержатся в специально отведенных для них тюрьмах или тюремных блоках. За период с 2005 года по 2008 год число правонарушений, совершенных нес</w:t>
      </w:r>
      <w:r>
        <w:t>о</w:t>
      </w:r>
      <w:r>
        <w:t xml:space="preserve">вершеннолетними, значительно сократилось. В 85% случаев это хищения. </w:t>
      </w:r>
    </w:p>
    <w:p w:rsidR="00000000" w:rsidRDefault="00000000">
      <w:pPr>
        <w:pStyle w:val="SingleTxtGR"/>
      </w:pPr>
      <w:r>
        <w:t>25.</w:t>
      </w:r>
      <w:r>
        <w:tab/>
      </w:r>
      <w:r>
        <w:rPr>
          <w:b/>
        </w:rPr>
        <w:t xml:space="preserve">Г-н </w:t>
      </w:r>
      <w:proofErr w:type="spellStart"/>
      <w:r>
        <w:rPr>
          <w:b/>
        </w:rPr>
        <w:t>Эсану</w:t>
      </w:r>
      <w:proofErr w:type="spellEnd"/>
      <w:r>
        <w:t xml:space="preserve"> (Республика Молдова) говорит, что число жертв насилия в с</w:t>
      </w:r>
      <w:r>
        <w:t>е</w:t>
      </w:r>
      <w:r>
        <w:t>мье намного превышает вместимость существующих приютов и центров вр</w:t>
      </w:r>
      <w:r>
        <w:t>е</w:t>
      </w:r>
      <w:r>
        <w:t>менного проживания, однако для открытия новых центров необходимы большие средства, которыми правительство, к сожалению, не располагает; это не попы</w:t>
      </w:r>
      <w:r>
        <w:t>т</w:t>
      </w:r>
      <w:r>
        <w:t>ка оправдать сохранение существующего положения, поскольку факт нехватки средств является объективной реальностью, с которой правительству приходи</w:t>
      </w:r>
      <w:r>
        <w:t>т</w:t>
      </w:r>
      <w:r>
        <w:t>ся считаться. Комитет найдет запрашиваемые статистические данные о числе случаев экономической или сексуальной эксплуатации детей, зарегистрирова</w:t>
      </w:r>
      <w:r>
        <w:t>н</w:t>
      </w:r>
      <w:r>
        <w:t>ных в Республике Молдова, в письменных ответах (вопрос 18).</w:t>
      </w:r>
    </w:p>
    <w:p w:rsidR="00000000" w:rsidRDefault="00000000">
      <w:pPr>
        <w:pStyle w:val="SingleTxtGR"/>
      </w:pPr>
      <w:r>
        <w:t>26.</w:t>
      </w:r>
      <w:r>
        <w:tab/>
        <w:t>После принятия в мае 2007 года нового закона о религиях регистрация религиозных групп относится к компетенции Министерства юстиции, а не Г</w:t>
      </w:r>
      <w:r>
        <w:t>о</w:t>
      </w:r>
      <w:r>
        <w:t>сударственной службы по делам религий, которая была упразднена. Министе</w:t>
      </w:r>
      <w:r>
        <w:t>р</w:t>
      </w:r>
      <w:r>
        <w:t>ство юстиции поддерживает постоянный диалог с представителями различных религий по всем касающимся их вопросам. Религиозной группе может быть о</w:t>
      </w:r>
      <w:r>
        <w:t>т</w:t>
      </w:r>
      <w:r>
        <w:t>казано в регистрации в случае несоблюдения всех предписываемых формальн</w:t>
      </w:r>
      <w:r>
        <w:t>о</w:t>
      </w:r>
      <w:r>
        <w:t>стей, например при отсутствии необходимых документов. Недавно по этой пр</w:t>
      </w:r>
      <w:r>
        <w:t>и</w:t>
      </w:r>
      <w:r>
        <w:t>чине было отказано в регистрации мусульманских групп. Закон гарантирует н</w:t>
      </w:r>
      <w:r>
        <w:t>е</w:t>
      </w:r>
      <w:r>
        <w:t>зависимость религиозных групп, но не избавляет при этом от уважения опред</w:t>
      </w:r>
      <w:r>
        <w:t>е</w:t>
      </w:r>
      <w:r>
        <w:t>ленных принципов; однако бывают случаи, когда религиозные группы пытаю</w:t>
      </w:r>
      <w:r>
        <w:t>т</w:t>
      </w:r>
      <w:r>
        <w:t>ся ограничить права своих последователей условиями, которые противоречат законодательству Молдовы. По этой причине Министерство юстиции должно проявлять предельную осмотрительность при работе с заявками на регистр</w:t>
      </w:r>
      <w:r>
        <w:t>а</w:t>
      </w:r>
      <w:r>
        <w:t>цию. С целью еще большей гарантии свободы религии оно подготовило закон</w:t>
      </w:r>
      <w:r>
        <w:t>о</w:t>
      </w:r>
      <w:r>
        <w:t>проект, учитывающий судебную практику Европейского суда по правам челов</w:t>
      </w:r>
      <w:r>
        <w:t>е</w:t>
      </w:r>
      <w:r>
        <w:t>ка, которая предусматривает отмену предусмотренных действующим законод</w:t>
      </w:r>
      <w:r>
        <w:t>а</w:t>
      </w:r>
      <w:r>
        <w:t>тельством санкций в отношении лиц, которые допускают публичное отправл</w:t>
      </w:r>
      <w:r>
        <w:t>е</w:t>
      </w:r>
      <w:r>
        <w:t>ние религиозного культа до его официальной регистрации. Первое чтение пок</w:t>
      </w:r>
      <w:r>
        <w:t>а</w:t>
      </w:r>
      <w:r>
        <w:t>зало наличие в тексте определенных пробелов, которые Министерство юст</w:t>
      </w:r>
      <w:r>
        <w:t>и</w:t>
      </w:r>
      <w:r>
        <w:t xml:space="preserve">ции постарается восполнить. </w:t>
      </w:r>
    </w:p>
    <w:p w:rsidR="00000000" w:rsidRDefault="00000000">
      <w:pPr>
        <w:pStyle w:val="SingleTxtGR"/>
      </w:pPr>
      <w:r>
        <w:t>27.</w:t>
      </w:r>
      <w:r>
        <w:tab/>
        <w:t>Что касается свободы выражения мнения, то большинство законодател</w:t>
      </w:r>
      <w:r>
        <w:t>ь</w:t>
      </w:r>
      <w:r>
        <w:t>ных положений выполняются, но сохраняется все же проблема с выдачей л</w:t>
      </w:r>
      <w:r>
        <w:t>и</w:t>
      </w:r>
      <w:r>
        <w:t xml:space="preserve">цензий на телевизионное вещание. На практике существует расхождение между положениями Кодекса аудиовизуальных средств массовой информации и </w:t>
      </w:r>
      <w:r>
        <w:br/>
        <w:t>па</w:t>
      </w:r>
      <w:r>
        <w:t>р</w:t>
      </w:r>
      <w:r>
        <w:t>ламентского указа, регламентирующего полномочия инстанции, отвечающей за выдачу этих лицензий, в вопросе о том, должны ли такие лицензии выд</w:t>
      </w:r>
      <w:r>
        <w:t>а</w:t>
      </w:r>
      <w:r>
        <w:t>ваться автоматически или на основе конкурса. Конституционному суду было поручено проверить конституционность этого указа, гласящего, что автомат</w:t>
      </w:r>
      <w:r>
        <w:t>и</w:t>
      </w:r>
      <w:r>
        <w:t>ческое продление срока действия лицензии распространяется только на телев</w:t>
      </w:r>
      <w:r>
        <w:t>и</w:t>
      </w:r>
      <w:r>
        <w:t>зионные каналы, которые получили свои лицензии после вступления в силу К</w:t>
      </w:r>
      <w:r>
        <w:t>о</w:t>
      </w:r>
      <w:r>
        <w:t>декса аудиовизуальных средств массовой информации. Однако суд еще не в</w:t>
      </w:r>
      <w:r>
        <w:t>ы</w:t>
      </w:r>
      <w:r>
        <w:t>нес реш</w:t>
      </w:r>
      <w:r>
        <w:t>е</w:t>
      </w:r>
      <w:r>
        <w:t>ния по этому вопросу. Согласно закону, в данном случае оспариваемый текст считается конституционным, и поэтому в настоящее время положения указа являются применимыми. Тем не менее этот вопрос еще не разрешен: К</w:t>
      </w:r>
      <w:r>
        <w:t>о</w:t>
      </w:r>
      <w:r>
        <w:t>декс аудиовизуальных СМИ не содержит явного указания на возможность ко</w:t>
      </w:r>
      <w:r>
        <w:t>н</w:t>
      </w:r>
      <w:r>
        <w:t>курсного отбора, и поэтому не исключено, что в случае рассмотрения этого в</w:t>
      </w:r>
      <w:r>
        <w:t>о</w:t>
      </w:r>
      <w:r>
        <w:t>проса в судебном порядке судебная инстанция потребует от компетентной орг</w:t>
      </w:r>
      <w:r>
        <w:t>а</w:t>
      </w:r>
      <w:r>
        <w:t>низации продления лицензий, не прибегая к конкурсу заявок.</w:t>
      </w:r>
    </w:p>
    <w:p w:rsidR="00000000" w:rsidRDefault="00000000">
      <w:pPr>
        <w:pStyle w:val="SingleTxtGR"/>
      </w:pPr>
      <w:r>
        <w:t>28.</w:t>
      </w:r>
      <w:r>
        <w:tab/>
        <w:t xml:space="preserve">Законодательство Молдовы защищает право лиц из числа меньшинств, и в письменных ответах дается подробная информация о </w:t>
      </w:r>
      <w:proofErr w:type="spellStart"/>
      <w:r>
        <w:t>представленности</w:t>
      </w:r>
      <w:proofErr w:type="spellEnd"/>
      <w:r>
        <w:t xml:space="preserve"> меньшинств в органах государственной власти. В качестве дополнительного примера можно сослаться на тот факт, что одним из вице-спикеров парламента является представитель национального меньшинства. </w:t>
      </w:r>
    </w:p>
    <w:p w:rsidR="00000000" w:rsidRDefault="00000000">
      <w:pPr>
        <w:pStyle w:val="SingleTxtGR"/>
      </w:pPr>
      <w:r>
        <w:t>29.</w:t>
      </w:r>
      <w:r>
        <w:tab/>
        <w:t>Что касается распространения информации о Пакте, то следует указать, что текст Пакта фигурирует в сборнике международных инструментов, ратиф</w:t>
      </w:r>
      <w:r>
        <w:t>и</w:t>
      </w:r>
      <w:r>
        <w:t>цированных Республикой Молдова, который был распространен среди всех о</w:t>
      </w:r>
      <w:r>
        <w:t>р</w:t>
      </w:r>
      <w:r>
        <w:t xml:space="preserve">ганов местного самоуправления и разослан в библиотечные фонды. Он также размещен на официальном </w:t>
      </w:r>
      <w:proofErr w:type="spellStart"/>
      <w:r>
        <w:t>вебсайте</w:t>
      </w:r>
      <w:proofErr w:type="spellEnd"/>
      <w:r>
        <w:t xml:space="preserve"> Министерства юстиции и доступен любому желающему. Кроме того, все законодательные тексты Молдовы доступны пол</w:t>
      </w:r>
      <w:r>
        <w:t>ь</w:t>
      </w:r>
      <w:r>
        <w:t>зователям Интернета на молдавском языке, являющемся официальном, и на русском языке, поскольку, согласно законодательству, законопроекты должны быть переведены на русский язык с целью ознакомления с ними общественн</w:t>
      </w:r>
      <w:r>
        <w:t>о</w:t>
      </w:r>
      <w:r>
        <w:t xml:space="preserve">сти. </w:t>
      </w:r>
    </w:p>
    <w:p w:rsidR="00000000" w:rsidRDefault="00000000">
      <w:pPr>
        <w:pStyle w:val="SingleTxtGR"/>
      </w:pPr>
      <w:r>
        <w:t>30.</w:t>
      </w:r>
      <w:r>
        <w:tab/>
      </w:r>
      <w:r>
        <w:rPr>
          <w:b/>
        </w:rPr>
        <w:t xml:space="preserve">Председатель </w:t>
      </w:r>
      <w:r>
        <w:t>благодарит делегацию Молдовы за представленные ответы и предлагает членам Комитетам задать дополнительные вопросы в рамках в</w:t>
      </w:r>
      <w:r>
        <w:t>о</w:t>
      </w:r>
      <w:r>
        <w:t>просов 13−24 из перечня вопросов, подлежащих рассмотрению.</w:t>
      </w:r>
    </w:p>
    <w:p w:rsidR="00000000" w:rsidRDefault="00000000">
      <w:pPr>
        <w:pStyle w:val="SingleTxtGR"/>
      </w:pPr>
      <w:r>
        <w:t>31.</w:t>
      </w:r>
      <w:r>
        <w:tab/>
      </w:r>
      <w:r>
        <w:rPr>
          <w:b/>
        </w:rPr>
        <w:t xml:space="preserve">Сэр Найджел </w:t>
      </w:r>
      <w:proofErr w:type="spellStart"/>
      <w:r>
        <w:rPr>
          <w:b/>
        </w:rPr>
        <w:t>Родли</w:t>
      </w:r>
      <w:proofErr w:type="spellEnd"/>
      <w:r>
        <w:t xml:space="preserve"> говорит, что ему не совсем понятно, с какого м</w:t>
      </w:r>
      <w:r>
        <w:t>о</w:t>
      </w:r>
      <w:r>
        <w:t>мента у взятого под стражу по подозрению в совершении административного или уголовного правонарушения наступает право на общение с адвокатом. Как следует из письменных ответов, в последнем случае задержанный имеет право на общение с адвокатом "до первого допроса в качестве подозреваемого". Озн</w:t>
      </w:r>
      <w:r>
        <w:t>а</w:t>
      </w:r>
      <w:r>
        <w:t>чает ли это возможность задержания лица, которое необязательно подозревае</w:t>
      </w:r>
      <w:r>
        <w:t>т</w:t>
      </w:r>
      <w:r>
        <w:t>ся в совершении правонарушения, и, следовательно, отказа ему в доступе к у</w:t>
      </w:r>
      <w:r>
        <w:t>с</w:t>
      </w:r>
      <w:r>
        <w:t>лугам адвоката? Какова процедура определения того, является ли лицо подозр</w:t>
      </w:r>
      <w:r>
        <w:t>е</w:t>
      </w:r>
      <w:r>
        <w:t xml:space="preserve">ваемым? Возможно, он что-то недопонял, однако сэр Найджел </w:t>
      </w:r>
      <w:proofErr w:type="spellStart"/>
      <w:r>
        <w:t>Родли</w:t>
      </w:r>
      <w:proofErr w:type="spellEnd"/>
      <w:r>
        <w:t xml:space="preserve"> хотел бы удостовериться в том, что задержанное лицо обладает правом на общение с а</w:t>
      </w:r>
      <w:r>
        <w:t>д</w:t>
      </w:r>
      <w:r>
        <w:t xml:space="preserve">вокатом с самого момента задержания или, по крайней мере, с момента первого допроса в полиции. </w:t>
      </w:r>
    </w:p>
    <w:p w:rsidR="00000000" w:rsidRDefault="00000000">
      <w:pPr>
        <w:pStyle w:val="SingleTxtGR"/>
      </w:pPr>
      <w:r>
        <w:t>32.</w:t>
      </w:r>
      <w:r>
        <w:tab/>
        <w:t>Согласно информации, полученной от НПО, бывают случаи, когда пол</w:t>
      </w:r>
      <w:r>
        <w:t>и</w:t>
      </w:r>
      <w:r>
        <w:t xml:space="preserve">ция отказывала задержанным в доступе к адвокату. Трудно понять, как могло случиться, что сотрудники полиции, виновные в незаконном отказе в праве на общение с адвокатом, остались безнаказанными. Было бы особенно интересно узнать, что происходит в том случае, когда прокурор, которому поручено </w:t>
      </w:r>
      <w:r>
        <w:br/>
        <w:t>проверять законность задержания, обнаруживает факт отказа задержанному л</w:t>
      </w:r>
      <w:r>
        <w:t>и</w:t>
      </w:r>
      <w:r>
        <w:t xml:space="preserve">цу в общении с адвокатом. Несомненно, что сотрудники прокуратуры играют чрезвычайно важную роль и их первостепенная задача проверять законность задержания и следить за тем, чтобы лица, задержанные с нарушением закона, были освобождены. Сэр Найджел </w:t>
      </w:r>
      <w:proofErr w:type="spellStart"/>
      <w:r>
        <w:t>Родли</w:t>
      </w:r>
      <w:proofErr w:type="spellEnd"/>
      <w:r>
        <w:t xml:space="preserve"> все же задается вопросом, возможно ли, что сотрудники прокуратуры, считая, что в этом состоит их основная задача, уделяют меньше внимания другим элементам задержания. Насколько он понял, содержание в камере предварительного заключения в полиции не может пр</w:t>
      </w:r>
      <w:r>
        <w:t>е</w:t>
      </w:r>
      <w:r>
        <w:t>вышать 72 часов, однако на практике случается, что подозреваемые в соверш</w:t>
      </w:r>
      <w:r>
        <w:t>е</w:t>
      </w:r>
      <w:r>
        <w:t>нии административного правонарушения находятся там более длительные ср</w:t>
      </w:r>
      <w:r>
        <w:t>о</w:t>
      </w:r>
      <w:r>
        <w:t>ки. Ему хотелось бы знать, так ли это на самом деле, и если да, то каковы пр</w:t>
      </w:r>
      <w:r>
        <w:t>и</w:t>
      </w:r>
      <w:r>
        <w:t>чины. Несомненно, что лица, находящиеся под стражей в камерах предвар</w:t>
      </w:r>
      <w:r>
        <w:t>и</w:t>
      </w:r>
      <w:r>
        <w:t>тельного заключения в полиции, подвергаются значительно большей опасности, чем лица, помещенные в другие места лишения свободы, и поэтому хотелось бы также знать, могут ли подозреваемые, взятые под стражу в центрах заде</w:t>
      </w:r>
      <w:r>
        <w:t>р</w:t>
      </w:r>
      <w:r>
        <w:t>жания, быть возвращены в камеру предварительного заключения в полиции с целью допо</w:t>
      </w:r>
      <w:r>
        <w:t>л</w:t>
      </w:r>
      <w:r>
        <w:t xml:space="preserve">нительных допросов и имеют ли место такие прецеденты. </w:t>
      </w:r>
    </w:p>
    <w:p w:rsidR="00000000" w:rsidRDefault="00000000">
      <w:pPr>
        <w:pStyle w:val="SingleTxtGR"/>
      </w:pPr>
      <w:r>
        <w:t>33.</w:t>
      </w:r>
      <w:r>
        <w:tab/>
        <w:t>Следует с удовлетворением отметить тот факт, что государству-участнику удалось сократить на треть число заключенных. Неуклонное сокращение числа заключенных свидетельствует о стремлении властей страны решить эту пр</w:t>
      </w:r>
      <w:r>
        <w:t>о</w:t>
      </w:r>
      <w:r>
        <w:t>блему. Тем не менее, о чем было сказано самой делегацией, в некоторых местах условия жизни подследственных хуже условий содержания осужденных. Созд</w:t>
      </w:r>
      <w:r>
        <w:t>а</w:t>
      </w:r>
      <w:r>
        <w:t>ется впечатление, что вопрос переполненности тюрем уже нашел разрешение на общенациональном уровне при сохранении проблем в конкретных учрежд</w:t>
      </w:r>
      <w:r>
        <w:t>е</w:t>
      </w:r>
      <w:r>
        <w:t xml:space="preserve">ниях, в частности, если судить по информации, получаемой от НПО, </w:t>
      </w:r>
      <w:r>
        <w:br/>
        <w:t>в тюрьме № 13. Было бы интересно узнать вместимость этой тюрьмы и число содержащихся там заключенных. Возможно, делегация хотела бы поделиться своим собственным мнением относительно условий содержания в учреждениях, где пребывают лица, находящиеся под стражей до суда, и объяснить причины, почему условия содержания в следственных изоляторах хуже, чем в тюрьмах для осужденных. Согласно сведениям из определенных источников, лица, стр</w:t>
      </w:r>
      <w:r>
        <w:t>а</w:t>
      </w:r>
      <w:r>
        <w:t>дающие туберкулезом, диагностированным до взятия под стражу, находятся под стражей в пенитенциарных учреждениях, что представляет собой практику, к</w:t>
      </w:r>
      <w:r>
        <w:t>о</w:t>
      </w:r>
      <w:r>
        <w:t>торая, если сведения найдут подтверждение, не может не вызывать большой озабоченности.</w:t>
      </w:r>
    </w:p>
    <w:p w:rsidR="00000000" w:rsidRDefault="00000000">
      <w:pPr>
        <w:pStyle w:val="SingleTxtGR"/>
      </w:pPr>
      <w:r>
        <w:t>34.</w:t>
      </w:r>
      <w:r>
        <w:tab/>
        <w:t>Что касается вопроса отправления правосудия, то самой делегацией пр</w:t>
      </w:r>
      <w:r>
        <w:t>и</w:t>
      </w:r>
      <w:r>
        <w:t>знается наличие в этой сфере серьезных проблем; было бы интересно узнать, о какой части судебной системы идет речь. Согласно информации, полученной Комитетом, на судей оказывается большое давление с целью вынесения жел</w:t>
      </w:r>
      <w:r>
        <w:t>а</w:t>
      </w:r>
      <w:r>
        <w:t>тельных для властей решений по определенным делам. Оказание давления на магистраты было более проблематичным, если бы они назначались независимо самим Высшим советом по делам магистратуры. Необходимо получить уточн</w:t>
      </w:r>
      <w:r>
        <w:t>е</w:t>
      </w:r>
      <w:r>
        <w:t>ние относительно дисциплинарной процедуры, роли председателей судов и п</w:t>
      </w:r>
      <w:r>
        <w:t>о</w:t>
      </w:r>
      <w:r>
        <w:t>рядка их назначения. Согласно информации, полученной от Организации по безопасности и сотрудничеству в Европе, слушания дел не всегда ведутся в п</w:t>
      </w:r>
      <w:r>
        <w:t>о</w:t>
      </w:r>
      <w:r>
        <w:t>мещении суда и временами совершаются в кабинетах или даже коридорах с</w:t>
      </w:r>
      <w:r>
        <w:t>у</w:t>
      </w:r>
      <w:r>
        <w:t>дебных зданий. Кроме того, из показаний свидетелей можно сделать вывод, что постановления о взятии под стражу временами выносятся судьями в отношении лиц, которые даже не осознавали, что они были допрошены магистратом. Это дает основание полагать, что по всей судебной системе не выдерживается л</w:t>
      </w:r>
      <w:r>
        <w:t>и</w:t>
      </w:r>
      <w:r>
        <w:t>ния поведения, которая была бы полностью совместима с беспристрастным о</w:t>
      </w:r>
      <w:r>
        <w:t>т</w:t>
      </w:r>
      <w:r>
        <w:t>правлением правосудия. Было бы интересно услышать мнение делегации на этот счет.</w:t>
      </w:r>
    </w:p>
    <w:p w:rsidR="00000000" w:rsidRDefault="00000000">
      <w:pPr>
        <w:pStyle w:val="SingleTxtGR"/>
      </w:pPr>
      <w:r>
        <w:t>35.</w:t>
      </w:r>
      <w:r>
        <w:tab/>
      </w:r>
      <w:r>
        <w:rPr>
          <w:b/>
        </w:rPr>
        <w:t xml:space="preserve">Г-жа </w:t>
      </w:r>
      <w:proofErr w:type="spellStart"/>
      <w:r>
        <w:rPr>
          <w:b/>
        </w:rPr>
        <w:t>Келлер</w:t>
      </w:r>
      <w:proofErr w:type="spellEnd"/>
      <w:r>
        <w:t xml:space="preserve"> благодарит делегацию за полезные ответы на вопрос, к</w:t>
      </w:r>
      <w:r>
        <w:t>а</w:t>
      </w:r>
      <w:r>
        <w:t>сающийся правосудия в отношении несовершеннолетних. Ей хотелось бы п</w:t>
      </w:r>
      <w:r>
        <w:t>о</w:t>
      </w:r>
      <w:r>
        <w:t>лучить подробные сведения об отчетах относительно психосоциальной оценки личности несовершеннолетних правонарушителей; в частности, ее интересует, получают ли особую профессиональную подготовку лица, которым доверяется проводить такую оценку, какого рода информация фигурирует в этих отчетах и существуют ли официальные директивы, регулирующие такую практику. Она интересуется тем, какие меры принимаются для реализации мероприятий по первичной и вторичной профилактике преступности и рецидивизма среди нес</w:t>
      </w:r>
      <w:r>
        <w:t>о</w:t>
      </w:r>
      <w:r>
        <w:t>вершеннолетних.</w:t>
      </w:r>
    </w:p>
    <w:p w:rsidR="00000000" w:rsidRDefault="00000000">
      <w:pPr>
        <w:pStyle w:val="SingleTxtGR"/>
      </w:pPr>
      <w:r>
        <w:t>36.</w:t>
      </w:r>
      <w:r>
        <w:tab/>
      </w:r>
      <w:r>
        <w:rPr>
          <w:b/>
        </w:rPr>
        <w:t xml:space="preserve">Г-н </w:t>
      </w:r>
      <w:proofErr w:type="spellStart"/>
      <w:r>
        <w:rPr>
          <w:b/>
        </w:rPr>
        <w:t>Сальвиоли</w:t>
      </w:r>
      <w:proofErr w:type="spellEnd"/>
      <w:r>
        <w:t xml:space="preserve"> говорит, что в своем докладе за 2009 год Специальный докладчик по вопросу о насилии в отношении женщин дает целый ряд конкре</w:t>
      </w:r>
      <w:r>
        <w:t>т</w:t>
      </w:r>
      <w:r>
        <w:t>ных рекомендаций по улучшению положения с насилием в отношении женщин в Республике Молдова. Есть все основания полагать, что государство-участник приложило немалые усилия для предупреждения преступности и борьбы с ней, однако информация, полученная от международных организаций и НПО, св</w:t>
      </w:r>
      <w:r>
        <w:t>и</w:t>
      </w:r>
      <w:r>
        <w:t>детельствует о том, что острота этой проблемы еще не снята. В своем перечне вопросов, подлежащих рассмотрению, Комитет просил государство-участник представить подробную информацию о принимаемых мерах с целью обеспеч</w:t>
      </w:r>
      <w:r>
        <w:t>е</w:t>
      </w:r>
      <w:r>
        <w:t>ния того, чтобы судьи, прокуроры, представители правоохранительных органов, работники здравоохранения и социальные работники владели сведениями о з</w:t>
      </w:r>
      <w:r>
        <w:t>а</w:t>
      </w:r>
      <w:r>
        <w:t>конодательной базе в области насилия в отношении женщин, но не получил о</w:t>
      </w:r>
      <w:r>
        <w:t>т</w:t>
      </w:r>
      <w:r>
        <w:t>вета. С другой стороны, были даны весьма подробные сведения о положении дел с насилием в отношении детей, сексуальной эксплуатацией детей и на</w:t>
      </w:r>
      <w:r>
        <w:t>и</w:t>
      </w:r>
      <w:r>
        <w:t>худшими формами детского труда. На их основании можно сделать вывод, что планируется активизировать усилия по борьбе с этими явлениями, и данный факт заслуживает одобрения. Что касается свободы религии, то правительство не представило подробных сведений о мерах, принимаемых для борьбы с рел</w:t>
      </w:r>
      <w:r>
        <w:t>и</w:t>
      </w:r>
      <w:r>
        <w:t>гиозной нетерпимостью и притеснениями, которым подвергаются лица, отн</w:t>
      </w:r>
      <w:r>
        <w:t>о</w:t>
      </w:r>
      <w:r>
        <w:t>сящиеся к религиозным меньшинствам, и в частности мусульмане, со стороны государственных структур, в первую очередь полиции. Что касается регистр</w:t>
      </w:r>
      <w:r>
        <w:t>а</w:t>
      </w:r>
      <w:r>
        <w:t>ции религиозных культов, то она проблематична, если соответствующая асс</w:t>
      </w:r>
      <w:r>
        <w:t>о</w:t>
      </w:r>
      <w:r>
        <w:t>циация не представляет необходимых документов. Тем не менее это не снимает озабоченности по поводу того факта, что без ответа остаются просьбы о рег</w:t>
      </w:r>
      <w:r>
        <w:t>и</w:t>
      </w:r>
      <w:r>
        <w:t>страции, полученные от примерно 30 мусульманских религиозных организ</w:t>
      </w:r>
      <w:r>
        <w:t>а</w:t>
      </w:r>
      <w:r>
        <w:t>ций, что имеет последствия не только для отправления культа, но и для других связанных с ним процедур, таких как погребение усопших. Было бы полезно услышать о тех мерах, которые принимаются для гарантии осуществления св</w:t>
      </w:r>
      <w:r>
        <w:t>о</w:t>
      </w:r>
      <w:r>
        <w:t>боды вероисповедания и регистрации культов, от имени которых были поданы прошения о регистрации.</w:t>
      </w:r>
    </w:p>
    <w:p w:rsidR="00000000" w:rsidRDefault="00000000">
      <w:pPr>
        <w:pStyle w:val="SingleTxtGR"/>
      </w:pPr>
      <w:r>
        <w:t>37.</w:t>
      </w:r>
      <w:r>
        <w:tab/>
      </w:r>
      <w:r>
        <w:rPr>
          <w:b/>
        </w:rPr>
        <w:t xml:space="preserve">Г-н </w:t>
      </w:r>
      <w:proofErr w:type="spellStart"/>
      <w:r>
        <w:rPr>
          <w:b/>
        </w:rPr>
        <w:t>Ривас</w:t>
      </w:r>
      <w:proofErr w:type="spellEnd"/>
      <w:r>
        <w:rPr>
          <w:b/>
        </w:rPr>
        <w:t xml:space="preserve"> Посада</w:t>
      </w:r>
      <w:r>
        <w:t xml:space="preserve"> хотел бы остановиться на вопросе о свободе выраж</w:t>
      </w:r>
      <w:r>
        <w:t>е</w:t>
      </w:r>
      <w:r>
        <w:t xml:space="preserve">ния мнения. Судя по информации, имеющейся в распоряжении Комитета, в журналистских кругах практикуется </w:t>
      </w:r>
      <w:proofErr w:type="spellStart"/>
      <w:r>
        <w:t>самоцензура</w:t>
      </w:r>
      <w:proofErr w:type="spellEnd"/>
      <w:r>
        <w:t xml:space="preserve"> из опасения репрессий. Как представляется, закон о диффамации в СМИ является очень жестким и на него часто ссылаются, причем в большей степени частные субъекты, чем государс</w:t>
      </w:r>
      <w:r>
        <w:t>т</w:t>
      </w:r>
      <w:r>
        <w:t>венные структуры. Информация по этому поводу была запрошена в рамках в</w:t>
      </w:r>
      <w:r>
        <w:t>о</w:t>
      </w:r>
      <w:r>
        <w:t>проса 20 в перечне вопросов, подлежащих рассмотрению, а сведения, пре</w:t>
      </w:r>
      <w:r>
        <w:t>д</w:t>
      </w:r>
      <w:r>
        <w:t>ставленные в письменных ответах, касаются свободы собраний. Комитет был проинформирован о принятии недавно закона о государственном телевизио</w:t>
      </w:r>
      <w:r>
        <w:t>н</w:t>
      </w:r>
      <w:r>
        <w:t>ном вещании, однако в том, что касается частного телевизионного вещания, то в этом вопросе опасность концентраций или даже монополии средств вещания вызывает озабоченность. Было бы желательно, чтобы правительство обратило внимание на этот вопрос.</w:t>
      </w:r>
    </w:p>
    <w:p w:rsidR="00000000" w:rsidRDefault="00000000">
      <w:pPr>
        <w:pStyle w:val="SingleTxtGR"/>
      </w:pPr>
      <w:r>
        <w:t>38.</w:t>
      </w:r>
      <w:r>
        <w:tab/>
        <w:t>Из подробных ответов следует, что государство-участник позаботилось о том, чтобы лица из числа меньшинств были широко представлены на всех уровнях государственной власти. Тем не менее представляется, что определе</w:t>
      </w:r>
      <w:r>
        <w:t>н</w:t>
      </w:r>
      <w:r>
        <w:t>ные меньшинства, и в первую очередь рома, по-прежнему страдают от дискр</w:t>
      </w:r>
      <w:r>
        <w:t>и</w:t>
      </w:r>
      <w:r>
        <w:t>минации при принятии на государственную службу. Даже при том, что они представляют незначительную долю в населении страны, лица из числа рома особо уязвимы и заслуживают приоритетного внимания, в частности в сфере образования и здравоохранения. Делегация указала на то, что уязвимые группы населения сталкиваются с трудностями в этих областях, однако в этом не сл</w:t>
      </w:r>
      <w:r>
        <w:t>е</w:t>
      </w:r>
      <w:r>
        <w:t xml:space="preserve">дует видеть дискриминацию. Тем не менее следует признать, что во многих странах рома являются весьма уязвимыми и социально </w:t>
      </w:r>
      <w:proofErr w:type="spellStart"/>
      <w:r>
        <w:t>маргинализированными</w:t>
      </w:r>
      <w:proofErr w:type="spellEnd"/>
      <w:r>
        <w:t xml:space="preserve"> и служат мишенью для явно направленных против них усилий по культурной изоляции. Что касается сферы образования, то одно исследование, подгото</w:t>
      </w:r>
      <w:r>
        <w:t>в</w:t>
      </w:r>
      <w:r>
        <w:t xml:space="preserve">ленное </w:t>
      </w:r>
      <w:proofErr w:type="spellStart"/>
      <w:r>
        <w:t>ПРООН</w:t>
      </w:r>
      <w:proofErr w:type="spellEnd"/>
      <w:r>
        <w:t xml:space="preserve"> показало, что не более 27% преподавателей готовы работать рядом с коллегами из числа рома. Нельзя отрицать наличия культурного факт</w:t>
      </w:r>
      <w:r>
        <w:t>о</w:t>
      </w:r>
      <w:r>
        <w:t xml:space="preserve">ра, который вызывает изоляцию населения рома, и государству следует вести воспитательную работу среди населения для исправления такого положения. Было бы интересно узнать о </w:t>
      </w:r>
      <w:proofErr w:type="spellStart"/>
      <w:r>
        <w:t>представленности</w:t>
      </w:r>
      <w:proofErr w:type="spellEnd"/>
      <w:r>
        <w:t xml:space="preserve"> меньшинств не только в органах государственной администрации, но и в судебной системе. Кроме того, встает вопрос об обязательном предоставлении услуг устных переводчиков в ходе с</w:t>
      </w:r>
      <w:r>
        <w:t>у</w:t>
      </w:r>
      <w:r>
        <w:t>дебных слушаний, в которых одна из сторон выступает на языке меньшинства.</w:t>
      </w:r>
    </w:p>
    <w:p w:rsidR="00000000" w:rsidRDefault="00000000">
      <w:pPr>
        <w:pStyle w:val="SingleTxtGR"/>
      </w:pPr>
      <w:r>
        <w:t>39.</w:t>
      </w:r>
      <w:r>
        <w:tab/>
        <w:t>Делегация пояснила, что информация о деятельности договорных орг</w:t>
      </w:r>
      <w:r>
        <w:t>а</w:t>
      </w:r>
      <w:r>
        <w:t>нов, а также относящиеся к ней документы доступны для широкой аудитории через Интернет и что каждый может свободно с ними ознакомиться. Тем не м</w:t>
      </w:r>
      <w:r>
        <w:t>е</w:t>
      </w:r>
      <w:r>
        <w:t>нее, как уже неоднократно отмечалось Комитетом, на государствах-участниках лежит обязанность не только следить за тем, чтобы население имело доступ к таким сведениям, но и играть активную роль в их распространении и заботит</w:t>
      </w:r>
      <w:r>
        <w:t>ь</w:t>
      </w:r>
      <w:r>
        <w:t>ся о том, чтобы они стали достоянием как можно более широкого круга лиц, в частности таких специалистов, как магистраты. На государствах также лежит обязанность содействовать проведению консультаций с целью подготовки п</w:t>
      </w:r>
      <w:r>
        <w:t>е</w:t>
      </w:r>
      <w:r>
        <w:t>риодических докладов и заботиться о том, чтобы общественность проявляла интерес к работе этих органов.</w:t>
      </w:r>
    </w:p>
    <w:p w:rsidR="00000000" w:rsidRDefault="00000000">
      <w:pPr>
        <w:pStyle w:val="SingleTxtGR"/>
      </w:pPr>
      <w:r>
        <w:t>40.</w:t>
      </w:r>
      <w:r>
        <w:tab/>
      </w:r>
      <w:r>
        <w:rPr>
          <w:b/>
        </w:rPr>
        <w:t>Г-н Амор</w:t>
      </w:r>
      <w:r>
        <w:t xml:space="preserve"> говорит, что ему не совсем понятно нынешний статус закона о религиях и их составляющих. В пункте 546 доклада говорится, что в 2007</w:t>
      </w:r>
      <w:r>
        <w:rPr>
          <w:lang w:val="en-US"/>
        </w:rPr>
        <w:t> </w:t>
      </w:r>
      <w:r>
        <w:t xml:space="preserve">году законопроект был одобрен парламентом и представлен президенту Республики Молдова на утверждение, а в следующем пункте по-прежнему </w:t>
      </w:r>
      <w:r>
        <w:br/>
        <w:t xml:space="preserve">делается ссылка на "законопроект". Означает ли это, что проект текста не был утвержден президентом? Заслуживают уточнения и многие другие моменты: </w:t>
      </w:r>
      <w:r>
        <w:br/>
        <w:t>в частности, права собственности религиозных организаций, которые, как пре</w:t>
      </w:r>
      <w:r>
        <w:t>д</w:t>
      </w:r>
      <w:r>
        <w:t>ставляется, ограничены; "право контроля" со стороны религиозных общин над деятельностью своих последователей и назначением руководителей, в отнош</w:t>
      </w:r>
      <w:r>
        <w:t>е</w:t>
      </w:r>
      <w:r>
        <w:t>нии которого непонятно, имеют ли религиозные организации возможность осуществлять это право или же им в этом отказано. Кроме того, с одной стор</w:t>
      </w:r>
      <w:r>
        <w:t>о</w:t>
      </w:r>
      <w:r>
        <w:t xml:space="preserve">ны, говорится, что отсутствие регистрации у религиозной группы не мешает </w:t>
      </w:r>
      <w:r>
        <w:br/>
        <w:t xml:space="preserve">ей в отправлении своего религиозного культа, а с другой − что существует </w:t>
      </w:r>
      <w:r>
        <w:br/>
        <w:t>законопроект, который направлен на отмену санкций за отсутствие у религио</w:t>
      </w:r>
      <w:r>
        <w:t>з</w:t>
      </w:r>
      <w:r>
        <w:t xml:space="preserve">ных групп регистрации, из чего следует, что при нынешнем положении вещей незарегистрированная группа может стать объектом санкций. Необходимо </w:t>
      </w:r>
      <w:r>
        <w:br/>
        <w:t xml:space="preserve">проводить разграничение между регистрацией и отправлением религиозного культа. Задача регистрации − легализовать религиозную группу. Отсутствие </w:t>
      </w:r>
      <w:r>
        <w:br/>
        <w:t>у религиозной группы регистрации ни в коем случае не должно препятствовать ей в отправлении культа или демонстрации религиозной принадлежности. К</w:t>
      </w:r>
      <w:r>
        <w:t>о</w:t>
      </w:r>
      <w:r>
        <w:t>митет хотел бы услышать мнение делегации по всем этим моментам.</w:t>
      </w:r>
    </w:p>
    <w:p w:rsidR="00000000" w:rsidRDefault="00000000">
      <w:pPr>
        <w:pStyle w:val="SingleTxtGR"/>
      </w:pPr>
      <w:r>
        <w:t>41.</w:t>
      </w:r>
      <w:r>
        <w:tab/>
      </w:r>
      <w:r>
        <w:rPr>
          <w:b/>
        </w:rPr>
        <w:t>Г-н Бузид</w:t>
      </w:r>
      <w:r>
        <w:t xml:space="preserve"> задает вопрос, рассматривались ли в судах Молдовы дела о н</w:t>
      </w:r>
      <w:r>
        <w:t>е</w:t>
      </w:r>
      <w:r>
        <w:t>законном обороте оружия.</w:t>
      </w:r>
    </w:p>
    <w:p w:rsidR="00000000" w:rsidRDefault="00000000">
      <w:pPr>
        <w:pStyle w:val="SingleTxtGR"/>
      </w:pPr>
      <w:r>
        <w:t>42.</w:t>
      </w:r>
      <w:r>
        <w:tab/>
      </w:r>
      <w:r>
        <w:rPr>
          <w:b/>
        </w:rPr>
        <w:t>Председатель</w:t>
      </w:r>
      <w:r>
        <w:t xml:space="preserve"> предлагает делегации ответить на вопросы, заданные чл</w:t>
      </w:r>
      <w:r>
        <w:t>е</w:t>
      </w:r>
      <w:r>
        <w:t>нами Комитета.</w:t>
      </w:r>
    </w:p>
    <w:p w:rsidR="00000000" w:rsidRDefault="00000000">
      <w:pPr>
        <w:pStyle w:val="SingleTxtGR"/>
      </w:pPr>
      <w:r>
        <w:t>43.</w:t>
      </w:r>
      <w:r>
        <w:tab/>
      </w:r>
      <w:r>
        <w:rPr>
          <w:b/>
        </w:rPr>
        <w:t xml:space="preserve">Г-н Эсану </w:t>
      </w:r>
      <w:r>
        <w:t>(Республика Молдова) говорит, что делегация сначала ответит на вопросы, касающиеся отправления правосудия. Любое подозреваемое лицо имеет право на помощь адвоката с момента взятия под стражу. Это право гара</w:t>
      </w:r>
      <w:r>
        <w:t>н</w:t>
      </w:r>
      <w:r>
        <w:t>тируется законом, который также предусматривает наказание в случае нес</w:t>
      </w:r>
      <w:r>
        <w:t>о</w:t>
      </w:r>
      <w:r>
        <w:t>блюдения этого права. Справедливо утверждение о большом числе жалоб по поводу доступа задержанных к помощи адвоката и они все рассматриваются, однако в данном случае речь идет о проблеме практики. В любом случае пр</w:t>
      </w:r>
      <w:r>
        <w:t>и</w:t>
      </w:r>
      <w:r>
        <w:t>знания, полученные в условиях, не отвечающих требованиям законности, не могут иметь доказательной силы в суде.</w:t>
      </w:r>
    </w:p>
    <w:p w:rsidR="00000000" w:rsidRDefault="00000000">
      <w:pPr>
        <w:pStyle w:val="SingleTxtGR"/>
      </w:pPr>
      <w:r>
        <w:t>44.</w:t>
      </w:r>
      <w:r>
        <w:tab/>
      </w:r>
      <w:r>
        <w:rPr>
          <w:b/>
        </w:rPr>
        <w:t xml:space="preserve">Г-н Русу </w:t>
      </w:r>
      <w:r>
        <w:t>(Республика Молдова) добавляет, что все задержанные инфо</w:t>
      </w:r>
      <w:r>
        <w:t>р</w:t>
      </w:r>
      <w:r>
        <w:t>мируются о своих правах и соответствующая запись делается в реестре. Таким образом, прокурор имеет возможность удостовериться в соблюдении прав з</w:t>
      </w:r>
      <w:r>
        <w:t>а</w:t>
      </w:r>
      <w:r>
        <w:t>держанного на протяжении всей процедуры задержания и потребовать отмены любого действия, которое было совершено с нарушением закона.</w:t>
      </w:r>
    </w:p>
    <w:p w:rsidR="00000000" w:rsidRDefault="00000000">
      <w:pPr>
        <w:pStyle w:val="SingleTxtGR"/>
      </w:pPr>
      <w:r>
        <w:t>45.</w:t>
      </w:r>
      <w:r>
        <w:tab/>
      </w:r>
      <w:r>
        <w:rPr>
          <w:b/>
        </w:rPr>
        <w:t xml:space="preserve">Г-н Эсану </w:t>
      </w:r>
      <w:r>
        <w:t>(Республика Молдова) поясняет, что согласно закону, любое лицо, подозреваемое в совершении правонарушения, переходит из ведения М</w:t>
      </w:r>
      <w:r>
        <w:t>и</w:t>
      </w:r>
      <w:r>
        <w:t>нистерства внутренних дел в ведение Министерства юстиции по истечении 72 часов после взятия под стражу. Однако случается, что задержанные остаются в полицейском участке по той причине, что Министерство юстиции еще не им</w:t>
      </w:r>
      <w:r>
        <w:t>е</w:t>
      </w:r>
      <w:r>
        <w:t>ет своих следственных изоляторов, кроме как в пяти крупных городах страны. С другой стороны, может случиться так, что лицо переводится из следственного изолятора в комиссариат полиции в целях дознания. Такие ситуации будут и</w:t>
      </w:r>
      <w:r>
        <w:t>с</w:t>
      </w:r>
      <w:r>
        <w:t>ключены, как только все места заключения будут переданы в ведение Мин</w:t>
      </w:r>
      <w:r>
        <w:t>и</w:t>
      </w:r>
      <w:r>
        <w:t>стерства юстиции.</w:t>
      </w:r>
    </w:p>
    <w:p w:rsidR="00000000" w:rsidRDefault="00000000">
      <w:pPr>
        <w:pStyle w:val="SingleTxtGR"/>
      </w:pPr>
      <w:r>
        <w:t>46.</w:t>
      </w:r>
      <w:r>
        <w:tab/>
        <w:t>Что касается работы тюрьмы № 13, в том числе численности находящи</w:t>
      </w:r>
      <w:r>
        <w:t>х</w:t>
      </w:r>
      <w:r>
        <w:t>ся в ней заключенных, то она регламентируется указом Министерства юстиции. Нельзя отрицать, что несколько лет назад из-за нехватки коек заключенные в этой тюрьме были вынуждены спать посменно, что недопустимо; тем не менее в настоящее время их численность не превышает норматива, установленного указом. Число лиц, страдающих туберкулезом, также значительно ниже, чем была раньше. Они содержатся отдельно от других заключенных. Во многих тюрьмах для них выделен отдельный блок, и в 2008 году был проведен кап</w:t>
      </w:r>
      <w:r>
        <w:t>и</w:t>
      </w:r>
      <w:r>
        <w:t>тальный ремонт одной из тюремных больниц, где созданы более благоприятные условия для их излечения.</w:t>
      </w:r>
    </w:p>
    <w:p w:rsidR="00000000" w:rsidRDefault="00000000">
      <w:pPr>
        <w:pStyle w:val="SingleTxtGR"/>
      </w:pPr>
      <w:r>
        <w:t>47.</w:t>
      </w:r>
      <w:r>
        <w:tab/>
        <w:t>Факт несоблюдения законности со стороны отдельных судей вызывает у Министерства юстиции большую озабоченность, и оно регулярно обращает внимание Высшего совета по делам магистратуры на этот вопрос. Дисципл</w:t>
      </w:r>
      <w:r>
        <w:t>и</w:t>
      </w:r>
      <w:r>
        <w:t>нарными вопросами занимается коллегия судей, председатель которой назнач</w:t>
      </w:r>
      <w:r>
        <w:t>а</w:t>
      </w:r>
      <w:r>
        <w:t>ется по рекомендации Совета. На практике судьи не подвергаются преследов</w:t>
      </w:r>
      <w:r>
        <w:t>а</w:t>
      </w:r>
      <w:r>
        <w:t>нию, что не может не вызывать сожаления. Однако Министерство юстиции не вправе ни вмешиваться, ни налагать наказание в силу полной независимости судебной ветви власти от исполнительной. С целью повышения эффективности работы коллегии судей планируется внести изменения в ее состав, с тем чтобы она состояла наполовину из судей и наполовину из университетских преподав</w:t>
      </w:r>
      <w:r>
        <w:t>а</w:t>
      </w:r>
      <w:r>
        <w:t>телей. Нехватка помещений по-прежнему является реальной проблемой, и на практике случается, что судьям приходится вести слушания в своих служебных кабинетах. На реконструкцию помещений был выделен бюджет в размере 15 млн. лей, и помещения многих судов уже были отремонтированы благодаря финансовой поддержке Соединенных Штатов в рамках программы по решению "проблем тысячелетия".</w:t>
      </w:r>
    </w:p>
    <w:p w:rsidR="00000000" w:rsidRDefault="00000000">
      <w:pPr>
        <w:pStyle w:val="SingleTxtGR"/>
      </w:pPr>
      <w:r>
        <w:t>48.</w:t>
      </w:r>
      <w:r>
        <w:tab/>
      </w:r>
      <w:r>
        <w:rPr>
          <w:b/>
        </w:rPr>
        <w:t xml:space="preserve">Г-н </w:t>
      </w:r>
      <w:proofErr w:type="spellStart"/>
      <w:r>
        <w:rPr>
          <w:b/>
        </w:rPr>
        <w:t>Русу</w:t>
      </w:r>
      <w:proofErr w:type="spellEnd"/>
      <w:r>
        <w:rPr>
          <w:b/>
        </w:rPr>
        <w:t xml:space="preserve"> </w:t>
      </w:r>
      <w:r>
        <w:t>(Республика Молдова) говорит, что применительно к несове</w:t>
      </w:r>
      <w:r>
        <w:t>р</w:t>
      </w:r>
      <w:r>
        <w:t>шеннолетним неизменно предусматривается применение иных мер пресечения, чем лишение свободы. Закон предусматривает возможность помещения нес</w:t>
      </w:r>
      <w:r>
        <w:t>о</w:t>
      </w:r>
      <w:r>
        <w:t>вершеннолетних в специальные школы или исправительные заведения, что практически никогда не имеет места на практике. Планируется создание це</w:t>
      </w:r>
      <w:r>
        <w:t>н</w:t>
      </w:r>
      <w:r>
        <w:t xml:space="preserve">тров для содержания несовершеннолетних правонарушителей, но речь идет лишь о </w:t>
      </w:r>
      <w:proofErr w:type="spellStart"/>
      <w:r>
        <w:t>пилотном</w:t>
      </w:r>
      <w:proofErr w:type="spellEnd"/>
      <w:r>
        <w:t xml:space="preserve"> проекте. Некогда существовавшие исправительные колонии закрыты.</w:t>
      </w:r>
    </w:p>
    <w:p w:rsidR="00000000" w:rsidRDefault="00000000">
      <w:pPr>
        <w:pStyle w:val="SingleTxtGR"/>
      </w:pPr>
      <w:r>
        <w:t>49.</w:t>
      </w:r>
      <w:r>
        <w:tab/>
      </w:r>
      <w:r>
        <w:rPr>
          <w:b/>
        </w:rPr>
        <w:t xml:space="preserve">Г-н </w:t>
      </w:r>
      <w:proofErr w:type="spellStart"/>
      <w:r>
        <w:rPr>
          <w:b/>
        </w:rPr>
        <w:t>Эсану</w:t>
      </w:r>
      <w:proofErr w:type="spellEnd"/>
      <w:r>
        <w:rPr>
          <w:b/>
        </w:rPr>
        <w:t xml:space="preserve"> </w:t>
      </w:r>
      <w:r>
        <w:t>(Республика Молдова), переходя к вопросу о свободе религии, говорит, что было отказано лишь в двух просьбах о регистрации религиозных групп. Министерство юстиции, в прямом ведении которого находится этот в</w:t>
      </w:r>
      <w:r>
        <w:t>о</w:t>
      </w:r>
      <w:r>
        <w:t>прос, представит Комитету всю полезную информацию на эту тему, в частности о мотивах отказа. Система регистрации существовала уже в рамках закона о р</w:t>
      </w:r>
      <w:r>
        <w:t>е</w:t>
      </w:r>
      <w:r>
        <w:t>лигиях от 1992 года, но она находилась в ведении специального государстве</w:t>
      </w:r>
      <w:r>
        <w:t>н</w:t>
      </w:r>
      <w:r>
        <w:t>ного ведомства. Этот закон был отменен и заменен законом 2007 года о религ</w:t>
      </w:r>
      <w:r>
        <w:t>и</w:t>
      </w:r>
      <w:r>
        <w:t>ях и их составляющих. Конституция признает свободу вероисповедания, и о</w:t>
      </w:r>
      <w:r>
        <w:t>т</w:t>
      </w:r>
      <w:r>
        <w:t>правление культа возможно даже в случае отсутствия его регистрации. Санкции предусмотрены лишь на тот случай, если отправление культа нарушает права других граждан. Экспертам было поручено более глубоко проработать этот в</w:t>
      </w:r>
      <w:r>
        <w:t>о</w:t>
      </w:r>
      <w:r>
        <w:t>прос, с тем чтобы привести законодательство в полное соответствии с Конст</w:t>
      </w:r>
      <w:r>
        <w:t>и</w:t>
      </w:r>
      <w:r>
        <w:t>туцией и Пактом. Что касается назначения руководства религиозных групп, то в законе ясно говорится, что государство не может вмешиваться в этот вопрос. В реальной жизни проблемы возникают внутри самих религиозных общин, многие члены которых сетуют на то, что руководство нарушает их права и н</w:t>
      </w:r>
      <w:r>
        <w:t>а</w:t>
      </w:r>
      <w:r>
        <w:t>значает представителей духовенства без консультации с верующими. Кроме т</w:t>
      </w:r>
      <w:r>
        <w:t>о</w:t>
      </w:r>
      <w:r>
        <w:t>го, руководство религиозных групп часто претендует на управление имущес</w:t>
      </w:r>
      <w:r>
        <w:t>т</w:t>
      </w:r>
      <w:r>
        <w:t>вом общины, тогда как это право принадлежит религиозному сообществу. Что касается государства, то оно никоим образом не ограничивает право собстве</w:t>
      </w:r>
      <w:r>
        <w:t>н</w:t>
      </w:r>
      <w:r>
        <w:t>ности.</w:t>
      </w:r>
    </w:p>
    <w:p w:rsidR="00000000" w:rsidRDefault="00000000">
      <w:pPr>
        <w:pStyle w:val="SingleTxtGR"/>
      </w:pPr>
      <w:r>
        <w:t>50.</w:t>
      </w:r>
      <w:r>
        <w:tab/>
        <w:t>Журналистам гарантируется свобода выражения мнения в соответствии с международными нормами. Это подтверждается анализом выполнения основ</w:t>
      </w:r>
      <w:r>
        <w:t>о</w:t>
      </w:r>
      <w:r>
        <w:t>полагающих европейских положений. Возникающие проблемы связаны не с с</w:t>
      </w:r>
      <w:r>
        <w:t>а</w:t>
      </w:r>
      <w:r>
        <w:t>мим законодательством, а скорее с его применением. Условия, оговаривающие наступление ответственности журналиста, ясно изложены в статье 16 Гражда</w:t>
      </w:r>
      <w:r>
        <w:t>н</w:t>
      </w:r>
      <w:r>
        <w:t>ского кодекса. Журналистские ассоциации выступают за внесение изменений в законодательство с целью защиты журналистов от уголовного преследования, однако правительство не готово пойти на ограничение ответственности журн</w:t>
      </w:r>
      <w:r>
        <w:t>а</w:t>
      </w:r>
      <w:r>
        <w:t>листов, когда их деятельность ущемляет права других через распространение ложной информации. Что касается деятельности "</w:t>
      </w:r>
      <w:proofErr w:type="spellStart"/>
      <w:r>
        <w:t>Телерадио-Молдова</w:t>
      </w:r>
      <w:proofErr w:type="spellEnd"/>
      <w:r>
        <w:t>", то здесь действительно существует большая проблема. Закон запрещает органам гос</w:t>
      </w:r>
      <w:r>
        <w:t>у</w:t>
      </w:r>
      <w:r>
        <w:t>дарственной власти оказывать давление на каналы общественного радио- и т</w:t>
      </w:r>
      <w:r>
        <w:t>е</w:t>
      </w:r>
      <w:r>
        <w:t>левещания, но на практике это требование не соблюдается. Остается надеяться, что эта проблема будет снята при новом правительстве, не имеющем связей с "</w:t>
      </w:r>
      <w:proofErr w:type="spellStart"/>
      <w:r>
        <w:t>Телерадио-Молдова</w:t>
      </w:r>
      <w:proofErr w:type="spellEnd"/>
      <w:r>
        <w:t>".</w:t>
      </w:r>
    </w:p>
    <w:p w:rsidR="00000000" w:rsidRDefault="00000000">
      <w:pPr>
        <w:pStyle w:val="SingleTxtGR"/>
      </w:pPr>
      <w:r>
        <w:t>51.</w:t>
      </w:r>
      <w:r>
        <w:tab/>
      </w:r>
      <w:r>
        <w:rPr>
          <w:b/>
        </w:rPr>
        <w:t xml:space="preserve">Г-н </w:t>
      </w:r>
      <w:proofErr w:type="spellStart"/>
      <w:r>
        <w:rPr>
          <w:b/>
        </w:rPr>
        <w:t>Русу</w:t>
      </w:r>
      <w:proofErr w:type="spellEnd"/>
      <w:r>
        <w:t xml:space="preserve"> (Республика Молдова) говорит, что закон о предупреждении н</w:t>
      </w:r>
      <w:r>
        <w:t>а</w:t>
      </w:r>
      <w:r>
        <w:t>силия в семье и наказании за него только что прошел оценку по прошествии одного года с момента его вступления в силу. Этот текст содержит большое число нововведений и не оставляет сомнений в том, что его применение на ф</w:t>
      </w:r>
      <w:r>
        <w:t>о</w:t>
      </w:r>
      <w:r>
        <w:t>не мер, принятых в конце 2008 года в рамках Плана действий по предупрежд</w:t>
      </w:r>
      <w:r>
        <w:t>е</w:t>
      </w:r>
      <w:r>
        <w:t>нию насилия в отношении детей и наказании за него, принесет конкретные плоды. Уже можно констатировать факт обращения судов к этому закону и сн</w:t>
      </w:r>
      <w:r>
        <w:t>и</w:t>
      </w:r>
      <w:r>
        <w:t>жение числа жалоб. Было организовано три раунда курсов по ознакомлению с новым законом для работников прокуратуры и социальных работников.</w:t>
      </w:r>
    </w:p>
    <w:p w:rsidR="00000000" w:rsidRDefault="00000000">
      <w:pPr>
        <w:pStyle w:val="SingleTxtGR"/>
      </w:pPr>
      <w:r>
        <w:t>52.</w:t>
      </w:r>
      <w:r>
        <w:tab/>
      </w:r>
      <w:r>
        <w:rPr>
          <w:b/>
        </w:rPr>
        <w:t xml:space="preserve">Г-н </w:t>
      </w:r>
      <w:proofErr w:type="spellStart"/>
      <w:r>
        <w:rPr>
          <w:b/>
        </w:rPr>
        <w:t>Эсану</w:t>
      </w:r>
      <w:proofErr w:type="spellEnd"/>
      <w:r>
        <w:t xml:space="preserve"> (Республика Молдова) говорит, что сведения о </w:t>
      </w:r>
      <w:proofErr w:type="spellStart"/>
      <w:r>
        <w:t>представленн</w:t>
      </w:r>
      <w:r>
        <w:t>о</w:t>
      </w:r>
      <w:r>
        <w:t>сти</w:t>
      </w:r>
      <w:proofErr w:type="spellEnd"/>
      <w:r>
        <w:t xml:space="preserve"> национальных меньшинств в органах правосудия будут сообщены позднее. Что касается пользования языками меньшинств, то Уголовный, Уголовно-процессуальный и Гражданский кодексы предусматривают, что слушание в</w:t>
      </w:r>
      <w:r>
        <w:t>е</w:t>
      </w:r>
      <w:r>
        <w:t>дется на языке большинства участников процесса, иными словами на молда</w:t>
      </w:r>
      <w:r>
        <w:t>в</w:t>
      </w:r>
      <w:r>
        <w:t>ском или русском языке. В то же время любое обвиняемое лицо имеет право д</w:t>
      </w:r>
      <w:r>
        <w:t>а</w:t>
      </w:r>
      <w:r>
        <w:t xml:space="preserve">вать показания на своем языке и иметь доступ к материалам по делу на том же языке. Вступление в силу в сентябре 2009 года закона о сертификации судебных переводчиков призвано содействовать реализации этого права. </w:t>
      </w:r>
    </w:p>
    <w:p w:rsidR="00000000" w:rsidRDefault="00000000">
      <w:pPr>
        <w:pStyle w:val="SingleTxtGR"/>
      </w:pPr>
      <w:r>
        <w:t>53.</w:t>
      </w:r>
      <w:r>
        <w:tab/>
        <w:t>Судами не рассматривалось ни одного дела по факту незаконного оборота оружия. Возможно, такое явление существует в Приднестровье, однако прав</w:t>
      </w:r>
      <w:r>
        <w:t>и</w:t>
      </w:r>
      <w:r>
        <w:t>тельство не располагает информацией по этому вопросу, поскольку не осущес</w:t>
      </w:r>
      <w:r>
        <w:t>т</w:t>
      </w:r>
      <w:r>
        <w:t>вляет контроля над этим регионом.</w:t>
      </w:r>
    </w:p>
    <w:p w:rsidR="00000000" w:rsidRDefault="00000000">
      <w:pPr>
        <w:pStyle w:val="SingleTxtGR"/>
      </w:pPr>
      <w:r>
        <w:t>54.</w:t>
      </w:r>
      <w:r>
        <w:tab/>
        <w:t>Что касается вопроса о распространении информации о деятельности Комитета, то правительство рассмотрит возможность активизации своей роли в этом направлении. В настоящее время подготовка периодических докладов, подлежащих представлению договорным органам, регламентируется государс</w:t>
      </w:r>
      <w:r>
        <w:t>т</w:t>
      </w:r>
      <w:r>
        <w:t>венным указом, предусматривающим создание специальной комиссии в вед</w:t>
      </w:r>
      <w:r>
        <w:t>е</w:t>
      </w:r>
      <w:r>
        <w:t>нии Министерства иностранных дел и европейской интеграции, в работе кот</w:t>
      </w:r>
      <w:r>
        <w:t>о</w:t>
      </w:r>
      <w:r>
        <w:t>рой принимают участие все компетентные министерства.</w:t>
      </w:r>
    </w:p>
    <w:p w:rsidR="00000000" w:rsidRDefault="00000000">
      <w:pPr>
        <w:pStyle w:val="SingleTxtGR"/>
      </w:pPr>
      <w:r>
        <w:t>55.</w:t>
      </w:r>
      <w:r>
        <w:tab/>
        <w:t>Делегация благодарит Комитет за внимание и готова дать любую допо</w:t>
      </w:r>
      <w:r>
        <w:t>л</w:t>
      </w:r>
      <w:r>
        <w:t>нительную информацию. Республике Молдова предстоит проделать в кратча</w:t>
      </w:r>
      <w:r>
        <w:t>й</w:t>
      </w:r>
      <w:r>
        <w:t>шие сроки тот путь, который занял у других демократических стран столетия, однако она уверена в том, что при содействии международных механизмов ре</w:t>
      </w:r>
      <w:r>
        <w:t>с</w:t>
      </w:r>
      <w:r>
        <w:t>публике удастся пересмотреть свое законодательство и привести его в соотве</w:t>
      </w:r>
      <w:r>
        <w:t>т</w:t>
      </w:r>
      <w:r>
        <w:t>ствие с международными инструментами и тем самым обеспечить более эффе</w:t>
      </w:r>
      <w:r>
        <w:t>к</w:t>
      </w:r>
      <w:r>
        <w:t>тивную защиту прав человека. Самая трудная задача − это не внесение измен</w:t>
      </w:r>
      <w:r>
        <w:t>е</w:t>
      </w:r>
      <w:r>
        <w:t xml:space="preserve">ний в законодательство, а обеспечение его применения на практике, что требует значительно большего времени и перестройки мышления. </w:t>
      </w:r>
    </w:p>
    <w:p w:rsidR="00000000" w:rsidRDefault="00000000">
      <w:pPr>
        <w:pStyle w:val="SingleTxtGR"/>
      </w:pPr>
      <w:r>
        <w:t>56.</w:t>
      </w:r>
      <w:r>
        <w:tab/>
      </w:r>
      <w:r>
        <w:rPr>
          <w:b/>
        </w:rPr>
        <w:t>Председатель</w:t>
      </w:r>
      <w:r>
        <w:t xml:space="preserve"> говорит, что Комитет осознает те трудности, которые предстоит преодолеть Республике Молдова, и надеется, что состоявшийся ди</w:t>
      </w:r>
      <w:r>
        <w:t>а</w:t>
      </w:r>
      <w:r>
        <w:t>лог, а также заключительные замечания, которые будут обнародованы по око</w:t>
      </w:r>
      <w:r>
        <w:t>н</w:t>
      </w:r>
      <w:r>
        <w:t>чании сессии, помогут государству-участнику изменить ситуацию в стране к лучшему. Он горячо благодарит делегацию за откровенную и открытую поз</w:t>
      </w:r>
      <w:r>
        <w:t>и</w:t>
      </w:r>
      <w:r>
        <w:t>цию, занятую ею при ответах на многочисленные вопросы со стороны Комит</w:t>
      </w:r>
      <w:r>
        <w:t>е</w:t>
      </w:r>
      <w:r>
        <w:t>та.</w:t>
      </w:r>
    </w:p>
    <w:p w:rsidR="00000000" w:rsidRDefault="00000000">
      <w:pPr>
        <w:pStyle w:val="SingleTxtGR"/>
      </w:pPr>
      <w:r>
        <w:t>57.</w:t>
      </w:r>
      <w:r>
        <w:tab/>
        <w:t>Делегация Молдовы покидает зал заседания.</w:t>
      </w:r>
    </w:p>
    <w:p w:rsidR="00000000" w:rsidRDefault="00000000">
      <w:pPr>
        <w:pStyle w:val="SingleTxtGR"/>
        <w:rPr>
          <w:i/>
        </w:rPr>
      </w:pPr>
      <w:r>
        <w:rPr>
          <w:i/>
        </w:rPr>
        <w:t>Заседание закрывается в 13 ч. 05 м.</w:t>
      </w:r>
    </w:p>
    <w:p w:rsidR="00000000" w:rsidRDefault="00000000">
      <w:pPr>
        <w:pStyle w:val="SingleTxtGR"/>
      </w:pPr>
    </w:p>
    <w:sectPr w:rsidR="000000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rPr>
          <w:lang w:val="en-US"/>
        </w:rPr>
        <w:tab/>
      </w:r>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lang w:val="en-US"/>
      </w:rPr>
      <w:tab/>
      <w:t>GE.09-45502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GE.09-45502</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sz w:val="24"/>
      </w:rPr>
    </w:pPr>
    <w:r>
      <w:rPr>
        <w:sz w:val="24"/>
      </w:rPr>
      <w:t>___________________________________________________________________________</w:t>
    </w:r>
  </w:p>
  <w:p w:rsidR="00000000" w:rsidRDefault="00000000">
    <w:pPr>
      <w:pStyle w:val="FootnoteText"/>
      <w:spacing w:after="120"/>
      <w:rPr>
        <w:rStyle w:val="FootnoteReference"/>
        <w:vertAlign w:val="baseline"/>
      </w:rPr>
    </w:pPr>
    <w:r>
      <w:tab/>
    </w:r>
    <w:r>
      <w:rPr>
        <w:lang w:val="ru-RU"/>
      </w:rPr>
      <w:tab/>
    </w:r>
    <w:r>
      <w:rPr>
        <w:rStyle w:val="FootnoteReference"/>
        <w:vertAlign w:val="baseline"/>
      </w:rPr>
      <w:t>В настоящий отчет могут вноситься поправки.</w:t>
    </w:r>
  </w:p>
  <w:p w:rsidR="00000000" w:rsidRDefault="00000000">
    <w:pPr>
      <w:pStyle w:val="FootnoteText"/>
      <w:spacing w:after="120"/>
      <w:rPr>
        <w:rStyle w:val="FootnoteReference"/>
        <w:vertAlign w:val="baseline"/>
      </w:rPr>
    </w:pPr>
    <w:r>
      <w:tab/>
    </w:r>
    <w:r>
      <w:rPr>
        <w:lang w:val="ru-RU"/>
      </w:rPr>
      <w:tab/>
    </w:r>
    <w:r>
      <w:rPr>
        <w:rStyle w:val="FootnoteReference"/>
        <w:vertAlign w:val="baseline"/>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в течение одной недели с момента выпуска этого документа в Группу редакционного контроля, ком. Е.4108, Дв</w:t>
    </w:r>
    <w:r>
      <w:rPr>
        <w:rStyle w:val="FootnoteReference"/>
        <w:vertAlign w:val="baseline"/>
      </w:rPr>
      <w:t>о</w:t>
    </w:r>
    <w:r>
      <w:rPr>
        <w:rStyle w:val="FootnoteReference"/>
        <w:vertAlign w:val="baseline"/>
      </w:rPr>
      <w:t>рец Наций, Женева.</w:t>
    </w:r>
  </w:p>
  <w:p w:rsidR="00000000" w:rsidRDefault="00000000">
    <w:pPr>
      <w:pStyle w:val="FootnoteText"/>
      <w:spacing w:after="120"/>
    </w:pPr>
    <w:r>
      <w:tab/>
    </w:r>
    <w:r>
      <w:rPr>
        <w:lang w:val="ru-RU"/>
      </w:rPr>
      <w:tab/>
    </w:r>
    <w:r>
      <w:rPr>
        <w:rStyle w:val="FootnoteReference"/>
        <w:vertAlign w:val="baseline"/>
      </w:rPr>
      <w:t>Любые поправки к отчетам о заседаниях настоящей сессии будут сведены в единое исправление, которое будет издано вскоре после окончания сессии.</w:t>
    </w:r>
  </w:p>
  <w:p w:rsidR="00000000" w:rsidRDefault="00000000">
    <w:pPr>
      <w:pStyle w:val="Footer"/>
      <w:rPr>
        <w:sz w:val="20"/>
        <w:lang w:val="ru-RU"/>
      </w:rPr>
    </w:pPr>
  </w:p>
  <w:p w:rsidR="00000000" w:rsidRDefault="00000000">
    <w:pPr>
      <w:pStyle w:val="Footer"/>
      <w:rPr>
        <w:sz w:val="20"/>
        <w:lang w:val="en-US"/>
      </w:rPr>
    </w:pPr>
    <w:r>
      <w:rPr>
        <w:sz w:val="20"/>
        <w:lang w:val="en-US"/>
      </w:rPr>
      <w:t xml:space="preserve">GE.09-45502  (R)  </w:t>
    </w:r>
    <w:r>
      <w:rPr>
        <w:sz w:val="20"/>
        <w:lang w:val="ru-RU"/>
      </w:rPr>
      <w:t xml:space="preserve">  180210    310310</w:t>
    </w:r>
    <w:r>
      <w:rPr>
        <w:sz w:val="20"/>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lang w:val="en-US"/>
        </w:rPr>
      </w:pPr>
      <w:r>
        <w:rPr>
          <w:u w:val="single"/>
          <w:lang w:val="en-US"/>
        </w:rPr>
        <w:tab/>
      </w:r>
    </w:p>
  </w:footnote>
  <w:footnote w:type="continuationSeparator" w:id="0">
    <w:p w:rsidR="00000000" w:rsidRDefault="00000000">
      <w:pPr>
        <w:tabs>
          <w:tab w:val="right" w:pos="2155"/>
        </w:tabs>
        <w:spacing w:after="80" w:line="240" w:lineRule="auto"/>
        <w:rPr>
          <w:u w:val="single"/>
          <w:lang w:val="en-US"/>
        </w:rPr>
      </w:pPr>
      <w:r>
        <w:rPr>
          <w:u w:val="single"/>
          <w:lang w:val="en-US"/>
        </w:rPr>
        <w:tab/>
      </w:r>
    </w:p>
    <w:p w:rsidR="00000000" w:rsidRDefault="00000000">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CCPR/C/SR.2660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ab/>
      <w:t>CCPR/C/SR.2660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
    <w:basedOn w:val="Normal"/>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6878</Words>
  <Characters>39210</Characters>
  <Application>Microsoft Office Word</Application>
  <DocSecurity>4</DocSecurity>
  <Lines>326</Lines>
  <Paragraphs>91</Paragraphs>
  <ScaleCrop>false</ScaleCrop>
  <HeadingPairs>
    <vt:vector size="2" baseType="variant">
      <vt:variant>
        <vt:lpstr>Название</vt:lpstr>
      </vt:variant>
      <vt:variant>
        <vt:i4>1</vt:i4>
      </vt:variant>
    </vt:vector>
  </HeadingPairs>
  <TitlesOfParts>
    <vt:vector size="1" baseType="lpstr">
      <vt:lpstr>0945502</vt:lpstr>
    </vt:vector>
  </TitlesOfParts>
  <Company>CSD</Company>
  <LinksUpToDate>false</LinksUpToDate>
  <CharactersWithSpaces>45997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0945502</dc:title>
  <dc:subject>kartabanov</dc:subject>
  <dc:creator>Людмила ЦЕПЕЛЕВА</dc:creator>
  <cp:keywords/>
  <dc:description/>
  <cp:lastModifiedBy>Людмила ЦЕПЕЛЕВА</cp:lastModifiedBy>
  <cp:revision>2</cp:revision>
  <cp:lastPrinted>2010-03-31T10:09:00Z</cp:lastPrinted>
  <dcterms:created xsi:type="dcterms:W3CDTF">2010-03-31T10:10:00Z</dcterms:created>
  <dcterms:modified xsi:type="dcterms:W3CDTF">2010-03-31T10:10:00Z</dcterms:modified>
</cp:coreProperties>
</file>