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61" w:rsidRDefault="006A5B61" w:rsidP="006A5B61">
      <w:pPr>
        <w:spacing w:line="60" w:lineRule="exact"/>
        <w:rPr>
          <w:sz w:val="6"/>
        </w:rPr>
        <w:sectPr w:rsidR="006A5B61" w:rsidSect="006A5B6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6A5B61" w:rsidRDefault="006A5B61" w:rsidP="006A5B61">
      <w:pPr>
        <w:spacing w:line="60" w:lineRule="exact"/>
        <w:rPr>
          <w:sz w:val="6"/>
        </w:rPr>
      </w:pPr>
    </w:p>
    <w:p w:rsidR="00D75EA5" w:rsidRPr="008C170F" w:rsidRDefault="00D75EA5" w:rsidP="008C170F">
      <w:pPr>
        <w:pStyle w:val="SingleTxt"/>
        <w:spacing w:after="60"/>
        <w:ind w:left="6"/>
        <w:rPr>
          <w:rFonts w:ascii="SimHei" w:eastAsia="SimHei" w:hint="eastAsia"/>
          <w:color w:val="FF0000"/>
          <w:sz w:val="24"/>
          <w:szCs w:val="24"/>
        </w:rPr>
      </w:pPr>
      <w:r w:rsidRPr="008C170F">
        <w:rPr>
          <w:rFonts w:ascii="SimHei" w:eastAsia="SimHei" w:hint="eastAsia"/>
          <w:color w:val="FF0000"/>
          <w:sz w:val="24"/>
          <w:szCs w:val="24"/>
        </w:rPr>
        <w:t>消除对妇女歧视委员会</w:t>
      </w:r>
    </w:p>
    <w:p w:rsidR="00D75EA5" w:rsidRPr="008C170F" w:rsidRDefault="00D75EA5" w:rsidP="008C170F">
      <w:pPr>
        <w:pStyle w:val="SingleTxt"/>
        <w:spacing w:after="60"/>
        <w:ind w:left="6"/>
        <w:rPr>
          <w:rFonts w:hint="eastAsia"/>
        </w:rPr>
      </w:pPr>
      <w:r w:rsidRPr="008C170F">
        <w:rPr>
          <w:rFonts w:hint="eastAsia"/>
        </w:rPr>
        <w:t>会前工作组</w:t>
      </w:r>
    </w:p>
    <w:p w:rsidR="00D75EA5" w:rsidRPr="008C170F" w:rsidRDefault="00D75EA5" w:rsidP="008C170F">
      <w:pPr>
        <w:pStyle w:val="SingleTxt"/>
        <w:spacing w:after="60"/>
        <w:ind w:left="6"/>
        <w:rPr>
          <w:rFonts w:ascii="SimHei" w:eastAsia="SimHei" w:hint="eastAsia"/>
          <w:color w:val="FF0000"/>
        </w:rPr>
      </w:pPr>
      <w:r w:rsidRPr="008C170F">
        <w:rPr>
          <w:rFonts w:ascii="SimHei" w:eastAsia="SimHei" w:hint="eastAsia"/>
          <w:color w:val="FF0000"/>
        </w:rPr>
        <w:t>第三十九届会议</w:t>
      </w:r>
    </w:p>
    <w:p w:rsidR="00D75EA5" w:rsidRDefault="00D75EA5" w:rsidP="008C170F">
      <w:pPr>
        <w:pStyle w:val="SingleTxt"/>
        <w:spacing w:after="60"/>
        <w:ind w:left="6"/>
        <w:rPr>
          <w:rFonts w:hint="eastAsia"/>
        </w:rPr>
      </w:pPr>
      <w:r>
        <w:rPr>
          <w:rFonts w:hint="eastAsia"/>
        </w:rPr>
        <w:t>2007年7月23日至8月10日</w:t>
      </w:r>
    </w:p>
    <w:p w:rsidR="008C170F" w:rsidRPr="008C170F" w:rsidRDefault="008C170F" w:rsidP="008C170F">
      <w:pPr>
        <w:pStyle w:val="SingleTxt"/>
        <w:spacing w:after="0" w:line="120" w:lineRule="exact"/>
        <w:rPr>
          <w:rFonts w:hint="eastAsia"/>
          <w:sz w:val="10"/>
        </w:rPr>
      </w:pPr>
    </w:p>
    <w:p w:rsidR="008C170F" w:rsidRPr="008C170F" w:rsidRDefault="008C170F" w:rsidP="008C170F">
      <w:pPr>
        <w:pStyle w:val="SingleTxt"/>
        <w:spacing w:after="0" w:line="120" w:lineRule="exact"/>
        <w:rPr>
          <w:rFonts w:hint="eastAsia"/>
          <w:sz w:val="10"/>
        </w:rPr>
      </w:pPr>
    </w:p>
    <w:p w:rsidR="00D75EA5" w:rsidRDefault="008C170F" w:rsidP="008C170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75EA5">
        <w:rPr>
          <w:rFonts w:hint="eastAsia"/>
        </w:rPr>
        <w:t>与审议定期报告有关的议题和问题清单</w:t>
      </w:r>
    </w:p>
    <w:p w:rsidR="008C170F" w:rsidRPr="008C170F" w:rsidRDefault="008C170F" w:rsidP="008C170F">
      <w:pPr>
        <w:pStyle w:val="SingleTxt"/>
        <w:spacing w:after="0" w:line="120" w:lineRule="exact"/>
        <w:rPr>
          <w:rFonts w:hint="eastAsia"/>
          <w:sz w:val="10"/>
        </w:rPr>
      </w:pPr>
    </w:p>
    <w:p w:rsidR="00D75EA5" w:rsidRDefault="008C170F" w:rsidP="008C17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75EA5">
        <w:rPr>
          <w:rFonts w:hint="eastAsia"/>
        </w:rPr>
        <w:t>匈牙利</w:t>
      </w:r>
    </w:p>
    <w:p w:rsidR="008C170F" w:rsidRPr="008C170F" w:rsidRDefault="008C170F" w:rsidP="008C170F">
      <w:pPr>
        <w:pStyle w:val="SingleTxt"/>
        <w:spacing w:after="0" w:line="120" w:lineRule="exact"/>
        <w:rPr>
          <w:rFonts w:hint="eastAsia"/>
          <w:sz w:val="10"/>
        </w:rPr>
      </w:pPr>
    </w:p>
    <w:p w:rsidR="008C170F" w:rsidRPr="008C170F" w:rsidRDefault="008C170F" w:rsidP="008C170F">
      <w:pPr>
        <w:pStyle w:val="SingleTxt"/>
        <w:spacing w:after="0" w:line="120" w:lineRule="exact"/>
        <w:rPr>
          <w:rFonts w:hint="eastAsia"/>
          <w:sz w:val="10"/>
        </w:rPr>
      </w:pPr>
    </w:p>
    <w:p w:rsidR="00D75EA5" w:rsidRDefault="00D75EA5" w:rsidP="00D75EA5">
      <w:pPr>
        <w:pStyle w:val="SingleTxt"/>
        <w:rPr>
          <w:rFonts w:hint="eastAsia"/>
        </w:rPr>
      </w:pPr>
      <w:r>
        <w:rPr>
          <w:rFonts w:hint="eastAsia"/>
        </w:rPr>
        <w:t>1．</w:t>
      </w:r>
      <w:r>
        <w:rPr>
          <w:rFonts w:hint="eastAsia"/>
        </w:rPr>
        <w:tab/>
        <w:t>会前工作组审查了匈牙利的第六次定期报告（CEDAW/C/HUN/6）。</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《宪法》、法律和国家机制</w:t>
      </w:r>
    </w:p>
    <w:p w:rsidR="00D75EA5" w:rsidRDefault="00D75EA5" w:rsidP="00D75EA5">
      <w:pPr>
        <w:pStyle w:val="SingleTxt"/>
        <w:rPr>
          <w:rFonts w:hint="eastAsia"/>
        </w:rPr>
      </w:pPr>
      <w:r>
        <w:rPr>
          <w:rFonts w:hint="eastAsia"/>
        </w:rPr>
        <w:t>2．</w:t>
      </w:r>
      <w:r>
        <w:rPr>
          <w:rFonts w:hint="eastAsia"/>
        </w:rPr>
        <w:tab/>
        <w:t>请提供资料说明《平等待遇法案》对促进两性平等所产生的影响。还请提供例证说明报告中提到的根据《平等待遇法案》免除责任的情形。</w:t>
      </w:r>
    </w:p>
    <w:p w:rsidR="00D75EA5" w:rsidRDefault="00D75EA5" w:rsidP="00D75EA5">
      <w:pPr>
        <w:pStyle w:val="SingleTxt"/>
        <w:rPr>
          <w:rFonts w:hint="eastAsia"/>
        </w:rPr>
      </w:pPr>
      <w:r>
        <w:rPr>
          <w:rFonts w:hint="eastAsia"/>
        </w:rPr>
        <w:t>3．</w:t>
      </w:r>
      <w:r>
        <w:rPr>
          <w:rFonts w:hint="eastAsia"/>
        </w:rPr>
        <w:tab/>
        <w:t>除了报告中提到</w:t>
      </w:r>
      <w:r w:rsidR="009C3F80">
        <w:rPr>
          <w:rFonts w:hint="eastAsia"/>
        </w:rPr>
        <w:t>的</w:t>
      </w:r>
      <w:r>
        <w:rPr>
          <w:rFonts w:hint="eastAsia"/>
        </w:rPr>
        <w:t>向平等待遇机构</w:t>
      </w:r>
      <w:r w:rsidR="009C3F80">
        <w:rPr>
          <w:rFonts w:hint="eastAsia"/>
        </w:rPr>
        <w:t>的</w:t>
      </w:r>
      <w:r>
        <w:rPr>
          <w:rFonts w:hint="eastAsia"/>
        </w:rPr>
        <w:t>投诉之外，请提供资料说明</w:t>
      </w:r>
      <w:r w:rsidR="009C3F80">
        <w:rPr>
          <w:rFonts w:hint="eastAsia"/>
        </w:rPr>
        <w:t>是否有</w:t>
      </w:r>
      <w:r>
        <w:rPr>
          <w:rFonts w:hint="eastAsia"/>
        </w:rPr>
        <w:t>受歧视妇女</w:t>
      </w:r>
      <w:r w:rsidR="009C3F80">
        <w:rPr>
          <w:rFonts w:hint="eastAsia"/>
        </w:rPr>
        <w:t>向</w:t>
      </w:r>
      <w:r>
        <w:rPr>
          <w:rFonts w:hint="eastAsia"/>
        </w:rPr>
        <w:t>法庭</w:t>
      </w:r>
      <w:r w:rsidR="009C3F80">
        <w:rPr>
          <w:rFonts w:hint="eastAsia"/>
        </w:rPr>
        <w:t>提出诉讼</w:t>
      </w:r>
      <w:r>
        <w:rPr>
          <w:rFonts w:hint="eastAsia"/>
        </w:rPr>
        <w:t>及其结果。</w:t>
      </w:r>
    </w:p>
    <w:p w:rsidR="00D75EA5" w:rsidRDefault="00D75EA5" w:rsidP="00D75EA5">
      <w:pPr>
        <w:pStyle w:val="SingleTxt"/>
        <w:rPr>
          <w:rFonts w:hint="eastAsia"/>
        </w:rPr>
      </w:pPr>
      <w:r>
        <w:rPr>
          <w:rFonts w:hint="eastAsia"/>
        </w:rPr>
        <w:t>4．</w:t>
      </w:r>
      <w:r>
        <w:rPr>
          <w:rFonts w:hint="eastAsia"/>
        </w:rPr>
        <w:tab/>
        <w:t>报告指出，在向平等待遇机构提出的投诉案中，歧视妇女案所占百分比很小，并强调“将妇女的权利和现有的法律补救办法更加有效地告知有关各方，以及加强妇女非政府组织是非常重要的。”政府正在采取哪些步骤确保适当满足这些要求？</w:t>
      </w:r>
    </w:p>
    <w:p w:rsidR="00D75EA5" w:rsidRDefault="00D75EA5" w:rsidP="00D75EA5">
      <w:pPr>
        <w:pStyle w:val="SingleTxt"/>
        <w:rPr>
          <w:rFonts w:hint="eastAsia"/>
        </w:rPr>
      </w:pPr>
      <w:r>
        <w:rPr>
          <w:rFonts w:hint="eastAsia"/>
        </w:rPr>
        <w:t>5．</w:t>
      </w:r>
      <w:r>
        <w:rPr>
          <w:rFonts w:hint="eastAsia"/>
        </w:rPr>
        <w:tab/>
      </w:r>
      <w:r w:rsidR="009C3F80">
        <w:rPr>
          <w:rFonts w:hint="eastAsia"/>
        </w:rPr>
        <w:t>报告指出，根据拟定的</w:t>
      </w:r>
      <w:r>
        <w:rPr>
          <w:rFonts w:hint="eastAsia"/>
        </w:rPr>
        <w:t>T</w:t>
      </w:r>
      <w:r w:rsidR="009C3F80">
        <w:rPr>
          <w:rFonts w:hint="eastAsia"/>
        </w:rPr>
        <w:t xml:space="preserve"> </w:t>
      </w:r>
      <w:r>
        <w:rPr>
          <w:rFonts w:hint="eastAsia"/>
        </w:rPr>
        <w:t>18902号修正案，“正在逐步将性骚扰概念列入匈牙利法律”。请提供资料说明该拟定修正案的现况，包括其内容及开始生效的时间表。</w:t>
      </w:r>
    </w:p>
    <w:p w:rsidR="00D75EA5" w:rsidRDefault="00D75EA5" w:rsidP="00D75EA5">
      <w:pPr>
        <w:pStyle w:val="SingleTxt"/>
        <w:rPr>
          <w:rFonts w:hint="eastAsia"/>
        </w:rPr>
      </w:pPr>
      <w:r>
        <w:rPr>
          <w:rFonts w:hint="eastAsia"/>
        </w:rPr>
        <w:t>6．</w:t>
      </w:r>
      <w:r>
        <w:rPr>
          <w:rFonts w:hint="eastAsia"/>
        </w:rPr>
        <w:tab/>
        <w:t>委员会在2002年结论意见中建议政府评估负责提高妇女地位的国家机构的能力。这个国家机构应获得促进该缔约国努力执行《公约》所必需的权力、知名度以及人力和财政资源。</w:t>
      </w:r>
      <w:r w:rsidR="009C3F80">
        <w:rPr>
          <w:rStyle w:val="FootnoteReference"/>
        </w:rPr>
        <w:footnoteReference w:id="1"/>
      </w:r>
      <w:r>
        <w:rPr>
          <w:rFonts w:hint="eastAsia"/>
        </w:rPr>
        <w:t xml:space="preserve"> 请提供资料说明采取的措施是否真正加强了这个促进两性平等的国家机制及对原先的关切</w:t>
      </w:r>
      <w:r w:rsidR="009C3F80">
        <w:rPr>
          <w:rFonts w:hint="eastAsia"/>
        </w:rPr>
        <w:t>问题</w:t>
      </w:r>
      <w:r>
        <w:rPr>
          <w:rFonts w:hint="eastAsia"/>
        </w:rPr>
        <w:t>和建议作出有效回应，包括提供资料说明国家和地方各级所有结构之间的关系和协调。</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暂行特别措施</w:t>
      </w:r>
    </w:p>
    <w:p w:rsidR="00D75EA5" w:rsidRDefault="00D75EA5" w:rsidP="00D75EA5">
      <w:pPr>
        <w:pStyle w:val="SingleTxt"/>
        <w:rPr>
          <w:rFonts w:hint="eastAsia"/>
        </w:rPr>
      </w:pPr>
      <w:r>
        <w:rPr>
          <w:rFonts w:hint="eastAsia"/>
        </w:rPr>
        <w:t>7．</w:t>
      </w:r>
      <w:r>
        <w:rPr>
          <w:rFonts w:hint="eastAsia"/>
        </w:rPr>
        <w:tab/>
        <w:t>报告指出，“要实现事实上的平等，仍有很多工作要做”，</w:t>
      </w:r>
      <w:r w:rsidR="009C3F80">
        <w:rPr>
          <w:rFonts w:hint="eastAsia"/>
        </w:rPr>
        <w:t>“这需要积极的措施来实现真正的平等。”报告还指出，</w:t>
      </w:r>
      <w:r>
        <w:rPr>
          <w:rFonts w:hint="eastAsia"/>
        </w:rPr>
        <w:t>根据《平等待遇法案》，“实行配额制度和其他优惠规则在法律上是有可能的”。请提供详情说明根据《公约》第四条第1款已在采取和计划采取的暂行特别措施，并评估这些措施对加快实现事实上的平等的目标所产生的影响。</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参政和决策</w:t>
      </w:r>
    </w:p>
    <w:p w:rsidR="00D75EA5" w:rsidRDefault="00D75EA5" w:rsidP="00D75EA5">
      <w:pPr>
        <w:pStyle w:val="SingleTxt"/>
        <w:rPr>
          <w:rFonts w:hint="eastAsia"/>
        </w:rPr>
      </w:pPr>
      <w:r>
        <w:rPr>
          <w:rFonts w:hint="eastAsia"/>
        </w:rPr>
        <w:t>8．</w:t>
      </w:r>
      <w:r>
        <w:rPr>
          <w:rFonts w:hint="eastAsia"/>
        </w:rPr>
        <w:tab/>
        <w:t>鉴于妇女在获得决策职务方面没有重大改变，请提供详情说明政府将在特定时限内采取哪些措施改善妇女对政治生活和公共生活的参与，尤其是在高级别，包括对议会、政府各部门和地方政府的参与，其中考虑到关于《公约》第四条第1款的一般性建议25和关于妇女参与公共生活的一般性建议23。</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暴力侵害妇女行为</w:t>
      </w:r>
    </w:p>
    <w:p w:rsidR="00D75EA5" w:rsidRDefault="00D75EA5" w:rsidP="00D75EA5">
      <w:pPr>
        <w:pStyle w:val="SingleTxt"/>
        <w:rPr>
          <w:rFonts w:hint="eastAsia"/>
        </w:rPr>
      </w:pPr>
      <w:r>
        <w:rPr>
          <w:rFonts w:hint="eastAsia"/>
        </w:rPr>
        <w:t>9．</w:t>
      </w:r>
      <w:r w:rsidR="008C170F">
        <w:rPr>
          <w:rFonts w:hint="eastAsia"/>
        </w:rPr>
        <w:tab/>
      </w:r>
      <w:r>
        <w:rPr>
          <w:rFonts w:hint="eastAsia"/>
        </w:rPr>
        <w:t>请提供资料说明2005</w:t>
      </w:r>
      <w:r w:rsidR="009C3F80">
        <w:rPr>
          <w:rFonts w:hint="eastAsia"/>
        </w:rPr>
        <w:t>年关于《刑法典》</w:t>
      </w:r>
      <w:r>
        <w:rPr>
          <w:rFonts w:hint="eastAsia"/>
        </w:rPr>
        <w:t>1978年第四号法令修正案和2006年关于刑事诉讼1998</w:t>
      </w:r>
      <w:r w:rsidR="009C3F80">
        <w:rPr>
          <w:rFonts w:hint="eastAsia"/>
        </w:rPr>
        <w:t>年第十九号法令修正案中有关限制令的实施情况，包括</w:t>
      </w:r>
      <w:r>
        <w:rPr>
          <w:rFonts w:hint="eastAsia"/>
        </w:rPr>
        <w:t>共发布了多少限制令及在何种情况下发布限制令，正在作出哪些努力让妇女了解她们可利用这一保护手段。</w:t>
      </w:r>
    </w:p>
    <w:p w:rsidR="00D75EA5" w:rsidRDefault="00D75EA5" w:rsidP="00D75EA5">
      <w:pPr>
        <w:pStyle w:val="SingleTxt"/>
        <w:rPr>
          <w:rFonts w:hint="eastAsia"/>
        </w:rPr>
      </w:pPr>
      <w:r>
        <w:rPr>
          <w:rFonts w:hint="eastAsia"/>
        </w:rPr>
        <w:t>10．</w:t>
      </w:r>
      <w:r>
        <w:rPr>
          <w:rFonts w:hint="eastAsia"/>
        </w:rPr>
        <w:tab/>
        <w:t>请提供最新资料说明涉及暴力侵害妇女，包括家庭暴力的法院诉讼案数目，请说明定罪和判刑的案例数目。</w:t>
      </w:r>
    </w:p>
    <w:p w:rsidR="00D75EA5" w:rsidRDefault="00D75EA5" w:rsidP="00D75EA5">
      <w:pPr>
        <w:pStyle w:val="SingleTxt"/>
        <w:rPr>
          <w:rFonts w:hint="eastAsia"/>
        </w:rPr>
      </w:pPr>
      <w:r>
        <w:rPr>
          <w:rFonts w:hint="eastAsia"/>
        </w:rPr>
        <w:t>11．</w:t>
      </w:r>
      <w:r>
        <w:rPr>
          <w:rFonts w:hint="eastAsia"/>
        </w:rPr>
        <w:tab/>
        <w:t>请提供资料说明议会通过的防止和有效处理家庭暴力国家战略的实施情况，包括战略目标和战略中规定的时间表。</w:t>
      </w:r>
    </w:p>
    <w:p w:rsidR="00D75EA5" w:rsidRDefault="00D75EA5" w:rsidP="00D75EA5">
      <w:pPr>
        <w:pStyle w:val="SingleTxt"/>
        <w:rPr>
          <w:rFonts w:hint="eastAsia"/>
        </w:rPr>
      </w:pPr>
      <w:r>
        <w:rPr>
          <w:rFonts w:hint="eastAsia"/>
        </w:rPr>
        <w:t>12．</w:t>
      </w:r>
      <w:r>
        <w:rPr>
          <w:rFonts w:hint="eastAsia"/>
        </w:rPr>
        <w:tab/>
        <w:t>报告指出，“关于家庭暴力的特定主题，没有向负责该法律适用和执行的人提供有组织的定期培训”（见CEDAW/C/HUN/6，脚注30）。请说明正在采取哪些措施提供这方面的培训，并按照委员会2002年结论意见中的建议，</w:t>
      </w:r>
      <w:r w:rsidR="009C3F80">
        <w:rPr>
          <w:rStyle w:val="FootnoteReference"/>
        </w:rPr>
        <w:footnoteReference w:id="2"/>
      </w:r>
      <w:r>
        <w:rPr>
          <w:rFonts w:hint="eastAsia"/>
        </w:rPr>
        <w:t xml:space="preserve"> 确保公职人员尤其是执法官员、司法人员、</w:t>
      </w:r>
      <w:r w:rsidR="009C3F80">
        <w:rPr>
          <w:rFonts w:hint="eastAsia"/>
        </w:rPr>
        <w:t>医务</w:t>
      </w:r>
      <w:r>
        <w:rPr>
          <w:rFonts w:hint="eastAsia"/>
        </w:rPr>
        <w:t>专业人员和社会工作者，完全了解各种形式的暴力侵害妇女行为。</w:t>
      </w:r>
    </w:p>
    <w:p w:rsidR="00D75EA5" w:rsidRDefault="00D75EA5" w:rsidP="00D75EA5">
      <w:pPr>
        <w:pStyle w:val="SingleTxt"/>
        <w:rPr>
          <w:rFonts w:hint="eastAsia"/>
        </w:rPr>
      </w:pPr>
      <w:r>
        <w:rPr>
          <w:rFonts w:hint="eastAsia"/>
        </w:rPr>
        <w:t>13．</w:t>
      </w:r>
      <w:r>
        <w:rPr>
          <w:rFonts w:hint="eastAsia"/>
        </w:rPr>
        <w:tab/>
        <w:t>报告提到若干</w:t>
      </w:r>
      <w:r w:rsidR="009C3F80">
        <w:rPr>
          <w:rFonts w:hint="eastAsia"/>
        </w:rPr>
        <w:t>举措</w:t>
      </w:r>
      <w:r>
        <w:rPr>
          <w:rFonts w:hint="eastAsia"/>
        </w:rPr>
        <w:t>，包括国家危机管理和信息电话服务，这是一个向受害者提供临时住所和秘密收容所的</w:t>
      </w:r>
      <w:r w:rsidR="009C3F80">
        <w:rPr>
          <w:rFonts w:hint="eastAsia"/>
        </w:rPr>
        <w:t>试点方案。请说明这些举措是否还</w:t>
      </w:r>
      <w:r>
        <w:rPr>
          <w:rFonts w:hint="eastAsia"/>
        </w:rPr>
        <w:t>在</w:t>
      </w:r>
      <w:r w:rsidR="009C3F80">
        <w:rPr>
          <w:rFonts w:hint="eastAsia"/>
        </w:rPr>
        <w:t>实施，是否已将此项试点方案推广到国家的其他地区。</w:t>
      </w:r>
      <w:r w:rsidR="0010530D">
        <w:rPr>
          <w:rFonts w:hint="eastAsia"/>
        </w:rPr>
        <w:t>还请</w:t>
      </w:r>
      <w:r>
        <w:rPr>
          <w:rFonts w:hint="eastAsia"/>
        </w:rPr>
        <w:t>说明家庭暴力受害者可赖以栖身的收容所有多少家，受害者能否获得法律援助，</w:t>
      </w:r>
      <w:r w:rsidR="0010530D">
        <w:rPr>
          <w:rFonts w:hint="eastAsia"/>
        </w:rPr>
        <w:t>并</w:t>
      </w:r>
      <w:r>
        <w:rPr>
          <w:rFonts w:hint="eastAsia"/>
        </w:rPr>
        <w:t>说明向家庭暴力受害者提供的任何其他服务和援助。</w:t>
      </w:r>
    </w:p>
    <w:p w:rsidR="00D75EA5" w:rsidRDefault="00D75EA5" w:rsidP="00D75EA5">
      <w:pPr>
        <w:pStyle w:val="SingleTxt"/>
        <w:rPr>
          <w:rFonts w:hint="eastAsia"/>
        </w:rPr>
      </w:pPr>
      <w:r>
        <w:rPr>
          <w:rFonts w:hint="eastAsia"/>
        </w:rPr>
        <w:t>14．</w:t>
      </w:r>
      <w:r>
        <w:rPr>
          <w:rFonts w:hint="eastAsia"/>
        </w:rPr>
        <w:tab/>
        <w:t>委员会在2002年结论意见中建议缔约国改革法律，将性犯罪定义为涉及侵犯妇女人身安全权利的罪行；建议缔约国将强奸罪定义为未经同意的性交</w:t>
      </w:r>
      <w:r w:rsidR="009C3F80">
        <w:rPr>
          <w:rFonts w:hint="eastAsia"/>
        </w:rPr>
        <w:t>；</w:t>
      </w:r>
      <w:r>
        <w:rPr>
          <w:rFonts w:hint="eastAsia"/>
        </w:rPr>
        <w:t>修订有关诱奸14岁以下少女的法律，以纳入法定强奸罪</w:t>
      </w:r>
      <w:r w:rsidR="009C3F80">
        <w:rPr>
          <w:rFonts w:hint="eastAsia"/>
        </w:rPr>
        <w:t>概念并禁止与未成年少女性交的</w:t>
      </w:r>
      <w:r>
        <w:rPr>
          <w:rFonts w:hint="eastAsia"/>
        </w:rPr>
        <w:t>。请提供资料说明为落实委员会的建议采取了哪些步骤。</w:t>
      </w:r>
    </w:p>
    <w:p w:rsidR="00D75EA5" w:rsidRDefault="00D75EA5" w:rsidP="00D75EA5">
      <w:pPr>
        <w:pStyle w:val="SingleTxt"/>
        <w:rPr>
          <w:rFonts w:hint="eastAsia"/>
        </w:rPr>
      </w:pPr>
      <w:r>
        <w:rPr>
          <w:rFonts w:hint="eastAsia"/>
        </w:rPr>
        <w:t>15．</w:t>
      </w:r>
      <w:r>
        <w:rPr>
          <w:rFonts w:hint="eastAsia"/>
        </w:rPr>
        <w:tab/>
        <w:t>委员会在2006年8月第三十六届会议上，决定结束对委员会有关A.T.女士诉匈牙利的第2/2003号来文的意见采取后续行动，还决定要求提供有关意见的后续行动的任何进一步资料都</w:t>
      </w:r>
      <w:r w:rsidR="009C3F80">
        <w:rPr>
          <w:rFonts w:hint="eastAsia"/>
        </w:rPr>
        <w:t>将</w:t>
      </w:r>
      <w:r>
        <w:rPr>
          <w:rFonts w:hint="eastAsia"/>
        </w:rPr>
        <w:t>在《公约》第十八条规定的报告程序框架内提出。请提供资料说明为贯彻委员会就来文者提出的建议而采取的进一步行动。</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剥削卖淫者和贩运</w:t>
      </w:r>
    </w:p>
    <w:p w:rsidR="00D75EA5" w:rsidRDefault="00D75EA5" w:rsidP="00D75EA5">
      <w:pPr>
        <w:pStyle w:val="SingleTxt"/>
        <w:rPr>
          <w:rFonts w:hint="eastAsia"/>
        </w:rPr>
      </w:pPr>
      <w:r>
        <w:rPr>
          <w:rFonts w:hint="eastAsia"/>
        </w:rPr>
        <w:t>16．</w:t>
      </w:r>
      <w:r>
        <w:rPr>
          <w:rFonts w:hint="eastAsia"/>
        </w:rPr>
        <w:tab/>
        <w:t>委员会在2002年结论意见中请缔约国在其下一次报告中列入关于卖淫的法律草案的审查情况，并提供任何立法修改信息，确保有效禁止对卖淫妇女的剥削，并确保她们能获得保健和社会服务以及保护其人权的其他支助手段。</w:t>
      </w:r>
      <w:r w:rsidR="009C3F80">
        <w:rPr>
          <w:rStyle w:val="FootnoteReference"/>
        </w:rPr>
        <w:footnoteReference w:id="3"/>
      </w:r>
      <w:r>
        <w:rPr>
          <w:rFonts w:hint="eastAsia"/>
        </w:rPr>
        <w:t xml:space="preserve"> 报告提到，2005年内政部拟定了一个新概念，“总结了现行管理制度存在的问题，提出了向前迈进的可行办法。”报告还提到为卖淫者提供流动体检的</w:t>
      </w:r>
      <w:r w:rsidR="009C3F80">
        <w:rPr>
          <w:rFonts w:hint="eastAsia"/>
        </w:rPr>
        <w:t>试点</w:t>
      </w:r>
      <w:r>
        <w:rPr>
          <w:rFonts w:hint="eastAsia"/>
        </w:rPr>
        <w:t>项目。请提供资料</w:t>
      </w:r>
      <w:r w:rsidR="009C3F80">
        <w:rPr>
          <w:rFonts w:hint="eastAsia"/>
        </w:rPr>
        <w:t>说明这一新概念的内容和现况及是否得到实施，以及政府为落实委员会</w:t>
      </w:r>
      <w:r>
        <w:rPr>
          <w:rFonts w:hint="eastAsia"/>
        </w:rPr>
        <w:t>建议</w:t>
      </w:r>
      <w:r w:rsidR="009C3F80">
        <w:rPr>
          <w:rFonts w:hint="eastAsia"/>
        </w:rPr>
        <w:t>而</w:t>
      </w:r>
      <w:r>
        <w:rPr>
          <w:rFonts w:hint="eastAsia"/>
        </w:rPr>
        <w:t>采取的其他步骤。</w:t>
      </w:r>
    </w:p>
    <w:p w:rsidR="00D75EA5" w:rsidRDefault="00D75EA5" w:rsidP="00D75EA5">
      <w:pPr>
        <w:pStyle w:val="SingleTxt"/>
        <w:rPr>
          <w:rFonts w:hint="eastAsia"/>
        </w:rPr>
      </w:pPr>
      <w:r>
        <w:rPr>
          <w:rFonts w:hint="eastAsia"/>
        </w:rPr>
        <w:t>17．</w:t>
      </w:r>
      <w:r>
        <w:rPr>
          <w:rFonts w:hint="eastAsia"/>
        </w:rPr>
        <w:tab/>
      </w:r>
      <w:r w:rsidR="009C3F80">
        <w:rPr>
          <w:rFonts w:hint="eastAsia"/>
        </w:rPr>
        <w:t>请提供数据说明贩入、贩</w:t>
      </w:r>
      <w:r>
        <w:rPr>
          <w:rFonts w:hint="eastAsia"/>
        </w:rPr>
        <w:t>出匈牙利和通过匈牙利</w:t>
      </w:r>
      <w:r w:rsidR="009C3F80">
        <w:rPr>
          <w:rFonts w:hint="eastAsia"/>
        </w:rPr>
        <w:t>过境</w:t>
      </w:r>
      <w:r>
        <w:rPr>
          <w:rFonts w:hint="eastAsia"/>
        </w:rPr>
        <w:t>贩运的妇女和女孩的人数，还请提供资料说明被起诉和定罪的贩运者人数。</w:t>
      </w:r>
    </w:p>
    <w:p w:rsidR="00D75EA5" w:rsidRDefault="00D75EA5" w:rsidP="00D75EA5">
      <w:pPr>
        <w:pStyle w:val="SingleTxt"/>
        <w:rPr>
          <w:rFonts w:hint="eastAsia"/>
        </w:rPr>
      </w:pPr>
      <w:r>
        <w:rPr>
          <w:rFonts w:hint="eastAsia"/>
        </w:rPr>
        <w:t>18．</w:t>
      </w:r>
      <w:r>
        <w:rPr>
          <w:rFonts w:hint="eastAsia"/>
        </w:rPr>
        <w:tab/>
        <w:t>报告指出，已采取步骤“制定国家方案，目的是防止贩运人口、帮助受害者和使他们重新融入社会。”报告还提到其他一些倡议，例如内政部制定的打击贩运人口行动计划。请提供资料说明拟定的国家方案和/或行动计划的现况，包括是否已通过和付诸实施以及采取的措施。还请说明对国家方案、行动计划和其他打击贩运、保护受害者</w:t>
      </w:r>
      <w:r w:rsidR="009C3F80">
        <w:rPr>
          <w:rFonts w:hint="eastAsia"/>
        </w:rPr>
        <w:t>举措</w:t>
      </w:r>
      <w:r>
        <w:rPr>
          <w:rFonts w:hint="eastAsia"/>
        </w:rPr>
        <w:t>的评估结果和为</w:t>
      </w:r>
      <w:r w:rsidR="009C3F80">
        <w:rPr>
          <w:rFonts w:hint="eastAsia"/>
        </w:rPr>
        <w:t>回应</w:t>
      </w:r>
      <w:r>
        <w:rPr>
          <w:rFonts w:hint="eastAsia"/>
        </w:rPr>
        <w:t>评估</w:t>
      </w:r>
      <w:r w:rsidR="009C3F80">
        <w:rPr>
          <w:rFonts w:hint="eastAsia"/>
        </w:rPr>
        <w:t>结果</w:t>
      </w:r>
      <w:r>
        <w:rPr>
          <w:rFonts w:hint="eastAsia"/>
        </w:rPr>
        <w:t>而采取的步骤。</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定型观念和教育</w:t>
      </w:r>
    </w:p>
    <w:p w:rsidR="00D75EA5" w:rsidRDefault="00D75EA5" w:rsidP="00D75EA5">
      <w:pPr>
        <w:pStyle w:val="SingleTxt"/>
        <w:rPr>
          <w:rFonts w:hint="eastAsia"/>
        </w:rPr>
      </w:pPr>
      <w:r>
        <w:rPr>
          <w:rFonts w:hint="eastAsia"/>
        </w:rPr>
        <w:t>19．</w:t>
      </w:r>
      <w:r>
        <w:rPr>
          <w:rFonts w:hint="eastAsia"/>
        </w:rPr>
        <w:tab/>
        <w:t>委员会在2002年结论意见中敦请缔约国在教育系统制订和执行综合方案，包括提供人权教育和性别问题培训，其中包括散发关于公约的资料，以期改变现有的陈规定型态度，宣传养育子女是父母亲共有的社会责任的观念。</w:t>
      </w:r>
      <w:r w:rsidR="00CD65E8">
        <w:rPr>
          <w:rStyle w:val="FootnoteReference"/>
        </w:rPr>
        <w:footnoteReference w:id="4"/>
      </w:r>
      <w:r>
        <w:rPr>
          <w:rFonts w:hint="eastAsia"/>
        </w:rPr>
        <w:t xml:space="preserve"> 请提供进一步详情，说明缔约国为落实委员会建议</w:t>
      </w:r>
      <w:r w:rsidR="00CD65E8">
        <w:rPr>
          <w:rFonts w:hint="eastAsia"/>
        </w:rPr>
        <w:t>而</w:t>
      </w:r>
      <w:r>
        <w:rPr>
          <w:rFonts w:hint="eastAsia"/>
        </w:rPr>
        <w:t>采取的全面对应措施。请列入资料说明将采取哪些措施，在一个特点时限内从学校教科书中删除有关性别角色的定型观念。</w:t>
      </w:r>
    </w:p>
    <w:p w:rsidR="00D75EA5" w:rsidRDefault="00D75EA5" w:rsidP="00D75EA5">
      <w:pPr>
        <w:pStyle w:val="SingleTxt"/>
        <w:rPr>
          <w:rFonts w:hint="eastAsia"/>
        </w:rPr>
      </w:pPr>
      <w:r>
        <w:rPr>
          <w:rFonts w:hint="eastAsia"/>
        </w:rPr>
        <w:t>20．</w:t>
      </w:r>
      <w:r>
        <w:rPr>
          <w:rFonts w:hint="eastAsia"/>
        </w:rPr>
        <w:tab/>
        <w:t>报告指出，“在各类中等教育和职业选择上，通常存在着一定的性别隔离现象”，“在高等教育中，职业选择也存在着严重的性别隔离。”已采取哪些措施鼓励男女追求非传统的学业和职业，这些措施产生了哪些影响？</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就业</w:t>
      </w:r>
    </w:p>
    <w:p w:rsidR="00D75EA5" w:rsidRDefault="00D75EA5" w:rsidP="00D75EA5">
      <w:pPr>
        <w:pStyle w:val="SingleTxt"/>
        <w:rPr>
          <w:rFonts w:hint="eastAsia"/>
        </w:rPr>
      </w:pPr>
      <w:r>
        <w:rPr>
          <w:rFonts w:hint="eastAsia"/>
        </w:rPr>
        <w:t>21．</w:t>
      </w:r>
      <w:r>
        <w:rPr>
          <w:rFonts w:hint="eastAsia"/>
        </w:rPr>
        <w:tab/>
        <w:t>报告中讨论了男女之间的工资差异。除了公共部门工资增长了50％以外，考虑到私营部门的工资差距更大，还为解决这一问题作出哪些其他努力，这些步骤产生了哪些影响。</w:t>
      </w:r>
    </w:p>
    <w:p w:rsidR="00D75EA5" w:rsidRDefault="00D75EA5" w:rsidP="00D75EA5">
      <w:pPr>
        <w:pStyle w:val="SingleTxt"/>
        <w:rPr>
          <w:rFonts w:hint="eastAsia"/>
        </w:rPr>
      </w:pPr>
      <w:r>
        <w:rPr>
          <w:rFonts w:hint="eastAsia"/>
        </w:rPr>
        <w:t>22．</w:t>
      </w:r>
      <w:r>
        <w:rPr>
          <w:rFonts w:hint="eastAsia"/>
        </w:rPr>
        <w:tab/>
        <w:t>报告指出，《平等待遇法案》规定，“如果雇主向女雇员支付的工资较低，也可以免除责任，只要他能对雇员工资级别的差异做出合情合理的解释——根据客观评估与特定的法律关系直接相关。</w:t>
      </w:r>
      <w:r w:rsidR="00AA1182">
        <w:rPr>
          <w:rFonts w:hint="eastAsia"/>
        </w:rPr>
        <w:t>就</w:t>
      </w:r>
      <w:r>
        <w:rPr>
          <w:rFonts w:hint="eastAsia"/>
        </w:rPr>
        <w:t>男女工资</w:t>
      </w:r>
      <w:r w:rsidR="00AA1182">
        <w:rPr>
          <w:rFonts w:hint="eastAsia"/>
        </w:rPr>
        <w:t>差异而言</w:t>
      </w:r>
      <w:r>
        <w:rPr>
          <w:rFonts w:hint="eastAsia"/>
        </w:rPr>
        <w:t>，该规则</w:t>
      </w:r>
      <w:r w:rsidR="00AA1182">
        <w:rPr>
          <w:rFonts w:hint="eastAsia"/>
        </w:rPr>
        <w:t>是不足的</w:t>
      </w:r>
      <w:r>
        <w:rPr>
          <w:rFonts w:hint="eastAsia"/>
        </w:rPr>
        <w:t>，</w:t>
      </w:r>
      <w:r w:rsidR="00AA1182">
        <w:rPr>
          <w:rFonts w:hint="eastAsia"/>
        </w:rPr>
        <w:t>因此</w:t>
      </w:r>
      <w:r>
        <w:rPr>
          <w:rFonts w:hint="eastAsia"/>
        </w:rPr>
        <w:t>不能免责。”请说明该法案中是否仍列有这项免责规定，如果答复是肯定的话，正在作出哪些努力，在特定时限内修改这项规定。</w:t>
      </w:r>
    </w:p>
    <w:p w:rsidR="00D75EA5" w:rsidRDefault="00D75EA5" w:rsidP="00D75EA5">
      <w:pPr>
        <w:pStyle w:val="SingleTxt"/>
        <w:rPr>
          <w:rFonts w:hint="eastAsia"/>
        </w:rPr>
      </w:pPr>
      <w:r>
        <w:rPr>
          <w:rFonts w:hint="eastAsia"/>
        </w:rPr>
        <w:t>23．</w:t>
      </w:r>
      <w:r>
        <w:rPr>
          <w:rFonts w:hint="eastAsia"/>
        </w:rPr>
        <w:tab/>
        <w:t>报告提到劳工市场的横向隔离，指出所有职业中大约四分之一已完全女性化。报告还提到纵向隔离，妇女担任高级/管理职务的人数不足。请提供资料说明正在采取哪些措施消除这一状况，包括按照《公约》第四条第1款和委员会一般性建议25采取暂行特别措施。</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保健</w:t>
      </w:r>
    </w:p>
    <w:p w:rsidR="00D75EA5" w:rsidRDefault="00D75EA5" w:rsidP="00D75EA5">
      <w:pPr>
        <w:pStyle w:val="SingleTxt"/>
        <w:rPr>
          <w:rFonts w:hint="eastAsia"/>
        </w:rPr>
      </w:pPr>
      <w:r>
        <w:rPr>
          <w:rFonts w:hint="eastAsia"/>
        </w:rPr>
        <w:t>24．</w:t>
      </w:r>
      <w:r>
        <w:rPr>
          <w:rFonts w:hint="eastAsia"/>
        </w:rPr>
        <w:tab/>
        <w:t>报告提到妇女的癌症（包括肺癌、乳腺癌、结肠癌和卵巢癌）死亡率很高。请进一步说明应付这一状况的预防性措施和其他措施及产生的影响。</w:t>
      </w:r>
    </w:p>
    <w:p w:rsidR="00D75EA5" w:rsidRDefault="00D75EA5" w:rsidP="00D75EA5">
      <w:pPr>
        <w:pStyle w:val="SingleTxt"/>
        <w:rPr>
          <w:rFonts w:hint="eastAsia"/>
        </w:rPr>
      </w:pPr>
      <w:r>
        <w:rPr>
          <w:rFonts w:hint="eastAsia"/>
        </w:rPr>
        <w:t>25．</w:t>
      </w:r>
      <w:r>
        <w:rPr>
          <w:rFonts w:hint="eastAsia"/>
        </w:rPr>
        <w:tab/>
        <w:t>请进一步说明为解决妇女吸烟、酒类消费和滥用药物问题作出了哪些努力。</w:t>
      </w:r>
    </w:p>
    <w:p w:rsidR="00D75EA5" w:rsidRDefault="00D75EA5" w:rsidP="00D75EA5">
      <w:pPr>
        <w:pStyle w:val="SingleTxt"/>
        <w:rPr>
          <w:rFonts w:hint="eastAsia"/>
        </w:rPr>
      </w:pPr>
      <w:r>
        <w:rPr>
          <w:rFonts w:hint="eastAsia"/>
        </w:rPr>
        <w:t>26．</w:t>
      </w:r>
      <w:r>
        <w:rPr>
          <w:rFonts w:hint="eastAsia"/>
        </w:rPr>
        <w:tab/>
        <w:t>委员会在2002年结论意见中建议缔约国加强对男女儿童的性教育方案</w:t>
      </w:r>
      <w:r w:rsidR="00AA1182">
        <w:rPr>
          <w:rFonts w:hint="eastAsia"/>
        </w:rPr>
        <w:t>，</w:t>
      </w:r>
      <w:r>
        <w:rPr>
          <w:rFonts w:hint="eastAsia"/>
        </w:rPr>
        <w:t>采取一切适当措施鼓励负责任的性行为，</w:t>
      </w:r>
      <w:r w:rsidR="00AA1182">
        <w:rPr>
          <w:rFonts w:hint="eastAsia"/>
        </w:rPr>
        <w:t>并</w:t>
      </w:r>
      <w:r>
        <w:rPr>
          <w:rFonts w:hint="eastAsia"/>
        </w:rPr>
        <w:t>采取所有适当步骤停止以堕胎作为避孕方法。</w:t>
      </w:r>
      <w:r w:rsidR="00AA1182">
        <w:rPr>
          <w:rStyle w:val="FootnoteReference"/>
        </w:rPr>
        <w:footnoteReference w:id="5"/>
      </w:r>
      <w:r>
        <w:rPr>
          <w:rFonts w:hint="eastAsia"/>
        </w:rPr>
        <w:t xml:space="preserve"> 报告指出，2004年，堕胎率仍居高不下，在堕胎妇女中约12％是20岁以下</w:t>
      </w:r>
      <w:r w:rsidR="00AA1182">
        <w:rPr>
          <w:rFonts w:hint="eastAsia"/>
        </w:rPr>
        <w:t>年</w:t>
      </w:r>
      <w:r w:rsidR="0010530D">
        <w:rPr>
          <w:rFonts w:hint="eastAsia"/>
        </w:rPr>
        <w:t>青</w:t>
      </w:r>
      <w:r w:rsidR="00AA1182">
        <w:rPr>
          <w:rFonts w:hint="eastAsia"/>
        </w:rPr>
        <w:t>女</w:t>
      </w:r>
      <w:r w:rsidR="005905F4">
        <w:rPr>
          <w:rFonts w:hint="eastAsia"/>
        </w:rPr>
        <w:t>子</w:t>
      </w:r>
      <w:r w:rsidR="00AA1182">
        <w:rPr>
          <w:rFonts w:hint="eastAsia"/>
        </w:rPr>
        <w:t>，现代避孕药具</w:t>
      </w:r>
      <w:r>
        <w:rPr>
          <w:rFonts w:hint="eastAsia"/>
        </w:rPr>
        <w:t>十分昂贵。请提供有关堕</w:t>
      </w:r>
      <w:r w:rsidR="00AA1182">
        <w:rPr>
          <w:rFonts w:hint="eastAsia"/>
        </w:rPr>
        <w:t>胎率的最新数据，并说明为广泛获得计划生育信息和负担得起的避孕药具</w:t>
      </w:r>
      <w:r>
        <w:rPr>
          <w:rFonts w:hint="eastAsia"/>
        </w:rPr>
        <w:t>而作出的努力。</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罗姆族妇女</w:t>
      </w:r>
    </w:p>
    <w:p w:rsidR="00D75EA5" w:rsidRDefault="00D75EA5" w:rsidP="00D75EA5">
      <w:pPr>
        <w:pStyle w:val="SingleTxt"/>
        <w:rPr>
          <w:rFonts w:hint="eastAsia"/>
        </w:rPr>
      </w:pPr>
      <w:r>
        <w:rPr>
          <w:rFonts w:hint="eastAsia"/>
        </w:rPr>
        <w:t>27．</w:t>
      </w:r>
      <w:r>
        <w:rPr>
          <w:rFonts w:hint="eastAsia"/>
        </w:rPr>
        <w:tab/>
      </w:r>
      <w:r w:rsidR="00AA1182">
        <w:rPr>
          <w:rFonts w:hint="eastAsia"/>
        </w:rPr>
        <w:t>报告指出，罗姆族妇女</w:t>
      </w:r>
      <w:r>
        <w:rPr>
          <w:rFonts w:hint="eastAsia"/>
        </w:rPr>
        <w:t>在教育、保健、住房和经济机会</w:t>
      </w:r>
      <w:r w:rsidR="00AA1182">
        <w:rPr>
          <w:rFonts w:hint="eastAsia"/>
        </w:rPr>
        <w:t>等</w:t>
      </w:r>
      <w:r>
        <w:rPr>
          <w:rFonts w:hint="eastAsia"/>
        </w:rPr>
        <w:t>方面遇到一系列问题，处境不利。请提供进一步详情说明为解决这些问题而采取的措施。特别是，请说明是否在实施列有目标、指标和时间表的具体政策或战略</w:t>
      </w:r>
      <w:r w:rsidR="00AA1182">
        <w:rPr>
          <w:rFonts w:hint="eastAsia"/>
        </w:rPr>
        <w:t>，以确保扭转罗姆族妇女的不利处境</w:t>
      </w:r>
      <w:r>
        <w:rPr>
          <w:rFonts w:hint="eastAsia"/>
        </w:rPr>
        <w:t>。</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农村妇女</w:t>
      </w:r>
    </w:p>
    <w:p w:rsidR="00D75EA5" w:rsidRDefault="00D75EA5" w:rsidP="00D75EA5">
      <w:pPr>
        <w:pStyle w:val="SingleTxt"/>
        <w:rPr>
          <w:rFonts w:hint="eastAsia"/>
        </w:rPr>
      </w:pPr>
      <w:r>
        <w:rPr>
          <w:rFonts w:hint="eastAsia"/>
        </w:rPr>
        <w:t>28．</w:t>
      </w:r>
      <w:r>
        <w:rPr>
          <w:rFonts w:hint="eastAsia"/>
        </w:rPr>
        <w:tab/>
      </w:r>
      <w:r w:rsidR="00C32ABE">
        <w:rPr>
          <w:rFonts w:hint="eastAsia"/>
        </w:rPr>
        <w:t>报告指出，农村妇女</w:t>
      </w:r>
      <w:r>
        <w:rPr>
          <w:rFonts w:hint="eastAsia"/>
        </w:rPr>
        <w:t>在就业、学业和保健</w:t>
      </w:r>
      <w:r w:rsidR="00C32ABE">
        <w:rPr>
          <w:rFonts w:hint="eastAsia"/>
        </w:rPr>
        <w:t>等</w:t>
      </w:r>
      <w:r>
        <w:rPr>
          <w:rFonts w:hint="eastAsia"/>
        </w:rPr>
        <w:t>方面的现况没有生活在城里的妇女那么顺利。另一方面，报告也承认农村地区的不利现况“对男女都产生影响，但是在某些情况下，它给妇女造成的负担和压力更大。” 考虑到这一状况，请说明是否将性别观念纳入了农村发展政策/计划，在促进两性平等方面，哪些属于这些政策/计划下的优先事项。</w:t>
      </w:r>
    </w:p>
    <w:p w:rsidR="00D75EA5" w:rsidRPr="008C170F" w:rsidRDefault="00D75EA5" w:rsidP="00D75EA5">
      <w:pPr>
        <w:pStyle w:val="SingleTxt"/>
        <w:rPr>
          <w:rFonts w:ascii="SimHei" w:eastAsia="SimHei" w:hint="eastAsia"/>
          <w:color w:val="FF0000"/>
        </w:rPr>
      </w:pPr>
      <w:r w:rsidRPr="008C170F">
        <w:rPr>
          <w:rFonts w:ascii="SimHei" w:eastAsia="SimHei" w:hint="eastAsia"/>
          <w:color w:val="FF0000"/>
        </w:rPr>
        <w:t>婚姻和家庭关系</w:t>
      </w:r>
    </w:p>
    <w:p w:rsidR="00D75EA5" w:rsidRDefault="00D75EA5" w:rsidP="00D75EA5">
      <w:pPr>
        <w:pStyle w:val="SingleTxt"/>
        <w:rPr>
          <w:rFonts w:hint="eastAsia"/>
        </w:rPr>
      </w:pPr>
      <w:r>
        <w:rPr>
          <w:rFonts w:hint="eastAsia"/>
        </w:rPr>
        <w:t>29．</w:t>
      </w:r>
      <w:r>
        <w:rPr>
          <w:rFonts w:hint="eastAsia"/>
        </w:rPr>
        <w:tab/>
        <w:t>报告指出，“未成年人在得到监护机构颁发的许可证后可以结婚，”“当局总会考虑孩子的利益。”请提供进一步资料说明未成年人结婚的正当理由及如何考虑到未成年人的利益。</w:t>
      </w:r>
    </w:p>
    <w:p w:rsidR="00D75EA5" w:rsidRPr="008C170F" w:rsidRDefault="00C32ABE" w:rsidP="00D75EA5">
      <w:pPr>
        <w:pStyle w:val="SingleTxt"/>
        <w:rPr>
          <w:rFonts w:ascii="SimHei" w:eastAsia="SimHei" w:hint="eastAsia"/>
          <w:color w:val="FF0000"/>
        </w:rPr>
      </w:pPr>
      <w:r w:rsidRPr="008C170F">
        <w:rPr>
          <w:rFonts w:ascii="SimHei" w:eastAsia="SimHei" w:hint="eastAsia"/>
          <w:color w:val="FF0000"/>
        </w:rPr>
        <w:t>《任</w:t>
      </w:r>
      <w:r w:rsidR="00D75EA5" w:rsidRPr="008C170F">
        <w:rPr>
          <w:rFonts w:ascii="SimHei" w:eastAsia="SimHei" w:hint="eastAsia"/>
          <w:color w:val="FF0000"/>
        </w:rPr>
        <w:t>择议定书》和第二十条第1款修正案</w:t>
      </w:r>
    </w:p>
    <w:p w:rsidR="00D75EA5" w:rsidRDefault="00D75EA5" w:rsidP="00D75EA5">
      <w:pPr>
        <w:pStyle w:val="SingleTxt"/>
        <w:rPr>
          <w:rFonts w:hint="eastAsia"/>
        </w:rPr>
      </w:pPr>
      <w:r>
        <w:rPr>
          <w:rFonts w:hint="eastAsia"/>
        </w:rPr>
        <w:t>30．请说明政府为宣传和</w:t>
      </w:r>
      <w:r w:rsidR="00C32ABE">
        <w:rPr>
          <w:rFonts w:hint="eastAsia"/>
        </w:rPr>
        <w:t>鼓励利用《任</w:t>
      </w:r>
      <w:r>
        <w:rPr>
          <w:rFonts w:hint="eastAsia"/>
        </w:rPr>
        <w:t>择议定书》打算采取或已在采取的措施。还请说明在接受《公约》第二十条第1款修正案方面取得的任何进展。</w:t>
      </w:r>
    </w:p>
    <w:p w:rsidR="00C32ABE" w:rsidRPr="00C32ABE" w:rsidRDefault="00C32ABE" w:rsidP="00C32ABE">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C32ABE" w:rsidRPr="00C32ABE" w:rsidSect="006A5B61">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1T13:38:00Z" w:initials="Start">
    <w:p w:rsidR="00FB59E9" w:rsidRDefault="00FB59E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sidR="005905F4">
        <w:rPr>
          <w:rFonts w:hint="eastAsia"/>
          <w:noProof/>
        </w:rPr>
        <w:t xml:space="preserve">页: </w:t>
      </w:r>
      <w:r w:rsidR="005905F4">
        <w:rPr>
          <w:noProof/>
        </w:rPr>
        <w:t>1</w:t>
      </w:r>
      <w:r w:rsidR="005905F4">
        <w:rPr>
          <w:rFonts w:hint="eastAsia"/>
          <w:noProof/>
        </w:rPr>
        <w:br/>
      </w:r>
      <w:r>
        <w:fldChar w:fldCharType="end"/>
      </w:r>
      <w:r>
        <w:rPr>
          <w:rStyle w:val="CommentReference"/>
        </w:rPr>
        <w:annotationRef/>
      </w:r>
      <w:r>
        <w:t>&lt;&lt;ODS JOB NO&gt;&gt;N0725108C&lt;&lt;ODS JOB NO&gt;&gt;</w:t>
      </w:r>
    </w:p>
    <w:p w:rsidR="00FB59E9" w:rsidRDefault="00FB59E9">
      <w:pPr>
        <w:pStyle w:val="CommentText"/>
      </w:pPr>
      <w:r>
        <w:t>&lt;&lt;ODS DOC SYMBOL1&gt;&gt;CEDAW/C/HUN/Q/6&lt;&lt;ODS DOC SYMBOL1&gt;&gt;</w:t>
      </w:r>
    </w:p>
    <w:p w:rsidR="00FB59E9" w:rsidRDefault="00FB59E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CD0" w:rsidRDefault="00867CD0">
      <w:r>
        <w:separator/>
      </w:r>
    </w:p>
  </w:endnote>
  <w:endnote w:type="continuationSeparator" w:id="0">
    <w:p w:rsidR="00867CD0" w:rsidRDefault="00867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B59E9" w:rsidTr="006A5B61">
      <w:tblPrEx>
        <w:tblCellMar>
          <w:top w:w="0" w:type="dxa"/>
          <w:bottom w:w="0" w:type="dxa"/>
        </w:tblCellMar>
      </w:tblPrEx>
      <w:tc>
        <w:tcPr>
          <w:tcW w:w="5033" w:type="dxa"/>
          <w:shd w:val="clear" w:color="auto" w:fill="auto"/>
          <w:vAlign w:val="bottom"/>
        </w:tcPr>
        <w:p w:rsidR="00FB59E9" w:rsidRPr="006A5B61" w:rsidRDefault="00FB59E9" w:rsidP="006A5B61">
          <w:pPr>
            <w:pStyle w:val="Footer"/>
            <w:jc w:val="left"/>
          </w:pPr>
          <w:r>
            <w:fldChar w:fldCharType="begin"/>
          </w:r>
          <w:r>
            <w:instrText xml:space="preserve"> PAGE  \* MERGEFORMAT </w:instrText>
          </w:r>
          <w:r>
            <w:fldChar w:fldCharType="separate"/>
          </w:r>
          <w:r w:rsidR="005905F4">
            <w:t>4</w:t>
          </w:r>
          <w:r>
            <w:fldChar w:fldCharType="end"/>
          </w:r>
        </w:p>
      </w:tc>
      <w:tc>
        <w:tcPr>
          <w:tcW w:w="5033" w:type="dxa"/>
          <w:shd w:val="clear" w:color="auto" w:fill="auto"/>
          <w:vAlign w:val="bottom"/>
        </w:tcPr>
        <w:p w:rsidR="00FB59E9" w:rsidRPr="006A5B61" w:rsidRDefault="00FB59E9" w:rsidP="006A5B6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905F4">
            <w:rPr>
              <w:b w:val="0"/>
              <w:sz w:val="14"/>
            </w:rPr>
            <w:t>07-25108</w:t>
          </w:r>
          <w:r>
            <w:rPr>
              <w:b w:val="0"/>
              <w:sz w:val="14"/>
            </w:rPr>
            <w:fldChar w:fldCharType="end"/>
          </w:r>
        </w:p>
      </w:tc>
    </w:tr>
  </w:tbl>
  <w:p w:rsidR="00FB59E9" w:rsidRPr="006A5B61" w:rsidRDefault="00FB59E9" w:rsidP="006A5B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B59E9" w:rsidTr="006A5B61">
      <w:tblPrEx>
        <w:tblCellMar>
          <w:top w:w="0" w:type="dxa"/>
          <w:bottom w:w="0" w:type="dxa"/>
        </w:tblCellMar>
      </w:tblPrEx>
      <w:tc>
        <w:tcPr>
          <w:tcW w:w="5033" w:type="dxa"/>
          <w:shd w:val="clear" w:color="auto" w:fill="auto"/>
          <w:vAlign w:val="bottom"/>
        </w:tcPr>
        <w:p w:rsidR="00FB59E9" w:rsidRPr="006A5B61" w:rsidRDefault="00FB59E9" w:rsidP="006A5B61">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905F4">
            <w:rPr>
              <w:b w:val="0"/>
              <w:sz w:val="14"/>
            </w:rPr>
            <w:t>07-25108</w:t>
          </w:r>
          <w:r>
            <w:rPr>
              <w:b w:val="0"/>
              <w:sz w:val="14"/>
            </w:rPr>
            <w:fldChar w:fldCharType="end"/>
          </w:r>
        </w:p>
      </w:tc>
      <w:tc>
        <w:tcPr>
          <w:tcW w:w="5033" w:type="dxa"/>
          <w:shd w:val="clear" w:color="auto" w:fill="auto"/>
          <w:vAlign w:val="bottom"/>
        </w:tcPr>
        <w:p w:rsidR="00FB59E9" w:rsidRPr="006A5B61" w:rsidRDefault="00FB59E9" w:rsidP="006A5B61">
          <w:pPr>
            <w:pStyle w:val="Footer"/>
            <w:jc w:val="right"/>
          </w:pPr>
          <w:r>
            <w:fldChar w:fldCharType="begin"/>
          </w:r>
          <w:r>
            <w:instrText xml:space="preserve"> PAGE  \* MERGEFORMAT </w:instrText>
          </w:r>
          <w:r>
            <w:fldChar w:fldCharType="separate"/>
          </w:r>
          <w:r w:rsidR="005905F4">
            <w:t>1</w:t>
          </w:r>
          <w:r>
            <w:fldChar w:fldCharType="end"/>
          </w:r>
        </w:p>
      </w:tc>
    </w:tr>
  </w:tbl>
  <w:p w:rsidR="00FB59E9" w:rsidRPr="006A5B61" w:rsidRDefault="00FB59E9" w:rsidP="006A5B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9E9" w:rsidRDefault="00FB59E9" w:rsidP="006A5B6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5905F4">
      <w:rPr>
        <w:b w:val="0"/>
        <w:sz w:val="21"/>
      </w:rPr>
      <w:t>07-25108 (C)</w:t>
    </w:r>
    <w:r>
      <w:rPr>
        <w:b w:val="0"/>
        <w:sz w:val="21"/>
      </w:rPr>
      <w:fldChar w:fldCharType="end"/>
    </w:r>
    <w:r>
      <w:rPr>
        <w:b w:val="0"/>
        <w:sz w:val="21"/>
      </w:rPr>
      <w:t xml:space="preserve">    </w:t>
    </w:r>
    <w:r>
      <w:rPr>
        <w:rFonts w:hint="eastAsia"/>
        <w:b w:val="0"/>
        <w:sz w:val="21"/>
      </w:rPr>
      <w:t>19</w:t>
    </w:r>
    <w:r>
      <w:rPr>
        <w:b w:val="0"/>
        <w:sz w:val="21"/>
      </w:rPr>
      <w:t>0307    210307</w:t>
    </w:r>
  </w:p>
  <w:p w:rsidR="00FB59E9" w:rsidRPr="006A5B61" w:rsidRDefault="00FB59E9" w:rsidP="006A5B6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5905F4">
      <w:rPr>
        <w:rFonts w:ascii="Barcode 3 of 9 by request" w:hAnsi="Barcode 3 of 9 by request"/>
        <w:sz w:val="24"/>
      </w:rPr>
      <w:t>*0725108*</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CD0" w:rsidRPr="009C3F80" w:rsidRDefault="00867CD0" w:rsidP="009C3F80">
      <w:pPr>
        <w:pStyle w:val="Footer"/>
        <w:spacing w:after="80"/>
        <w:ind w:left="792"/>
        <w:rPr>
          <w:sz w:val="16"/>
        </w:rPr>
      </w:pPr>
      <w:r w:rsidRPr="009C3F80">
        <w:rPr>
          <w:sz w:val="16"/>
        </w:rPr>
        <w:t>__________________</w:t>
      </w:r>
    </w:p>
  </w:footnote>
  <w:footnote w:type="continuationSeparator" w:id="0">
    <w:p w:rsidR="00867CD0" w:rsidRPr="009C3F80" w:rsidRDefault="00867CD0" w:rsidP="009C3F80">
      <w:pPr>
        <w:pStyle w:val="Footer"/>
        <w:spacing w:after="80"/>
        <w:ind w:left="792"/>
        <w:rPr>
          <w:sz w:val="16"/>
        </w:rPr>
      </w:pPr>
      <w:r w:rsidRPr="009C3F80">
        <w:rPr>
          <w:sz w:val="16"/>
        </w:rPr>
        <w:t>__________________</w:t>
      </w:r>
    </w:p>
  </w:footnote>
  <w:footnote w:id="1">
    <w:p w:rsidR="00FB59E9" w:rsidRDefault="00FB59E9" w:rsidP="009C3F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《大会正式记录，第五十七届会议，补编第38号》（A/57/38），第316段。</w:t>
      </w:r>
    </w:p>
  </w:footnote>
  <w:footnote w:id="2">
    <w:p w:rsidR="00FB59E9" w:rsidRDefault="00FB59E9" w:rsidP="009C3F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同上，第322段。</w:t>
      </w:r>
    </w:p>
  </w:footnote>
  <w:footnote w:id="3">
    <w:p w:rsidR="00FB59E9" w:rsidRDefault="00FB59E9" w:rsidP="009C3F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同上，第324段。</w:t>
      </w:r>
    </w:p>
  </w:footnote>
  <w:footnote w:id="4">
    <w:p w:rsidR="00FB59E9" w:rsidRDefault="00FB59E9" w:rsidP="00CD65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同上，第320段。</w:t>
      </w:r>
    </w:p>
  </w:footnote>
  <w:footnote w:id="5">
    <w:p w:rsidR="00FB59E9" w:rsidRDefault="00FB59E9" w:rsidP="00AA11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同上，第330段。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B59E9" w:rsidTr="006A5B61">
      <w:tblPrEx>
        <w:tblCellMar>
          <w:top w:w="0" w:type="dxa"/>
          <w:bottom w:w="0" w:type="dxa"/>
        </w:tblCellMar>
      </w:tblPrEx>
      <w:trPr>
        <w:trHeight w:hRule="exact" w:val="864"/>
      </w:trPr>
      <w:tc>
        <w:tcPr>
          <w:tcW w:w="4838" w:type="dxa"/>
          <w:shd w:val="clear" w:color="auto" w:fill="auto"/>
          <w:vAlign w:val="bottom"/>
        </w:tcPr>
        <w:p w:rsidR="00FB59E9" w:rsidRPr="006A5B61" w:rsidRDefault="00FB59E9" w:rsidP="006A5B6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905F4">
            <w:rPr>
              <w:b/>
              <w:sz w:val="17"/>
            </w:rPr>
            <w:t>CEDAW/C/HUN/Q/6</w:t>
          </w:r>
          <w:r>
            <w:rPr>
              <w:b/>
              <w:sz w:val="17"/>
            </w:rPr>
            <w:fldChar w:fldCharType="end"/>
          </w:r>
        </w:p>
      </w:tc>
      <w:tc>
        <w:tcPr>
          <w:tcW w:w="5033" w:type="dxa"/>
          <w:shd w:val="clear" w:color="auto" w:fill="auto"/>
          <w:vAlign w:val="bottom"/>
        </w:tcPr>
        <w:p w:rsidR="00FB59E9" w:rsidRDefault="00FB59E9" w:rsidP="006A5B61">
          <w:pPr>
            <w:pStyle w:val="Header"/>
          </w:pPr>
        </w:p>
      </w:tc>
    </w:tr>
  </w:tbl>
  <w:p w:rsidR="00FB59E9" w:rsidRPr="006A5B61" w:rsidRDefault="00FB59E9" w:rsidP="006A5B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B59E9" w:rsidTr="006A5B61">
      <w:tblPrEx>
        <w:tblCellMar>
          <w:top w:w="0" w:type="dxa"/>
          <w:bottom w:w="0" w:type="dxa"/>
        </w:tblCellMar>
      </w:tblPrEx>
      <w:trPr>
        <w:trHeight w:hRule="exact" w:val="864"/>
      </w:trPr>
      <w:tc>
        <w:tcPr>
          <w:tcW w:w="4838" w:type="dxa"/>
          <w:shd w:val="clear" w:color="auto" w:fill="auto"/>
          <w:vAlign w:val="bottom"/>
        </w:tcPr>
        <w:p w:rsidR="00FB59E9" w:rsidRDefault="00FB59E9" w:rsidP="006A5B61">
          <w:pPr>
            <w:pStyle w:val="Header"/>
          </w:pPr>
        </w:p>
      </w:tc>
      <w:tc>
        <w:tcPr>
          <w:tcW w:w="5033" w:type="dxa"/>
          <w:shd w:val="clear" w:color="auto" w:fill="auto"/>
          <w:vAlign w:val="bottom"/>
        </w:tcPr>
        <w:p w:rsidR="00FB59E9" w:rsidRPr="006A5B61" w:rsidRDefault="00FB59E9" w:rsidP="006A5B6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905F4">
            <w:rPr>
              <w:b/>
              <w:sz w:val="17"/>
            </w:rPr>
            <w:t>CEDAW/C/HUN/Q/6</w:t>
          </w:r>
          <w:r>
            <w:rPr>
              <w:b/>
              <w:sz w:val="17"/>
            </w:rPr>
            <w:fldChar w:fldCharType="end"/>
          </w:r>
        </w:p>
      </w:tc>
    </w:tr>
  </w:tbl>
  <w:p w:rsidR="00FB59E9" w:rsidRPr="006A5B61" w:rsidRDefault="00FB59E9" w:rsidP="006A5B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B59E9" w:rsidTr="006A5B6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B59E9" w:rsidRDefault="00FB59E9" w:rsidP="006A5B61">
          <w:pPr>
            <w:pStyle w:val="Header"/>
            <w:spacing w:after="120"/>
          </w:pPr>
        </w:p>
      </w:tc>
      <w:tc>
        <w:tcPr>
          <w:tcW w:w="1872" w:type="dxa"/>
          <w:tcBorders>
            <w:bottom w:val="single" w:sz="4" w:space="0" w:color="auto"/>
          </w:tcBorders>
          <w:shd w:val="clear" w:color="auto" w:fill="auto"/>
          <w:vAlign w:val="bottom"/>
        </w:tcPr>
        <w:p w:rsidR="00FB59E9" w:rsidRPr="006A5B61" w:rsidRDefault="00FB59E9" w:rsidP="006A5B6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B59E9" w:rsidRDefault="00FB59E9" w:rsidP="006A5B61">
          <w:pPr>
            <w:pStyle w:val="Header"/>
            <w:spacing w:after="120"/>
          </w:pPr>
        </w:p>
      </w:tc>
      <w:tc>
        <w:tcPr>
          <w:tcW w:w="6523" w:type="dxa"/>
          <w:gridSpan w:val="3"/>
          <w:tcBorders>
            <w:bottom w:val="single" w:sz="4" w:space="0" w:color="auto"/>
          </w:tcBorders>
          <w:shd w:val="clear" w:color="auto" w:fill="auto"/>
          <w:vAlign w:val="bottom"/>
        </w:tcPr>
        <w:p w:rsidR="00FB59E9" w:rsidRPr="006A5B61" w:rsidRDefault="00FB59E9" w:rsidP="006A5B61">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/C/HUN/Q/6</w:t>
          </w:r>
        </w:p>
      </w:tc>
    </w:tr>
    <w:tr w:rsidR="00FB59E9" w:rsidRPr="006A5B61" w:rsidTr="006A5B6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B59E9" w:rsidRDefault="00FB59E9" w:rsidP="006A5B6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B59E9" w:rsidRPr="006A5B61" w:rsidRDefault="00FB59E9" w:rsidP="006A5B61">
          <w:pPr>
            <w:pStyle w:val="Header"/>
            <w:spacing w:before="109"/>
            <w:ind w:left="-72"/>
          </w:pPr>
        </w:p>
      </w:tc>
      <w:tc>
        <w:tcPr>
          <w:tcW w:w="5227" w:type="dxa"/>
          <w:gridSpan w:val="3"/>
          <w:tcBorders>
            <w:top w:val="single" w:sz="4" w:space="0" w:color="auto"/>
            <w:bottom w:val="single" w:sz="12" w:space="0" w:color="auto"/>
          </w:tcBorders>
          <w:shd w:val="clear" w:color="auto" w:fill="auto"/>
        </w:tcPr>
        <w:p w:rsidR="00FB59E9" w:rsidRPr="006A5B61" w:rsidRDefault="00FB59E9" w:rsidP="006A5B6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B59E9" w:rsidRPr="006A5B61" w:rsidRDefault="00FB59E9" w:rsidP="006A5B61">
          <w:pPr>
            <w:pStyle w:val="Header"/>
            <w:spacing w:before="109"/>
          </w:pPr>
        </w:p>
      </w:tc>
      <w:tc>
        <w:tcPr>
          <w:tcW w:w="3180" w:type="dxa"/>
          <w:gridSpan w:val="2"/>
          <w:tcBorders>
            <w:top w:val="single" w:sz="4" w:space="0" w:color="auto"/>
            <w:bottom w:val="single" w:sz="12" w:space="0" w:color="auto"/>
          </w:tcBorders>
          <w:shd w:val="clear" w:color="auto" w:fill="auto"/>
        </w:tcPr>
        <w:p w:rsidR="00FB59E9" w:rsidRDefault="00FB59E9" w:rsidP="006A5B61">
          <w:pPr>
            <w:spacing w:before="240" w:line="240" w:lineRule="exact"/>
            <w:rPr>
              <w:rFonts w:ascii="Times New Roman"/>
            </w:rPr>
          </w:pPr>
          <w:r>
            <w:rPr>
              <w:rFonts w:ascii="Times New Roman"/>
            </w:rPr>
            <w:t>Distr.: General</w:t>
          </w:r>
        </w:p>
        <w:p w:rsidR="00FB59E9" w:rsidRDefault="00FB59E9" w:rsidP="006A5B61">
          <w:pPr>
            <w:spacing w:line="240" w:lineRule="exact"/>
            <w:rPr>
              <w:rFonts w:ascii="Times New Roman"/>
            </w:rPr>
          </w:pPr>
          <w:r>
            <w:rPr>
              <w:rFonts w:ascii="Times New Roman"/>
            </w:rPr>
            <w:t>26 February 2007</w:t>
          </w:r>
        </w:p>
        <w:p w:rsidR="00FB59E9" w:rsidRDefault="00FB59E9" w:rsidP="006A5B61">
          <w:pPr>
            <w:spacing w:line="240" w:lineRule="exact"/>
            <w:rPr>
              <w:rFonts w:ascii="Times New Roman"/>
            </w:rPr>
          </w:pPr>
          <w:r>
            <w:rPr>
              <w:rFonts w:ascii="Times New Roman"/>
            </w:rPr>
            <w:t>Chinese</w:t>
          </w:r>
        </w:p>
        <w:p w:rsidR="00FB59E9" w:rsidRPr="006A5B61" w:rsidRDefault="00FB59E9" w:rsidP="006A5B61">
          <w:pPr>
            <w:spacing w:line="240" w:lineRule="exact"/>
            <w:rPr>
              <w:rFonts w:ascii="Times New Roman"/>
            </w:rPr>
          </w:pPr>
          <w:r>
            <w:rPr>
              <w:rFonts w:ascii="Times New Roman"/>
            </w:rPr>
            <w:t>Original: English</w:t>
          </w:r>
        </w:p>
      </w:tc>
    </w:tr>
  </w:tbl>
  <w:p w:rsidR="00FB59E9" w:rsidRPr="006A5B61" w:rsidRDefault="00FB59E9" w:rsidP="006A5B6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08*"/>
    <w:docVar w:name="CreationDt" w:val="21/03/2007 09:41:00"/>
    <w:docVar w:name="DocCategory" w:val="Doc"/>
    <w:docVar w:name="DocType" w:val="Final"/>
    <w:docVar w:name="FooterJN" w:val="07-25108"/>
    <w:docVar w:name="jobn" w:val="07-25108 (C)"/>
    <w:docVar w:name="jobnDT" w:val="07-25108 (C)   210307"/>
    <w:docVar w:name="jobnDTDT" w:val="07-25108 (C)   210307   210307"/>
    <w:docVar w:name="JobNo" w:val="0725108C"/>
    <w:docVar w:name="OandT" w:val="DU   C"/>
    <w:docVar w:name="sss1" w:val="CEDAW/C/HUN/Q/6"/>
    <w:docVar w:name="sss2" w:val="-"/>
    <w:docVar w:name="Symbol1" w:val="CEDAW/C/HUN/Q/6"/>
    <w:docVar w:name="Symbol2" w:val="-"/>
  </w:docVars>
  <w:rsids>
    <w:rsidRoot w:val="00241B22"/>
    <w:rsid w:val="000125BC"/>
    <w:rsid w:val="00021A2B"/>
    <w:rsid w:val="00037B39"/>
    <w:rsid w:val="00044CA4"/>
    <w:rsid w:val="00045EFE"/>
    <w:rsid w:val="0007337D"/>
    <w:rsid w:val="000758DF"/>
    <w:rsid w:val="00076EB8"/>
    <w:rsid w:val="00095C67"/>
    <w:rsid w:val="000A31F9"/>
    <w:rsid w:val="000C1786"/>
    <w:rsid w:val="000E240F"/>
    <w:rsid w:val="000F1058"/>
    <w:rsid w:val="000F47B6"/>
    <w:rsid w:val="0010530D"/>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1B22"/>
    <w:rsid w:val="00247382"/>
    <w:rsid w:val="00252E35"/>
    <w:rsid w:val="00257053"/>
    <w:rsid w:val="00266257"/>
    <w:rsid w:val="00271BE6"/>
    <w:rsid w:val="0027454D"/>
    <w:rsid w:val="00280671"/>
    <w:rsid w:val="002814F9"/>
    <w:rsid w:val="00282D17"/>
    <w:rsid w:val="002A4AEF"/>
    <w:rsid w:val="002B305F"/>
    <w:rsid w:val="002B564F"/>
    <w:rsid w:val="002C0738"/>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0E01"/>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905F4"/>
    <w:rsid w:val="005B7338"/>
    <w:rsid w:val="005C02AB"/>
    <w:rsid w:val="005D0F04"/>
    <w:rsid w:val="005F3273"/>
    <w:rsid w:val="005F34A3"/>
    <w:rsid w:val="00610CF2"/>
    <w:rsid w:val="006479F1"/>
    <w:rsid w:val="00650BEE"/>
    <w:rsid w:val="006520FA"/>
    <w:rsid w:val="0065377D"/>
    <w:rsid w:val="006740A7"/>
    <w:rsid w:val="00691524"/>
    <w:rsid w:val="006A5B61"/>
    <w:rsid w:val="006A654B"/>
    <w:rsid w:val="006E2924"/>
    <w:rsid w:val="006E7A26"/>
    <w:rsid w:val="006F2B3D"/>
    <w:rsid w:val="007319E0"/>
    <w:rsid w:val="00737B00"/>
    <w:rsid w:val="0075155C"/>
    <w:rsid w:val="00753A05"/>
    <w:rsid w:val="00755652"/>
    <w:rsid w:val="00761190"/>
    <w:rsid w:val="00776537"/>
    <w:rsid w:val="00783A25"/>
    <w:rsid w:val="007E1B5E"/>
    <w:rsid w:val="007F2278"/>
    <w:rsid w:val="007F3843"/>
    <w:rsid w:val="007F42C7"/>
    <w:rsid w:val="00805783"/>
    <w:rsid w:val="00806F57"/>
    <w:rsid w:val="00806F90"/>
    <w:rsid w:val="00824C19"/>
    <w:rsid w:val="008378D1"/>
    <w:rsid w:val="00846462"/>
    <w:rsid w:val="0086691F"/>
    <w:rsid w:val="00867CD0"/>
    <w:rsid w:val="00884C8F"/>
    <w:rsid w:val="008C170F"/>
    <w:rsid w:val="008C3296"/>
    <w:rsid w:val="008F2BB5"/>
    <w:rsid w:val="008F5472"/>
    <w:rsid w:val="008F5D0F"/>
    <w:rsid w:val="009122E0"/>
    <w:rsid w:val="00913351"/>
    <w:rsid w:val="0096193C"/>
    <w:rsid w:val="009769E1"/>
    <w:rsid w:val="00977E0D"/>
    <w:rsid w:val="00986C04"/>
    <w:rsid w:val="009A2F76"/>
    <w:rsid w:val="009C3F80"/>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1182"/>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32ABE"/>
    <w:rsid w:val="00C42033"/>
    <w:rsid w:val="00CB2B1E"/>
    <w:rsid w:val="00CC3E8B"/>
    <w:rsid w:val="00CC4E84"/>
    <w:rsid w:val="00CD5641"/>
    <w:rsid w:val="00CD65E8"/>
    <w:rsid w:val="00CE64AC"/>
    <w:rsid w:val="00CF7718"/>
    <w:rsid w:val="00D177F1"/>
    <w:rsid w:val="00D323B5"/>
    <w:rsid w:val="00D42ACC"/>
    <w:rsid w:val="00D51DC5"/>
    <w:rsid w:val="00D56617"/>
    <w:rsid w:val="00D676D7"/>
    <w:rsid w:val="00D75EA5"/>
    <w:rsid w:val="00D874E1"/>
    <w:rsid w:val="00D879F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B59E9"/>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1</Pages>
  <Words>541</Words>
  <Characters>3088</Characters>
  <Application>Microsoft Office Word</Application>
  <DocSecurity>4</DocSecurity>
  <Lines>25</Lines>
  <Paragraphs>7</Paragraphs>
  <ScaleCrop>false</ScaleCrop>
  <Company>United Nations</Company>
  <LinksUpToDate>false</LinksUpToDate>
  <CharactersWithSpaces>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Chuanzong DU</dc:creator>
  <cp:keywords/>
  <dc:description/>
  <cp:lastModifiedBy>qingquan hua</cp:lastModifiedBy>
  <cp:revision>24</cp:revision>
  <cp:lastPrinted>2007-03-21T12:38:00Z</cp:lastPrinted>
  <dcterms:created xsi:type="dcterms:W3CDTF">2007-03-21T08:38:00Z</dcterms:created>
  <dcterms:modified xsi:type="dcterms:W3CDTF">2007-03-21T12:40:00Z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0725108</vt:lpwstr>
  </property>
  <property fmtid="{D5CDD505-2E9C-101B-9397-08002B2CF9AE}" pid="3" name="Symbol1">
    <vt:lpwstr>CEDAW/C/HUN/Q/6</vt:lpwstr>
  </property>
  <property fmtid="{D5CDD505-2E9C-101B-9397-08002B2CF9AE}" pid="4" name="Symbol2">
    <vt:lpwstr/>
  </property>
  <property fmtid="{D5CDD505-2E9C-101B-9397-08002B2CF9AE}" pid="5" name="Translator">
    <vt:lpwstr/>
  </property>
  <property fmtid="{D5CDD505-2E9C-101B-9397-08002B2CF9AE}" pid="6" name="Operator">
    <vt:lpwstr>DU   C</vt:lpwstr>
  </property>
  <property fmtid="{D5CDD505-2E9C-101B-9397-08002B2CF9AE}" pid="7" name="DraftPages">
    <vt:lpwstr> </vt:lpwstr>
  </property>
  <property fmtid="{D5CDD505-2E9C-101B-9397-08002B2CF9AE}" pid="8" name="Comment">
    <vt:lpwstr/>
  </property>
</Properties>
</file>