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6C0" w:rsidRDefault="004B16C0" w:rsidP="004B16C0">
      <w:pPr>
        <w:spacing w:line="60" w:lineRule="exact"/>
        <w:sectPr w:rsidR="004B16C0" w:rsidSect="004B16C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SR"/>
            <w10:wrap anchorx="page" anchory="page"/>
          </v:shape>
        </w:pict>
      </w:r>
      <w:commentRangeEnd w:id="0"/>
      <w:r>
        <w:rPr>
          <w:rStyle w:val="CommentReference"/>
        </w:rPr>
        <w:commentReference w:id="0"/>
      </w:r>
    </w:p>
    <w:p w:rsidR="004B16C0" w:rsidRDefault="004B16C0" w:rsidP="004B16C0">
      <w:pPr>
        <w:spacing w:line="60" w:lineRule="exact"/>
      </w:pPr>
    </w:p>
    <w:p w:rsidR="004B16C0" w:rsidRDefault="004B16C0" w:rsidP="004B16C0">
      <w:pPr>
        <w:pStyle w:val="H1"/>
        <w:rPr>
          <w:rFonts w:hint="eastAsia"/>
        </w:rPr>
      </w:pPr>
      <w:r>
        <w:rPr>
          <w:rFonts w:hint="eastAsia"/>
        </w:rPr>
        <w:t>消除对妇女歧视委员会</w:t>
      </w:r>
    </w:p>
    <w:p w:rsidR="004B16C0" w:rsidRPr="00F43409" w:rsidRDefault="00F43409" w:rsidP="004B16C0">
      <w:pPr>
        <w:pStyle w:val="H23"/>
        <w:rPr>
          <w:rFonts w:hint="eastAsia"/>
        </w:rPr>
      </w:pPr>
      <w:r w:rsidRPr="00F43409">
        <w:rPr>
          <w:rFonts w:hint="eastAsia"/>
        </w:rPr>
        <w:t>第五十二届会议</w:t>
      </w:r>
    </w:p>
    <w:p w:rsidR="004B16C0" w:rsidRDefault="004B16C0" w:rsidP="004B16C0">
      <w:pPr>
        <w:spacing w:line="120" w:lineRule="exact"/>
        <w:rPr>
          <w:sz w:val="12"/>
        </w:rPr>
      </w:pPr>
    </w:p>
    <w:p w:rsidR="004B16C0" w:rsidRDefault="004B16C0" w:rsidP="004B16C0">
      <w:pPr>
        <w:pStyle w:val="H23"/>
        <w:rPr>
          <w:rFonts w:hint="eastAsia"/>
        </w:rPr>
      </w:pPr>
      <w:r>
        <w:rPr>
          <w:rFonts w:hint="eastAsia"/>
        </w:rPr>
        <w:t>第1054次会议简要记录</w:t>
      </w:r>
    </w:p>
    <w:p w:rsidR="004B16C0" w:rsidRPr="00F43409" w:rsidRDefault="00F43409" w:rsidP="004B16C0">
      <w:pPr>
        <w:rPr>
          <w:rFonts w:hint="eastAsia"/>
        </w:rPr>
      </w:pPr>
      <w:r w:rsidRPr="00F43409">
        <w:rPr>
          <w:rFonts w:hint="eastAsia"/>
        </w:rPr>
        <w:t>2012年7月18日星期三下午3时在纽约总部举行</w:t>
      </w:r>
    </w:p>
    <w:p w:rsidR="004B16C0" w:rsidRPr="004B16C0" w:rsidRDefault="004B16C0" w:rsidP="004B16C0">
      <w:pPr>
        <w:spacing w:line="120" w:lineRule="exact"/>
        <w:rPr>
          <w:rFonts w:hint="eastAsia"/>
          <w:sz w:val="10"/>
        </w:rPr>
      </w:pPr>
    </w:p>
    <w:p w:rsidR="004B16C0" w:rsidRDefault="004B16C0" w:rsidP="004B16C0">
      <w:pPr>
        <w:tabs>
          <w:tab w:val="left" w:pos="1267"/>
          <w:tab w:val="right" w:leader="dot" w:pos="8568"/>
        </w:tabs>
        <w:ind w:right="1267"/>
        <w:rPr>
          <w:color w:val="000000"/>
        </w:rPr>
      </w:pPr>
      <w:r>
        <w:rPr>
          <w:rFonts w:eastAsia="KaiTi_GB2312" w:hint="eastAsia"/>
        </w:rPr>
        <w:t>主席：</w:t>
      </w:r>
      <w:r>
        <w:rPr>
          <w:color w:val="000000"/>
        </w:rPr>
        <w:tab/>
      </w:r>
      <w:r w:rsidR="00F43409" w:rsidRPr="00F43409">
        <w:rPr>
          <w:rFonts w:hint="eastAsia"/>
          <w:color w:val="000000"/>
        </w:rPr>
        <w:t>皮门特尔女士</w:t>
      </w:r>
    </w:p>
    <w:p w:rsidR="004B16C0" w:rsidRPr="004B16C0" w:rsidRDefault="004B16C0" w:rsidP="004B16C0">
      <w:pPr>
        <w:tabs>
          <w:tab w:val="left" w:pos="1267"/>
          <w:tab w:val="right" w:leader="dot" w:pos="8568"/>
        </w:tabs>
        <w:spacing w:line="120" w:lineRule="exact"/>
        <w:ind w:right="1267"/>
        <w:rPr>
          <w:color w:val="000000"/>
          <w:sz w:val="10"/>
        </w:rPr>
      </w:pPr>
    </w:p>
    <w:p w:rsidR="004B16C0" w:rsidRPr="004B16C0" w:rsidRDefault="004B16C0" w:rsidP="004B16C0">
      <w:pPr>
        <w:tabs>
          <w:tab w:val="left" w:pos="1267"/>
          <w:tab w:val="right" w:leader="dot" w:pos="8568"/>
        </w:tabs>
        <w:spacing w:line="120" w:lineRule="exact"/>
        <w:ind w:right="1267"/>
        <w:rPr>
          <w:color w:val="000000"/>
          <w:sz w:val="10"/>
        </w:rPr>
      </w:pPr>
    </w:p>
    <w:p w:rsidR="004B16C0" w:rsidRPr="004B16C0" w:rsidRDefault="004B16C0" w:rsidP="004B16C0">
      <w:pPr>
        <w:tabs>
          <w:tab w:val="left" w:pos="1267"/>
          <w:tab w:val="right" w:leader="dot" w:pos="8568"/>
        </w:tabs>
        <w:spacing w:line="120" w:lineRule="exact"/>
        <w:ind w:right="1267"/>
        <w:rPr>
          <w:color w:val="000000"/>
          <w:sz w:val="10"/>
        </w:rPr>
      </w:pPr>
    </w:p>
    <w:p w:rsidR="004B16C0" w:rsidRDefault="004B16C0" w:rsidP="004B16C0">
      <w:pPr>
        <w:pStyle w:val="HCh"/>
        <w:rPr>
          <w:rFonts w:eastAsia="SimSun" w:hint="eastAsia"/>
        </w:rPr>
      </w:pPr>
      <w:r>
        <w:rPr>
          <w:rFonts w:eastAsia="SimSun" w:hint="eastAsia"/>
        </w:rPr>
        <w:t>目录</w:t>
      </w:r>
    </w:p>
    <w:p w:rsidR="004B16C0" w:rsidRDefault="004B16C0" w:rsidP="004B16C0">
      <w:pPr>
        <w:pStyle w:val="HCh"/>
        <w:spacing w:line="240" w:lineRule="auto"/>
        <w:rPr>
          <w:rFonts w:eastAsia="SimSun"/>
          <w:sz w:val="14"/>
        </w:rPr>
      </w:pPr>
    </w:p>
    <w:p w:rsidR="00F43409" w:rsidRPr="00F43409" w:rsidRDefault="00F43409" w:rsidP="00F43409">
      <w:pPr>
        <w:pStyle w:val="SingleTxt"/>
        <w:rPr>
          <w:rFonts w:hint="eastAsia"/>
        </w:rPr>
      </w:pPr>
      <w:r>
        <w:rPr>
          <w:rFonts w:hint="eastAsia"/>
        </w:rPr>
        <w:t>审议缔约国根据《公约》第18条提交的报告(</w:t>
      </w:r>
      <w:r w:rsidRPr="00F43409">
        <w:rPr>
          <w:rFonts w:ascii="KaiTi_GB2312" w:eastAsia="KaiTi_GB2312" w:hint="eastAsia"/>
        </w:rPr>
        <w:t>续</w:t>
      </w:r>
      <w:r>
        <w:rPr>
          <w:rFonts w:hint="eastAsia"/>
        </w:rPr>
        <w:t>)</w:t>
      </w:r>
    </w:p>
    <w:p w:rsidR="004B16C0" w:rsidRPr="00F43409" w:rsidRDefault="00F43409" w:rsidP="00F43409">
      <w:pPr>
        <w:pStyle w:val="SingleTxt"/>
        <w:rPr>
          <w:rFonts w:ascii="KaiTi_GB2312" w:eastAsia="KaiTi_GB2312"/>
        </w:rPr>
      </w:pPr>
      <w:r>
        <w:rPr>
          <w:rFonts w:hint="eastAsia"/>
        </w:rPr>
        <w:tab/>
      </w:r>
      <w:r w:rsidRPr="00F43409">
        <w:rPr>
          <w:rFonts w:ascii="KaiTi_GB2312" w:eastAsia="KaiTi_GB2312" w:hint="eastAsia"/>
        </w:rPr>
        <w:t>新西兰第七次定期报告</w:t>
      </w:r>
    </w:p>
    <w:p w:rsidR="004B16C0" w:rsidRDefault="004B16C0" w:rsidP="004B16C0">
      <w:pPr>
        <w:pStyle w:val="SingleTxt"/>
        <w:spacing w:after="0" w:line="40" w:lineRule="exact"/>
        <w:sectPr w:rsidR="004B16C0" w:rsidSect="004B16C0">
          <w:type w:val="continuous"/>
          <w:pgSz w:w="12240" w:h="15840" w:code="1"/>
          <w:pgMar w:top="1742" w:right="1195" w:bottom="1898" w:left="1195" w:header="576" w:footer="1030" w:gutter="0"/>
          <w:cols w:space="425"/>
          <w:noEndnote/>
          <w:docGrid w:linePitch="312"/>
        </w:sectPr>
      </w:pPr>
      <w:r>
        <w:br w:type="page"/>
      </w:r>
    </w:p>
    <w:p w:rsidR="00F43409" w:rsidRDefault="00F43409" w:rsidP="00F43409">
      <w:pPr>
        <w:pStyle w:val="DualTxt"/>
        <w:rPr>
          <w:rFonts w:hint="eastAsia"/>
        </w:rPr>
      </w:pPr>
      <w:r>
        <w:rPr>
          <w:rFonts w:hint="eastAsia"/>
        </w:rPr>
        <w:tab/>
      </w:r>
      <w:r w:rsidRPr="00F43409">
        <w:rPr>
          <w:rFonts w:ascii="KaiTi_GB2312" w:eastAsia="KaiTi_GB2312" w:hint="eastAsia"/>
        </w:rPr>
        <w:t>下午3时</w:t>
      </w:r>
      <w:r w:rsidR="00984E5F">
        <w:rPr>
          <w:rFonts w:ascii="Times New Roman" w:eastAsia="KaiTi_GB2312"/>
        </w:rPr>
        <w:t>0</w:t>
      </w:r>
      <w:r w:rsidRPr="00F43409">
        <w:rPr>
          <w:rFonts w:ascii="KaiTi_GB2312" w:eastAsia="KaiTi_GB2312" w:hint="eastAsia"/>
        </w:rPr>
        <w:t>8分宣布开会</w:t>
      </w:r>
      <w:r>
        <w:rPr>
          <w:rFonts w:hint="eastAsia"/>
        </w:rPr>
        <w:t>。</w:t>
      </w:r>
    </w:p>
    <w:p w:rsidR="00F43409" w:rsidRDefault="00F43409" w:rsidP="00F43409">
      <w:pPr>
        <w:pStyle w:val="DualTxt"/>
        <w:spacing w:after="120"/>
        <w:rPr>
          <w:rFonts w:hint="eastAsia"/>
        </w:rPr>
      </w:pPr>
      <w:r w:rsidRPr="00F43409">
        <w:rPr>
          <w:rFonts w:ascii="SimHei" w:eastAsia="SimHei" w:hint="eastAsia"/>
        </w:rPr>
        <w:t>审议缔约国根据《公约》第18条提交的报告</w:t>
      </w:r>
      <w:r>
        <w:rPr>
          <w:rFonts w:hint="eastAsia"/>
        </w:rPr>
        <w:t>(</w:t>
      </w:r>
      <w:r w:rsidRPr="00F43409">
        <w:rPr>
          <w:rFonts w:ascii="KaiTi_GB2312" w:eastAsia="KaiTi_GB2312" w:hint="eastAsia"/>
        </w:rPr>
        <w:t>续</w:t>
      </w:r>
      <w:r>
        <w:rPr>
          <w:rFonts w:hint="eastAsia"/>
        </w:rPr>
        <w:t>)</w:t>
      </w:r>
    </w:p>
    <w:p w:rsidR="00F43409" w:rsidRPr="00F1168B" w:rsidRDefault="00F43409" w:rsidP="00F43409">
      <w:pPr>
        <w:pStyle w:val="DualTxt"/>
        <w:spacing w:after="120"/>
        <w:rPr>
          <w:rFonts w:hint="eastAsia"/>
        </w:rPr>
      </w:pPr>
      <w:r>
        <w:rPr>
          <w:rFonts w:hint="eastAsia"/>
        </w:rPr>
        <w:tab/>
      </w:r>
      <w:r w:rsidRPr="00F43409">
        <w:rPr>
          <w:rFonts w:ascii="KaiTi_GB2312" w:eastAsia="KaiTi_GB2312" w:hint="eastAsia"/>
        </w:rPr>
        <w:t>新西兰第七次定期报告</w:t>
      </w:r>
      <w:r w:rsidRPr="00F1168B">
        <w:rPr>
          <w:rFonts w:hint="eastAsia"/>
        </w:rPr>
        <w:t>(</w:t>
      </w:r>
      <w:hyperlink r:id="rId14" w:history="1">
        <w:r w:rsidRPr="00F1168B">
          <w:rPr>
            <w:rStyle w:val="Hyperlink"/>
            <w:rFonts w:hint="eastAsia"/>
            <w:color w:val="auto"/>
            <w:u w:val="none"/>
          </w:rPr>
          <w:t>CEDAW/C/NZL/7</w:t>
        </w:r>
      </w:hyperlink>
      <w:r w:rsidRPr="00F1168B">
        <w:rPr>
          <w:rFonts w:hint="eastAsia"/>
        </w:rPr>
        <w:t>)</w:t>
      </w:r>
    </w:p>
    <w:p w:rsidR="00F43409" w:rsidRDefault="00F43409" w:rsidP="00F43409">
      <w:pPr>
        <w:pStyle w:val="DualTxt"/>
        <w:spacing w:after="120"/>
        <w:rPr>
          <w:rFonts w:hint="eastAsia"/>
        </w:rPr>
      </w:pPr>
      <w:r>
        <w:rPr>
          <w:rFonts w:hint="eastAsia"/>
        </w:rPr>
        <w:t>1.</w:t>
      </w:r>
      <w:r>
        <w:rPr>
          <w:rFonts w:hint="eastAsia"/>
        </w:rPr>
        <w:tab/>
      </w:r>
      <w:r w:rsidRPr="00F43409">
        <w:rPr>
          <w:rFonts w:ascii="KaiTi_GB2312" w:eastAsia="KaiTi_GB2312" w:hint="eastAsia"/>
        </w:rPr>
        <w:t>应主席邀请，各代表团成员在委员会议席就座</w:t>
      </w:r>
      <w:r>
        <w:rPr>
          <w:rFonts w:hint="eastAsia"/>
        </w:rPr>
        <w:t>。</w:t>
      </w:r>
    </w:p>
    <w:p w:rsidR="00F43409" w:rsidRDefault="00F43409" w:rsidP="00F43409">
      <w:pPr>
        <w:pStyle w:val="DualTxt"/>
        <w:rPr>
          <w:rFonts w:hint="eastAsia"/>
        </w:rPr>
      </w:pPr>
      <w:r>
        <w:rPr>
          <w:rFonts w:hint="eastAsia"/>
        </w:rPr>
        <w:t>2.</w:t>
      </w:r>
      <w:r>
        <w:rPr>
          <w:rFonts w:hint="eastAsia"/>
        </w:rPr>
        <w:tab/>
      </w:r>
      <w:r w:rsidRPr="00F43409">
        <w:rPr>
          <w:rFonts w:ascii="SimHei" w:eastAsia="SimHei" w:hint="eastAsia"/>
        </w:rPr>
        <w:t>Goodhew女士</w:t>
      </w:r>
      <w:r>
        <w:rPr>
          <w:rFonts w:hint="eastAsia"/>
        </w:rPr>
        <w:t>(新西兰)说，在2010年，青年议会122名成员中有80人是妇女，这表明越来越多妇女对政治生活感兴趣。没有关于乳牛场女性移徙工人人数按性别细分的数据；但移民局正在与移民、工会和其他利益攸关方合作以期对其关注的问题作出回应，并制定了一套目标和指导方针。她将提供关于永久居留权和公民资格的详细书面说明。1977年《公民法》第16节虽然没有限制双重国籍，但它规定行事方式违反新西兰利益者可被剥夺公民身份；她会提供第16节的文本。托克劳虽然在区分男女各自所起的作用方面有所改善，但问题依然存在。目前正在通过采取托克劳国家妇女政策等各种举措来处理这些问题，其中有五个目标：将妇女在国家一级和村一级的行政决策人员人数增加30%；提供获得高质、全面医疗服务的机会；将性别观点纳入国家和乡村举措；提供获得正规和非正规教育和培训的平等机会；并实现所有妇女充分参与经济的目标。</w:t>
      </w:r>
    </w:p>
    <w:p w:rsidR="00F43409" w:rsidRPr="00F43409" w:rsidRDefault="00F43409" w:rsidP="00F43409">
      <w:pPr>
        <w:pStyle w:val="DualTxt"/>
        <w:rPr>
          <w:rFonts w:ascii="KaiTi_GB2312" w:eastAsia="KaiTi_GB2312" w:hint="eastAsia"/>
        </w:rPr>
      </w:pPr>
      <w:r w:rsidRPr="00F43409">
        <w:rPr>
          <w:rFonts w:ascii="KaiTi_GB2312" w:eastAsia="KaiTi_GB2312" w:hint="eastAsia"/>
        </w:rPr>
        <w:t>第11至14条</w:t>
      </w:r>
    </w:p>
    <w:p w:rsidR="00F43409" w:rsidRDefault="00F43409" w:rsidP="00F43409">
      <w:pPr>
        <w:pStyle w:val="DualTxt"/>
        <w:rPr>
          <w:rFonts w:hint="eastAsia"/>
        </w:rPr>
      </w:pPr>
      <w:r>
        <w:rPr>
          <w:rFonts w:hint="eastAsia"/>
        </w:rPr>
        <w:t>3.</w:t>
      </w:r>
      <w:r>
        <w:rPr>
          <w:rFonts w:hint="eastAsia"/>
        </w:rPr>
        <w:tab/>
      </w:r>
      <w:r w:rsidRPr="00B74545">
        <w:rPr>
          <w:rFonts w:ascii="SimHei" w:eastAsia="SimHei" w:hint="eastAsia"/>
          <w:spacing w:val="2"/>
        </w:rPr>
        <w:t>Bruun先生问</w:t>
      </w:r>
      <w:r w:rsidRPr="00B74545">
        <w:rPr>
          <w:rFonts w:hint="eastAsia"/>
          <w:spacing w:val="2"/>
        </w:rPr>
        <w:t>，是否有针对性的方法来解决失业问题，特别是弱势妇女的失业问题。不理解为什么公平薪酬和就业单位被关闭；他不知道政府打算如何解决同工同酬方面的差距。新西兰提议的集体谈判制度的改变可能会进一步降低工资，尤其是妇女的工资，他希望知道将如何衡量此种风险。关于带薪育儿假的立法大大加深男女在社会中的刻板形象；政府打算何时解决这个问题，政府是否打算批准国际劳工组织第C156号关于具有家庭责任的的工人的公约？</w:t>
      </w:r>
    </w:p>
    <w:p w:rsidR="00F43409" w:rsidRDefault="00F43409" w:rsidP="00B74545">
      <w:pPr>
        <w:pStyle w:val="DualTxt"/>
        <w:spacing w:after="120"/>
        <w:rPr>
          <w:rFonts w:hint="eastAsia"/>
        </w:rPr>
      </w:pPr>
      <w:r>
        <w:rPr>
          <w:rFonts w:hint="eastAsia"/>
        </w:rPr>
        <w:t>4.</w:t>
      </w:r>
      <w:r>
        <w:rPr>
          <w:rFonts w:hint="eastAsia"/>
        </w:rPr>
        <w:tab/>
      </w:r>
      <w:r w:rsidRPr="00F43409">
        <w:rPr>
          <w:rFonts w:ascii="SimHei" w:eastAsia="SimHei" w:hint="eastAsia"/>
        </w:rPr>
        <w:t>Schulz女士</w:t>
      </w:r>
      <w:r>
        <w:rPr>
          <w:rFonts w:hint="eastAsia"/>
        </w:rPr>
        <w:t>说，堕胎法是令人费解的；该法去除了妇女的自主决定权，其直接后果是妇女要依赖对该法作出有利于她们的解释。1961年的刑事犯罪法与1977年的避孕、绝育和堕胎法对人工流产的制裁措施是不一致的，对于在规定范围外进行的流产的制裁措施是不明确的。</w:t>
      </w:r>
    </w:p>
    <w:p w:rsidR="00F43409" w:rsidRDefault="00F43409" w:rsidP="00B74545">
      <w:pPr>
        <w:pStyle w:val="DualTxt"/>
        <w:spacing w:after="120"/>
        <w:rPr>
          <w:rFonts w:hint="eastAsia"/>
        </w:rPr>
      </w:pPr>
      <w:r>
        <w:rPr>
          <w:rFonts w:hint="eastAsia"/>
        </w:rPr>
        <w:t>5.</w:t>
      </w:r>
      <w:r>
        <w:rPr>
          <w:rFonts w:hint="eastAsia"/>
        </w:rPr>
        <w:tab/>
      </w:r>
      <w:r w:rsidRPr="00B74545">
        <w:rPr>
          <w:rFonts w:ascii="SimHei" w:eastAsia="SimHei" w:hint="eastAsia"/>
        </w:rPr>
        <w:t>Rasekh女士</w:t>
      </w:r>
      <w:r w:rsidRPr="00B74545">
        <w:rPr>
          <w:rFonts w:hint="eastAsia"/>
        </w:rPr>
        <w:t>说，她想知道毛利妇女子宫颈癌的死亡率，并想知道数据是在何时产生的。她想知道卫生部在筛查毛利族和其他少数民族妇女乳腺癌和宫颈癌方面做了什么，以及卫生部是否是对文化和语言采取理解的态度。如果能够获得少数族裔群体、移民和难民群体青年以及分娩后妇女的性与生殖健康战略的信息以及获得心理健康服务机会的信息将是有帮助的。</w:t>
      </w:r>
    </w:p>
    <w:p w:rsidR="00F43409" w:rsidRDefault="00F43409" w:rsidP="00B74545">
      <w:pPr>
        <w:pStyle w:val="DualTxt"/>
        <w:spacing w:after="120"/>
        <w:rPr>
          <w:rFonts w:hint="eastAsia"/>
        </w:rPr>
      </w:pPr>
      <w:r>
        <w:rPr>
          <w:rFonts w:hint="eastAsia"/>
        </w:rPr>
        <w:t>6.</w:t>
      </w:r>
      <w:r>
        <w:rPr>
          <w:rFonts w:hint="eastAsia"/>
        </w:rPr>
        <w:tab/>
      </w:r>
      <w:r w:rsidRPr="00F43409">
        <w:rPr>
          <w:rFonts w:ascii="SimHei" w:eastAsia="SimHei" w:hint="eastAsia"/>
        </w:rPr>
        <w:t>Bruun先生</w:t>
      </w:r>
      <w:r>
        <w:rPr>
          <w:rFonts w:hint="eastAsia"/>
        </w:rPr>
        <w:t>说，他想知道福利制度的改变对无法符合新规定的妇女可能产生的影响，以及政府如何确保此种变化不会使生活，特别是年轻移民和毛利族母亲的生活变得更困难。目前还不清楚毛利人家庭健康举措的实践情况。</w:t>
      </w:r>
    </w:p>
    <w:p w:rsidR="00F43409" w:rsidRDefault="00F43409" w:rsidP="00B74545">
      <w:pPr>
        <w:pStyle w:val="DualTxt"/>
        <w:spacing w:after="120"/>
        <w:rPr>
          <w:rFonts w:hint="eastAsia"/>
        </w:rPr>
      </w:pPr>
      <w:r>
        <w:rPr>
          <w:rFonts w:hint="eastAsia"/>
        </w:rPr>
        <w:t>7.</w:t>
      </w:r>
      <w:r>
        <w:rPr>
          <w:rFonts w:hint="eastAsia"/>
        </w:rPr>
        <w:tab/>
      </w:r>
      <w:r w:rsidRPr="00F43409">
        <w:rPr>
          <w:rFonts w:ascii="SimHei" w:eastAsia="SimHei" w:hint="eastAsia"/>
        </w:rPr>
        <w:t>Hayashi女士</w:t>
      </w:r>
      <w:r>
        <w:rPr>
          <w:rFonts w:hint="eastAsia"/>
        </w:rPr>
        <w:t>说，她想知道基督城地震是否对性别平等产生负面影响；家庭暴力和失业率上升了。她想知道采取了何种措施以确保妇女参与恢复过程，政府如何监测对政策和做法的评估，以及恢复过程对两性影响的分析。政府做了哪些努力以鼓励妇女进入男性主导的行业？她想知道，鉴于该《公约》，政府对2012年修正移民法律草案的意见，该草案对难民家庭团聚作出了限制。</w:t>
      </w:r>
    </w:p>
    <w:p w:rsidR="00F43409" w:rsidRDefault="00F43409" w:rsidP="00B74545">
      <w:pPr>
        <w:pStyle w:val="DualTxt"/>
        <w:spacing w:after="120"/>
        <w:rPr>
          <w:rFonts w:hint="eastAsia"/>
        </w:rPr>
      </w:pPr>
      <w:r>
        <w:rPr>
          <w:rFonts w:hint="eastAsia"/>
        </w:rPr>
        <w:t>8.</w:t>
      </w:r>
      <w:r>
        <w:rPr>
          <w:rFonts w:hint="eastAsia"/>
        </w:rPr>
        <w:tab/>
      </w:r>
      <w:r w:rsidRPr="00F43409">
        <w:rPr>
          <w:rFonts w:ascii="SimHei" w:eastAsia="SimHei" w:hint="eastAsia"/>
        </w:rPr>
        <w:t>Goodhew女士</w:t>
      </w:r>
      <w:r>
        <w:rPr>
          <w:rFonts w:hint="eastAsia"/>
        </w:rPr>
        <w:t>(新西兰)说，按照1995年的《家庭暴力法》，家庭暴力包括身体、性和心理方面的虐待，它提供了一些措施，包括保护令，警方安全命令以及防止重复犯罪方案。1961年的刑事罪行法为犯罪行为(其中可包括家庭暴力犯罪行为)提供了法律定义，并提供了补救措施和处罚规定。被控犯下家庭暴力的人，可被检控，一经定罪，则根据刑事犯罪法判刑。家庭法院处理低层次的措施，如调解，以解决争端和严重性较低的违反家庭暴力法行为。</w:t>
      </w:r>
    </w:p>
    <w:p w:rsidR="00F43409" w:rsidRDefault="00F43409" w:rsidP="00F43409">
      <w:pPr>
        <w:pStyle w:val="DualTxt"/>
        <w:rPr>
          <w:rFonts w:hint="eastAsia"/>
        </w:rPr>
      </w:pPr>
      <w:r>
        <w:rPr>
          <w:rFonts w:hint="eastAsia"/>
        </w:rPr>
        <w:t>9.</w:t>
      </w:r>
      <w:r>
        <w:rPr>
          <w:rFonts w:hint="eastAsia"/>
        </w:rPr>
        <w:tab/>
        <w:t>在2012年，早期儿童教育系统的预算增加了。在这些方案中，毛利、太平洋和亚洲人的入学人数增加了6%或以上，而其他人口的入学率有所减少。预算的部分经费用于提高那些尚未有机会获得早期儿童教育的人的入学机会。孩子上学时间一般超过获得资助的20个小时；获得家庭目的福利的妇女也获得额外的资金，以确保其子女有机会获得早期儿童教育。目前正在审查该制度；妇女事务部也参与，以确保该制度对妇女的影响得到审查。</w:t>
      </w:r>
    </w:p>
    <w:p w:rsidR="00F43409" w:rsidRDefault="00F43409" w:rsidP="00B74545">
      <w:pPr>
        <w:pStyle w:val="DualTxt"/>
        <w:spacing w:line="322" w:lineRule="exact"/>
        <w:rPr>
          <w:rFonts w:hint="eastAsia"/>
        </w:rPr>
      </w:pPr>
      <w:r>
        <w:rPr>
          <w:rFonts w:hint="eastAsia"/>
        </w:rPr>
        <w:t>10.</w:t>
      </w:r>
      <w:r>
        <w:rPr>
          <w:rFonts w:hint="eastAsia"/>
        </w:rPr>
        <w:tab/>
      </w:r>
      <w:r w:rsidRPr="00B74545">
        <w:rPr>
          <w:rFonts w:hint="eastAsia"/>
        </w:rPr>
        <w:t>鼓励女生考虑非传统职业的中学教育和行业学校以年龄在12至18岁之间的儿童为目标；行业培训和现代学徒计划为中学毕业后的选择。处理非传统领域高等教育中的性别隔离问题是一个困难问题。在劳动力市场中性别高度隔离，并导致30%的男女工资差异。在2010年，女性在行业培训员中占94%，其参与率比以前高，除一个领域外，在所有领域的参与率都比男性高。年轻妇女开始看到她们可以在非传统领域工作，这是一个令人鼓舞的迹象。妇女事务部资助的各目标领域中包括电力供应业培训组织，其目的是确定妇女所面临的障碍，并设法减少这些障碍，这将被证明对其他非传统领域也是有用的。政府的一个团队的目标是解决青年失业问题，帮助年轻的毛利和太平洋岛屿妇女，以提高其教育成果。这些举措支持无业女青年获得可持续就业，其</w:t>
      </w:r>
      <w:r w:rsidRPr="00B74545">
        <w:rPr>
          <w:rFonts w:hint="eastAsia"/>
          <w:spacing w:val="-4"/>
        </w:rPr>
        <w:t>中包括一系列培训计划，使其能够重新进入工作场所。</w:t>
      </w:r>
    </w:p>
    <w:p w:rsidR="00F43409" w:rsidRDefault="00F43409" w:rsidP="00B74545">
      <w:pPr>
        <w:pStyle w:val="DualTxt"/>
        <w:spacing w:after="120"/>
        <w:rPr>
          <w:rFonts w:hint="eastAsia"/>
        </w:rPr>
      </w:pPr>
      <w:r>
        <w:rPr>
          <w:rFonts w:hint="eastAsia"/>
        </w:rPr>
        <w:t>11.</w:t>
      </w:r>
      <w:r>
        <w:rPr>
          <w:rFonts w:hint="eastAsia"/>
        </w:rPr>
        <w:tab/>
        <w:t>只将重点放在国有部门不能有效地缩小男女薪酬差异，因此政府关闭了公平工资和就业组并将经费重新分配给妇女事务部，该部因此扩大其制定政策和研究的职能，以包括男女工资差异和其他就业问题；该部还通过其工作方案解决男女工资差异。妇女就业问题国家咨询委员会也从事此项工作。新西兰收入调查报告是跟踪男女工资差异随着时间变化的最有力的资料来源，政府认为禁止基于性别的薪酬歧视的现行法律是全面的，所以没有必要通过额外的公平工资法。政府确实看到需要从根源上解决私营部门持久存在工资差异问题，并了解首席行政人员有义务解决已发现的男女不平等问题；因此，它支持公平工资和就业小组制定的公平工资和就业回应计划的实施。在谈到关于带薪育儿假的立法规定时，她说没有明确地将偶尔和季节性员工排除在外，但她承认这些人很难符合资格要求。与雇主有较长久的关系对在请假后可以重新回去工作仍是必要的。政府支持带薪育儿假，但在目前财政状况下无法扩大覆盖范围。</w:t>
      </w:r>
    </w:p>
    <w:p w:rsidR="00F43409" w:rsidRPr="00B74545" w:rsidRDefault="00F43409" w:rsidP="00B74545">
      <w:pPr>
        <w:pStyle w:val="DualTxt"/>
        <w:spacing w:after="120"/>
        <w:rPr>
          <w:rFonts w:hint="eastAsia"/>
          <w:spacing w:val="2"/>
        </w:rPr>
      </w:pPr>
      <w:r>
        <w:rPr>
          <w:rFonts w:hint="eastAsia"/>
        </w:rPr>
        <w:t>12.</w:t>
      </w:r>
      <w:r>
        <w:rPr>
          <w:rFonts w:hint="eastAsia"/>
        </w:rPr>
        <w:tab/>
      </w:r>
      <w:r w:rsidRPr="00B74545">
        <w:rPr>
          <w:rFonts w:hint="eastAsia"/>
          <w:spacing w:val="2"/>
        </w:rPr>
        <w:t>子宫颈癌的最近统计数据是2009年的数据；2011年的数据表明，癌症发病率是161人，其中34人是毛利人。需要为各民族提供文化上合适的筛查方案，该方案要考虑到各民族之间的差异。目前的挑战是如何根据反馈不断作出反应，以解决在获得服务方面存在的任何障碍；在这方面取得了一些成功，但肯定还有更多需要学习的地方。卫生部的性和生殖健康方案包括通过跨部会项目加强性健康和生殖健康管理。</w:t>
      </w:r>
    </w:p>
    <w:p w:rsidR="00F43409" w:rsidRDefault="00F43409" w:rsidP="00B74545">
      <w:pPr>
        <w:pStyle w:val="DualTxt"/>
        <w:spacing w:after="120" w:line="316" w:lineRule="exact"/>
        <w:rPr>
          <w:rFonts w:hint="eastAsia"/>
        </w:rPr>
      </w:pPr>
      <w:r>
        <w:rPr>
          <w:rFonts w:hint="eastAsia"/>
        </w:rPr>
        <w:t>13.</w:t>
      </w:r>
      <w:r>
        <w:rPr>
          <w:rFonts w:hint="eastAsia"/>
        </w:rPr>
        <w:tab/>
      </w:r>
      <w:r w:rsidRPr="00B74545">
        <w:rPr>
          <w:rFonts w:hint="eastAsia"/>
          <w:spacing w:val="2"/>
        </w:rPr>
        <w:t>堕胎手术的要求似乎让人望而却步，但流产率下降是由于有更好的避孕咨询和可以获得此种咨询。计划生育诊所为所有不满22岁的新西兰人提供免费咨询和避孕方法，学校提供强制性的性教育，但家长可选择不让子女上该部分课程。卫生部与计划生育组织订有合同；共有26性健康和生殖健康服务提供者、30个诊所、32个与学校有联系的诊所和一个以25岁以下女性为目标的网站。没有为该部门不同的部分制订性健康和生殖健康战略。区卫生局需要为那些符合资格的人提供终止妊娠服务，国家旅行援助政策为需要长途旅行以获得卫生服务的人提供资助，但偏远地区的妇女是否有机会获得服务的问题令人关注。人工流产监督委员会审查法律条文，并在监测可以授权进行人工流产的认证顾问稀疏的地域分布情况。</w:t>
      </w:r>
    </w:p>
    <w:p w:rsidR="00F43409" w:rsidRDefault="00F43409" w:rsidP="00B74545">
      <w:pPr>
        <w:pStyle w:val="DualTxt"/>
        <w:spacing w:after="120"/>
        <w:rPr>
          <w:rFonts w:hint="eastAsia"/>
        </w:rPr>
      </w:pPr>
      <w:r>
        <w:rPr>
          <w:rFonts w:hint="eastAsia"/>
        </w:rPr>
        <w:t>14.</w:t>
      </w:r>
      <w:r>
        <w:rPr>
          <w:rFonts w:hint="eastAsia"/>
        </w:rPr>
        <w:tab/>
        <w:t>毛利人家庭健康举措涉及许多毛利人家庭，特别是妇女，因为女性户主比男性户主多。政府积极着手让毛利人进入卫生保健部门为毛利人提供服务，因为这会加强产生积极成果。产妇心理健康统计数据显示年轻妇女在产后28天的目标日期内自杀率很高。卫生部在南岛有一个产妇心理健康单位，并正在北岛建立另一个单位；看来预先存在的、未经充分治疗的精神疾病助长了自杀，政府正在处理这些问题。调查研究显示十几岁的母亲很可能在经济上独立前就有更多的孩子，在考虑到这项调查结果后福利系统做了改变，目的是通过向领取家庭目的福利的妇女提供关于控制预算、养育子女和工作技能的指导，给予她们一个摆脱依赖福利的途径。</w:t>
      </w:r>
    </w:p>
    <w:p w:rsidR="00F43409" w:rsidRDefault="00F43409" w:rsidP="00B74545">
      <w:pPr>
        <w:pStyle w:val="DualTxt"/>
        <w:spacing w:line="330" w:lineRule="exact"/>
        <w:rPr>
          <w:rFonts w:hint="eastAsia"/>
        </w:rPr>
      </w:pPr>
      <w:r>
        <w:rPr>
          <w:rFonts w:hint="eastAsia"/>
        </w:rPr>
        <w:t>15.</w:t>
      </w:r>
      <w:r>
        <w:rPr>
          <w:rFonts w:hint="eastAsia"/>
        </w:rPr>
        <w:tab/>
        <w:t>妇女在经济衰退和随之而来的地震中所受到的影响是不成比例的。让失业妇女接受行业培训是一个挑战。关于地震对特定性别的影响的数据显示男性和女性就业情况不同，原因是建筑行业就业增加和零售行业就业减少。卫生部正在与各大专院校研究方法，以扩大妇女参与复原工作的机会。她会把2012年移民修正法案的信息提供给委员会。</w:t>
      </w:r>
    </w:p>
    <w:p w:rsidR="00F43409" w:rsidRDefault="00F43409" w:rsidP="00F43409">
      <w:pPr>
        <w:pStyle w:val="DualTxt"/>
        <w:rPr>
          <w:rFonts w:hint="eastAsia"/>
        </w:rPr>
      </w:pPr>
      <w:r>
        <w:rPr>
          <w:rFonts w:hint="eastAsia"/>
        </w:rPr>
        <w:t>16.</w:t>
      </w:r>
      <w:r>
        <w:rPr>
          <w:rFonts w:hint="eastAsia"/>
        </w:rPr>
        <w:tab/>
      </w:r>
      <w:r w:rsidRPr="00F43409">
        <w:rPr>
          <w:rFonts w:ascii="SimHei" w:eastAsia="SimHei" w:hint="eastAsia"/>
        </w:rPr>
        <w:t>Schulz女士</w:t>
      </w:r>
      <w:r>
        <w:rPr>
          <w:rFonts w:hint="eastAsia"/>
        </w:rPr>
        <w:t>想知道妇女在人工流产方面的法律状况。由于人工流产已列入刑法，她想知道政府是否愿意处理使该法律现代化的问题。她也想了解更多关于为有不同性倾向的人提供心理服务的问题。</w:t>
      </w:r>
    </w:p>
    <w:p w:rsidR="00F43409" w:rsidRDefault="00F43409" w:rsidP="00F43409">
      <w:pPr>
        <w:pStyle w:val="DualTxt"/>
        <w:rPr>
          <w:rFonts w:hint="eastAsia"/>
        </w:rPr>
      </w:pPr>
      <w:r>
        <w:rPr>
          <w:rFonts w:hint="eastAsia"/>
        </w:rPr>
        <w:t>17.</w:t>
      </w:r>
      <w:r>
        <w:rPr>
          <w:rFonts w:hint="eastAsia"/>
        </w:rPr>
        <w:tab/>
      </w:r>
      <w:r w:rsidRPr="00F43409">
        <w:rPr>
          <w:rFonts w:ascii="SimHei" w:eastAsia="SimHei" w:hint="eastAsia"/>
        </w:rPr>
        <w:t>Rasekh女士</w:t>
      </w:r>
      <w:r>
        <w:rPr>
          <w:rFonts w:hint="eastAsia"/>
        </w:rPr>
        <w:t>说，她想了解来自印度、中东和非洲的族群的资料，以及这些人子宫颈癌的发病率。是否有为这些这些社区提供癌症筛查？教育审查办公室2007年报告中指出性的教育计划有不一致的地方，她想知道是否有对报告提出的建议采取行动。</w:t>
      </w:r>
    </w:p>
    <w:p w:rsidR="00F43409" w:rsidRDefault="00F43409" w:rsidP="00F43409">
      <w:pPr>
        <w:pStyle w:val="DualTxt"/>
        <w:rPr>
          <w:rFonts w:hint="eastAsia"/>
        </w:rPr>
      </w:pPr>
      <w:r>
        <w:rPr>
          <w:rFonts w:hint="eastAsia"/>
        </w:rPr>
        <w:t>18.</w:t>
      </w:r>
      <w:r>
        <w:rPr>
          <w:rFonts w:hint="eastAsia"/>
        </w:rPr>
        <w:tab/>
      </w:r>
      <w:r w:rsidRPr="00F43409">
        <w:rPr>
          <w:rFonts w:ascii="SimHei" w:eastAsia="SimHei" w:hint="eastAsia"/>
        </w:rPr>
        <w:t>Bruun先生</w:t>
      </w:r>
      <w:r>
        <w:rPr>
          <w:rFonts w:hint="eastAsia"/>
        </w:rPr>
        <w:t>问，妇女事务部是否有公平工资单位。</w:t>
      </w:r>
    </w:p>
    <w:p w:rsidR="00F43409" w:rsidRDefault="00F43409" w:rsidP="00F43409">
      <w:pPr>
        <w:pStyle w:val="DualTxt"/>
        <w:rPr>
          <w:rFonts w:hint="eastAsia"/>
        </w:rPr>
      </w:pPr>
      <w:r>
        <w:rPr>
          <w:rFonts w:hint="eastAsia"/>
        </w:rPr>
        <w:t>19.</w:t>
      </w:r>
      <w:r>
        <w:rPr>
          <w:rFonts w:hint="eastAsia"/>
        </w:rPr>
        <w:tab/>
      </w:r>
      <w:r w:rsidRPr="00F43409">
        <w:rPr>
          <w:rFonts w:ascii="SimHei" w:eastAsia="SimHei" w:hint="eastAsia"/>
        </w:rPr>
        <w:t>主席</w:t>
      </w:r>
      <w:r>
        <w:rPr>
          <w:rFonts w:hint="eastAsia"/>
        </w:rPr>
        <w:t>在以专家身份发言时问，政府如何看待人权委员会关于增加变性人获得公共医疗服务机会的建议，以及关于通过区卫生局提供变性人医疗卫生服务信息的建议。</w:t>
      </w:r>
    </w:p>
    <w:p w:rsidR="00F43409" w:rsidRDefault="00F43409" w:rsidP="00B74545">
      <w:pPr>
        <w:pStyle w:val="DualTxt"/>
        <w:spacing w:line="326" w:lineRule="exact"/>
        <w:rPr>
          <w:rFonts w:hint="eastAsia"/>
        </w:rPr>
      </w:pPr>
      <w:r>
        <w:rPr>
          <w:rFonts w:hint="eastAsia"/>
        </w:rPr>
        <w:t>20.</w:t>
      </w:r>
      <w:r>
        <w:rPr>
          <w:rFonts w:hint="eastAsia"/>
        </w:rPr>
        <w:tab/>
      </w:r>
      <w:r w:rsidRPr="00F43409">
        <w:rPr>
          <w:rFonts w:ascii="SimHei" w:eastAsia="SimHei" w:hint="eastAsia"/>
        </w:rPr>
        <w:t>Goodhew女士</w:t>
      </w:r>
      <w:r>
        <w:rPr>
          <w:rFonts w:hint="eastAsia"/>
        </w:rPr>
        <w:t>(新西兰)说，妇女事务部负责改善公平就业，并不断审查研究和评价方法。没有任何迹象显示政府打算将堕胎的立法现代化，或者国会议员打算作出此种倡议。她将提供按种族列出的乳腺癌和子宫颈癌筛检数据。卫生和教育部已实施教育审查办公室报告中的建议、已审查性教育资源，并已编制关于有效性教育的以证据为基础的最佳实践信息。审查报告确认新西兰有适当种类的计划、资源和提供者。卫生部公布了在新西兰为跨性别人士提供的变性人卫生服务：主要为卫生专业人员提供的卫生保健专业人员良好实践指南；这也是寻求医疗保健的变性人的信息资源，其中包括卫生专业人员名单，但没有列出每个区卫生局的联系人。有资金用于为变性和同性恋群体提供教育和提高认识的讲习班，但用于心理健康服务的经费可能不足。她将提供更多关于变性和同性恋群体的心理健康服务的信息。</w:t>
      </w:r>
    </w:p>
    <w:p w:rsidR="00F43409" w:rsidRPr="00B74545" w:rsidRDefault="00F43409" w:rsidP="00F43409">
      <w:pPr>
        <w:pStyle w:val="DualTxt"/>
        <w:rPr>
          <w:rFonts w:ascii="KaiTi_GB2312" w:eastAsia="KaiTi_GB2312" w:hint="eastAsia"/>
        </w:rPr>
      </w:pPr>
      <w:r w:rsidRPr="00B74545">
        <w:rPr>
          <w:rFonts w:ascii="KaiTi_GB2312" w:eastAsia="KaiTi_GB2312" w:hint="eastAsia"/>
        </w:rPr>
        <w:t>第15至16</w:t>
      </w:r>
    </w:p>
    <w:p w:rsidR="00F43409" w:rsidRPr="00B74545" w:rsidRDefault="00F43409" w:rsidP="00F43409">
      <w:pPr>
        <w:pStyle w:val="DualTxt"/>
        <w:rPr>
          <w:rFonts w:hint="eastAsia"/>
          <w:spacing w:val="2"/>
        </w:rPr>
      </w:pPr>
      <w:r>
        <w:rPr>
          <w:rFonts w:hint="eastAsia"/>
        </w:rPr>
        <w:t>21.</w:t>
      </w:r>
      <w:r>
        <w:rPr>
          <w:rFonts w:hint="eastAsia"/>
        </w:rPr>
        <w:tab/>
      </w:r>
      <w:r w:rsidRPr="00F43409">
        <w:rPr>
          <w:rFonts w:ascii="SimHei" w:eastAsia="SimHei" w:hint="eastAsia"/>
        </w:rPr>
        <w:t>Halperin-Kaddari女士</w:t>
      </w:r>
      <w:r>
        <w:rPr>
          <w:rFonts w:hint="eastAsia"/>
        </w:rPr>
        <w:t>说，她希望知道政府打算如何处理在法律中没有直接处理的问题，如强迫婚姻。司法和选举委员会的报告就简•普里查德和其他46人的第2008/52号请愿书提出很好的建议，政府并不打算实施这些建议，但现有法律框架不足以在年轻女孩同意婚姻的年龄以及在征得其同意方面保护她们。提高认识是不够的；她问政府是否打算审查同意</w:t>
      </w:r>
      <w:r w:rsidRPr="00B74545">
        <w:rPr>
          <w:rFonts w:hint="eastAsia"/>
          <w:spacing w:val="2"/>
        </w:rPr>
        <w:t>婚姻的年龄。移民局承认没有经过正式注册的文化婚姻，但这对被强迫婚嫁的女孩构成另一种风险。在两个方面，现有法律框架没有在婚姻的其中一方施加暴力时提供任何保障，这两个方面是：调解和儿童监护权。在家庭暴力事件中，当一方过度使用暴力时，调解和共享儿童监护权都对妇女带来严重风险。她想知道已考虑采取哪些措施以解决这种情况。她也想知道2004年民事结合法如何定义事实上的结合，双方是否要至少有一段时间住在一起才被认为是事实上的结合。</w:t>
      </w:r>
    </w:p>
    <w:p w:rsidR="00F43409" w:rsidRDefault="00F43409" w:rsidP="00B74545">
      <w:pPr>
        <w:pStyle w:val="DualTxt"/>
        <w:spacing w:line="326" w:lineRule="exact"/>
        <w:rPr>
          <w:rFonts w:hint="eastAsia"/>
        </w:rPr>
      </w:pPr>
      <w:r>
        <w:rPr>
          <w:rFonts w:hint="eastAsia"/>
        </w:rPr>
        <w:t>22.</w:t>
      </w:r>
      <w:r>
        <w:rPr>
          <w:rFonts w:hint="eastAsia"/>
        </w:rPr>
        <w:tab/>
      </w:r>
      <w:r w:rsidRPr="00F43409">
        <w:rPr>
          <w:rFonts w:ascii="SimHei" w:eastAsia="SimHei" w:hint="eastAsia"/>
        </w:rPr>
        <w:t>Goodhew女士</w:t>
      </w:r>
      <w:r>
        <w:rPr>
          <w:rFonts w:hint="eastAsia"/>
        </w:rPr>
        <w:t>(新西兰)说，同意结婚的法定年龄是16岁。强迫婚姻是一个严重的问题，现有的法律已经过时，司法部正在审查此法。在此期间，各支持机构必须提请政府注意未成年结婚的情况。法院审查事实上结合的案件；除其他要求外，双方至少要满18岁，并已共同生活三年才能被宣布为事实上结合。家庭暴力行动工作组成员包括家庭法院法官，这对工作组有效进行工作是非常重要的。对于妇女担心其安全或其子女安全的子女监护权案件，政府可资助有监督的访问。</w:t>
      </w:r>
    </w:p>
    <w:p w:rsidR="00F43409" w:rsidRDefault="00F43409" w:rsidP="00F43409">
      <w:pPr>
        <w:pStyle w:val="DualTxt"/>
        <w:rPr>
          <w:rFonts w:hint="eastAsia"/>
        </w:rPr>
      </w:pPr>
      <w:r>
        <w:rPr>
          <w:rFonts w:hint="eastAsia"/>
        </w:rPr>
        <w:t>23.</w:t>
      </w:r>
      <w:r>
        <w:rPr>
          <w:rFonts w:hint="eastAsia"/>
        </w:rPr>
        <w:tab/>
      </w:r>
      <w:r w:rsidRPr="00F43409">
        <w:rPr>
          <w:rFonts w:ascii="SimHei" w:eastAsia="SimHei" w:hint="eastAsia"/>
        </w:rPr>
        <w:t>Halperin-Kaddari女士</w:t>
      </w:r>
      <w:r>
        <w:rPr>
          <w:rFonts w:hint="eastAsia"/>
        </w:rPr>
        <w:t>说，在行使同意权方面16岁还太年轻，家长的同意不能作为适当的替代；法律应与《公约》的一般建议21保持一致。</w:t>
      </w:r>
    </w:p>
    <w:p w:rsidR="00F43409" w:rsidRDefault="00F43409" w:rsidP="00F43409">
      <w:pPr>
        <w:pStyle w:val="DualTxt"/>
        <w:rPr>
          <w:rFonts w:hint="eastAsia"/>
        </w:rPr>
      </w:pPr>
      <w:r>
        <w:rPr>
          <w:rFonts w:hint="eastAsia"/>
        </w:rPr>
        <w:t>24.</w:t>
      </w:r>
      <w:r>
        <w:rPr>
          <w:rFonts w:hint="eastAsia"/>
        </w:rPr>
        <w:tab/>
      </w:r>
      <w:r w:rsidRPr="00B74545">
        <w:rPr>
          <w:rFonts w:ascii="SimHei" w:eastAsia="SimHei" w:hint="eastAsia"/>
          <w:spacing w:val="2"/>
        </w:rPr>
        <w:t>Jahan女士</w:t>
      </w:r>
      <w:r w:rsidRPr="00B74545">
        <w:rPr>
          <w:rFonts w:hint="eastAsia"/>
          <w:spacing w:val="2"/>
        </w:rPr>
        <w:t>询问法律服务法案的当前状态。对于涉及家庭暴力的情况，要分居两年才能获准离婚的要求可能构成困难，她想知道谁负责维持妇女和儿童在两年期间的生活，这项要求是否适用于其他族裔群体，政府是否会审查法律，以便使离婚变得较为容易。</w:t>
      </w:r>
    </w:p>
    <w:p w:rsidR="00F43409" w:rsidRDefault="00F43409" w:rsidP="00F43409">
      <w:pPr>
        <w:pStyle w:val="DualTxt"/>
        <w:rPr>
          <w:rFonts w:hint="eastAsia"/>
        </w:rPr>
      </w:pPr>
      <w:r>
        <w:rPr>
          <w:rFonts w:hint="eastAsia"/>
        </w:rPr>
        <w:t>25.</w:t>
      </w:r>
      <w:r>
        <w:rPr>
          <w:rFonts w:hint="eastAsia"/>
        </w:rPr>
        <w:tab/>
      </w:r>
      <w:r w:rsidRPr="00F43409">
        <w:rPr>
          <w:rFonts w:ascii="SimHei" w:eastAsia="SimHei" w:hint="eastAsia"/>
        </w:rPr>
        <w:t>Bruun先生说</w:t>
      </w:r>
      <w:r>
        <w:rPr>
          <w:rFonts w:hint="eastAsia"/>
        </w:rPr>
        <w:t>，他希望司法部对法律进行审查的问题得到澄清，这项审查是否与强迫婚姻有关。</w:t>
      </w:r>
    </w:p>
    <w:p w:rsidR="00F43409" w:rsidRDefault="00B74545" w:rsidP="00F43409">
      <w:pPr>
        <w:pStyle w:val="DualTxt"/>
        <w:rPr>
          <w:rFonts w:hint="eastAsia"/>
        </w:rPr>
      </w:pPr>
      <w:r>
        <w:br w:type="column"/>
      </w:r>
      <w:r w:rsidR="00F43409">
        <w:rPr>
          <w:rFonts w:hint="eastAsia"/>
        </w:rPr>
        <w:t>26.</w:t>
      </w:r>
      <w:r w:rsidR="00F43409">
        <w:rPr>
          <w:rFonts w:hint="eastAsia"/>
        </w:rPr>
        <w:tab/>
      </w:r>
      <w:r w:rsidR="00F43409" w:rsidRPr="00F43409">
        <w:rPr>
          <w:rFonts w:ascii="SimHei" w:eastAsia="SimHei" w:hint="eastAsia"/>
        </w:rPr>
        <w:t>Goodhew女士</w:t>
      </w:r>
      <w:r w:rsidR="00F43409">
        <w:rPr>
          <w:rFonts w:hint="eastAsia"/>
        </w:rPr>
        <w:t>(新西兰)说，没有任何迹象表明司法部打算处理同意结婚的年龄问题，但由于审查的重点是强迫婚姻，因此它很可能也会处理同意结婚的年龄问题。在离婚时，财产分割要花两年时间；当妇女受到虐待时，会帮助她们找到安全住所和立即的政府福利，以及从孩子的父亲获得子女抚养费。她感谢委员会提出各项具有挑战性的问题。</w:t>
      </w:r>
    </w:p>
    <w:p w:rsidR="00F43409" w:rsidRDefault="00F43409" w:rsidP="00F43409">
      <w:pPr>
        <w:pStyle w:val="DualTxt"/>
        <w:rPr>
          <w:rFonts w:hint="eastAsia"/>
        </w:rPr>
      </w:pPr>
      <w:r>
        <w:rPr>
          <w:rFonts w:hint="eastAsia"/>
        </w:rPr>
        <w:tab/>
      </w:r>
      <w:r w:rsidRPr="00F43409">
        <w:rPr>
          <w:rFonts w:ascii="KaiTi_GB2312" w:eastAsia="KaiTi_GB2312" w:hint="eastAsia"/>
        </w:rPr>
        <w:t>下午5时03分散会</w:t>
      </w:r>
      <w:r>
        <w:rPr>
          <w:rFonts w:hint="eastAsia"/>
        </w:rPr>
        <w:t>。</w:t>
      </w:r>
    </w:p>
    <w:p w:rsidR="00EA31C3" w:rsidRPr="00F43409" w:rsidRDefault="00EA31C3" w:rsidP="00F43409">
      <w:pPr>
        <w:pStyle w:val="DualTxt"/>
      </w:pPr>
    </w:p>
    <w:sectPr w:rsidR="00EA31C3" w:rsidRPr="00F43409" w:rsidSect="004B16C0">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1-17T00:38:00Z" w:initials="Start">
    <w:p w:rsidR="009E26F8" w:rsidRDefault="009E26F8">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NO&gt;&gt;N1242643C&lt;&lt;ODS JOB NO&gt;&gt;</w:t>
      </w:r>
    </w:p>
    <w:p w:rsidR="009E26F8" w:rsidRDefault="009E26F8">
      <w:pPr>
        <w:pStyle w:val="CommentText"/>
      </w:pPr>
      <w:r>
        <w:t>&lt;&lt;ODS DOC SYMBOL1&gt;&gt;CEDAW/C/SR.1054&lt;&lt;ODS DOC SYMBOL1&gt;&gt;</w:t>
      </w:r>
    </w:p>
    <w:p w:rsidR="009E26F8" w:rsidRDefault="009E26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6F8" w:rsidRDefault="009E26F8">
      <w:r>
        <w:separator/>
      </w:r>
    </w:p>
  </w:endnote>
  <w:endnote w:type="continuationSeparator" w:id="0">
    <w:p w:rsidR="009E26F8" w:rsidRDefault="009E2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26F8" w:rsidTr="004B16C0">
      <w:tblPrEx>
        <w:tblCellMar>
          <w:top w:w="0" w:type="dxa"/>
          <w:bottom w:w="0" w:type="dxa"/>
        </w:tblCellMar>
      </w:tblPrEx>
      <w:tc>
        <w:tcPr>
          <w:tcW w:w="5033" w:type="dxa"/>
          <w:shd w:val="clear" w:color="auto" w:fill="auto"/>
        </w:tcPr>
        <w:p w:rsidR="009E26F8" w:rsidRPr="004B16C0" w:rsidRDefault="009E26F8" w:rsidP="004B16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12-42643 (C)</w:t>
          </w:r>
          <w:r>
            <w:rPr>
              <w:b w:val="0"/>
              <w:w w:val="103"/>
              <w:sz w:val="14"/>
            </w:rPr>
            <w:fldChar w:fldCharType="end"/>
          </w:r>
        </w:p>
      </w:tc>
      <w:tc>
        <w:tcPr>
          <w:tcW w:w="5033" w:type="dxa"/>
          <w:shd w:val="clear" w:color="auto" w:fill="auto"/>
        </w:tcPr>
        <w:p w:rsidR="009E26F8" w:rsidRPr="004B16C0" w:rsidRDefault="009E26F8" w:rsidP="004B16C0">
          <w:pPr>
            <w:pStyle w:val="Footer"/>
            <w:jc w:val="lef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9E26F8" w:rsidRPr="004B16C0" w:rsidRDefault="009E26F8" w:rsidP="004B16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26F8" w:rsidTr="004B16C0">
      <w:tblPrEx>
        <w:tblCellMar>
          <w:top w:w="0" w:type="dxa"/>
          <w:bottom w:w="0" w:type="dxa"/>
        </w:tblCellMar>
      </w:tblPrEx>
      <w:tc>
        <w:tcPr>
          <w:tcW w:w="5033" w:type="dxa"/>
          <w:shd w:val="clear" w:color="auto" w:fill="auto"/>
        </w:tcPr>
        <w:p w:rsidR="009E26F8" w:rsidRPr="004B16C0" w:rsidRDefault="009E26F8" w:rsidP="004B16C0">
          <w:pPr>
            <w:pStyle w:val="Footer"/>
            <w:jc w:val="right"/>
          </w:pPr>
          <w:r>
            <w:fldChar w:fldCharType="begin"/>
          </w:r>
          <w:r>
            <w:instrText xml:space="preserve"> PAGE  \* MERGEFORMAT </w:instrText>
          </w:r>
          <w:r>
            <w:fldChar w:fldCharType="separate"/>
          </w:r>
          <w:r>
            <w:t>3</w:t>
          </w:r>
          <w:r>
            <w:fldChar w:fldCharType="end"/>
          </w:r>
        </w:p>
      </w:tc>
      <w:tc>
        <w:tcPr>
          <w:tcW w:w="5033" w:type="dxa"/>
          <w:shd w:val="clear" w:color="auto" w:fill="auto"/>
        </w:tcPr>
        <w:p w:rsidR="009E26F8" w:rsidRPr="004B16C0" w:rsidRDefault="009E26F8" w:rsidP="004B16C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12-42643 (C)</w:t>
          </w:r>
          <w:r>
            <w:rPr>
              <w:b w:val="0"/>
              <w:w w:val="103"/>
              <w:sz w:val="14"/>
            </w:rPr>
            <w:fldChar w:fldCharType="end"/>
          </w:r>
        </w:p>
      </w:tc>
    </w:tr>
  </w:tbl>
  <w:p w:rsidR="009E26F8" w:rsidRPr="004B16C0" w:rsidRDefault="009E26F8" w:rsidP="004B16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6F8" w:rsidRPr="004B16C0" w:rsidRDefault="009E26F8">
    <w:pPr>
      <w:pStyle w:val="Footer"/>
      <w:rPr>
        <w:b w:val="0"/>
      </w:rPr>
    </w:pPr>
  </w:p>
  <w:p w:rsidR="009E26F8" w:rsidRPr="004B16C0" w:rsidRDefault="009E26F8" w:rsidP="004B16C0">
    <w:pPr>
      <w:pStyle w:val="Footer"/>
      <w:pBdr>
        <w:top w:val="single" w:sz="2" w:space="0" w:color="000000"/>
      </w:pBdr>
      <w:spacing w:line="20" w:lineRule="exact"/>
      <w:rPr>
        <w:b w:val="0"/>
      </w:rPr>
    </w:pPr>
  </w:p>
  <w:p w:rsidR="009E26F8" w:rsidRPr="004B16C0" w:rsidRDefault="009E26F8" w:rsidP="004B16C0">
    <w:pPr>
      <w:spacing w:before="60" w:after="120" w:line="240" w:lineRule="exact"/>
      <w:ind w:left="1267" w:right="1267"/>
      <w:rPr>
        <w:rFonts w:ascii="Times New Roman" w:hint="eastAsia"/>
        <w:snapToGrid w:val="0"/>
        <w:spacing w:val="5"/>
        <w:w w:val="104"/>
        <w:sz w:val="18"/>
        <w:szCs w:val="18"/>
      </w:rPr>
    </w:pPr>
    <w:r w:rsidRPr="004B16C0">
      <w:rPr>
        <w:rFonts w:ascii="Times New Roman" w:hint="eastAsia"/>
        <w:snapToGrid w:val="0"/>
        <w:spacing w:val="5"/>
        <w:w w:val="104"/>
        <w:sz w:val="18"/>
        <w:szCs w:val="18"/>
      </w:rPr>
      <w:t>本记录可以更正。更正请在一份备忘录内，以一种工作语文提出，并反映在有关记录的印本上。更正应</w:t>
    </w:r>
    <w:r w:rsidRPr="004B16C0">
      <w:rPr>
        <w:rStyle w:val="GB2312"/>
        <w:rFonts w:ascii="Times New Roman" w:hint="eastAsia"/>
      </w:rPr>
      <w:t>在本文件印发之日后一星期内</w:t>
    </w:r>
    <w:r w:rsidRPr="004B16C0">
      <w:rPr>
        <w:rFonts w:ascii="Times New Roman" w:hint="eastAsia"/>
        <w:snapToGrid w:val="0"/>
        <w:spacing w:val="5"/>
        <w:w w:val="104"/>
        <w:sz w:val="18"/>
        <w:szCs w:val="18"/>
      </w:rPr>
      <w:t>送交正式记录编辑科科长</w:t>
    </w:r>
    <w:r w:rsidRPr="004B16C0">
      <w:rPr>
        <w:rFonts w:ascii="Times New Roman" w:hint="eastAsia"/>
        <w:snapToGrid w:val="0"/>
        <w:spacing w:val="5"/>
        <w:w w:val="104"/>
        <w:sz w:val="18"/>
        <w:szCs w:val="18"/>
      </w:rPr>
      <w:t>(DC2-750,  2 United Nations Plaza)</w:t>
    </w:r>
    <w:r w:rsidRPr="004B16C0">
      <w:rPr>
        <w:rFonts w:ascii="Times New Roman" w:hint="eastAsia"/>
        <w:snapToGrid w:val="0"/>
        <w:spacing w:val="5"/>
        <w:w w:val="104"/>
        <w:sz w:val="18"/>
        <w:szCs w:val="18"/>
      </w:rPr>
      <w:t>。</w:t>
    </w:r>
  </w:p>
  <w:p w:rsidR="009E26F8" w:rsidRDefault="009E26F8" w:rsidP="004B16C0">
    <w:pPr>
      <w:pStyle w:val="FootnoteText"/>
      <w:ind w:left="1267" w:right="1267" w:firstLine="0"/>
      <w:rPr>
        <w:rFonts w:ascii="Times New Roman" w:hint="eastAsia"/>
        <w:snapToGrid w:val="0"/>
        <w:spacing w:val="5"/>
        <w:w w:val="104"/>
        <w:szCs w:val="18"/>
      </w:rPr>
    </w:pPr>
    <w:r w:rsidRPr="004B16C0">
      <w:rPr>
        <w:rFonts w:ascii="Times New Roman" w:hint="eastAsia"/>
        <w:snapToGrid w:val="0"/>
        <w:spacing w:val="5"/>
        <w:w w:val="104"/>
        <w:szCs w:val="18"/>
      </w:rPr>
      <w:t>对本届会议各次会议记录的更正，将汇编成一份更正文件，在届会结束后随即印发。</w:t>
    </w:r>
  </w:p>
  <w:tbl>
    <w:tblPr>
      <w:tblW w:w="0" w:type="auto"/>
      <w:tblLayout w:type="fixed"/>
      <w:tblLook w:val="0000" w:firstRow="0" w:lastRow="0" w:firstColumn="0" w:lastColumn="0" w:noHBand="0" w:noVBand="0"/>
    </w:tblPr>
    <w:tblGrid>
      <w:gridCol w:w="5033"/>
      <w:gridCol w:w="3686"/>
    </w:tblGrid>
    <w:tr w:rsidR="009E26F8" w:rsidTr="004B16C0">
      <w:tblPrEx>
        <w:tblCellMar>
          <w:top w:w="0" w:type="dxa"/>
          <w:bottom w:w="0" w:type="dxa"/>
        </w:tblCellMar>
      </w:tblPrEx>
      <w:tc>
        <w:tcPr>
          <w:tcW w:w="5033" w:type="dxa"/>
        </w:tcPr>
        <w:p w:rsidR="009E26F8" w:rsidRPr="00984E5F" w:rsidRDefault="009E26F8" w:rsidP="004B16C0">
          <w:pPr>
            <w:pStyle w:val="Footer"/>
            <w:rPr>
              <w:b w:val="0"/>
              <w:snapToGrid w:val="0"/>
              <w:w w:val="104"/>
              <w:sz w:val="21"/>
            </w:rPr>
          </w:pPr>
          <w:r w:rsidRPr="00984E5F">
            <w:rPr>
              <w:b w:val="0"/>
              <w:snapToGrid w:val="0"/>
              <w:w w:val="104"/>
              <w:sz w:val="21"/>
            </w:rPr>
            <w:t>12-42643 X (C)</w:t>
          </w:r>
        </w:p>
        <w:p w:rsidR="009E26F8" w:rsidRPr="004B16C0" w:rsidRDefault="009E26F8" w:rsidP="004B16C0">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t>*1242643C*</w:t>
          </w:r>
        </w:p>
      </w:tc>
      <w:tc>
        <w:tcPr>
          <w:tcW w:w="3686" w:type="dxa"/>
        </w:tcPr>
        <w:p w:rsidR="009E26F8" w:rsidRDefault="009E26F8" w:rsidP="004B16C0">
          <w:pPr>
            <w:pStyle w:val="Footer"/>
            <w:jc w:val="right"/>
            <w:rPr>
              <w:rFonts w:hint="eastAsia"/>
              <w:b w:val="0"/>
              <w:snapToGrid w:val="0"/>
              <w:w w:val="104"/>
              <w:sz w:val="21"/>
            </w:rPr>
          </w:pPr>
          <w:r w:rsidRPr="004B16C0">
            <w:rPr>
              <w:rFonts w:hint="eastAsia"/>
              <w:b w:val="0"/>
              <w:snapToGrid w:val="0"/>
              <w:w w:val="104"/>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9E26F8" w:rsidRPr="004B16C0" w:rsidRDefault="009E26F8" w:rsidP="004B16C0">
    <w:pPr>
      <w:pStyle w:val="Footer"/>
      <w:spacing w:line="56" w:lineRule="auto"/>
      <w:jc w:val="left"/>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6F8" w:rsidRDefault="009E26F8">
      <w:r>
        <w:separator/>
      </w:r>
    </w:p>
  </w:footnote>
  <w:footnote w:type="continuationSeparator" w:id="0">
    <w:p w:rsidR="009E26F8" w:rsidRDefault="009E26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26F8" w:rsidTr="004B16C0">
      <w:tblPrEx>
        <w:tblCellMar>
          <w:top w:w="0" w:type="dxa"/>
          <w:bottom w:w="0" w:type="dxa"/>
        </w:tblCellMar>
      </w:tblPrEx>
      <w:trPr>
        <w:trHeight w:hRule="exact" w:val="864"/>
      </w:trPr>
      <w:tc>
        <w:tcPr>
          <w:tcW w:w="4838" w:type="dxa"/>
          <w:shd w:val="clear" w:color="auto" w:fill="auto"/>
          <w:vAlign w:val="bottom"/>
        </w:tcPr>
        <w:p w:rsidR="009E26F8" w:rsidRPr="004B16C0" w:rsidRDefault="009E26F8" w:rsidP="004B16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CEDAW/C/SR.1054</w:t>
          </w:r>
          <w:r>
            <w:rPr>
              <w:b/>
              <w:sz w:val="17"/>
            </w:rPr>
            <w:fldChar w:fldCharType="end"/>
          </w:r>
        </w:p>
      </w:tc>
      <w:tc>
        <w:tcPr>
          <w:tcW w:w="5033" w:type="dxa"/>
          <w:shd w:val="clear" w:color="auto" w:fill="auto"/>
          <w:vAlign w:val="bottom"/>
        </w:tcPr>
        <w:p w:rsidR="009E26F8" w:rsidRDefault="009E26F8" w:rsidP="004B16C0">
          <w:pPr>
            <w:pStyle w:val="Header"/>
          </w:pPr>
        </w:p>
      </w:tc>
    </w:tr>
  </w:tbl>
  <w:p w:rsidR="009E26F8" w:rsidRPr="004B16C0" w:rsidRDefault="009E26F8" w:rsidP="004B16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26F8" w:rsidTr="004B16C0">
      <w:tblPrEx>
        <w:tblCellMar>
          <w:top w:w="0" w:type="dxa"/>
          <w:bottom w:w="0" w:type="dxa"/>
        </w:tblCellMar>
      </w:tblPrEx>
      <w:trPr>
        <w:trHeight w:hRule="exact" w:val="864"/>
      </w:trPr>
      <w:tc>
        <w:tcPr>
          <w:tcW w:w="4838" w:type="dxa"/>
          <w:shd w:val="clear" w:color="auto" w:fill="auto"/>
          <w:vAlign w:val="bottom"/>
        </w:tcPr>
        <w:p w:rsidR="009E26F8" w:rsidRDefault="009E26F8" w:rsidP="004B16C0">
          <w:pPr>
            <w:pStyle w:val="Header"/>
          </w:pPr>
        </w:p>
      </w:tc>
      <w:tc>
        <w:tcPr>
          <w:tcW w:w="5033" w:type="dxa"/>
          <w:shd w:val="clear" w:color="auto" w:fill="auto"/>
          <w:vAlign w:val="bottom"/>
        </w:tcPr>
        <w:p w:rsidR="009E26F8" w:rsidRPr="004B16C0" w:rsidRDefault="009E26F8" w:rsidP="004B16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CEDAW/C/SR.1054</w:t>
          </w:r>
          <w:r>
            <w:rPr>
              <w:b/>
              <w:sz w:val="17"/>
            </w:rPr>
            <w:fldChar w:fldCharType="end"/>
          </w:r>
        </w:p>
      </w:tc>
    </w:tr>
  </w:tbl>
  <w:p w:rsidR="009E26F8" w:rsidRPr="004B16C0" w:rsidRDefault="009E26F8" w:rsidP="004B16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26F8" w:rsidTr="004B16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E26F8" w:rsidRDefault="009E26F8" w:rsidP="004B16C0">
          <w:pPr>
            <w:pStyle w:val="Header"/>
            <w:spacing w:after="120"/>
          </w:pPr>
        </w:p>
      </w:tc>
      <w:tc>
        <w:tcPr>
          <w:tcW w:w="1872" w:type="dxa"/>
          <w:tcBorders>
            <w:bottom w:val="single" w:sz="4" w:space="0" w:color="auto"/>
          </w:tcBorders>
          <w:shd w:val="clear" w:color="auto" w:fill="auto"/>
          <w:vAlign w:val="bottom"/>
        </w:tcPr>
        <w:p w:rsidR="009E26F8" w:rsidRPr="004B16C0" w:rsidRDefault="009E26F8" w:rsidP="004B16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E26F8" w:rsidRDefault="009E26F8" w:rsidP="004B16C0">
          <w:pPr>
            <w:pStyle w:val="Header"/>
            <w:spacing w:after="120"/>
          </w:pPr>
        </w:p>
      </w:tc>
      <w:tc>
        <w:tcPr>
          <w:tcW w:w="6523" w:type="dxa"/>
          <w:gridSpan w:val="3"/>
          <w:tcBorders>
            <w:bottom w:val="single" w:sz="4" w:space="0" w:color="auto"/>
          </w:tcBorders>
          <w:shd w:val="clear" w:color="auto" w:fill="auto"/>
          <w:vAlign w:val="bottom"/>
        </w:tcPr>
        <w:p w:rsidR="009E26F8" w:rsidRPr="004B16C0" w:rsidRDefault="009E26F8" w:rsidP="004B16C0">
          <w:pPr>
            <w:spacing w:after="80" w:line="240" w:lineRule="auto"/>
            <w:jc w:val="right"/>
            <w:rPr>
              <w:rFonts w:ascii="Times New Roman"/>
              <w:position w:val="-4"/>
            </w:rPr>
          </w:pPr>
          <w:r>
            <w:rPr>
              <w:rFonts w:ascii="Times New Roman"/>
              <w:position w:val="-4"/>
              <w:sz w:val="40"/>
            </w:rPr>
            <w:t>CEDAW</w:t>
          </w:r>
          <w:r>
            <w:rPr>
              <w:rFonts w:ascii="Times New Roman"/>
              <w:position w:val="-4"/>
            </w:rPr>
            <w:t>/C/SR.1054</w:t>
          </w:r>
        </w:p>
      </w:tc>
    </w:tr>
    <w:tr w:rsidR="009E26F8" w:rsidRPr="004B16C0" w:rsidTr="004B16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E26F8" w:rsidRDefault="009E26F8" w:rsidP="004B16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E26F8" w:rsidRPr="004B16C0" w:rsidRDefault="009E26F8" w:rsidP="004B16C0">
          <w:pPr>
            <w:pStyle w:val="Header"/>
            <w:spacing w:before="109"/>
            <w:ind w:left="-72"/>
          </w:pPr>
        </w:p>
      </w:tc>
      <w:tc>
        <w:tcPr>
          <w:tcW w:w="5227" w:type="dxa"/>
          <w:gridSpan w:val="3"/>
          <w:tcBorders>
            <w:top w:val="single" w:sz="4" w:space="0" w:color="auto"/>
            <w:bottom w:val="single" w:sz="12" w:space="0" w:color="auto"/>
          </w:tcBorders>
          <w:shd w:val="clear" w:color="auto" w:fill="auto"/>
        </w:tcPr>
        <w:p w:rsidR="009E26F8" w:rsidRPr="004B16C0" w:rsidRDefault="009E26F8" w:rsidP="004B16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E26F8" w:rsidRPr="004B16C0" w:rsidRDefault="009E26F8" w:rsidP="004B16C0">
          <w:pPr>
            <w:pStyle w:val="Header"/>
            <w:spacing w:before="109"/>
          </w:pPr>
        </w:p>
      </w:tc>
      <w:tc>
        <w:tcPr>
          <w:tcW w:w="3180" w:type="dxa"/>
          <w:gridSpan w:val="2"/>
          <w:tcBorders>
            <w:top w:val="single" w:sz="4" w:space="0" w:color="auto"/>
            <w:bottom w:val="single" w:sz="12" w:space="0" w:color="auto"/>
          </w:tcBorders>
          <w:shd w:val="clear" w:color="auto" w:fill="auto"/>
        </w:tcPr>
        <w:p w:rsidR="009E26F8" w:rsidRDefault="009E26F8" w:rsidP="004B16C0">
          <w:pPr>
            <w:spacing w:before="240" w:line="240" w:lineRule="exact"/>
            <w:rPr>
              <w:rFonts w:ascii="Times New Roman"/>
            </w:rPr>
          </w:pPr>
          <w:r>
            <w:rPr>
              <w:rFonts w:ascii="Times New Roman"/>
            </w:rPr>
            <w:t>Distr.: General</w:t>
          </w:r>
        </w:p>
        <w:p w:rsidR="009E26F8" w:rsidRDefault="009E26F8" w:rsidP="004B16C0">
          <w:pPr>
            <w:spacing w:line="240" w:lineRule="exact"/>
            <w:rPr>
              <w:rFonts w:ascii="Times New Roman"/>
            </w:rPr>
          </w:pPr>
          <w:r>
            <w:rPr>
              <w:rFonts w:ascii="Times New Roman"/>
            </w:rPr>
            <w:t>20 November 2012</w:t>
          </w:r>
        </w:p>
        <w:p w:rsidR="009E26F8" w:rsidRDefault="009E26F8" w:rsidP="004B16C0">
          <w:pPr>
            <w:spacing w:line="240" w:lineRule="exact"/>
            <w:rPr>
              <w:rFonts w:ascii="Times New Roman"/>
            </w:rPr>
          </w:pPr>
          <w:r>
            <w:rPr>
              <w:rFonts w:ascii="Times New Roman"/>
            </w:rPr>
            <w:t>Chinese</w:t>
          </w:r>
        </w:p>
        <w:p w:rsidR="009E26F8" w:rsidRPr="004B16C0" w:rsidRDefault="009E26F8" w:rsidP="004B16C0">
          <w:pPr>
            <w:spacing w:line="240" w:lineRule="exact"/>
            <w:rPr>
              <w:rFonts w:ascii="Times New Roman"/>
            </w:rPr>
          </w:pPr>
          <w:r>
            <w:rPr>
              <w:rFonts w:ascii="Times New Roman"/>
            </w:rPr>
            <w:t>Original: English</w:t>
          </w:r>
        </w:p>
      </w:tc>
    </w:tr>
  </w:tbl>
  <w:p w:rsidR="009E26F8" w:rsidRPr="004B16C0" w:rsidRDefault="009E26F8" w:rsidP="004B16C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43*"/>
    <w:docVar w:name="CreationDt" w:val="17/11/2012 00:05:39"/>
    <w:docVar w:name="DocCategory" w:val="SROthers"/>
    <w:docVar w:name="DocType" w:val="Final"/>
    <w:docVar w:name="FooterJN" w:val="12-42643 (C)"/>
    <w:docVar w:name="jobn" w:val="12-42643 (C)"/>
    <w:docVar w:name="jobnDT" w:val="12-42643 (C)   171112"/>
    <w:docVar w:name="jobnDTDT" w:val="12-42643 (C)   171112   171112"/>
    <w:docVar w:name="JobNo" w:val="1242643C"/>
    <w:docVar w:name="OandT" w:val="sheng"/>
    <w:docVar w:name="sss1" w:val="CEDAW/C/SR.1054"/>
    <w:docVar w:name="sss2" w:val="-"/>
    <w:docVar w:name="Symbol1" w:val="CEDAW/C/SR.1054"/>
    <w:docVar w:name="Symbol2" w:val="-"/>
  </w:docVars>
  <w:rsids>
    <w:rsidRoot w:val="00F30A89"/>
    <w:rsid w:val="0000347C"/>
    <w:rsid w:val="000125BC"/>
    <w:rsid w:val="0001645E"/>
    <w:rsid w:val="00021A2B"/>
    <w:rsid w:val="000302CD"/>
    <w:rsid w:val="00036AA2"/>
    <w:rsid w:val="00037B39"/>
    <w:rsid w:val="00044CA4"/>
    <w:rsid w:val="00044EE9"/>
    <w:rsid w:val="00045EFE"/>
    <w:rsid w:val="0007337D"/>
    <w:rsid w:val="000758DF"/>
    <w:rsid w:val="00076EB8"/>
    <w:rsid w:val="00077AEE"/>
    <w:rsid w:val="00082CCB"/>
    <w:rsid w:val="00083CAB"/>
    <w:rsid w:val="00095C67"/>
    <w:rsid w:val="000A31F9"/>
    <w:rsid w:val="000C1786"/>
    <w:rsid w:val="000C4DDE"/>
    <w:rsid w:val="000E240F"/>
    <w:rsid w:val="000E49A4"/>
    <w:rsid w:val="000F1058"/>
    <w:rsid w:val="000F55DC"/>
    <w:rsid w:val="00101C4E"/>
    <w:rsid w:val="001113F8"/>
    <w:rsid w:val="001212F9"/>
    <w:rsid w:val="00121328"/>
    <w:rsid w:val="0012708E"/>
    <w:rsid w:val="001329F7"/>
    <w:rsid w:val="00141322"/>
    <w:rsid w:val="0015066B"/>
    <w:rsid w:val="00150D3A"/>
    <w:rsid w:val="00153D29"/>
    <w:rsid w:val="00161E69"/>
    <w:rsid w:val="00161F54"/>
    <w:rsid w:val="00167A0A"/>
    <w:rsid w:val="00170FBE"/>
    <w:rsid w:val="00174233"/>
    <w:rsid w:val="0017506F"/>
    <w:rsid w:val="001B2814"/>
    <w:rsid w:val="001B4F95"/>
    <w:rsid w:val="001C3F7F"/>
    <w:rsid w:val="001C5166"/>
    <w:rsid w:val="001D0354"/>
    <w:rsid w:val="001D3F72"/>
    <w:rsid w:val="001E20EC"/>
    <w:rsid w:val="001E4442"/>
    <w:rsid w:val="001E5A51"/>
    <w:rsid w:val="001F03A7"/>
    <w:rsid w:val="001F2F76"/>
    <w:rsid w:val="00203760"/>
    <w:rsid w:val="00207135"/>
    <w:rsid w:val="002145EA"/>
    <w:rsid w:val="00231575"/>
    <w:rsid w:val="00241DB7"/>
    <w:rsid w:val="00247382"/>
    <w:rsid w:val="00252E35"/>
    <w:rsid w:val="00254858"/>
    <w:rsid w:val="00257053"/>
    <w:rsid w:val="00263B7B"/>
    <w:rsid w:val="00266257"/>
    <w:rsid w:val="00271BE6"/>
    <w:rsid w:val="0027454D"/>
    <w:rsid w:val="00277AAE"/>
    <w:rsid w:val="00280671"/>
    <w:rsid w:val="002814F9"/>
    <w:rsid w:val="00282D17"/>
    <w:rsid w:val="002A4AEF"/>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20C99"/>
    <w:rsid w:val="00327129"/>
    <w:rsid w:val="003274A9"/>
    <w:rsid w:val="00331221"/>
    <w:rsid w:val="00334374"/>
    <w:rsid w:val="00346223"/>
    <w:rsid w:val="00363610"/>
    <w:rsid w:val="003649EE"/>
    <w:rsid w:val="00371BC6"/>
    <w:rsid w:val="00373A15"/>
    <w:rsid w:val="00383ACA"/>
    <w:rsid w:val="00384CB1"/>
    <w:rsid w:val="00394A02"/>
    <w:rsid w:val="003C7B20"/>
    <w:rsid w:val="003D075F"/>
    <w:rsid w:val="003E4565"/>
    <w:rsid w:val="003E748F"/>
    <w:rsid w:val="003E7612"/>
    <w:rsid w:val="00414423"/>
    <w:rsid w:val="004411AD"/>
    <w:rsid w:val="004424EF"/>
    <w:rsid w:val="00452987"/>
    <w:rsid w:val="00453BB0"/>
    <w:rsid w:val="00460162"/>
    <w:rsid w:val="004620A8"/>
    <w:rsid w:val="00466BB5"/>
    <w:rsid w:val="004700CF"/>
    <w:rsid w:val="00487444"/>
    <w:rsid w:val="00493C9C"/>
    <w:rsid w:val="004A06D1"/>
    <w:rsid w:val="004A11FC"/>
    <w:rsid w:val="004B16C0"/>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35B9"/>
    <w:rsid w:val="00536CCE"/>
    <w:rsid w:val="00552CE5"/>
    <w:rsid w:val="005541E4"/>
    <w:rsid w:val="00562FE7"/>
    <w:rsid w:val="0056665B"/>
    <w:rsid w:val="0057094A"/>
    <w:rsid w:val="00570BD4"/>
    <w:rsid w:val="0057450D"/>
    <w:rsid w:val="0058302A"/>
    <w:rsid w:val="005A175A"/>
    <w:rsid w:val="005B7338"/>
    <w:rsid w:val="005C02AB"/>
    <w:rsid w:val="005C5FC3"/>
    <w:rsid w:val="005D0F04"/>
    <w:rsid w:val="005F12F0"/>
    <w:rsid w:val="005F150E"/>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C4BB3"/>
    <w:rsid w:val="006E2924"/>
    <w:rsid w:val="006E38B0"/>
    <w:rsid w:val="006E7A26"/>
    <w:rsid w:val="006F04EF"/>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6253"/>
    <w:rsid w:val="007F2278"/>
    <w:rsid w:val="00803014"/>
    <w:rsid w:val="00805783"/>
    <w:rsid w:val="00806F57"/>
    <w:rsid w:val="00806F90"/>
    <w:rsid w:val="008246FC"/>
    <w:rsid w:val="00824C19"/>
    <w:rsid w:val="00826250"/>
    <w:rsid w:val="0083056F"/>
    <w:rsid w:val="00836E2D"/>
    <w:rsid w:val="008378D1"/>
    <w:rsid w:val="00846462"/>
    <w:rsid w:val="00860742"/>
    <w:rsid w:val="0086691F"/>
    <w:rsid w:val="00883DB0"/>
    <w:rsid w:val="00884C8F"/>
    <w:rsid w:val="00896D38"/>
    <w:rsid w:val="008A0216"/>
    <w:rsid w:val="008C3296"/>
    <w:rsid w:val="008C3413"/>
    <w:rsid w:val="008E2D03"/>
    <w:rsid w:val="008F2BB5"/>
    <w:rsid w:val="008F425D"/>
    <w:rsid w:val="008F5472"/>
    <w:rsid w:val="008F5D0F"/>
    <w:rsid w:val="009122E0"/>
    <w:rsid w:val="00913351"/>
    <w:rsid w:val="0096193C"/>
    <w:rsid w:val="009769E1"/>
    <w:rsid w:val="00977E0D"/>
    <w:rsid w:val="00982D5C"/>
    <w:rsid w:val="00984E5F"/>
    <w:rsid w:val="00986132"/>
    <w:rsid w:val="00986C04"/>
    <w:rsid w:val="009A11E3"/>
    <w:rsid w:val="009A2F76"/>
    <w:rsid w:val="009A3B77"/>
    <w:rsid w:val="009D2AC2"/>
    <w:rsid w:val="009E1774"/>
    <w:rsid w:val="009E2668"/>
    <w:rsid w:val="009E26F8"/>
    <w:rsid w:val="009E40A3"/>
    <w:rsid w:val="009E5C8C"/>
    <w:rsid w:val="009F10B1"/>
    <w:rsid w:val="009F47E3"/>
    <w:rsid w:val="009F6938"/>
    <w:rsid w:val="00A0537D"/>
    <w:rsid w:val="00A069AD"/>
    <w:rsid w:val="00A17A85"/>
    <w:rsid w:val="00A20856"/>
    <w:rsid w:val="00A24399"/>
    <w:rsid w:val="00A24CA5"/>
    <w:rsid w:val="00A33D6D"/>
    <w:rsid w:val="00A37345"/>
    <w:rsid w:val="00A40EA9"/>
    <w:rsid w:val="00A4532A"/>
    <w:rsid w:val="00A5206D"/>
    <w:rsid w:val="00A72E47"/>
    <w:rsid w:val="00A90956"/>
    <w:rsid w:val="00A95404"/>
    <w:rsid w:val="00A968C5"/>
    <w:rsid w:val="00AA3C28"/>
    <w:rsid w:val="00AA759D"/>
    <w:rsid w:val="00AB2786"/>
    <w:rsid w:val="00AD4308"/>
    <w:rsid w:val="00AF2A33"/>
    <w:rsid w:val="00B03EFA"/>
    <w:rsid w:val="00B26C64"/>
    <w:rsid w:val="00B309DD"/>
    <w:rsid w:val="00B36621"/>
    <w:rsid w:val="00B36D64"/>
    <w:rsid w:val="00B41B48"/>
    <w:rsid w:val="00B56194"/>
    <w:rsid w:val="00B60F41"/>
    <w:rsid w:val="00B61A34"/>
    <w:rsid w:val="00B64E8E"/>
    <w:rsid w:val="00B65E8B"/>
    <w:rsid w:val="00B74545"/>
    <w:rsid w:val="00B8025A"/>
    <w:rsid w:val="00B827B1"/>
    <w:rsid w:val="00BB23A4"/>
    <w:rsid w:val="00BC2276"/>
    <w:rsid w:val="00BD1BFF"/>
    <w:rsid w:val="00BD2150"/>
    <w:rsid w:val="00BE1CC3"/>
    <w:rsid w:val="00BE365A"/>
    <w:rsid w:val="00BE47C4"/>
    <w:rsid w:val="00C052A2"/>
    <w:rsid w:val="00C06A4A"/>
    <w:rsid w:val="00C1391A"/>
    <w:rsid w:val="00C14CE6"/>
    <w:rsid w:val="00C15218"/>
    <w:rsid w:val="00C2725D"/>
    <w:rsid w:val="00C31E79"/>
    <w:rsid w:val="00C403C9"/>
    <w:rsid w:val="00C42033"/>
    <w:rsid w:val="00C464DD"/>
    <w:rsid w:val="00C52423"/>
    <w:rsid w:val="00C54136"/>
    <w:rsid w:val="00C62EF9"/>
    <w:rsid w:val="00C672B6"/>
    <w:rsid w:val="00C76854"/>
    <w:rsid w:val="00C900C5"/>
    <w:rsid w:val="00C92AE0"/>
    <w:rsid w:val="00C943B4"/>
    <w:rsid w:val="00CA450F"/>
    <w:rsid w:val="00CB2B1E"/>
    <w:rsid w:val="00CC3E8B"/>
    <w:rsid w:val="00CC4E84"/>
    <w:rsid w:val="00CD5641"/>
    <w:rsid w:val="00CE64AC"/>
    <w:rsid w:val="00CF49BA"/>
    <w:rsid w:val="00CF7718"/>
    <w:rsid w:val="00D13054"/>
    <w:rsid w:val="00D177F1"/>
    <w:rsid w:val="00D323B5"/>
    <w:rsid w:val="00D42ACC"/>
    <w:rsid w:val="00D51DC5"/>
    <w:rsid w:val="00D676D7"/>
    <w:rsid w:val="00D71517"/>
    <w:rsid w:val="00D7168D"/>
    <w:rsid w:val="00D85771"/>
    <w:rsid w:val="00D874E1"/>
    <w:rsid w:val="00D9586D"/>
    <w:rsid w:val="00D9749C"/>
    <w:rsid w:val="00DA51B2"/>
    <w:rsid w:val="00DA6965"/>
    <w:rsid w:val="00DB0932"/>
    <w:rsid w:val="00DC2506"/>
    <w:rsid w:val="00DC49FA"/>
    <w:rsid w:val="00DD3D6B"/>
    <w:rsid w:val="00DD4467"/>
    <w:rsid w:val="00DD61C8"/>
    <w:rsid w:val="00DD772B"/>
    <w:rsid w:val="00DF742A"/>
    <w:rsid w:val="00E041F4"/>
    <w:rsid w:val="00E050BA"/>
    <w:rsid w:val="00E25442"/>
    <w:rsid w:val="00E25A1F"/>
    <w:rsid w:val="00E2748B"/>
    <w:rsid w:val="00E37EEB"/>
    <w:rsid w:val="00E710FB"/>
    <w:rsid w:val="00E806D9"/>
    <w:rsid w:val="00E82CA2"/>
    <w:rsid w:val="00E94E5A"/>
    <w:rsid w:val="00E95594"/>
    <w:rsid w:val="00EA31C3"/>
    <w:rsid w:val="00EB33AC"/>
    <w:rsid w:val="00EC57BC"/>
    <w:rsid w:val="00EC669D"/>
    <w:rsid w:val="00EC6F21"/>
    <w:rsid w:val="00EE0913"/>
    <w:rsid w:val="00F01440"/>
    <w:rsid w:val="00F04C64"/>
    <w:rsid w:val="00F1168B"/>
    <w:rsid w:val="00F13305"/>
    <w:rsid w:val="00F30A89"/>
    <w:rsid w:val="00F40463"/>
    <w:rsid w:val="00F43409"/>
    <w:rsid w:val="00F50336"/>
    <w:rsid w:val="00F55E5B"/>
    <w:rsid w:val="00F569BC"/>
    <w:rsid w:val="00F62E3F"/>
    <w:rsid w:val="00F67F90"/>
    <w:rsid w:val="00F77B3E"/>
    <w:rsid w:val="00F833CB"/>
    <w:rsid w:val="00F83E10"/>
    <w:rsid w:val="00F87754"/>
    <w:rsid w:val="00F90A4B"/>
    <w:rsid w:val="00F90C56"/>
    <w:rsid w:val="00FC1CE4"/>
    <w:rsid w:val="00FD594E"/>
    <w:rsid w:val="00FD75B9"/>
    <w:rsid w:val="00FE5FE8"/>
    <w:rsid w:val="00FF674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character" w:customStyle="1" w:styleId="GB2312">
    <w:name w:val="样式 楷体_GB2312 小五 蓝色"/>
    <w:rsid w:val="004B16C0"/>
    <w:rPr>
      <w:rFonts w:ascii="KaiTi_GB2312" w:eastAsia="KaiTi_GB2312"/>
      <w:color w:val="auto"/>
      <w:spacing w:val="5"/>
      <w:w w:val="104"/>
      <w:sz w:val="18"/>
    </w:rPr>
  </w:style>
  <w:style w:type="character" w:styleId="Hyperlink">
    <w:name w:val="Hyperlink"/>
    <w:rsid w:val="00F1168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NZL/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2344</Words>
  <Characters>2955</Characters>
  <Application>Microsoft Office Word</Application>
  <DocSecurity>4</DocSecurity>
  <Lines>985</Lines>
  <Paragraphs>883</Paragraphs>
  <ScaleCrop>false</ScaleCrop>
  <Company>United Nations</Company>
  <LinksUpToDate>false</LinksUpToDate>
  <CharactersWithSpaces>4416</CharactersWithSpaces>
  <SharedDoc>false</SharedDoc>
  <HLinks>
    <vt:vector size="6" baseType="variant">
      <vt:variant>
        <vt:i4>8061026</vt:i4>
      </vt:variant>
      <vt:variant>
        <vt:i4>0</vt:i4>
      </vt:variant>
      <vt:variant>
        <vt:i4>0</vt:i4>
      </vt:variant>
      <vt:variant>
        <vt:i4>5</vt:i4>
      </vt:variant>
      <vt:variant>
        <vt:lpwstr>http://undocs.org/CEDAW/C/NZL/7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United Nations</cp:lastModifiedBy>
  <cp:revision>2</cp:revision>
  <cp:lastPrinted>2012-11-19T08:52:00Z</cp:lastPrinted>
  <dcterms:created xsi:type="dcterms:W3CDTF">2012-11-19T08:57:00Z</dcterms:created>
  <dcterms:modified xsi:type="dcterms:W3CDTF">2012-11-19T08:57:00Z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1242643</vt:lpwstr>
  </property>
  <property fmtid="{D5CDD505-2E9C-101B-9397-08002B2CF9AE}" pid="3" name="Symbol1">
    <vt:lpwstr>CEDAW/C/SR.1054</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