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A26A4" w:rsidP="005A26A4">
            <w:pPr>
              <w:bidi w:val="0"/>
              <w:spacing w:after="20"/>
              <w:jc w:val="left"/>
              <w:rPr>
                <w:szCs w:val="20"/>
              </w:rPr>
            </w:pPr>
            <w:r w:rsidRPr="005A26A4">
              <w:rPr>
                <w:sz w:val="40"/>
                <w:szCs w:val="20"/>
              </w:rPr>
              <w:t>A</w:t>
            </w:r>
            <w:r>
              <w:rPr>
                <w:szCs w:val="20"/>
              </w:rPr>
              <w:t>/</w:t>
            </w:r>
            <w:proofErr w:type="spellStart"/>
            <w:r>
              <w:rPr>
                <w:szCs w:val="20"/>
              </w:rPr>
              <w:t>HRC</w:t>
            </w:r>
            <w:proofErr w:type="spellEnd"/>
            <w:r>
              <w:rPr>
                <w:szCs w:val="20"/>
              </w:rPr>
              <w:t>/RES/23/15</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5A26A4" w:rsidRDefault="005A26A4" w:rsidP="005A26A4">
            <w:pPr>
              <w:bidi w:val="0"/>
              <w:spacing w:before="240"/>
              <w:jc w:val="left"/>
            </w:pPr>
            <w:r>
              <w:t>Distr.: General</w:t>
            </w:r>
          </w:p>
          <w:p w:rsidR="005A26A4" w:rsidRDefault="005A26A4" w:rsidP="005A26A4">
            <w:pPr>
              <w:bidi w:val="0"/>
              <w:jc w:val="left"/>
            </w:pPr>
            <w:r>
              <w:t>24 June 2013</w:t>
            </w:r>
          </w:p>
          <w:p w:rsidR="005A26A4" w:rsidRDefault="005A26A4" w:rsidP="005A26A4">
            <w:pPr>
              <w:bidi w:val="0"/>
              <w:jc w:val="left"/>
            </w:pPr>
            <w:r>
              <w:t>Arabic</w:t>
            </w:r>
          </w:p>
          <w:p w:rsidR="00257225" w:rsidRPr="008B4BC6" w:rsidRDefault="005A26A4" w:rsidP="005A26A4">
            <w:pPr>
              <w:bidi w:val="0"/>
              <w:jc w:val="left"/>
            </w:pPr>
            <w:r>
              <w:t>Original: English</w:t>
            </w:r>
          </w:p>
        </w:tc>
      </w:tr>
    </w:tbl>
    <w:p w:rsidR="005A26A4" w:rsidRPr="00D626D6" w:rsidRDefault="005A26A4" w:rsidP="005A26A4">
      <w:pPr>
        <w:spacing w:before="120" w:line="380" w:lineRule="exact"/>
        <w:rPr>
          <w:b/>
          <w:bCs/>
          <w:sz w:val="26"/>
          <w:szCs w:val="36"/>
          <w:rtl/>
        </w:rPr>
      </w:pPr>
      <w:r w:rsidRPr="00D626D6">
        <w:rPr>
          <w:b/>
          <w:bCs/>
          <w:sz w:val="26"/>
          <w:szCs w:val="36"/>
          <w:rtl/>
        </w:rPr>
        <w:t>مجلس حقوق الإنسان</w:t>
      </w:r>
    </w:p>
    <w:p w:rsidR="005A26A4" w:rsidRPr="00D626D6" w:rsidRDefault="005A26A4" w:rsidP="005A26A4">
      <w:pPr>
        <w:spacing w:line="380" w:lineRule="exact"/>
        <w:rPr>
          <w:b/>
          <w:bCs/>
          <w:rtl/>
        </w:rPr>
      </w:pPr>
      <w:r w:rsidRPr="00D626D6">
        <w:rPr>
          <w:b/>
          <w:bCs/>
          <w:rtl/>
        </w:rPr>
        <w:t>الدورة الثالثة والعشرون</w:t>
      </w:r>
    </w:p>
    <w:p w:rsidR="005A26A4" w:rsidRDefault="005A26A4" w:rsidP="005A26A4">
      <w:pPr>
        <w:spacing w:line="380" w:lineRule="exact"/>
        <w:rPr>
          <w:rtl/>
        </w:rPr>
      </w:pPr>
      <w:r>
        <w:rPr>
          <w:rtl/>
        </w:rPr>
        <w:t>البند 4 من جدول الأعمال</w:t>
      </w:r>
    </w:p>
    <w:p w:rsidR="005A26A4" w:rsidRPr="00D626D6" w:rsidRDefault="005A26A4" w:rsidP="005A26A4">
      <w:pPr>
        <w:spacing w:after="240" w:line="380" w:lineRule="exact"/>
        <w:rPr>
          <w:b/>
          <w:bCs/>
          <w:rtl/>
        </w:rPr>
      </w:pPr>
      <w:r w:rsidRPr="00D626D6">
        <w:rPr>
          <w:b/>
          <w:bCs/>
          <w:rtl/>
        </w:rPr>
        <w:t>حالات حقوق الإنسان التي تتطلب اهتمام المجلس بها</w:t>
      </w:r>
    </w:p>
    <w:p w:rsidR="005A26A4" w:rsidRDefault="005A26A4" w:rsidP="00A7760F">
      <w:pPr>
        <w:pStyle w:val="HChGA"/>
        <w:rPr>
          <w:rFonts w:hint="cs"/>
          <w:rtl/>
        </w:rPr>
      </w:pPr>
      <w:r>
        <w:rPr>
          <w:rtl/>
        </w:rPr>
        <w:tab/>
      </w:r>
      <w:r>
        <w:rPr>
          <w:rtl/>
        </w:rPr>
        <w:tab/>
      </w:r>
      <w:r w:rsidR="00A7760F">
        <w:rPr>
          <w:rFonts w:hint="cs"/>
          <w:rtl/>
        </w:rPr>
        <w:t>قرار اعتمده مجلس حقوق الإنسان</w:t>
      </w:r>
      <w:r w:rsidR="00296EF1" w:rsidRPr="00296EF1">
        <w:rPr>
          <w:rStyle w:val="FootnoteReference"/>
          <w:sz w:val="20"/>
          <w:vertAlign w:val="baseline"/>
          <w:rtl/>
        </w:rPr>
        <w:footnoteReference w:customMarkFollows="1" w:id="1"/>
        <w:t>*</w:t>
      </w:r>
    </w:p>
    <w:p w:rsidR="005A26A4" w:rsidRDefault="005A26A4" w:rsidP="00296EF1">
      <w:pPr>
        <w:pStyle w:val="HChGA"/>
        <w:rPr>
          <w:rtl/>
        </w:rPr>
      </w:pPr>
      <w:r>
        <w:rPr>
          <w:rtl/>
        </w:rPr>
        <w:tab/>
      </w:r>
      <w:r>
        <w:rPr>
          <w:rtl/>
        </w:rPr>
        <w:tab/>
        <w:t>23/</w:t>
      </w:r>
      <w:r w:rsidR="00296EF1">
        <w:rPr>
          <w:rFonts w:hint="cs"/>
          <w:rtl/>
        </w:rPr>
        <w:t>15</w:t>
      </w:r>
      <w:r>
        <w:rPr>
          <w:rFonts w:hint="cs"/>
          <w:rtl/>
        </w:rPr>
        <w:br/>
      </w:r>
      <w:r>
        <w:rPr>
          <w:rtl/>
        </w:rPr>
        <w:t>حالة حقوق الإنسان في بيلاروس</w:t>
      </w:r>
    </w:p>
    <w:p w:rsidR="005A26A4" w:rsidRPr="00606DE3" w:rsidRDefault="005A26A4" w:rsidP="005A26A4">
      <w:pPr>
        <w:pStyle w:val="SingleTxtGA"/>
        <w:rPr>
          <w:i/>
          <w:iCs/>
          <w:rtl/>
        </w:rPr>
      </w:pPr>
      <w:r w:rsidRPr="00606DE3">
        <w:rPr>
          <w:i/>
          <w:iCs/>
          <w:rtl/>
        </w:rPr>
        <w:tab/>
        <w:t>إن مجلس حقوق الإنسان،</w:t>
      </w:r>
    </w:p>
    <w:p w:rsidR="005A26A4" w:rsidRDefault="005A26A4" w:rsidP="001D042D">
      <w:pPr>
        <w:pStyle w:val="SingleTxtGA"/>
        <w:rPr>
          <w:rFonts w:hint="cs"/>
          <w:rtl/>
        </w:rPr>
      </w:pPr>
      <w:r>
        <w:rPr>
          <w:rtl/>
        </w:rPr>
        <w:tab/>
      </w:r>
      <w:r w:rsidRPr="00606DE3">
        <w:rPr>
          <w:i/>
          <w:iCs/>
          <w:rtl/>
        </w:rPr>
        <w:t xml:space="preserve">إذ </w:t>
      </w:r>
      <w:r w:rsidRPr="00606DE3">
        <w:rPr>
          <w:rFonts w:hint="cs"/>
          <w:i/>
          <w:iCs/>
          <w:rtl/>
        </w:rPr>
        <w:t>ي</w:t>
      </w:r>
      <w:r w:rsidRPr="00606DE3">
        <w:rPr>
          <w:i/>
          <w:iCs/>
          <w:rtl/>
        </w:rPr>
        <w:t>سترشد</w:t>
      </w:r>
      <w:r>
        <w:rPr>
          <w:rtl/>
        </w:rPr>
        <w:t xml:space="preserve"> بمقاصد ميثاق الأمم المتحدة</w:t>
      </w:r>
      <w:r w:rsidR="001D042D" w:rsidRPr="001D042D">
        <w:rPr>
          <w:rtl/>
        </w:rPr>
        <w:t xml:space="preserve"> </w:t>
      </w:r>
      <w:r w:rsidR="001D042D">
        <w:rPr>
          <w:rtl/>
        </w:rPr>
        <w:t>ومبادئ</w:t>
      </w:r>
      <w:r w:rsidR="001D042D">
        <w:rPr>
          <w:rFonts w:hint="cs"/>
          <w:rtl/>
        </w:rPr>
        <w:t>ه</w:t>
      </w:r>
      <w:r>
        <w:rPr>
          <w:rtl/>
        </w:rPr>
        <w:t>، و</w:t>
      </w:r>
      <w:r w:rsidR="001D042D">
        <w:rPr>
          <w:rFonts w:hint="cs"/>
          <w:rtl/>
        </w:rPr>
        <w:t>ب</w:t>
      </w:r>
      <w:r>
        <w:rPr>
          <w:rtl/>
        </w:rPr>
        <w:t>أحكام الإعلان العالمي لحقوق الإنسان، والعهدين الدوليين الخاصين بحقوق الإنسان وغير ذلك من صكوك حقوق الإنسان الواجبة التطبيق،</w:t>
      </w:r>
    </w:p>
    <w:p w:rsidR="005A26A4" w:rsidRDefault="005A26A4" w:rsidP="001D042D">
      <w:pPr>
        <w:pStyle w:val="SingleTxtGA"/>
        <w:rPr>
          <w:rtl/>
        </w:rPr>
      </w:pPr>
      <w:r w:rsidRPr="00C658FE">
        <w:rPr>
          <w:spacing w:val="-2"/>
          <w:rtl/>
        </w:rPr>
        <w:tab/>
      </w:r>
      <w:r w:rsidRPr="00C658FE">
        <w:rPr>
          <w:i/>
          <w:iCs/>
          <w:spacing w:val="-2"/>
          <w:rtl/>
        </w:rPr>
        <w:t>وإذ يشير</w:t>
      </w:r>
      <w:r w:rsidRPr="00C658FE">
        <w:rPr>
          <w:spacing w:val="-2"/>
          <w:rtl/>
        </w:rPr>
        <w:t xml:space="preserve"> إلى جميع القرارات التي اعتمدتها لجنة حقوق الإنسان والجمعية العامة ومجلس حقوق الإنسان بشأن حالة حقوق الإنسان في بيلاروس، بما فيها قرارا المجلس 17/24 </w:t>
      </w:r>
      <w:r w:rsidRPr="00F13C12">
        <w:rPr>
          <w:spacing w:val="-4"/>
          <w:rtl/>
        </w:rPr>
        <w:t>المؤرخ</w:t>
      </w:r>
      <w:r w:rsidRPr="00F13C12">
        <w:rPr>
          <w:rFonts w:hint="cs"/>
          <w:spacing w:val="-4"/>
          <w:rtl/>
        </w:rPr>
        <w:t> </w:t>
      </w:r>
      <w:r w:rsidRPr="00F13C12">
        <w:rPr>
          <w:spacing w:val="-4"/>
          <w:rtl/>
        </w:rPr>
        <w:t xml:space="preserve">17 حزيران/يونيه 2011 </w:t>
      </w:r>
      <w:proofErr w:type="spellStart"/>
      <w:r w:rsidRPr="00F13C12">
        <w:rPr>
          <w:spacing w:val="-4"/>
          <w:rtl/>
        </w:rPr>
        <w:t>و20</w:t>
      </w:r>
      <w:proofErr w:type="spellEnd"/>
      <w:r w:rsidRPr="00F13C12">
        <w:rPr>
          <w:spacing w:val="-4"/>
          <w:rtl/>
        </w:rPr>
        <w:t>/13 المؤرخ 5 تموز/يوليه 2012، وإذ يعرب عن استيائه من عدم كفاية استجابة حكومة بيلاروس للطلبات التي قدمها المجلس في هذين</w:t>
      </w:r>
      <w:r>
        <w:rPr>
          <w:rtl/>
        </w:rPr>
        <w:t xml:space="preserve"> القرارين، </w:t>
      </w:r>
      <w:r w:rsidR="001D042D">
        <w:rPr>
          <w:rFonts w:hint="cs"/>
          <w:rtl/>
        </w:rPr>
        <w:t>بما في ذلك</w:t>
      </w:r>
      <w:r>
        <w:rPr>
          <w:rFonts w:hint="cs"/>
          <w:rtl/>
        </w:rPr>
        <w:t> </w:t>
      </w:r>
      <w:r>
        <w:rPr>
          <w:rtl/>
        </w:rPr>
        <w:t xml:space="preserve">رفض دخول المقرر الخاص المعني بحالة حقوق الإنسان في بيلاروس وغيره من المكلفين بولايات في إطار الإجراءات الخاصة إلى البلد، </w:t>
      </w:r>
    </w:p>
    <w:p w:rsidR="005A26A4" w:rsidRDefault="005A26A4" w:rsidP="005A26A4">
      <w:pPr>
        <w:pStyle w:val="SingleTxtGA"/>
        <w:rPr>
          <w:rFonts w:hint="cs"/>
          <w:rtl/>
        </w:rPr>
      </w:pPr>
      <w:r>
        <w:rPr>
          <w:rtl/>
        </w:rPr>
        <w:tab/>
      </w:r>
      <w:r w:rsidRPr="00F13C12">
        <w:rPr>
          <w:rFonts w:cs="Times New Roman" w:hint="cs"/>
          <w:i/>
          <w:iCs/>
          <w:rtl/>
        </w:rPr>
        <w:t>‫</w:t>
      </w:r>
      <w:r w:rsidRPr="00F13C12">
        <w:rPr>
          <w:rFonts w:hint="cs"/>
          <w:i/>
          <w:iCs/>
          <w:rtl/>
        </w:rPr>
        <w:t>وإذ يشير</w:t>
      </w:r>
      <w:r>
        <w:rPr>
          <w:rFonts w:hint="cs"/>
          <w:rtl/>
        </w:rPr>
        <w:t xml:space="preserve"> إلى قراري مجلس حقوق الإنسان 5/1 </w:t>
      </w:r>
      <w:proofErr w:type="spellStart"/>
      <w:r>
        <w:rPr>
          <w:rFonts w:hint="cs"/>
          <w:rtl/>
        </w:rPr>
        <w:t>و5</w:t>
      </w:r>
      <w:proofErr w:type="spellEnd"/>
      <w:r>
        <w:rPr>
          <w:rFonts w:hint="cs"/>
          <w:rtl/>
        </w:rPr>
        <w:t>/2 المؤرخين 18 حزيران/ يونيه</w:t>
      </w:r>
      <w:r>
        <w:rPr>
          <w:rFonts w:hint="eastAsia"/>
          <w:rtl/>
        </w:rPr>
        <w:t> </w:t>
      </w:r>
      <w:r>
        <w:rPr>
          <w:rFonts w:hint="cs"/>
          <w:rtl/>
        </w:rPr>
        <w:t>2007،</w:t>
      </w:r>
      <w:r>
        <w:rPr>
          <w:rFonts w:cs="Times New Roman" w:hint="cs"/>
          <w:rtl/>
        </w:rPr>
        <w:t>‬</w:t>
      </w:r>
    </w:p>
    <w:p w:rsidR="005A26A4" w:rsidRDefault="005A26A4" w:rsidP="001D042D">
      <w:pPr>
        <w:pStyle w:val="SingleTxtGA"/>
        <w:rPr>
          <w:rtl/>
        </w:rPr>
      </w:pPr>
      <w:r>
        <w:rPr>
          <w:rtl/>
        </w:rPr>
        <w:tab/>
        <w:t>1-</w:t>
      </w:r>
      <w:r>
        <w:rPr>
          <w:rtl/>
        </w:rPr>
        <w:tab/>
      </w:r>
      <w:r w:rsidRPr="00606DE3">
        <w:rPr>
          <w:i/>
          <w:iCs/>
          <w:rtl/>
        </w:rPr>
        <w:t>يرحب</w:t>
      </w:r>
      <w:r>
        <w:rPr>
          <w:rtl/>
        </w:rPr>
        <w:t xml:space="preserve"> بتقرير المقرر الخاص المعني بحالة حقوق الإنسان في بيلاروس</w:t>
      </w:r>
      <w:r>
        <w:rPr>
          <w:vertAlign w:val="superscript"/>
          <w:rtl/>
        </w:rPr>
        <w:t>(</w:t>
      </w:r>
      <w:r>
        <w:rPr>
          <w:rStyle w:val="FootnoteReference"/>
          <w:rtl/>
        </w:rPr>
        <w:footnoteReference w:id="2"/>
      </w:r>
      <w:r>
        <w:rPr>
          <w:vertAlign w:val="superscript"/>
          <w:rtl/>
        </w:rPr>
        <w:t>)</w:t>
      </w:r>
      <w:r>
        <w:rPr>
          <w:rtl/>
        </w:rPr>
        <w:t>؛</w:t>
      </w:r>
    </w:p>
    <w:p w:rsidR="005A26A4" w:rsidRDefault="005A26A4" w:rsidP="00976AFA">
      <w:pPr>
        <w:pStyle w:val="SingleTxtGA"/>
        <w:rPr>
          <w:rtl/>
        </w:rPr>
      </w:pPr>
      <w:r>
        <w:rPr>
          <w:rtl/>
        </w:rPr>
        <w:tab/>
        <w:t>2-</w:t>
      </w:r>
      <w:r>
        <w:rPr>
          <w:rtl/>
        </w:rPr>
        <w:tab/>
      </w:r>
      <w:r w:rsidRPr="00606DE3">
        <w:rPr>
          <w:i/>
          <w:iCs/>
          <w:rtl/>
        </w:rPr>
        <w:t>يعرب</w:t>
      </w:r>
      <w:r>
        <w:rPr>
          <w:rtl/>
        </w:rPr>
        <w:t xml:space="preserve"> </w:t>
      </w:r>
      <w:r w:rsidRPr="00976AFA">
        <w:rPr>
          <w:i/>
          <w:iCs/>
          <w:rtl/>
        </w:rPr>
        <w:t>عن بالغ قلقه</w:t>
      </w:r>
      <w:r>
        <w:rPr>
          <w:rtl/>
        </w:rPr>
        <w:t xml:space="preserve"> إزاء استمرار انتهاكات حقوق الإنسان في بيلاروس، وهي انتهاكات هيكلية </w:t>
      </w:r>
      <w:r w:rsidR="001D042D">
        <w:rPr>
          <w:rFonts w:hint="cs"/>
          <w:rtl/>
        </w:rPr>
        <w:t>ومتوطنة</w:t>
      </w:r>
      <w:r>
        <w:rPr>
          <w:rtl/>
        </w:rPr>
        <w:t xml:space="preserve">، وكذلك إزاء القيود </w:t>
      </w:r>
      <w:r>
        <w:rPr>
          <w:rFonts w:hint="cs"/>
          <w:rtl/>
        </w:rPr>
        <w:t xml:space="preserve">النظامية </w:t>
      </w:r>
      <w:r>
        <w:rPr>
          <w:rtl/>
        </w:rPr>
        <w:t xml:space="preserve">والمنهجية المفروضة على حقوق الإنسان، ولا سيما في حالة حريات تكوين الجمعيات والتجمع والرأي والتعبير، </w:t>
      </w:r>
      <w:r w:rsidR="001D042D">
        <w:rPr>
          <w:rFonts w:hint="cs"/>
          <w:rtl/>
        </w:rPr>
        <w:t>و</w:t>
      </w:r>
      <w:r>
        <w:rPr>
          <w:rtl/>
        </w:rPr>
        <w:t xml:space="preserve">ضمانات مراعاة أصول المحاكمات والمحاكمة العادلة، ويعرب عن قلقه الخاص إزاء اللجوء إلى التعذيب وسوء المعاملة </w:t>
      </w:r>
      <w:r w:rsidR="001D042D">
        <w:rPr>
          <w:rFonts w:hint="cs"/>
          <w:rtl/>
        </w:rPr>
        <w:t xml:space="preserve">في أثناء </w:t>
      </w:r>
      <w:r>
        <w:rPr>
          <w:rtl/>
        </w:rPr>
        <w:t xml:space="preserve">الاحتجاز، وعدم </w:t>
      </w:r>
      <w:r w:rsidR="001D042D">
        <w:rPr>
          <w:rFonts w:hint="cs"/>
          <w:rtl/>
        </w:rPr>
        <w:t>تصدي</w:t>
      </w:r>
      <w:r>
        <w:rPr>
          <w:rtl/>
        </w:rPr>
        <w:t xml:space="preserve"> الحكومة لحالات الاختفاء القسري للمعارضين السياسيين، وانتهاكات حقوق العمال التي تصل إلى حد العمل القسري، </w:t>
      </w:r>
      <w:r w:rsidR="001D042D">
        <w:rPr>
          <w:rFonts w:hint="cs"/>
          <w:rtl/>
        </w:rPr>
        <w:t>والثغرات</w:t>
      </w:r>
      <w:r>
        <w:rPr>
          <w:rtl/>
        </w:rPr>
        <w:t xml:space="preserve"> الكبيرة في تشريعات مكافحة التمييز، وإفلات مرتكبي انتهاكات حقوق الإنسان والاعتداءات عليها من العقاب، </w:t>
      </w:r>
      <w:r w:rsidR="001D042D">
        <w:rPr>
          <w:rFonts w:hint="cs"/>
          <w:rtl/>
        </w:rPr>
        <w:t>ومضايقة</w:t>
      </w:r>
      <w:r>
        <w:rPr>
          <w:rtl/>
        </w:rPr>
        <w:t xml:space="preserve"> منظمات المجتمع المدني والمدافعين عن حقوق الإنسان والصحفيين والمعارضين السياسيين، و</w:t>
      </w:r>
      <w:r w:rsidR="001D042D">
        <w:rPr>
          <w:rFonts w:hint="cs"/>
          <w:rtl/>
        </w:rPr>
        <w:t xml:space="preserve">ممارسة </w:t>
      </w:r>
      <w:r>
        <w:rPr>
          <w:rtl/>
        </w:rPr>
        <w:t xml:space="preserve">الضغط على محامي الدفاع، وعدم مشاركة أحزاب المعارضة السياسية في البرلمان، </w:t>
      </w:r>
      <w:r>
        <w:rPr>
          <w:rFonts w:hint="cs"/>
          <w:rtl/>
        </w:rPr>
        <w:t xml:space="preserve">واعتبار </w:t>
      </w:r>
      <w:r>
        <w:rPr>
          <w:rtl/>
        </w:rPr>
        <w:t xml:space="preserve">معظم المراقبين الدوليين </w:t>
      </w:r>
      <w:r>
        <w:rPr>
          <w:rFonts w:hint="cs"/>
          <w:rtl/>
        </w:rPr>
        <w:t xml:space="preserve">أن </w:t>
      </w:r>
      <w:r>
        <w:rPr>
          <w:rtl/>
        </w:rPr>
        <w:t>الاقتراع في الانتخابات البرلمانية التي أجريت في 23 أيلول/سبتمبر 2012 اقتراع لا يتماشى والمعايير الأساسية لإجراء انتخابات تنافسية وحرة ونزيهة؛</w:t>
      </w:r>
    </w:p>
    <w:p w:rsidR="005A26A4" w:rsidRDefault="005A26A4" w:rsidP="00EA6F2F">
      <w:pPr>
        <w:pStyle w:val="SingleTxtGA"/>
        <w:rPr>
          <w:rtl/>
        </w:rPr>
      </w:pPr>
      <w:r>
        <w:rPr>
          <w:rtl/>
        </w:rPr>
        <w:tab/>
        <w:t>3-</w:t>
      </w:r>
      <w:r>
        <w:rPr>
          <w:rtl/>
        </w:rPr>
        <w:tab/>
      </w:r>
      <w:proofErr w:type="spellStart"/>
      <w:r w:rsidR="001D042D">
        <w:rPr>
          <w:rFonts w:hint="cs"/>
          <w:i/>
          <w:iCs/>
          <w:rtl/>
        </w:rPr>
        <w:t>يهيب</w:t>
      </w:r>
      <w:proofErr w:type="spellEnd"/>
      <w:r>
        <w:rPr>
          <w:rtl/>
        </w:rPr>
        <w:t xml:space="preserve"> </w:t>
      </w:r>
      <w:r w:rsidR="001D042D">
        <w:rPr>
          <w:rFonts w:hint="cs"/>
          <w:rtl/>
        </w:rPr>
        <w:t>ب</w:t>
      </w:r>
      <w:r>
        <w:rPr>
          <w:rtl/>
        </w:rPr>
        <w:t xml:space="preserve">حكومة بيلاروس </w:t>
      </w:r>
      <w:r w:rsidR="00EA6F2F">
        <w:rPr>
          <w:rFonts w:hint="cs"/>
          <w:rtl/>
        </w:rPr>
        <w:t>أن تجري</w:t>
      </w:r>
      <w:r>
        <w:rPr>
          <w:rtl/>
        </w:rPr>
        <w:t xml:space="preserve"> مراجعة شاملة للتشريعات والسياسات والاستراتيجيات والممارسات ذات الصلة من أجل ضمان تحديد الأحكام تحديدا</w:t>
      </w:r>
      <w:r>
        <w:rPr>
          <w:rFonts w:hint="cs"/>
          <w:rtl/>
        </w:rPr>
        <w:t>ً</w:t>
      </w:r>
      <w:r>
        <w:rPr>
          <w:rtl/>
        </w:rPr>
        <w:t xml:space="preserve"> واضحا</w:t>
      </w:r>
      <w:r>
        <w:rPr>
          <w:rFonts w:hint="cs"/>
          <w:rtl/>
        </w:rPr>
        <w:t>ً</w:t>
      </w:r>
      <w:r>
        <w:rPr>
          <w:rtl/>
        </w:rPr>
        <w:t xml:space="preserve">، </w:t>
      </w:r>
      <w:r w:rsidR="00EA6F2F">
        <w:rPr>
          <w:rFonts w:hint="cs"/>
          <w:rtl/>
        </w:rPr>
        <w:t>واتساقها مع</w:t>
      </w:r>
      <w:r w:rsidR="00976AFA">
        <w:rPr>
          <w:rtl/>
        </w:rPr>
        <w:t xml:space="preserve"> </w:t>
      </w:r>
      <w:r>
        <w:rPr>
          <w:rtl/>
        </w:rPr>
        <w:t xml:space="preserve">القانون الدولي لحقوق الإنسان والتزاماتها في مجال حقوق الإنسان، وعدم استخدامها لمنع ممارسة أي حق من حقوق الإنسان أو تقييده دون موجب، بما في ذلك </w:t>
      </w:r>
      <w:r w:rsidR="00EA6F2F">
        <w:rPr>
          <w:rFonts w:hint="cs"/>
          <w:rtl/>
        </w:rPr>
        <w:t xml:space="preserve">منع أو تقييد </w:t>
      </w:r>
      <w:r>
        <w:rPr>
          <w:rtl/>
        </w:rPr>
        <w:t>حريات التعبير وتكوين الجمعيات والتجمع السلمي، أو حرية الإعلام؛</w:t>
      </w:r>
    </w:p>
    <w:p w:rsidR="005A26A4" w:rsidRPr="00F13C12" w:rsidRDefault="005A26A4" w:rsidP="00EA6F2F">
      <w:pPr>
        <w:pStyle w:val="SingleTxtGA"/>
        <w:rPr>
          <w:spacing w:val="-2"/>
          <w:rtl/>
        </w:rPr>
      </w:pPr>
      <w:r w:rsidRPr="00F13C12">
        <w:rPr>
          <w:spacing w:val="-2"/>
          <w:rtl/>
        </w:rPr>
        <w:tab/>
        <w:t>4-</w:t>
      </w:r>
      <w:r w:rsidRPr="00F13C12">
        <w:rPr>
          <w:spacing w:val="-2"/>
          <w:rtl/>
        </w:rPr>
        <w:tab/>
      </w:r>
      <w:r w:rsidRPr="00F13C12">
        <w:rPr>
          <w:i/>
          <w:iCs/>
          <w:spacing w:val="-2"/>
          <w:rtl/>
        </w:rPr>
        <w:t>يلاحظ</w:t>
      </w:r>
      <w:r w:rsidRPr="00F13C12">
        <w:rPr>
          <w:spacing w:val="-2"/>
          <w:rtl/>
        </w:rPr>
        <w:t xml:space="preserve"> اهتمام المقرر الخاص بعقوبة الإعدام في بيلاروس، ويحيط علما</w:t>
      </w:r>
      <w:r>
        <w:rPr>
          <w:rFonts w:hint="cs"/>
          <w:spacing w:val="-2"/>
          <w:rtl/>
        </w:rPr>
        <w:t>ً</w:t>
      </w:r>
      <w:r w:rsidRPr="00F13C12">
        <w:rPr>
          <w:spacing w:val="-2"/>
          <w:rtl/>
        </w:rPr>
        <w:t xml:space="preserve"> بإعادة إنشاء الفريق العامل البرلماني المعني بعقوبة الإعدام، ويشجعه على </w:t>
      </w:r>
      <w:r w:rsidR="00EA6F2F">
        <w:rPr>
          <w:rFonts w:hint="cs"/>
          <w:spacing w:val="-2"/>
          <w:rtl/>
        </w:rPr>
        <w:t>الإسراع في</w:t>
      </w:r>
      <w:r w:rsidRPr="00F13C12">
        <w:rPr>
          <w:spacing w:val="-2"/>
          <w:rtl/>
        </w:rPr>
        <w:t xml:space="preserve"> عمله؛</w:t>
      </w:r>
    </w:p>
    <w:p w:rsidR="005A26A4" w:rsidRPr="002D332E" w:rsidRDefault="005A26A4" w:rsidP="00EA6F2F">
      <w:pPr>
        <w:pStyle w:val="SingleTxtGA"/>
        <w:rPr>
          <w:spacing w:val="-4"/>
          <w:rtl/>
        </w:rPr>
      </w:pPr>
      <w:r w:rsidRPr="002D332E">
        <w:rPr>
          <w:spacing w:val="-4"/>
          <w:rtl/>
        </w:rPr>
        <w:tab/>
        <w:t>5-</w:t>
      </w:r>
      <w:r w:rsidRPr="002D332E">
        <w:rPr>
          <w:spacing w:val="-4"/>
          <w:rtl/>
        </w:rPr>
        <w:tab/>
      </w:r>
      <w:proofErr w:type="spellStart"/>
      <w:r w:rsidRPr="002D332E">
        <w:rPr>
          <w:i/>
          <w:iCs/>
          <w:spacing w:val="-4"/>
          <w:rtl/>
        </w:rPr>
        <w:t>يهيب</w:t>
      </w:r>
      <w:proofErr w:type="spellEnd"/>
      <w:r w:rsidRPr="002D332E">
        <w:rPr>
          <w:spacing w:val="-4"/>
          <w:rtl/>
        </w:rPr>
        <w:t xml:space="preserve"> بحكومة بيلاروس أن تجري إصلاحا</w:t>
      </w:r>
      <w:r w:rsidRPr="002D332E">
        <w:rPr>
          <w:rFonts w:hint="cs"/>
          <w:spacing w:val="-4"/>
          <w:rtl/>
        </w:rPr>
        <w:t>ً</w:t>
      </w:r>
      <w:r w:rsidRPr="002D332E">
        <w:rPr>
          <w:spacing w:val="-4"/>
          <w:rtl/>
        </w:rPr>
        <w:t xml:space="preserve"> شاملا</w:t>
      </w:r>
      <w:r w:rsidRPr="002D332E">
        <w:rPr>
          <w:rFonts w:hint="cs"/>
          <w:spacing w:val="-4"/>
          <w:rtl/>
        </w:rPr>
        <w:t>ً</w:t>
      </w:r>
      <w:r w:rsidRPr="002D332E">
        <w:rPr>
          <w:spacing w:val="-4"/>
          <w:rtl/>
        </w:rPr>
        <w:t xml:space="preserve"> لقطاع القضاء ونقابات المحامين من أجل ضمان استقلال ونزاهة السلطة القضائية، وقرينة البراءة، والمحاكمة العادلة، والحق في مراجعة فعالة للأحكام والإدانات </w:t>
      </w:r>
      <w:r w:rsidR="00EA6F2F" w:rsidRPr="002D332E">
        <w:rPr>
          <w:rFonts w:hint="cs"/>
          <w:spacing w:val="-4"/>
          <w:rtl/>
        </w:rPr>
        <w:t>تجريها</w:t>
      </w:r>
      <w:r w:rsidRPr="002D332E">
        <w:rPr>
          <w:spacing w:val="-4"/>
          <w:rtl/>
        </w:rPr>
        <w:t xml:space="preserve"> محكمة أعلى منشأة </w:t>
      </w:r>
      <w:r w:rsidR="00EA6F2F" w:rsidRPr="002D332E">
        <w:rPr>
          <w:rFonts w:hint="cs"/>
          <w:spacing w:val="-4"/>
          <w:rtl/>
        </w:rPr>
        <w:t>بموجب القانون</w:t>
      </w:r>
      <w:r w:rsidRPr="002D332E">
        <w:rPr>
          <w:spacing w:val="-4"/>
          <w:rtl/>
        </w:rPr>
        <w:t>، وفي حرية اختيار التمثيل القانوني في جميع مراحل الدعاوى، وتوافر معلومات عن تنفيذ جميع الأحكام؛</w:t>
      </w:r>
    </w:p>
    <w:p w:rsidR="005A26A4" w:rsidRPr="00F13C12" w:rsidRDefault="005A26A4" w:rsidP="00EA6F2F">
      <w:pPr>
        <w:pStyle w:val="SingleTxtGA"/>
        <w:rPr>
          <w:spacing w:val="-2"/>
          <w:rtl/>
        </w:rPr>
      </w:pPr>
      <w:r>
        <w:rPr>
          <w:rtl/>
        </w:rPr>
        <w:tab/>
        <w:t>6-</w:t>
      </w:r>
      <w:r>
        <w:rPr>
          <w:rtl/>
        </w:rPr>
        <w:tab/>
      </w:r>
      <w:r w:rsidRPr="00606DE3">
        <w:rPr>
          <w:i/>
          <w:iCs/>
          <w:rtl/>
        </w:rPr>
        <w:t>يحث</w:t>
      </w:r>
      <w:r>
        <w:rPr>
          <w:rtl/>
        </w:rPr>
        <w:t xml:space="preserve"> </w:t>
      </w:r>
      <w:r w:rsidRPr="00976AFA">
        <w:rPr>
          <w:i/>
          <w:iCs/>
          <w:rtl/>
        </w:rPr>
        <w:t>بقوة</w:t>
      </w:r>
      <w:r>
        <w:rPr>
          <w:rtl/>
        </w:rPr>
        <w:t xml:space="preserve"> حكومة بيلاروس على الإفراج الفوري وغير </w:t>
      </w:r>
      <w:r>
        <w:rPr>
          <w:rFonts w:hint="cs"/>
          <w:rtl/>
        </w:rPr>
        <w:t xml:space="preserve">المشروط </w:t>
      </w:r>
      <w:r>
        <w:rPr>
          <w:rtl/>
        </w:rPr>
        <w:t xml:space="preserve">عن جميع السجناء السياسيين </w:t>
      </w:r>
      <w:r w:rsidR="00EA6F2F">
        <w:rPr>
          <w:rFonts w:hint="cs"/>
          <w:rtl/>
        </w:rPr>
        <w:t>وإعادة تأهيلهم</w:t>
      </w:r>
      <w:r>
        <w:rPr>
          <w:rtl/>
        </w:rPr>
        <w:t xml:space="preserve">، وإعادة تأهيل الأشخاص الذين </w:t>
      </w:r>
      <w:r w:rsidR="00EA6F2F">
        <w:rPr>
          <w:rFonts w:hint="cs"/>
          <w:rtl/>
        </w:rPr>
        <w:t>سبق الإفراج عنهم</w:t>
      </w:r>
      <w:r>
        <w:rPr>
          <w:rtl/>
        </w:rPr>
        <w:t xml:space="preserve"> وإجراء تحقيقات شاملة وشفافة وذات مصداقية في </w:t>
      </w:r>
      <w:r w:rsidR="00EA6F2F">
        <w:rPr>
          <w:rFonts w:hint="cs"/>
          <w:rtl/>
        </w:rPr>
        <w:t>التقارير المتعلقة</w:t>
      </w:r>
      <w:r>
        <w:rPr>
          <w:rtl/>
        </w:rPr>
        <w:t xml:space="preserve"> </w:t>
      </w:r>
      <w:r w:rsidR="00EA6F2F">
        <w:rPr>
          <w:rFonts w:hint="cs"/>
          <w:rtl/>
        </w:rPr>
        <w:t>ب</w:t>
      </w:r>
      <w:r>
        <w:rPr>
          <w:rtl/>
        </w:rPr>
        <w:t xml:space="preserve">حالات التعذيب </w:t>
      </w:r>
      <w:r w:rsidRPr="00F13C12">
        <w:rPr>
          <w:spacing w:val="-2"/>
          <w:rtl/>
        </w:rPr>
        <w:t>وإساءة المعاملة على أيدي الموظفين المكلفين بإنفاذ القانون، ووضع حد فوري للاحتجاز التعسفي للمدافعين عن حقوق الإنسان والمعارضين السياسيين ولحظر السفر التعسفي وغير</w:t>
      </w:r>
      <w:r w:rsidR="00EA6F2F">
        <w:rPr>
          <w:rFonts w:hint="cs"/>
          <w:spacing w:val="-2"/>
          <w:rtl/>
        </w:rPr>
        <w:t xml:space="preserve"> ذلك</w:t>
      </w:r>
      <w:r w:rsidRPr="00F13C12">
        <w:rPr>
          <w:spacing w:val="-2"/>
          <w:rtl/>
        </w:rPr>
        <w:t xml:space="preserve"> من السياسات التي تهدف إلى تخويف ممثلي المعارضة السياسية ووسائط الإعلام، والمدافعين عن حقوق الإنسان والمجتمع المدني؛</w:t>
      </w:r>
    </w:p>
    <w:p w:rsidR="005A26A4" w:rsidRDefault="005A26A4" w:rsidP="00EA6F2F">
      <w:pPr>
        <w:pStyle w:val="SingleTxtGA"/>
        <w:rPr>
          <w:rtl/>
        </w:rPr>
      </w:pPr>
      <w:r>
        <w:rPr>
          <w:rtl/>
        </w:rPr>
        <w:tab/>
        <w:t>7-</w:t>
      </w:r>
      <w:r>
        <w:rPr>
          <w:rtl/>
        </w:rPr>
        <w:tab/>
      </w:r>
      <w:r w:rsidRPr="00606DE3">
        <w:rPr>
          <w:i/>
          <w:iCs/>
          <w:rtl/>
        </w:rPr>
        <w:t>يشجع</w:t>
      </w:r>
      <w:r>
        <w:rPr>
          <w:rtl/>
        </w:rPr>
        <w:t xml:space="preserve"> حكومة بيلاروس على النظر في </w:t>
      </w:r>
      <w:r w:rsidR="00EA6F2F">
        <w:rPr>
          <w:rFonts w:hint="cs"/>
          <w:rtl/>
        </w:rPr>
        <w:t xml:space="preserve">الإسراع في </w:t>
      </w:r>
      <w:r>
        <w:rPr>
          <w:rtl/>
        </w:rPr>
        <w:t>مبادرتها الرامية إلى إنشاء مؤسسة وطنية لحقوق الإنسان وفقا</w:t>
      </w:r>
      <w:r>
        <w:rPr>
          <w:rFonts w:hint="cs"/>
          <w:rtl/>
        </w:rPr>
        <w:t>ً</w:t>
      </w:r>
      <w:r>
        <w:rPr>
          <w:rtl/>
        </w:rPr>
        <w:t xml:space="preserve"> لمبادئ باريس، وعلى تعزيز التقدم المحرز نحو تحقيق الأهداف الإنمائية للألفية؛</w:t>
      </w:r>
    </w:p>
    <w:p w:rsidR="005A26A4" w:rsidRPr="002D332E" w:rsidRDefault="005A26A4" w:rsidP="00EA6F2F">
      <w:pPr>
        <w:pStyle w:val="SingleTxtGA"/>
        <w:rPr>
          <w:spacing w:val="-4"/>
          <w:rtl/>
        </w:rPr>
      </w:pPr>
      <w:r w:rsidRPr="002D332E">
        <w:rPr>
          <w:spacing w:val="-4"/>
          <w:rtl/>
        </w:rPr>
        <w:tab/>
        <w:t>8-</w:t>
      </w:r>
      <w:r w:rsidRPr="002D332E">
        <w:rPr>
          <w:spacing w:val="-4"/>
          <w:rtl/>
        </w:rPr>
        <w:tab/>
      </w:r>
      <w:r w:rsidRPr="002D332E">
        <w:rPr>
          <w:i/>
          <w:iCs/>
          <w:spacing w:val="-4"/>
          <w:rtl/>
        </w:rPr>
        <w:t>يقرر</w:t>
      </w:r>
      <w:r w:rsidRPr="002D332E">
        <w:rPr>
          <w:spacing w:val="-4"/>
          <w:rtl/>
        </w:rPr>
        <w:t xml:space="preserve"> تمديد ولاية المقرر الخاص المعني بحالة حقوق الإنسان في بيلاروس سنة واحدة، ويطلب إلى المقرر الخاص أن يقدم تقريراً عن حالة حقوق الإنسان في بيلاروس إلى مجلس حقوق الإنسان في دورته السادسة والعشرين، وإلى الجمعية العامة في دورتها التاسعة والستين؛</w:t>
      </w:r>
    </w:p>
    <w:p w:rsidR="005A26A4" w:rsidRDefault="005A26A4" w:rsidP="00EA6F2F">
      <w:pPr>
        <w:pStyle w:val="SingleTxtGA"/>
        <w:rPr>
          <w:rtl/>
        </w:rPr>
      </w:pPr>
      <w:r>
        <w:rPr>
          <w:rtl/>
        </w:rPr>
        <w:tab/>
        <w:t>9-</w:t>
      </w:r>
      <w:r>
        <w:rPr>
          <w:rtl/>
        </w:rPr>
        <w:tab/>
      </w:r>
      <w:r w:rsidRPr="00606DE3">
        <w:rPr>
          <w:i/>
          <w:iCs/>
          <w:rtl/>
        </w:rPr>
        <w:t>يحث</w:t>
      </w:r>
      <w:r>
        <w:rPr>
          <w:rtl/>
        </w:rPr>
        <w:t xml:space="preserve"> حكومة بيلاروس على أن تتعاون تعاوناً كاملاً مع المقرر الخاص، بما</w:t>
      </w:r>
      <w:r>
        <w:rPr>
          <w:rFonts w:hint="cs"/>
          <w:rtl/>
        </w:rPr>
        <w:t> </w:t>
      </w:r>
      <w:r>
        <w:rPr>
          <w:rtl/>
        </w:rPr>
        <w:t xml:space="preserve">في ذلك السماح له بزيارة البلد </w:t>
      </w:r>
      <w:r w:rsidR="00EA6F2F">
        <w:rPr>
          <w:rFonts w:hint="cs"/>
          <w:rtl/>
        </w:rPr>
        <w:t>وتزويده ب</w:t>
      </w:r>
      <w:r>
        <w:rPr>
          <w:rtl/>
        </w:rPr>
        <w:t xml:space="preserve">المعلومات الضرورية </w:t>
      </w:r>
      <w:r w:rsidR="00EA6F2F">
        <w:rPr>
          <w:rFonts w:hint="cs"/>
          <w:rtl/>
        </w:rPr>
        <w:t>لتيسير وفائه بالولاية</w:t>
      </w:r>
      <w:r>
        <w:rPr>
          <w:rtl/>
        </w:rPr>
        <w:t xml:space="preserve">؛ </w:t>
      </w:r>
    </w:p>
    <w:p w:rsidR="005A26A4" w:rsidRDefault="005A26A4" w:rsidP="00EA6F2F">
      <w:pPr>
        <w:pStyle w:val="SingleTxtGA"/>
        <w:rPr>
          <w:rFonts w:hint="cs"/>
          <w:rtl/>
        </w:rPr>
      </w:pPr>
      <w:r>
        <w:rPr>
          <w:rtl/>
        </w:rPr>
        <w:tab/>
        <w:t>10-</w:t>
      </w:r>
      <w:r>
        <w:rPr>
          <w:rtl/>
        </w:rPr>
        <w:tab/>
      </w:r>
      <w:r w:rsidRPr="00606DE3">
        <w:rPr>
          <w:i/>
          <w:iCs/>
          <w:rtl/>
        </w:rPr>
        <w:t>يطلب</w:t>
      </w:r>
      <w:r>
        <w:rPr>
          <w:rtl/>
        </w:rPr>
        <w:t xml:space="preserve"> إلى مفوضية الأمم المتحدة السامية لحقوق الإنسان أن تقدم للمقرر الخاص المساعدة والموارد اللازمة </w:t>
      </w:r>
      <w:r w:rsidR="00EA6F2F">
        <w:rPr>
          <w:rFonts w:hint="cs"/>
          <w:rtl/>
        </w:rPr>
        <w:t>لتمكينه من</w:t>
      </w:r>
      <w:r>
        <w:rPr>
          <w:rtl/>
        </w:rPr>
        <w:t xml:space="preserve"> الوفاء بالولاية.</w:t>
      </w:r>
    </w:p>
    <w:p w:rsidR="00EA6F2F" w:rsidRPr="00F175EC" w:rsidRDefault="00EA6F2F" w:rsidP="00EA6F2F">
      <w:pPr>
        <w:pStyle w:val="SingleTxtGA"/>
        <w:bidi w:val="0"/>
        <w:spacing w:after="0"/>
        <w:rPr>
          <w:rFonts w:hint="cs"/>
          <w:i/>
          <w:iCs/>
          <w:rtl/>
        </w:rPr>
      </w:pPr>
      <w:r w:rsidRPr="00F175EC">
        <w:rPr>
          <w:rFonts w:hint="cs"/>
          <w:i/>
          <w:iCs/>
          <w:rtl/>
        </w:rPr>
        <w:t>الجلسة 38</w:t>
      </w:r>
    </w:p>
    <w:p w:rsidR="00EA6F2F" w:rsidRDefault="00EA6F2F" w:rsidP="00F175EC">
      <w:pPr>
        <w:pStyle w:val="SingleTxtGA"/>
        <w:bidi w:val="0"/>
        <w:spacing w:after="180"/>
      </w:pPr>
      <w:r w:rsidRPr="00F175EC">
        <w:rPr>
          <w:rFonts w:hint="cs"/>
          <w:i/>
          <w:iCs/>
          <w:rtl/>
        </w:rPr>
        <w:t xml:space="preserve">13 </w:t>
      </w:r>
      <w:r w:rsidRPr="00F175EC">
        <w:rPr>
          <w:rFonts w:hint="cs"/>
          <w:i/>
          <w:iCs/>
          <w:sz w:val="30"/>
          <w:rtl/>
        </w:rPr>
        <w:t xml:space="preserve">حزيران/يونيه </w:t>
      </w:r>
      <w:r w:rsidRPr="00F175EC">
        <w:rPr>
          <w:rFonts w:hint="cs"/>
          <w:i/>
          <w:iCs/>
          <w:rtl/>
        </w:rPr>
        <w:t>2013</w:t>
      </w:r>
    </w:p>
    <w:p w:rsidR="00EA6F2F" w:rsidRDefault="00EA6F2F" w:rsidP="00EA6F2F">
      <w:pPr>
        <w:pStyle w:val="SingleTxtGA"/>
        <w:rPr>
          <w:rFonts w:hint="cs"/>
          <w:rtl/>
        </w:rPr>
      </w:pPr>
      <w:r>
        <w:rPr>
          <w:rFonts w:hint="cs"/>
          <w:rtl/>
        </w:rPr>
        <w:t>[اعتمد بتصويت مسجل، بأغلبية 26 صوتاً مقابل 3 أصوات وامتناع 18 عضواً عن التصويت. وكانت نتيجة التصويت كما يلي:</w:t>
      </w:r>
    </w:p>
    <w:p w:rsidR="00EA6F2F" w:rsidRPr="002D332E" w:rsidRDefault="00EA6F2F" w:rsidP="00EA6F2F">
      <w:pPr>
        <w:pStyle w:val="SingleTxtGA"/>
        <w:rPr>
          <w:rFonts w:hint="cs"/>
          <w:i/>
          <w:iCs/>
          <w:rtl/>
        </w:rPr>
      </w:pPr>
      <w:r>
        <w:rPr>
          <w:rFonts w:hint="cs"/>
          <w:rtl/>
        </w:rPr>
        <w:tab/>
      </w:r>
      <w:r w:rsidRPr="002D332E">
        <w:rPr>
          <w:rFonts w:hint="cs"/>
          <w:i/>
          <w:iCs/>
          <w:rtl/>
        </w:rPr>
        <w:t>المؤيدون:</w:t>
      </w:r>
    </w:p>
    <w:p w:rsidR="00EA6F2F" w:rsidRDefault="00EA6F2F" w:rsidP="00EA6F2F">
      <w:pPr>
        <w:pStyle w:val="SingleTxtGA"/>
        <w:tabs>
          <w:tab w:val="clear" w:pos="2608"/>
        </w:tabs>
        <w:spacing w:after="100" w:line="356" w:lineRule="exact"/>
        <w:ind w:left="2345"/>
        <w:rPr>
          <w:rFonts w:hint="cs"/>
          <w:rtl/>
        </w:rPr>
      </w:pPr>
      <w:r w:rsidRPr="00EA6F2F">
        <w:rPr>
          <w:rFonts w:hint="cs"/>
          <w:kern w:val="16"/>
          <w:rtl/>
          <w:lang w:val="fr-CH"/>
        </w:rPr>
        <w:t>الأرجنتين،</w:t>
      </w:r>
      <w:r>
        <w:rPr>
          <w:rFonts w:hint="cs"/>
          <w:rtl/>
        </w:rPr>
        <w:t xml:space="preserve"> إسبانيا، إستونيا، ألمانيا، أيرلندا، إيطاليا، البرازيل، بنن، بوتسوانا، بوركينا فاسو، بولندا، بيرو، الجبل الأسود، الجمهورية التشيكية، جمهورية كوريا، رومانيا، سويسرا، شيلي، غابون، غواتيمالا، كوستاريكا، الكونغو، ملديف، النمسا، الولايات المتحدة الأمريكية، اليابان</w:t>
      </w:r>
    </w:p>
    <w:p w:rsidR="002D332E" w:rsidRDefault="002D332E" w:rsidP="002D332E">
      <w:pPr>
        <w:pStyle w:val="SingleTxtGA"/>
        <w:rPr>
          <w:rFonts w:hint="cs"/>
          <w:rtl/>
        </w:rPr>
      </w:pPr>
      <w:r>
        <w:rPr>
          <w:rFonts w:hint="cs"/>
          <w:rtl/>
        </w:rPr>
        <w:tab/>
      </w:r>
      <w:r w:rsidRPr="002D332E">
        <w:rPr>
          <w:rFonts w:hint="cs"/>
          <w:i/>
          <w:iCs/>
          <w:rtl/>
        </w:rPr>
        <w:t>المعارضون:</w:t>
      </w:r>
    </w:p>
    <w:p w:rsidR="002D332E" w:rsidRDefault="002D332E" w:rsidP="002D332E">
      <w:pPr>
        <w:pStyle w:val="SingleTxtGA"/>
        <w:tabs>
          <w:tab w:val="clear" w:pos="2608"/>
        </w:tabs>
        <w:spacing w:after="100" w:line="356" w:lineRule="exact"/>
        <w:ind w:left="2345"/>
        <w:rPr>
          <w:rFonts w:hint="cs"/>
          <w:rtl/>
        </w:rPr>
      </w:pPr>
      <w:r>
        <w:rPr>
          <w:rFonts w:hint="cs"/>
          <w:rtl/>
        </w:rPr>
        <w:t>فنزويلا (جمهورية - البوليفارية)، كازاخستان، الهند</w:t>
      </w:r>
    </w:p>
    <w:p w:rsidR="002D332E" w:rsidRDefault="002D332E" w:rsidP="002D332E">
      <w:pPr>
        <w:pStyle w:val="SingleTxtGA"/>
        <w:rPr>
          <w:rFonts w:hint="cs"/>
          <w:rtl/>
        </w:rPr>
      </w:pPr>
      <w:r>
        <w:rPr>
          <w:rFonts w:hint="cs"/>
          <w:rtl/>
        </w:rPr>
        <w:tab/>
      </w:r>
      <w:r w:rsidRPr="002D332E">
        <w:rPr>
          <w:rFonts w:hint="cs"/>
          <w:i/>
          <w:iCs/>
          <w:rtl/>
        </w:rPr>
        <w:t>الممتنعون عن التصويت:</w:t>
      </w:r>
    </w:p>
    <w:p w:rsidR="002D332E" w:rsidRDefault="002D332E" w:rsidP="00F175EC">
      <w:pPr>
        <w:pStyle w:val="SingleTxtGA"/>
        <w:tabs>
          <w:tab w:val="clear" w:pos="2608"/>
        </w:tabs>
        <w:spacing w:after="0" w:line="356" w:lineRule="exact"/>
        <w:ind w:left="2347"/>
        <w:rPr>
          <w:rFonts w:hint="cs"/>
          <w:rtl/>
        </w:rPr>
      </w:pPr>
      <w:r>
        <w:rPr>
          <w:rFonts w:hint="cs"/>
          <w:rtl/>
        </w:rPr>
        <w:t xml:space="preserve">إثيوبيا، إكوادور، الإمارات العربية المتحدة، إندونيسيا، أنغولا، أوغندا، باكستان، تايلند، جمهورية مولدوفا، سيراليون، الفلبين، قطر، كوت </w:t>
      </w:r>
      <w:proofErr w:type="spellStart"/>
      <w:r>
        <w:rPr>
          <w:rFonts w:hint="cs"/>
          <w:rtl/>
        </w:rPr>
        <w:t>ديفوار</w:t>
      </w:r>
      <w:proofErr w:type="spellEnd"/>
      <w:r>
        <w:rPr>
          <w:rFonts w:hint="cs"/>
          <w:rtl/>
        </w:rPr>
        <w:t>، الكويت، كينيا</w:t>
      </w:r>
      <w:r w:rsidR="00F175EC">
        <w:rPr>
          <w:rFonts w:hint="cs"/>
          <w:rtl/>
        </w:rPr>
        <w:t>،</w:t>
      </w:r>
      <w:r>
        <w:rPr>
          <w:rFonts w:hint="cs"/>
          <w:rtl/>
        </w:rPr>
        <w:t xml:space="preserve"> ليبيا، ماليزيا، موريتانيا]</w:t>
      </w:r>
    </w:p>
    <w:p w:rsidR="005A26A4" w:rsidRPr="00606DE3" w:rsidRDefault="005A26A4" w:rsidP="002D332E">
      <w:pPr>
        <w:spacing w:line="380" w:lineRule="exact"/>
        <w:jc w:val="center"/>
        <w:rPr>
          <w:rFonts w:hint="cs"/>
          <w:u w:val="single"/>
          <w:rtl/>
        </w:rPr>
      </w:pPr>
      <w:r>
        <w:rPr>
          <w:u w:val="single"/>
          <w:rtl/>
        </w:rPr>
        <w:tab/>
      </w:r>
      <w:r>
        <w:rPr>
          <w:u w:val="single"/>
          <w:rtl/>
        </w:rPr>
        <w:tab/>
      </w:r>
      <w:r>
        <w:rPr>
          <w:u w:val="single"/>
          <w:rtl/>
        </w:rPr>
        <w:tab/>
      </w:r>
    </w:p>
    <w:sectPr w:rsidR="005A26A4" w:rsidRPr="00606DE3" w:rsidSect="005A26A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7FA4" w:rsidRPr="00FE6865" w:rsidRDefault="005E7FA4" w:rsidP="00FE6865">
      <w:pPr>
        <w:pStyle w:val="Footer"/>
      </w:pPr>
    </w:p>
  </w:endnote>
  <w:endnote w:type="continuationSeparator" w:id="0">
    <w:p w:rsidR="005E7FA4" w:rsidRDefault="005E7F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FA4" w:rsidRPr="005A26A4" w:rsidRDefault="005E7FA4" w:rsidP="005A26A4">
    <w:pPr>
      <w:pStyle w:val="Footer"/>
      <w:tabs>
        <w:tab w:val="right" w:pos="9598"/>
      </w:tabs>
    </w:pPr>
    <w:r>
      <w:t>GE.13-15061</w:t>
    </w:r>
    <w:r>
      <w:tab/>
    </w:r>
    <w:r w:rsidRPr="005A26A4">
      <w:rPr>
        <w:b/>
        <w:sz w:val="18"/>
      </w:rPr>
      <w:fldChar w:fldCharType="begin"/>
    </w:r>
    <w:r w:rsidRPr="005A26A4">
      <w:rPr>
        <w:b/>
        <w:sz w:val="18"/>
      </w:rPr>
      <w:instrText xml:space="preserve"> PAGE  \* MERGEFORMAT </w:instrText>
    </w:r>
    <w:r w:rsidRPr="005A26A4">
      <w:rPr>
        <w:b/>
        <w:sz w:val="18"/>
      </w:rPr>
      <w:fldChar w:fldCharType="separate"/>
    </w:r>
    <w:r w:rsidR="00F670F1">
      <w:rPr>
        <w:b/>
        <w:noProof/>
        <w:sz w:val="18"/>
      </w:rPr>
      <w:t>2</w:t>
    </w:r>
    <w:r w:rsidRPr="005A26A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FA4" w:rsidRPr="005A26A4" w:rsidRDefault="005E7FA4" w:rsidP="005A26A4">
    <w:pPr>
      <w:pStyle w:val="Footer"/>
      <w:tabs>
        <w:tab w:val="right" w:pos="9598"/>
      </w:tabs>
      <w:rPr>
        <w:b/>
        <w:sz w:val="18"/>
      </w:rPr>
    </w:pPr>
    <w:r w:rsidRPr="005A26A4">
      <w:rPr>
        <w:b/>
        <w:sz w:val="18"/>
      </w:rPr>
      <w:fldChar w:fldCharType="begin"/>
    </w:r>
    <w:r w:rsidRPr="005A26A4">
      <w:rPr>
        <w:b/>
        <w:sz w:val="18"/>
      </w:rPr>
      <w:instrText xml:space="preserve"> PAGE  \* MERGEFORMAT </w:instrText>
    </w:r>
    <w:r w:rsidRPr="005A26A4">
      <w:rPr>
        <w:b/>
        <w:sz w:val="18"/>
      </w:rPr>
      <w:fldChar w:fldCharType="separate"/>
    </w:r>
    <w:r w:rsidR="00F670F1">
      <w:rPr>
        <w:b/>
        <w:noProof/>
        <w:sz w:val="18"/>
      </w:rPr>
      <w:t>3</w:t>
    </w:r>
    <w:r w:rsidRPr="005A26A4">
      <w:rPr>
        <w:b/>
        <w:sz w:val="18"/>
      </w:rPr>
      <w:fldChar w:fldCharType="end"/>
    </w:r>
    <w:r>
      <w:rPr>
        <w:b/>
        <w:sz w:val="18"/>
      </w:rPr>
      <w:tab/>
    </w:r>
    <w:r>
      <w:t>GE.13-15061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FA4" w:rsidRDefault="005E7FA4" w:rsidP="005A26A4">
    <w:pPr>
      <w:pStyle w:val="Footer"/>
      <w:jc w:val="right"/>
    </w:pPr>
    <w:r>
      <w:rPr>
        <w:sz w:val="20"/>
      </w:rPr>
      <w:t>(A)   GE.13-15061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747.6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070813    090813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7FA4" w:rsidRDefault="005E7FA4" w:rsidP="009A0C39">
      <w:pPr>
        <w:spacing w:after="80" w:line="200" w:lineRule="atLeast"/>
        <w:ind w:left="680"/>
      </w:pPr>
      <w:r w:rsidRPr="00C10C26">
        <w:rPr>
          <w:sz w:val="16"/>
          <w:rtl/>
        </w:rPr>
        <w:t>__________</w:t>
      </w:r>
    </w:p>
  </w:footnote>
  <w:footnote w:type="continuationSeparator" w:id="0">
    <w:p w:rsidR="005E7FA4" w:rsidRDefault="005E7FA4" w:rsidP="00444AA6">
      <w:pPr>
        <w:pStyle w:val="Footer"/>
        <w:bidi/>
        <w:spacing w:after="80" w:line="200" w:lineRule="exact"/>
        <w:ind w:left="680"/>
      </w:pPr>
      <w:r>
        <w:rPr>
          <w:rFonts w:hint="cs"/>
          <w:rtl/>
        </w:rPr>
        <w:t>__________</w:t>
      </w:r>
    </w:p>
  </w:footnote>
  <w:footnote w:id="1">
    <w:p w:rsidR="005E7FA4" w:rsidRPr="00296EF1" w:rsidRDefault="005E7FA4" w:rsidP="001D042D">
      <w:pPr>
        <w:pStyle w:val="footnoteText0"/>
        <w:tabs>
          <w:tab w:val="left" w:pos="1253"/>
        </w:tabs>
        <w:rPr>
          <w:rFonts w:hint="cs"/>
          <w:rtl/>
        </w:rPr>
      </w:pPr>
      <w:r>
        <w:rPr>
          <w:rtl/>
        </w:rPr>
        <w:tab/>
      </w:r>
      <w:r w:rsidRPr="00296EF1">
        <w:rPr>
          <w:rStyle w:val="FootnoteReference"/>
          <w:sz w:val="20"/>
          <w:vertAlign w:val="baseline"/>
          <w:rtl/>
        </w:rPr>
        <w:t>*</w:t>
      </w:r>
      <w:r>
        <w:rPr>
          <w:rtl/>
        </w:rPr>
        <w:tab/>
      </w:r>
      <w:r>
        <w:rPr>
          <w:rFonts w:hint="cs"/>
          <w:rtl/>
        </w:rPr>
        <w:t>سترد القرارات والمقررات التي اعتمدها مجلس حقوق الإنسان في تقرير المجلس عن أعمال دورته الثالثة والعشرين (</w:t>
      </w:r>
      <w:r>
        <w:t>A/HRC/23/2</w:t>
      </w:r>
      <w:r>
        <w:rPr>
          <w:rFonts w:hint="cs"/>
          <w:rtl/>
        </w:rPr>
        <w:t>)، الفصل الأول.</w:t>
      </w:r>
    </w:p>
  </w:footnote>
  <w:footnote w:id="2">
    <w:p w:rsidR="005E7FA4" w:rsidRDefault="005E7FA4" w:rsidP="005A26A4">
      <w:pPr>
        <w:pStyle w:val="FootnoteText"/>
        <w:numPr>
          <w:ilvl w:val="0"/>
          <w:numId w:val="40"/>
        </w:numPr>
        <w:tabs>
          <w:tab w:val="clear" w:pos="1292"/>
          <w:tab w:val="left" w:pos="1253"/>
        </w:tabs>
        <w:spacing w:after="60" w:line="300" w:lineRule="exact"/>
        <w:ind w:left="1247" w:right="1247"/>
        <w:rPr>
          <w:rFonts w:hint="cs"/>
        </w:rPr>
      </w:pPr>
      <w:r>
        <w:rPr>
          <w:sz w:val="18"/>
          <w:szCs w:val="26"/>
        </w:rPr>
        <w:t>A/HRC/23/52</w:t>
      </w:r>
      <w:r>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FA4" w:rsidRPr="005A26A4" w:rsidRDefault="005E7FA4" w:rsidP="005A26A4">
    <w:pPr>
      <w:pStyle w:val="Header"/>
      <w:jc w:val="right"/>
    </w:pPr>
    <w:r w:rsidRPr="005A26A4">
      <w:t>A/HRC/RES/23/15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FA4" w:rsidRPr="005A26A4" w:rsidRDefault="005E7FA4" w:rsidP="005A26A4">
    <w:pPr>
      <w:pStyle w:val="Header"/>
      <w:jc w:val="left"/>
    </w:pPr>
    <w:r w:rsidRPr="005A26A4">
      <w:t>A/HRC/RES/23/15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E660EB3"/>
    <w:multiLevelType w:val="hybridMultilevel"/>
    <w:tmpl w:val="EA38E2E6"/>
    <w:lvl w:ilvl="0" w:tplc="1884FB46">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4"/>
  </w:num>
  <w:num w:numId="28">
    <w:abstractNumId w:val="2"/>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6636"/>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5161"/>
    <w:rsid w:val="001A60BD"/>
    <w:rsid w:val="001C3220"/>
    <w:rsid w:val="001C42FA"/>
    <w:rsid w:val="001D042D"/>
    <w:rsid w:val="0023736D"/>
    <w:rsid w:val="00257225"/>
    <w:rsid w:val="00275860"/>
    <w:rsid w:val="00296EF1"/>
    <w:rsid w:val="002D332E"/>
    <w:rsid w:val="00310160"/>
    <w:rsid w:val="00341A8C"/>
    <w:rsid w:val="003519E6"/>
    <w:rsid w:val="003B4356"/>
    <w:rsid w:val="003F08A8"/>
    <w:rsid w:val="004250E3"/>
    <w:rsid w:val="00436636"/>
    <w:rsid w:val="00444AA6"/>
    <w:rsid w:val="00472A81"/>
    <w:rsid w:val="004B2C92"/>
    <w:rsid w:val="004D6A3A"/>
    <w:rsid w:val="004F4AD7"/>
    <w:rsid w:val="005449D8"/>
    <w:rsid w:val="00557CD3"/>
    <w:rsid w:val="00571432"/>
    <w:rsid w:val="005732A2"/>
    <w:rsid w:val="005762A5"/>
    <w:rsid w:val="00590BA3"/>
    <w:rsid w:val="005A1A9A"/>
    <w:rsid w:val="005A26A4"/>
    <w:rsid w:val="005B7AE0"/>
    <w:rsid w:val="005E7FA4"/>
    <w:rsid w:val="005F146F"/>
    <w:rsid w:val="005F71B6"/>
    <w:rsid w:val="00660FD4"/>
    <w:rsid w:val="006A4425"/>
    <w:rsid w:val="006B4669"/>
    <w:rsid w:val="006C768B"/>
    <w:rsid w:val="006E3473"/>
    <w:rsid w:val="006F6BF8"/>
    <w:rsid w:val="00707BDF"/>
    <w:rsid w:val="00710727"/>
    <w:rsid w:val="00715F45"/>
    <w:rsid w:val="00731B84"/>
    <w:rsid w:val="00734AE7"/>
    <w:rsid w:val="00786B69"/>
    <w:rsid w:val="007B599E"/>
    <w:rsid w:val="007E197F"/>
    <w:rsid w:val="007F68C4"/>
    <w:rsid w:val="008153DE"/>
    <w:rsid w:val="00852A10"/>
    <w:rsid w:val="00862634"/>
    <w:rsid w:val="00866C59"/>
    <w:rsid w:val="00877306"/>
    <w:rsid w:val="00887B5C"/>
    <w:rsid w:val="008A6242"/>
    <w:rsid w:val="008B4BC6"/>
    <w:rsid w:val="00901E57"/>
    <w:rsid w:val="00935F0E"/>
    <w:rsid w:val="0095208F"/>
    <w:rsid w:val="00952C1C"/>
    <w:rsid w:val="00976AFA"/>
    <w:rsid w:val="00977B3F"/>
    <w:rsid w:val="009814AE"/>
    <w:rsid w:val="00983870"/>
    <w:rsid w:val="00994B89"/>
    <w:rsid w:val="00996BBE"/>
    <w:rsid w:val="009A0C39"/>
    <w:rsid w:val="009D1DD5"/>
    <w:rsid w:val="00A11DDA"/>
    <w:rsid w:val="00A26157"/>
    <w:rsid w:val="00A265C3"/>
    <w:rsid w:val="00A43F9A"/>
    <w:rsid w:val="00A543D4"/>
    <w:rsid w:val="00A7760F"/>
    <w:rsid w:val="00AD0014"/>
    <w:rsid w:val="00AD4CF2"/>
    <w:rsid w:val="00AF0BBA"/>
    <w:rsid w:val="00AF5DB9"/>
    <w:rsid w:val="00B30468"/>
    <w:rsid w:val="00B60E70"/>
    <w:rsid w:val="00B639B9"/>
    <w:rsid w:val="00BB2C41"/>
    <w:rsid w:val="00BC55C8"/>
    <w:rsid w:val="00BC5C10"/>
    <w:rsid w:val="00BE2964"/>
    <w:rsid w:val="00C24FBD"/>
    <w:rsid w:val="00C473BA"/>
    <w:rsid w:val="00C611ED"/>
    <w:rsid w:val="00C6490A"/>
    <w:rsid w:val="00C64FE1"/>
    <w:rsid w:val="00C66164"/>
    <w:rsid w:val="00C8345E"/>
    <w:rsid w:val="00CA4C17"/>
    <w:rsid w:val="00CA5F7C"/>
    <w:rsid w:val="00CE7C87"/>
    <w:rsid w:val="00D06637"/>
    <w:rsid w:val="00D51067"/>
    <w:rsid w:val="00D75657"/>
    <w:rsid w:val="00D960AD"/>
    <w:rsid w:val="00DA0E0E"/>
    <w:rsid w:val="00DB0C39"/>
    <w:rsid w:val="00DB7679"/>
    <w:rsid w:val="00DE3904"/>
    <w:rsid w:val="00DF1702"/>
    <w:rsid w:val="00DF4DD8"/>
    <w:rsid w:val="00DF668E"/>
    <w:rsid w:val="00E05DE3"/>
    <w:rsid w:val="00E14D2B"/>
    <w:rsid w:val="00E20DBA"/>
    <w:rsid w:val="00E660D6"/>
    <w:rsid w:val="00E71E2B"/>
    <w:rsid w:val="00E771AB"/>
    <w:rsid w:val="00EA6F2F"/>
    <w:rsid w:val="00EA796F"/>
    <w:rsid w:val="00EB077B"/>
    <w:rsid w:val="00EC50B9"/>
    <w:rsid w:val="00ED26A0"/>
    <w:rsid w:val="00F04473"/>
    <w:rsid w:val="00F1727A"/>
    <w:rsid w:val="00F175EC"/>
    <w:rsid w:val="00F34764"/>
    <w:rsid w:val="00F54E3C"/>
    <w:rsid w:val="00F670F1"/>
    <w:rsid w:val="00F874BD"/>
    <w:rsid w:val="00FA6DD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3</Pages>
  <Words>713</Words>
  <Characters>4067</Characters>
  <Application>Microsoft Office Outlook</Application>
  <DocSecurity>4</DocSecurity>
  <Lines>33</Lines>
  <Paragraphs>9</Paragraphs>
  <ScaleCrop>false</ScaleCrop>
  <HeadingPairs>
    <vt:vector size="2" baseType="variant">
      <vt:variant>
        <vt:lpstr>العنوان</vt:lpstr>
      </vt:variant>
      <vt:variant>
        <vt:i4>1</vt:i4>
      </vt:variant>
    </vt:vector>
  </HeadingPairs>
  <TitlesOfParts>
    <vt:vector size="1" baseType="lpstr">
      <vt:lpstr>A/HRC/RES/23/15</vt:lpstr>
    </vt:vector>
  </TitlesOfParts>
  <Company>CSD</Company>
  <LinksUpToDate>false</LinksUpToDate>
  <CharactersWithSpaces>4771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A/HRC/RES/23/15</dc:title>
  <dc:subject>FAHMY</dc:subject>
  <dc:creator>SMADI</dc:creator>
  <cp:keywords/>
  <dc:description/>
  <cp:lastModifiedBy>SMADI</cp:lastModifiedBy>
  <cp:revision>2</cp:revision>
  <cp:lastPrinted>2012-09-28T16:01:00Z</cp:lastPrinted>
  <dcterms:created xsi:type="dcterms:W3CDTF">2013-08-09T11:35:00Z</dcterms:created>
  <dcterms:modified xsi:type="dcterms:W3CDTF">2013-08-09T11:35:00Z</dcterms:modified>
</cp:coreProperties>
</file>